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5B6487D">
      <w:pPr>
        <w:pStyle w:val="2"/>
      </w:pPr>
      <w:r>
        <w:rPr>
          <w:rFonts w:hint="eastAsia"/>
        </w:rPr>
        <w:t>南雄年鉴2011</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FC07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B5B7F8D">
            <w:pPr>
              <w:ind w:firstLine="0" w:firstLineChars="0"/>
              <w:jc w:val="center"/>
              <w:rPr>
                <w:rFonts w:ascii="宋体" w:hAnsi="宋体"/>
              </w:rPr>
            </w:pPr>
            <w:r>
              <w:rPr>
                <w:rFonts w:ascii="宋体" w:hAnsi="宋体"/>
              </w:rPr>
              <w:drawing>
                <wp:inline distT="0" distB="0" distL="114300" distR="114300">
                  <wp:extent cx="5629275" cy="7805420"/>
                  <wp:effectExtent l="0" t="0" r="9525" b="5080"/>
                  <wp:docPr id="1" name="图片 1" descr="南雄年鉴 2011 封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南雄年鉴 2011 封面"/>
                          <pic:cNvPicPr>
                            <a:picLocks noChangeAspect="1"/>
                          </pic:cNvPicPr>
                        </pic:nvPicPr>
                        <pic:blipFill>
                          <a:blip r:embed="rId14" cstate="print"/>
                          <a:stretch>
                            <a:fillRect/>
                          </a:stretch>
                        </pic:blipFill>
                        <pic:spPr>
                          <a:xfrm>
                            <a:off x="0" y="0"/>
                            <a:ext cx="5629275" cy="7805420"/>
                          </a:xfrm>
                          <a:prstGeom prst="rect">
                            <a:avLst/>
                          </a:prstGeom>
                        </pic:spPr>
                      </pic:pic>
                    </a:graphicData>
                  </a:graphic>
                </wp:inline>
              </w:drawing>
            </w:r>
          </w:p>
        </w:tc>
      </w:tr>
    </w:tbl>
    <w:p w14:paraId="127E9A4E">
      <w:pPr>
        <w:pStyle w:val="2"/>
      </w:pPr>
      <w:r>
        <w:rPr>
          <w:rFonts w:hint="eastAsia"/>
        </w:rPr>
        <w:t>编辑说明</w:t>
      </w:r>
    </w:p>
    <w:p w14:paraId="6257B62E">
      <w:pPr>
        <w:ind w:firstLine="420"/>
        <w:rPr>
          <w:rFonts w:ascii="宋体" w:hAnsi="宋体"/>
        </w:rPr>
      </w:pPr>
      <w:r>
        <w:rPr>
          <w:rFonts w:hint="eastAsia" w:ascii="宋体" w:hAnsi="宋体"/>
        </w:rPr>
        <w:t>一、《南雄年鉴》是由中共南雄市委、市政府主持，市史志办公室组织实施，各承编单位共同参与编纂的地方综合性年鉴。它全面、系统记述本行政区域年度内自然、政治、经济、文化、社会等方面的情况，是社会各界人士了解南雄的权威性工具书。今后将继续编辑出版，每年一鉴。</w:t>
      </w:r>
    </w:p>
    <w:p w14:paraId="038D1523">
      <w:pPr>
        <w:ind w:firstLine="420"/>
        <w:rPr>
          <w:rFonts w:ascii="宋体" w:hAnsi="宋体"/>
        </w:rPr>
      </w:pPr>
      <w:r>
        <w:rPr>
          <w:rFonts w:hint="eastAsia" w:ascii="宋体" w:hAnsi="宋体"/>
        </w:rPr>
        <w:t>二、《南雄年鉴》（</w:t>
      </w:r>
      <w:r>
        <w:rPr>
          <w:rFonts w:ascii="宋体" w:hAnsi="宋体"/>
        </w:rPr>
        <w:t>2011）主要反映2010年南雄市各项事业发展基本情况。年鉴</w:t>
      </w:r>
      <w:r>
        <w:rPr>
          <w:rFonts w:hint="eastAsia" w:ascii="宋体" w:hAnsi="宋体"/>
        </w:rPr>
        <w:t>分正文和彩页两大部分，正文内容由特载、大事记、部门专文以及社会经济统计资料等组成，彩页主要收集全市重要政务活动、红色南雄、行业成就、城乡新貌。鉴于上届年鉴记述下限时间至</w:t>
      </w:r>
      <w:r>
        <w:rPr>
          <w:rFonts w:ascii="宋体" w:hAnsi="宋体"/>
        </w:rPr>
        <w:t>2002年，大事记则从2003年记起，专文内容按类目、分</w:t>
      </w:r>
      <w:r>
        <w:rPr>
          <w:rFonts w:hint="eastAsia" w:ascii="宋体" w:hAnsi="宋体"/>
        </w:rPr>
        <w:t>目、条目结构层次，条目标题以黑体字加【】表示，全书约计</w:t>
      </w:r>
      <w:r>
        <w:rPr>
          <w:rFonts w:ascii="宋体" w:hAnsi="宋体"/>
        </w:rPr>
        <w:t>750千字</w:t>
      </w:r>
      <w:r>
        <w:rPr>
          <w:rFonts w:hint="eastAsia" w:ascii="宋体" w:hAnsi="宋体"/>
        </w:rPr>
        <w:t>。</w:t>
      </w:r>
    </w:p>
    <w:p w14:paraId="5D1DF173">
      <w:pPr>
        <w:ind w:firstLine="420"/>
        <w:rPr>
          <w:rFonts w:ascii="宋体" w:hAnsi="宋体"/>
        </w:rPr>
      </w:pPr>
      <w:r>
        <w:rPr>
          <w:rFonts w:hint="eastAsia" w:ascii="宋体" w:hAnsi="宋体"/>
        </w:rPr>
        <w:t>三、本卷年鉴收录了</w:t>
      </w:r>
      <w:r>
        <w:rPr>
          <w:rFonts w:ascii="宋体" w:hAnsi="宋体"/>
        </w:rPr>
        <w:t>2010年市四套班子及市直</w:t>
      </w:r>
      <w:r>
        <w:rPr>
          <w:rFonts w:hint="eastAsia" w:ascii="宋体" w:hAnsi="宋体"/>
        </w:rPr>
        <w:t>机</w:t>
      </w:r>
      <w:r>
        <w:rPr>
          <w:rFonts w:ascii="宋体" w:hAnsi="宋体"/>
        </w:rPr>
        <w:t>关、镇（街道）班子成员名</w:t>
      </w:r>
      <w:r>
        <w:rPr>
          <w:rFonts w:hint="eastAsia" w:ascii="宋体" w:hAnsi="宋体"/>
        </w:rPr>
        <w:t>单，有些彩页登载</w:t>
      </w:r>
      <w:r>
        <w:rPr>
          <w:rFonts w:ascii="宋体" w:hAnsi="宋体"/>
        </w:rPr>
        <w:t>2011年换届后现任职名</w:t>
      </w:r>
      <w:r>
        <w:rPr>
          <w:rFonts w:hint="eastAsia" w:ascii="宋体" w:hAnsi="宋体"/>
        </w:rPr>
        <w:t>。</w:t>
      </w:r>
    </w:p>
    <w:p w14:paraId="1A31E9DD">
      <w:pPr>
        <w:ind w:firstLine="420"/>
        <w:rPr>
          <w:rFonts w:ascii="宋体" w:hAnsi="宋体"/>
        </w:rPr>
      </w:pPr>
      <w:r>
        <w:rPr>
          <w:rFonts w:hint="eastAsia" w:ascii="宋体" w:hAnsi="宋体"/>
        </w:rPr>
        <w:t>四、稿件大部分由市直各部门、各单位、各镇（街道）及有关单位提供，《南雄</w:t>
      </w:r>
      <w:r>
        <w:rPr>
          <w:rFonts w:ascii="宋体" w:hAnsi="宋体"/>
          <w:color w:val="1F2022"/>
        </w:rPr>
        <w:t>年鉴</w:t>
      </w:r>
      <w:r>
        <w:rPr>
          <w:rFonts w:hint="eastAsia" w:ascii="宋体" w:hAnsi="宋体"/>
        </w:rPr>
        <w:t>》</w:t>
      </w:r>
      <w:r>
        <w:rPr>
          <w:rFonts w:ascii="宋体" w:hAnsi="宋体"/>
          <w:color w:val="1F2022"/>
        </w:rPr>
        <w:t>编辑部撰写了部分稿件并统篡全书</w:t>
      </w:r>
      <w:r>
        <w:rPr>
          <w:rFonts w:hint="eastAsia" w:ascii="宋体" w:hAnsi="宋体"/>
        </w:rPr>
        <w:t>。</w:t>
      </w:r>
      <w:r>
        <w:rPr>
          <w:rFonts w:ascii="宋体" w:hAnsi="宋体"/>
          <w:color w:val="1F2022"/>
        </w:rPr>
        <w:t>所提供的稿件资料均经供稿单位领导审</w:t>
      </w:r>
      <w:r>
        <w:rPr>
          <w:rFonts w:hint="eastAsia" w:ascii="宋体" w:hAnsi="宋体"/>
        </w:rPr>
        <w:t>阅，撰稿人署名于各相应条目文末。公共版彩图由李子亮提供。因统计时间、口径不同等原因，个别数据在不同稿件中可能不尽一致，反映全市国民经济和社会发展情况的数据，以南雄市统计局资料为准，由于个别单位未按要求提供资料，以致缺载，请予见谅。</w:t>
      </w:r>
    </w:p>
    <w:p w14:paraId="2162169A">
      <w:pPr>
        <w:ind w:firstLine="420"/>
        <w:rPr>
          <w:rFonts w:ascii="宋体" w:hAnsi="宋体"/>
        </w:rPr>
      </w:pPr>
      <w:r>
        <w:rPr>
          <w:rFonts w:hint="eastAsia" w:ascii="宋体" w:hAnsi="宋体"/>
        </w:rPr>
        <w:t>五、本年鉴的编辑出版得到了全市各级部门和有关单位领导的大力支持，广大撰稿人员为此付出了辛勤的劳动，韶关市史志办年鉴科对本书编纂给予了大力的支持，在此一并致以诚挚的谢意。由于编纂时间紧，经验不足，水平有限，且篇幅较大，虽经多次审核、校对，仍难免有差错和疏漏之处，敬请读者予以指正。</w:t>
      </w:r>
    </w:p>
    <w:p w14:paraId="37B519E6">
      <w:pPr>
        <w:pStyle w:val="2"/>
      </w:pPr>
      <w:r>
        <w:rPr>
          <w:rFonts w:hint="eastAsia"/>
        </w:rPr>
        <w:t>《南雄年鉴》（</w:t>
      </w:r>
      <w:r>
        <w:t>2011）编纂委员会</w:t>
      </w:r>
    </w:p>
    <w:p w14:paraId="0E347F0A">
      <w:pPr>
        <w:ind w:firstLine="422"/>
        <w:rPr>
          <w:rFonts w:ascii="宋体" w:hAnsi="宋体"/>
        </w:rPr>
      </w:pPr>
      <w:r>
        <w:rPr>
          <w:rFonts w:hint="eastAsia" w:ascii="宋体" w:hAnsi="宋体"/>
          <w:b/>
        </w:rPr>
        <w:t>名誉主任：</w:t>
      </w:r>
      <w:r>
        <w:rPr>
          <w:rFonts w:hint="eastAsia" w:ascii="宋体" w:hAnsi="宋体"/>
        </w:rPr>
        <w:t>许志新（市委书记、市人大常委会主任）</w:t>
      </w:r>
    </w:p>
    <w:p w14:paraId="1355E348">
      <w:pPr>
        <w:ind w:firstLine="422"/>
        <w:rPr>
          <w:rFonts w:ascii="宋体" w:hAnsi="宋体"/>
        </w:rPr>
      </w:pPr>
      <w:r>
        <w:rPr>
          <w:rFonts w:hint="eastAsia" w:ascii="宋体" w:hAnsi="宋体"/>
          <w:b/>
        </w:rPr>
        <w:t>主    任：</w:t>
      </w:r>
      <w:r>
        <w:rPr>
          <w:rFonts w:hint="eastAsia" w:ascii="宋体" w:hAnsi="宋体"/>
        </w:rPr>
        <w:t>刘清生（市委副书记、市长）</w:t>
      </w:r>
    </w:p>
    <w:p w14:paraId="71BA4C47">
      <w:pPr>
        <w:ind w:firstLine="422"/>
        <w:rPr>
          <w:rFonts w:ascii="宋体" w:hAnsi="宋体"/>
        </w:rPr>
      </w:pPr>
      <w:r>
        <w:rPr>
          <w:rFonts w:hint="eastAsia" w:ascii="宋体" w:hAnsi="宋体"/>
          <w:b/>
        </w:rPr>
        <w:t>副 主 任：</w:t>
      </w:r>
      <w:r>
        <w:rPr>
          <w:rFonts w:hint="eastAsia" w:ascii="宋体" w:hAnsi="宋体"/>
        </w:rPr>
        <w:t>陈玉英（市委常委、市委办主任）</w:t>
      </w:r>
    </w:p>
    <w:p w14:paraId="40D2023F">
      <w:pPr>
        <w:ind w:firstLine="1470" w:firstLineChars="700"/>
        <w:rPr>
          <w:rFonts w:ascii="宋体" w:hAnsi="宋体"/>
        </w:rPr>
      </w:pPr>
      <w:r>
        <w:rPr>
          <w:rFonts w:hint="eastAsia" w:ascii="宋体" w:hAnsi="宋体"/>
        </w:rPr>
        <w:t>卜小燕（副市长）</w:t>
      </w:r>
    </w:p>
    <w:p w14:paraId="042173D7">
      <w:pPr>
        <w:ind w:firstLine="422"/>
        <w:rPr>
          <w:rFonts w:ascii="宋体" w:hAnsi="宋体"/>
        </w:rPr>
      </w:pPr>
      <w:r>
        <w:rPr>
          <w:rFonts w:hint="eastAsia" w:ascii="宋体" w:hAnsi="宋体"/>
          <w:b/>
        </w:rPr>
        <w:t>成    员：</w:t>
      </w:r>
      <w:r>
        <w:rPr>
          <w:rFonts w:hint="eastAsia" w:ascii="宋体" w:hAnsi="宋体"/>
        </w:rPr>
        <w:t>何文忠（市纪委）    张堂耀（市委办）       梁  斌（人大办）</w:t>
      </w:r>
    </w:p>
    <w:p w14:paraId="776CE58B">
      <w:pPr>
        <w:ind w:firstLine="1470" w:firstLineChars="700"/>
        <w:rPr>
          <w:rFonts w:ascii="宋体" w:hAnsi="宋体"/>
        </w:rPr>
      </w:pPr>
      <w:r>
        <w:rPr>
          <w:rFonts w:hint="eastAsia" w:ascii="宋体" w:hAnsi="宋体"/>
        </w:rPr>
        <w:t>周宏忠（政府办）    朱定球（政协办）       王婉霞（组织部）</w:t>
      </w:r>
    </w:p>
    <w:p w14:paraId="18064150">
      <w:pPr>
        <w:ind w:firstLine="1470" w:firstLineChars="700"/>
        <w:rPr>
          <w:rFonts w:ascii="宋体" w:hAnsi="宋体"/>
        </w:rPr>
      </w:pPr>
      <w:r>
        <w:rPr>
          <w:rFonts w:hint="eastAsia" w:ascii="宋体" w:hAnsi="宋体"/>
        </w:rPr>
        <w:t>刘烈胜（宣传部）    陈景泰（史志办）        何文涛（法  院）</w:t>
      </w:r>
    </w:p>
    <w:p w14:paraId="2514300B">
      <w:pPr>
        <w:ind w:firstLine="1470" w:firstLineChars="700"/>
        <w:rPr>
          <w:rFonts w:ascii="宋体" w:hAnsi="宋体"/>
        </w:rPr>
      </w:pPr>
      <w:r>
        <w:rPr>
          <w:rFonts w:hint="eastAsia" w:ascii="宋体" w:hAnsi="宋体"/>
        </w:rPr>
        <w:t>刘辉林（检察院）    杨  云（公安局）        王友华（发改局）</w:t>
      </w:r>
    </w:p>
    <w:p w14:paraId="6C106EA9">
      <w:pPr>
        <w:ind w:firstLine="1470" w:firstLineChars="700"/>
        <w:rPr>
          <w:rFonts w:ascii="宋体" w:hAnsi="宋体"/>
        </w:rPr>
      </w:pPr>
      <w:r>
        <w:rPr>
          <w:rFonts w:hint="eastAsia" w:ascii="宋体" w:hAnsi="宋体"/>
        </w:rPr>
        <w:t>田文斌（教育局）    李应军（档案局）        董圣国（人社局）</w:t>
      </w:r>
    </w:p>
    <w:p w14:paraId="38F399A8">
      <w:pPr>
        <w:ind w:firstLine="1470" w:firstLineChars="700"/>
        <w:rPr>
          <w:rFonts w:ascii="宋体" w:hAnsi="宋体"/>
        </w:rPr>
      </w:pPr>
      <w:r>
        <w:rPr>
          <w:rFonts w:hint="eastAsia" w:ascii="宋体" w:hAnsi="宋体"/>
        </w:rPr>
        <w:t>廖声华（经信局）    李传忠（住建局）        张政平（国土局）</w:t>
      </w:r>
    </w:p>
    <w:p w14:paraId="40B0D673">
      <w:pPr>
        <w:ind w:firstLine="1470" w:firstLineChars="700"/>
        <w:rPr>
          <w:rFonts w:ascii="宋体" w:hAnsi="宋体"/>
        </w:rPr>
      </w:pPr>
      <w:r>
        <w:rPr>
          <w:rFonts w:hint="eastAsia" w:ascii="宋体" w:hAnsi="宋体"/>
        </w:rPr>
        <w:t>林绍发（交通局）    肖丽琼（文广新局）      袁元桃（财政局）</w:t>
      </w:r>
    </w:p>
    <w:p w14:paraId="2A51BF41">
      <w:pPr>
        <w:ind w:firstLine="1470" w:firstLineChars="700"/>
        <w:rPr>
          <w:rFonts w:ascii="宋体" w:hAnsi="宋体"/>
        </w:rPr>
      </w:pPr>
      <w:r>
        <w:rPr>
          <w:rFonts w:hint="eastAsia" w:ascii="宋体" w:hAnsi="宋体"/>
        </w:rPr>
        <w:t>陈仁麟（农业局）    肖梅山（统计局）        丁春晖（卫生局）</w:t>
      </w:r>
    </w:p>
    <w:p w14:paraId="41579A89">
      <w:pPr>
        <w:ind w:firstLine="1470" w:firstLineChars="700"/>
        <w:rPr>
          <w:rFonts w:ascii="宋体" w:hAnsi="宋体"/>
        </w:rPr>
      </w:pPr>
      <w:r>
        <w:rPr>
          <w:rFonts w:hint="eastAsia" w:ascii="宋体" w:hAnsi="宋体"/>
        </w:rPr>
        <w:t>张英宏（林业局）    何启林（水务局）        尹本善（民政局）</w:t>
      </w:r>
    </w:p>
    <w:p w14:paraId="3620D1DE">
      <w:pPr>
        <w:ind w:firstLine="1470" w:firstLineChars="700"/>
        <w:rPr>
          <w:rFonts w:ascii="宋体" w:hAnsi="宋体"/>
        </w:rPr>
      </w:pPr>
      <w:r>
        <w:rPr>
          <w:rFonts w:hint="eastAsia" w:ascii="宋体" w:hAnsi="宋体"/>
        </w:rPr>
        <w:t>黄志星（旅游局）    沈步亮（环保局）        陈宏华（审计局）</w:t>
      </w:r>
    </w:p>
    <w:p w14:paraId="05BEE649">
      <w:pPr>
        <w:ind w:firstLine="1470" w:firstLineChars="700"/>
        <w:rPr>
          <w:rFonts w:ascii="宋体" w:hAnsi="宋体"/>
        </w:rPr>
      </w:pPr>
      <w:r>
        <w:rPr>
          <w:rFonts w:hint="eastAsia" w:ascii="宋体" w:hAnsi="宋体"/>
        </w:rPr>
        <w:t>曾子南（供电局）    黄天佑（公路局）        刘光新（人口与计划生育局）</w:t>
      </w:r>
    </w:p>
    <w:p w14:paraId="4644ED8E">
      <w:pPr>
        <w:ind w:firstLine="1470" w:firstLineChars="700"/>
        <w:rPr>
          <w:rFonts w:ascii="宋体" w:hAnsi="宋体"/>
        </w:rPr>
      </w:pPr>
      <w:r>
        <w:rPr>
          <w:rFonts w:hint="eastAsia" w:ascii="宋体" w:hAnsi="宋体"/>
        </w:rPr>
        <w:t>张鹏良（人民银行）  卢德政（广播电视台）    何天山（精细化工基地管理处）</w:t>
      </w:r>
    </w:p>
    <w:p w14:paraId="256D9B03">
      <w:pPr>
        <w:pStyle w:val="2"/>
      </w:pPr>
      <w:r>
        <w:rPr>
          <w:rFonts w:hint="eastAsia"/>
        </w:rPr>
        <w:t>《南雄年鉴》（</w:t>
      </w:r>
      <w:r>
        <w:t>2011）编辑部</w:t>
      </w:r>
    </w:p>
    <w:p w14:paraId="35E42F7F">
      <w:pPr>
        <w:ind w:firstLine="422"/>
        <w:rPr>
          <w:rFonts w:ascii="宋体" w:hAnsi="宋体"/>
        </w:rPr>
      </w:pPr>
      <w:r>
        <w:rPr>
          <w:rFonts w:hint="eastAsia" w:ascii="宋体" w:hAnsi="宋体"/>
          <w:b/>
        </w:rPr>
        <w:t>主      编</w:t>
      </w:r>
      <w:r>
        <w:rPr>
          <w:rFonts w:hint="eastAsia" w:ascii="宋体" w:hAnsi="宋体"/>
        </w:rPr>
        <w:t>：陈景泰</w:t>
      </w:r>
    </w:p>
    <w:p w14:paraId="04733C29">
      <w:pPr>
        <w:ind w:firstLine="422"/>
        <w:rPr>
          <w:rFonts w:ascii="宋体" w:hAnsi="宋体"/>
        </w:rPr>
      </w:pPr>
      <w:r>
        <w:rPr>
          <w:rFonts w:hint="eastAsia" w:ascii="宋体" w:hAnsi="宋体"/>
          <w:b/>
        </w:rPr>
        <w:t>执行副主编</w:t>
      </w:r>
      <w:r>
        <w:rPr>
          <w:rFonts w:hint="eastAsia" w:ascii="宋体" w:hAnsi="宋体"/>
        </w:rPr>
        <w:t>：谢  平</w:t>
      </w:r>
    </w:p>
    <w:p w14:paraId="77AF458D">
      <w:pPr>
        <w:ind w:firstLine="422"/>
        <w:rPr>
          <w:rFonts w:ascii="宋体" w:hAnsi="宋体"/>
        </w:rPr>
      </w:pPr>
      <w:r>
        <w:rPr>
          <w:rFonts w:hint="eastAsia" w:ascii="宋体" w:hAnsi="宋体"/>
          <w:b/>
        </w:rPr>
        <w:t>副  主  编：</w:t>
      </w:r>
      <w:r>
        <w:rPr>
          <w:rFonts w:hint="eastAsia" w:ascii="宋体" w:hAnsi="宋体"/>
        </w:rPr>
        <w:t>李君祥</w:t>
      </w:r>
    </w:p>
    <w:p w14:paraId="5F13CCDB">
      <w:pPr>
        <w:ind w:firstLine="422"/>
        <w:rPr>
          <w:rFonts w:ascii="宋体" w:hAnsi="宋体"/>
        </w:rPr>
      </w:pPr>
      <w:r>
        <w:rPr>
          <w:rFonts w:hint="eastAsia" w:ascii="宋体" w:hAnsi="宋体"/>
          <w:b/>
        </w:rPr>
        <w:t>编      辑：</w:t>
      </w:r>
      <w:r>
        <w:rPr>
          <w:rFonts w:hint="eastAsia" w:ascii="宋体" w:hAnsi="宋体"/>
        </w:rPr>
        <w:t>陈景泰  李君祥  谢  平  陈如永  刘球凤  杨洪标</w:t>
      </w:r>
    </w:p>
    <w:p w14:paraId="4713DEE3">
      <w:pPr>
        <w:pStyle w:val="2"/>
      </w:pPr>
      <w:r>
        <w:rPr>
          <w:rFonts w:hint="eastAsia"/>
        </w:rPr>
        <w:t>数字南雄·</w:t>
      </w:r>
      <w:r>
        <w:t>2010</w:t>
      </w:r>
    </w:p>
    <w:p w14:paraId="36E923D3">
      <w:pPr>
        <w:ind w:firstLine="420"/>
        <w:rPr>
          <w:rFonts w:ascii="宋体" w:hAnsi="宋体"/>
        </w:rPr>
      </w:pPr>
      <w:r>
        <w:rPr>
          <w:rFonts w:ascii="宋体" w:hAnsi="宋体"/>
        </w:rPr>
        <w:t>2010年，在全市人民的共同努力下，南</w:t>
      </w:r>
      <w:r>
        <w:rPr>
          <w:rFonts w:hint="eastAsia" w:ascii="宋体" w:hAnsi="宋体"/>
        </w:rPr>
        <w:t>雄经济建设取得新的突破，社会事业发展取得新的进步，国民经济继续保持稳定较快的发展态势，综合经济实力进一步增强，农业生产和农村经济稳步推进，工业经济实现跨越式发展，城市建设力度进一步加大，基础设施建设进一步完善，人民生活水平进一步提高，城乡消费市场繁荣，社会继续保持和谐稳定。</w:t>
      </w:r>
    </w:p>
    <w:p w14:paraId="2F5CD8CF">
      <w:pPr>
        <w:ind w:firstLine="420"/>
        <w:rPr>
          <w:rFonts w:ascii="宋体" w:hAnsi="宋体"/>
        </w:rPr>
      </w:pPr>
      <w:r>
        <w:rPr>
          <w:rFonts w:hint="eastAsia" w:ascii="宋体" w:hAnsi="宋体"/>
        </w:rPr>
        <w:t>经济实力增强。全年实现地区生产总值</w:t>
      </w:r>
      <w:r>
        <w:rPr>
          <w:rFonts w:ascii="宋体" w:hAnsi="宋体"/>
        </w:rPr>
        <w:t>60.26亿元，比上年增长23%。其中，第一产</w:t>
      </w:r>
      <w:r>
        <w:rPr>
          <w:rFonts w:hint="eastAsia" w:ascii="宋体" w:hAnsi="宋体"/>
        </w:rPr>
        <w:t>业实现增加值</w:t>
      </w:r>
      <w:r>
        <w:rPr>
          <w:rFonts w:ascii="宋体" w:hAnsi="宋体"/>
        </w:rPr>
        <w:t>16.36亿元，增长5.0%；第二</w:t>
      </w:r>
      <w:r>
        <w:rPr>
          <w:rFonts w:hint="eastAsia" w:ascii="宋体" w:hAnsi="宋体"/>
        </w:rPr>
        <w:t>产业实现增加值</w:t>
      </w:r>
      <w:r>
        <w:rPr>
          <w:rFonts w:ascii="宋体" w:hAnsi="宋体"/>
        </w:rPr>
        <w:t>17.12亿元，增长56%；第</w:t>
      </w:r>
      <w:r>
        <w:rPr>
          <w:rFonts w:hint="eastAsia" w:ascii="宋体" w:hAnsi="宋体"/>
        </w:rPr>
        <w:t>三产业实现增加值</w:t>
      </w:r>
      <w:r>
        <w:rPr>
          <w:rFonts w:ascii="宋体" w:hAnsi="宋体"/>
        </w:rPr>
        <w:t>26.78亿元，增长17.5%。</w:t>
      </w:r>
      <w:r>
        <w:rPr>
          <w:rFonts w:hint="eastAsia" w:ascii="宋体" w:hAnsi="宋体"/>
        </w:rPr>
        <w:t>人均地区生产总值</w:t>
      </w:r>
      <w:r>
        <w:rPr>
          <w:rFonts w:ascii="宋体" w:hAnsi="宋体"/>
        </w:rPr>
        <w:t>18593元。</w:t>
      </w:r>
    </w:p>
    <w:p w14:paraId="049645F4">
      <w:pPr>
        <w:ind w:firstLine="420"/>
        <w:rPr>
          <w:rFonts w:ascii="宋体" w:hAnsi="宋体"/>
        </w:rPr>
      </w:pPr>
      <w:r>
        <w:rPr>
          <w:rFonts w:hint="eastAsia" w:ascii="宋体" w:hAnsi="宋体"/>
        </w:rPr>
        <w:t>农业农村经济效益持续稳定增长。全年完成农业总产值</w:t>
      </w:r>
      <w:r>
        <w:rPr>
          <w:rFonts w:ascii="宋体" w:hAnsi="宋体"/>
        </w:rPr>
        <w:t>27.25亿元，同比增长5.2%；实现农业增加值16.36亿元，比上年</w:t>
      </w:r>
      <w:r>
        <w:rPr>
          <w:rFonts w:hint="eastAsia" w:ascii="宋体" w:hAnsi="宋体"/>
        </w:rPr>
        <w:t>增长</w:t>
      </w:r>
      <w:r>
        <w:rPr>
          <w:rFonts w:ascii="宋体" w:hAnsi="宋体"/>
        </w:rPr>
        <w:t>5.0%。全市农村经济总收入47.65亿</w:t>
      </w:r>
      <w:r>
        <w:rPr>
          <w:rFonts w:hint="eastAsia" w:ascii="宋体" w:hAnsi="宋体"/>
        </w:rPr>
        <w:t>元，比上年增长</w:t>
      </w:r>
      <w:r>
        <w:rPr>
          <w:rFonts w:ascii="宋体" w:hAnsi="宋体"/>
        </w:rPr>
        <w:t>6.6%。粮食产量连年增长</w:t>
      </w:r>
      <w:r>
        <w:rPr>
          <w:rFonts w:hint="eastAsia" w:ascii="宋体" w:hAnsi="宋体"/>
        </w:rPr>
        <w:t>。</w:t>
      </w:r>
      <w:r>
        <w:rPr>
          <w:rFonts w:ascii="宋体" w:hAnsi="宋体"/>
        </w:rPr>
        <w:t>2010年，全市粮食总播种面积达56.69万亩，</w:t>
      </w:r>
      <w:r>
        <w:rPr>
          <w:rFonts w:hint="eastAsia" w:ascii="宋体" w:hAnsi="宋体"/>
        </w:rPr>
        <w:t>增长</w:t>
      </w:r>
      <w:r>
        <w:rPr>
          <w:rFonts w:ascii="宋体" w:hAnsi="宋体"/>
        </w:rPr>
        <w:t>3.6%；粮食综合平均单产407公斤，增</w:t>
      </w:r>
      <w:r>
        <w:rPr>
          <w:rFonts w:hint="eastAsia" w:ascii="宋体" w:hAnsi="宋体"/>
        </w:rPr>
        <w:t>长</w:t>
      </w:r>
      <w:r>
        <w:rPr>
          <w:rFonts w:ascii="宋体" w:hAnsi="宋体"/>
        </w:rPr>
        <w:t>2.8%；粮食总产量23.05万吨，增长8.7%。商品粮达到15万吨，被国家和省确</w:t>
      </w:r>
      <w:r>
        <w:rPr>
          <w:rFonts w:hint="eastAsia" w:ascii="宋体" w:hAnsi="宋体"/>
        </w:rPr>
        <w:t>定为“产粮大县”。</w:t>
      </w:r>
    </w:p>
    <w:p w14:paraId="49C42320">
      <w:pPr>
        <w:ind w:firstLine="420"/>
        <w:rPr>
          <w:rFonts w:ascii="宋体" w:hAnsi="宋体"/>
        </w:rPr>
      </w:pPr>
      <w:r>
        <w:rPr>
          <w:rFonts w:hint="eastAsia" w:ascii="宋体" w:hAnsi="宋体"/>
        </w:rPr>
        <w:t>工业经济发展迅猛。全年完成工业总产值</w:t>
      </w:r>
      <w:r>
        <w:rPr>
          <w:rFonts w:ascii="宋体" w:hAnsi="宋体"/>
        </w:rPr>
        <w:t>44.3</w:t>
      </w:r>
      <w:r>
        <w:rPr>
          <w:rFonts w:hint="eastAsia" w:ascii="宋体" w:hAnsi="宋体"/>
        </w:rPr>
        <w:t>3</w:t>
      </w:r>
      <w:r>
        <w:rPr>
          <w:rFonts w:ascii="宋体" w:hAnsi="宋体"/>
        </w:rPr>
        <w:t>亿元，实现工业增加值11.54亿元，</w:t>
      </w:r>
      <w:r>
        <w:rPr>
          <w:rFonts w:hint="eastAsia" w:ascii="宋体" w:hAnsi="宋体"/>
        </w:rPr>
        <w:t>同比增长</w:t>
      </w:r>
      <w:r>
        <w:rPr>
          <w:rFonts w:ascii="宋体" w:hAnsi="宋体"/>
        </w:rPr>
        <w:t>75.8%。其中规模以上工业企业完</w:t>
      </w:r>
      <w:r>
        <w:rPr>
          <w:rFonts w:hint="eastAsia" w:ascii="宋体" w:hAnsi="宋体"/>
        </w:rPr>
        <w:t>成工业总产值</w:t>
      </w:r>
      <w:r>
        <w:rPr>
          <w:rFonts w:ascii="宋体" w:hAnsi="宋体"/>
        </w:rPr>
        <w:t>29.43亿元，实现工业增加值8.14亿元，同比增长224.3%；规模以下工业</w:t>
      </w:r>
      <w:r>
        <w:rPr>
          <w:rFonts w:hint="eastAsia" w:ascii="宋体" w:hAnsi="宋体"/>
        </w:rPr>
        <w:t>完成工业总产值</w:t>
      </w:r>
      <w:r>
        <w:rPr>
          <w:rFonts w:ascii="宋体" w:hAnsi="宋体"/>
        </w:rPr>
        <w:t>14.9亿元，实现工业增加值3.4亿元，同比增长13.2%。</w:t>
      </w:r>
    </w:p>
    <w:p w14:paraId="6915CCAE">
      <w:pPr>
        <w:ind w:firstLine="420"/>
        <w:rPr>
          <w:rFonts w:ascii="宋体" w:hAnsi="宋体"/>
        </w:rPr>
      </w:pPr>
      <w:r>
        <w:rPr>
          <w:rFonts w:hint="eastAsia" w:ascii="宋体" w:hAnsi="宋体"/>
        </w:rPr>
        <w:t>精细化工产业效应显现。</w:t>
      </w:r>
      <w:r>
        <w:rPr>
          <w:rFonts w:ascii="宋体" w:hAnsi="宋体"/>
        </w:rPr>
        <w:t>2010年，东莞</w:t>
      </w:r>
      <w:r>
        <w:rPr>
          <w:rFonts w:hint="eastAsia" w:ascii="宋体" w:hAnsi="宋体"/>
        </w:rPr>
        <w:t>大岭山（南雄）产业转移工业园被认定为省产业转移工业园，并在全省专业性产业转移工业园竞争性扶持资金竞标中以总分第一名的成绩，获得化工材料专业方向的园区建设扶持资金</w:t>
      </w:r>
      <w:r>
        <w:rPr>
          <w:rFonts w:ascii="宋体" w:hAnsi="宋体"/>
        </w:rPr>
        <w:t>1亿元，为园区的加快发展注入新</w:t>
      </w:r>
      <w:r>
        <w:rPr>
          <w:rFonts w:hint="eastAsia" w:ascii="宋体" w:hAnsi="宋体"/>
        </w:rPr>
        <w:t>的动力。园区</w:t>
      </w:r>
      <w:r>
        <w:rPr>
          <w:rFonts w:ascii="宋体" w:hAnsi="宋体"/>
        </w:rPr>
        <w:t>2010年共完成工业总产值11.6</w:t>
      </w:r>
      <w:r>
        <w:rPr>
          <w:rFonts w:hint="eastAsia" w:ascii="宋体" w:hAnsi="宋体"/>
        </w:rPr>
        <w:t>6</w:t>
      </w:r>
      <w:r>
        <w:rPr>
          <w:rFonts w:ascii="宋体" w:hAnsi="宋体"/>
        </w:rPr>
        <w:t>亿元，实现工业增加值2亿元，同比分</w:t>
      </w:r>
      <w:r>
        <w:rPr>
          <w:rFonts w:hint="eastAsia" w:ascii="宋体" w:hAnsi="宋体"/>
        </w:rPr>
        <w:t>别增长</w:t>
      </w:r>
      <w:r>
        <w:rPr>
          <w:rFonts w:ascii="宋体" w:hAnsi="宋体"/>
        </w:rPr>
        <w:t>2.33倍和1.75倍</w:t>
      </w:r>
      <w:r>
        <w:rPr>
          <w:rFonts w:hint="eastAsia" w:ascii="宋体" w:hAnsi="宋体"/>
        </w:rPr>
        <w:t>。</w:t>
      </w:r>
    </w:p>
    <w:p w14:paraId="110F871E">
      <w:pPr>
        <w:ind w:firstLine="420"/>
        <w:rPr>
          <w:rFonts w:ascii="宋体" w:hAnsi="宋体"/>
        </w:rPr>
      </w:pPr>
      <w:r>
        <w:rPr>
          <w:rFonts w:hint="eastAsia" w:ascii="宋体" w:hAnsi="宋体"/>
        </w:rPr>
        <w:t>固定资产投资总量增加。</w:t>
      </w:r>
      <w:r>
        <w:rPr>
          <w:rFonts w:ascii="宋体" w:hAnsi="宋体"/>
        </w:rPr>
        <w:t>2010年全市完</w:t>
      </w:r>
      <w:r>
        <w:rPr>
          <w:rFonts w:hint="eastAsia" w:ascii="宋体" w:hAnsi="宋体"/>
        </w:rPr>
        <w:t>成全社会固定资产投资</w:t>
      </w:r>
      <w:r>
        <w:rPr>
          <w:rFonts w:ascii="宋体" w:hAnsi="宋体"/>
        </w:rPr>
        <w:t>58.03亿元，同比增</w:t>
      </w:r>
      <w:r>
        <w:rPr>
          <w:rFonts w:hint="eastAsia" w:ascii="宋体" w:hAnsi="宋体"/>
        </w:rPr>
        <w:t>长</w:t>
      </w:r>
      <w:r>
        <w:rPr>
          <w:rFonts w:ascii="宋体" w:hAnsi="宋体"/>
        </w:rPr>
        <w:t>35.1%。其中城镇投资完成52.03亿元，</w:t>
      </w:r>
      <w:r>
        <w:rPr>
          <w:rFonts w:hint="eastAsia" w:ascii="宋体" w:hAnsi="宋体"/>
        </w:rPr>
        <w:t>农村投资完成</w:t>
      </w:r>
      <w:r>
        <w:rPr>
          <w:rFonts w:ascii="宋体" w:hAnsi="宋体"/>
        </w:rPr>
        <w:t>6.01亿元，分别比上年增长40.0%和3.6%。资金来源呈现多元化。自筹</w:t>
      </w:r>
      <w:r>
        <w:rPr>
          <w:rFonts w:hint="eastAsia" w:ascii="宋体" w:hAnsi="宋体"/>
        </w:rPr>
        <w:t>资金成为主渠道，达到</w:t>
      </w:r>
      <w:r>
        <w:rPr>
          <w:rFonts w:ascii="宋体" w:hAnsi="宋体"/>
        </w:rPr>
        <w:t>37.89亿元，比上年</w:t>
      </w:r>
      <w:r>
        <w:rPr>
          <w:rFonts w:hint="eastAsia" w:ascii="宋体" w:hAnsi="宋体"/>
        </w:rPr>
        <w:t>增长</w:t>
      </w:r>
      <w:r>
        <w:rPr>
          <w:rFonts w:ascii="宋体" w:hAnsi="宋体"/>
        </w:rPr>
        <w:t>42.7%；自筹资金占全部到位资金</w:t>
      </w:r>
      <w:r>
        <w:rPr>
          <w:rFonts w:hint="eastAsia" w:ascii="宋体" w:hAnsi="宋体"/>
        </w:rPr>
        <w:t>的</w:t>
      </w:r>
      <w:r>
        <w:rPr>
          <w:rFonts w:ascii="宋体" w:hAnsi="宋体"/>
        </w:rPr>
        <w:t>82.2%。</w:t>
      </w:r>
    </w:p>
    <w:p w14:paraId="145FFE03">
      <w:pPr>
        <w:ind w:firstLine="420"/>
        <w:rPr>
          <w:rFonts w:ascii="宋体" w:hAnsi="宋体"/>
        </w:rPr>
      </w:pPr>
      <w:r>
        <w:rPr>
          <w:rFonts w:hint="eastAsia" w:ascii="宋体" w:hAnsi="宋体"/>
        </w:rPr>
        <w:t>交通能源基础设施建设稳步进行。韶赣高速公路南雄段已经顺利建成通车，赣韶铁路南雄段基本完成面上征地拆迁任务，铁路站场和货场规划工作已经启动。</w:t>
      </w:r>
    </w:p>
    <w:p w14:paraId="70089328">
      <w:pPr>
        <w:ind w:firstLine="420"/>
        <w:rPr>
          <w:rFonts w:ascii="宋体" w:hAnsi="宋体"/>
        </w:rPr>
      </w:pPr>
      <w:r>
        <w:rPr>
          <w:rFonts w:hint="eastAsia" w:ascii="宋体" w:hAnsi="宋体"/>
        </w:rPr>
        <w:t>国计民生基础设施不断完善。投资</w:t>
      </w:r>
      <w:r>
        <w:rPr>
          <w:rFonts w:ascii="宋体" w:hAnsi="宋体"/>
        </w:rPr>
        <w:t>900</w:t>
      </w:r>
      <w:r>
        <w:rPr>
          <w:rFonts w:hint="eastAsia" w:ascii="宋体" w:hAnsi="宋体"/>
        </w:rPr>
        <w:t>万元建成产业转移园污水处理厂；投资</w:t>
      </w:r>
      <w:r>
        <w:rPr>
          <w:rFonts w:ascii="宋体" w:hAnsi="宋体"/>
        </w:rPr>
        <w:t>1000</w:t>
      </w:r>
      <w:r>
        <w:rPr>
          <w:rFonts w:hint="eastAsia" w:ascii="宋体" w:hAnsi="宋体"/>
        </w:rPr>
        <w:t>多万元完善城市污水处理截污管网，城市污水处理能力进一步提高。投资</w:t>
      </w:r>
      <w:r>
        <w:rPr>
          <w:rFonts w:ascii="宋体" w:hAnsi="宋体"/>
        </w:rPr>
        <w:t>550万元，建</w:t>
      </w:r>
      <w:r>
        <w:rPr>
          <w:rFonts w:hint="eastAsia" w:ascii="宋体" w:hAnsi="宋体"/>
        </w:rPr>
        <w:t>设空气环境质量自动监测系统。</w:t>
      </w:r>
      <w:r>
        <w:rPr>
          <w:rFonts w:ascii="宋体" w:hAnsi="宋体"/>
        </w:rPr>
        <w:t>110KV澜河</w:t>
      </w:r>
      <w:r>
        <w:rPr>
          <w:rFonts w:hint="eastAsia" w:ascii="宋体" w:hAnsi="宋体"/>
        </w:rPr>
        <w:t>变电站改造工程、</w:t>
      </w:r>
      <w:r>
        <w:rPr>
          <w:rFonts w:ascii="宋体" w:hAnsi="宋体"/>
        </w:rPr>
        <w:t>110KV安澜线改造工程和2010年配网改造工程全面竣工。投资3975万</w:t>
      </w:r>
      <w:r>
        <w:rPr>
          <w:rFonts w:hint="eastAsia" w:ascii="宋体" w:hAnsi="宋体"/>
        </w:rPr>
        <w:t>元完成省小型病险水库除险加固工程</w:t>
      </w:r>
      <w:r>
        <w:rPr>
          <w:rFonts w:ascii="宋体" w:hAnsi="宋体"/>
        </w:rPr>
        <w:t>22宗，</w:t>
      </w:r>
      <w:r>
        <w:rPr>
          <w:rFonts w:hint="eastAsia" w:ascii="宋体" w:hAnsi="宋体"/>
        </w:rPr>
        <w:t>投资</w:t>
      </w:r>
      <w:r>
        <w:rPr>
          <w:rFonts w:ascii="宋体" w:hAnsi="宋体"/>
        </w:rPr>
        <w:t>1.9亿元完成省城乡水利防灾减灾工程</w:t>
      </w:r>
      <w:r>
        <w:rPr>
          <w:rFonts w:hint="eastAsia" w:ascii="宋体" w:hAnsi="宋体"/>
        </w:rPr>
        <w:t>建设</w:t>
      </w:r>
      <w:r>
        <w:rPr>
          <w:rFonts w:ascii="宋体" w:hAnsi="宋体"/>
        </w:rPr>
        <w:t>5宗。建设保障房160多套，改善低收入</w:t>
      </w:r>
      <w:r>
        <w:rPr>
          <w:rFonts w:hint="eastAsia" w:ascii="宋体" w:hAnsi="宋体"/>
        </w:rPr>
        <w:t>者的住房条件。</w:t>
      </w:r>
    </w:p>
    <w:p w14:paraId="2151CF4C">
      <w:pPr>
        <w:ind w:firstLine="420"/>
        <w:rPr>
          <w:rFonts w:ascii="宋体" w:hAnsi="宋体"/>
        </w:rPr>
      </w:pPr>
      <w:r>
        <w:rPr>
          <w:rFonts w:hint="eastAsia" w:ascii="宋体" w:hAnsi="宋体"/>
        </w:rPr>
        <w:t>城乡交通运输方便快捷。年末全市公路通车里程</w:t>
      </w:r>
      <w:r>
        <w:rPr>
          <w:rFonts w:ascii="宋体" w:hAnsi="宋体"/>
        </w:rPr>
        <w:t>1917.97公里，增加29.36公里。随</w:t>
      </w:r>
      <w:r>
        <w:rPr>
          <w:rFonts w:hint="eastAsia" w:ascii="宋体" w:hAnsi="宋体"/>
        </w:rPr>
        <w:t>着居民收入的持续增长及购买能力的增强，汽车、摩托车数量不断增加。全市新增民用汽车</w:t>
      </w:r>
      <w:r>
        <w:rPr>
          <w:rFonts w:ascii="宋体" w:hAnsi="宋体"/>
        </w:rPr>
        <w:t>1176辆，新增摩托车2587辆。</w:t>
      </w:r>
    </w:p>
    <w:p w14:paraId="762C47F8">
      <w:pPr>
        <w:ind w:firstLine="420"/>
        <w:rPr>
          <w:rFonts w:ascii="宋体" w:hAnsi="宋体"/>
        </w:rPr>
      </w:pPr>
      <w:r>
        <w:rPr>
          <w:rFonts w:hint="eastAsia" w:ascii="宋体" w:hAnsi="宋体"/>
        </w:rPr>
        <w:t>旅游业继续保持良好发展势头。全市三星级酒店</w:t>
      </w:r>
      <w:r>
        <w:rPr>
          <w:rFonts w:ascii="宋体" w:hAnsi="宋体"/>
        </w:rPr>
        <w:t>3家，客房总数达到320间，为南</w:t>
      </w:r>
      <w:r>
        <w:rPr>
          <w:rFonts w:hint="eastAsia" w:ascii="宋体" w:hAnsi="宋体"/>
        </w:rPr>
        <w:t>雄市的旅游和消费创造了良好的环境。全年接待旅游人数</w:t>
      </w:r>
      <w:r>
        <w:rPr>
          <w:rFonts w:ascii="宋体" w:hAnsi="宋体"/>
        </w:rPr>
        <w:t>109.29万人次，同比增长41%；旅游总收</w:t>
      </w:r>
      <w:r>
        <w:rPr>
          <w:rFonts w:hint="eastAsia" w:ascii="宋体" w:hAnsi="宋体"/>
        </w:rPr>
        <w:t>入</w:t>
      </w:r>
      <w:r>
        <w:rPr>
          <w:rFonts w:ascii="宋体" w:hAnsi="宋体"/>
        </w:rPr>
        <w:t>达到6.95亿元，同比增</w:t>
      </w:r>
      <w:r>
        <w:rPr>
          <w:rFonts w:hint="eastAsia" w:ascii="宋体" w:hAnsi="宋体"/>
        </w:rPr>
        <w:t>长</w:t>
      </w:r>
      <w:r>
        <w:rPr>
          <w:rFonts w:ascii="宋体" w:hAnsi="宋体"/>
        </w:rPr>
        <w:t>55.5%。</w:t>
      </w:r>
    </w:p>
    <w:p w14:paraId="66C9E943">
      <w:pPr>
        <w:ind w:firstLine="420"/>
        <w:rPr>
          <w:rFonts w:ascii="宋体" w:hAnsi="宋体"/>
        </w:rPr>
      </w:pPr>
      <w:r>
        <w:rPr>
          <w:rFonts w:hint="eastAsia" w:ascii="宋体" w:hAnsi="宋体"/>
        </w:rPr>
        <w:t>商贸流通和城乡市场交易持续繁荣兴旺。全年社会消费品零售总额完成</w:t>
      </w:r>
      <w:r>
        <w:rPr>
          <w:rFonts w:ascii="宋体" w:hAnsi="宋体"/>
        </w:rPr>
        <w:t>24.53亿元，</w:t>
      </w:r>
      <w:r>
        <w:rPr>
          <w:rFonts w:hint="eastAsia" w:ascii="宋体" w:hAnsi="宋体"/>
        </w:rPr>
        <w:t>比上年增长</w:t>
      </w:r>
      <w:r>
        <w:rPr>
          <w:rFonts w:ascii="宋体" w:hAnsi="宋体"/>
        </w:rPr>
        <w:t>18.6%。其中城市消费品零售额18.45亿元，增长18.2%；农村消费品零售额6.08亿元，增长19.9%</w:t>
      </w:r>
      <w:r>
        <w:rPr>
          <w:rFonts w:hint="eastAsia" w:ascii="宋体" w:hAnsi="宋体"/>
        </w:rPr>
        <w:t>。</w:t>
      </w:r>
    </w:p>
    <w:p w14:paraId="40D87978">
      <w:pPr>
        <w:ind w:firstLine="420"/>
        <w:rPr>
          <w:rFonts w:ascii="宋体" w:hAnsi="宋体"/>
        </w:rPr>
      </w:pPr>
      <w:r>
        <w:rPr>
          <w:rFonts w:hint="eastAsia" w:ascii="宋体" w:hAnsi="宋体"/>
        </w:rPr>
        <w:t>金融运行稳定。积极实施适度宽松的货币政策，切实加强金融风险监测，确保金融运行态势平稳，为地方经济发展提供优质的金融服务。</w:t>
      </w:r>
      <w:r>
        <w:rPr>
          <w:rFonts w:ascii="宋体" w:hAnsi="宋体"/>
        </w:rPr>
        <w:t>2010年末，全市金融机构各项存</w:t>
      </w:r>
      <w:r>
        <w:rPr>
          <w:rFonts w:hint="eastAsia" w:ascii="宋体" w:hAnsi="宋体"/>
        </w:rPr>
        <w:t>款余额达</w:t>
      </w:r>
      <w:r>
        <w:rPr>
          <w:rFonts w:ascii="宋体" w:hAnsi="宋体"/>
        </w:rPr>
        <w:t>56.63亿元，同比增长17%；城乡</w:t>
      </w:r>
      <w:r>
        <w:rPr>
          <w:rFonts w:hint="eastAsia" w:ascii="宋体" w:hAnsi="宋体"/>
        </w:rPr>
        <w:t>居民储蓄存款余额为</w:t>
      </w:r>
      <w:r>
        <w:rPr>
          <w:rFonts w:ascii="宋体" w:hAnsi="宋体"/>
        </w:rPr>
        <w:t>44.97亿元，同比增长15.2%。全市金融机构各项贷款余额为14.94</w:t>
      </w:r>
      <w:r>
        <w:rPr>
          <w:rFonts w:hint="eastAsia" w:ascii="宋体" w:hAnsi="宋体"/>
        </w:rPr>
        <w:t>亿元，同比增长</w:t>
      </w:r>
      <w:r>
        <w:rPr>
          <w:rFonts w:ascii="宋体" w:hAnsi="宋体"/>
        </w:rPr>
        <w:t>28.4%。</w:t>
      </w:r>
    </w:p>
    <w:p w14:paraId="1E4D7B9C">
      <w:pPr>
        <w:ind w:firstLine="420"/>
        <w:rPr>
          <w:rFonts w:ascii="宋体" w:hAnsi="宋体"/>
        </w:rPr>
      </w:pPr>
      <w:r>
        <w:rPr>
          <w:rFonts w:hint="eastAsia" w:ascii="宋体" w:hAnsi="宋体"/>
        </w:rPr>
        <w:t>财政工作取得新成绩。围绕全市发展大局，灵活运用财政杠杆，有力地促进地方经济社会发展。全年地税收入</w:t>
      </w:r>
      <w:r>
        <w:rPr>
          <w:rFonts w:ascii="宋体" w:hAnsi="宋体"/>
        </w:rPr>
        <w:t>2.</w:t>
      </w:r>
      <w:r>
        <w:rPr>
          <w:rFonts w:hint="eastAsia" w:ascii="宋体" w:hAnsi="宋体"/>
        </w:rPr>
        <w:t>9</w:t>
      </w:r>
      <w:r>
        <w:rPr>
          <w:rFonts w:ascii="宋体" w:hAnsi="宋体"/>
        </w:rPr>
        <w:t>6亿元，同比</w:t>
      </w:r>
      <w:r>
        <w:rPr>
          <w:rFonts w:hint="eastAsia" w:ascii="宋体" w:hAnsi="宋体"/>
        </w:rPr>
        <w:t>增长</w:t>
      </w:r>
      <w:r>
        <w:rPr>
          <w:rFonts w:ascii="宋体" w:hAnsi="宋体"/>
        </w:rPr>
        <w:t>24.9%；国税收</w:t>
      </w:r>
      <w:r>
        <w:rPr>
          <w:rFonts w:hint="eastAsia" w:ascii="宋体" w:hAnsi="宋体"/>
        </w:rPr>
        <w:t>入</w:t>
      </w:r>
      <w:r>
        <w:rPr>
          <w:rFonts w:ascii="宋体" w:hAnsi="宋体"/>
        </w:rPr>
        <w:t>1.09亿元，同比增长3.6%。全年财政总收入达9.35亿元，同比增</w:t>
      </w:r>
      <w:r>
        <w:rPr>
          <w:rFonts w:hint="eastAsia" w:ascii="宋体" w:hAnsi="宋体"/>
        </w:rPr>
        <w:t>长</w:t>
      </w:r>
      <w:r>
        <w:rPr>
          <w:rFonts w:ascii="宋体" w:hAnsi="宋体"/>
        </w:rPr>
        <w:t>40.2%；其中地方财政一般预算收入2.83</w:t>
      </w:r>
      <w:r>
        <w:rPr>
          <w:rFonts w:hint="eastAsia" w:ascii="宋体" w:hAnsi="宋体"/>
        </w:rPr>
        <w:t>亿元，同比增长</w:t>
      </w:r>
      <w:r>
        <w:rPr>
          <w:rFonts w:ascii="宋体" w:hAnsi="宋体"/>
        </w:rPr>
        <w:t>25.1%；财政累计支出8.73</w:t>
      </w:r>
      <w:r>
        <w:rPr>
          <w:rFonts w:hint="eastAsia" w:ascii="宋体" w:hAnsi="宋体"/>
        </w:rPr>
        <w:t>亿元，财政收支基本平衡，略有结余。</w:t>
      </w:r>
    </w:p>
    <w:p w14:paraId="582A0549">
      <w:pPr>
        <w:ind w:firstLine="420"/>
        <w:rPr>
          <w:rFonts w:ascii="宋体" w:hAnsi="宋体"/>
        </w:rPr>
      </w:pPr>
      <w:r>
        <w:rPr>
          <w:rFonts w:hint="eastAsia" w:ascii="宋体" w:hAnsi="宋体"/>
        </w:rPr>
        <w:t>科技创新能力不断增强。全年举办科技交流会</w:t>
      </w:r>
      <w:r>
        <w:rPr>
          <w:rFonts w:ascii="宋体" w:hAnsi="宋体"/>
        </w:rPr>
        <w:t>8次，交流会参加人数900人次；举办</w:t>
      </w:r>
      <w:r>
        <w:rPr>
          <w:rFonts w:hint="eastAsia" w:ascii="宋体" w:hAnsi="宋体"/>
        </w:rPr>
        <w:t>科普讲座</w:t>
      </w:r>
      <w:r>
        <w:rPr>
          <w:rFonts w:ascii="宋体" w:hAnsi="宋体"/>
        </w:rPr>
        <w:t>9次，科普讲座参加人数820人次；8篇科技论文获奖，21个科技项目攻关，全</w:t>
      </w:r>
      <w:r>
        <w:rPr>
          <w:rFonts w:hint="eastAsia" w:ascii="宋体" w:hAnsi="宋体"/>
        </w:rPr>
        <w:t>年专利申请</w:t>
      </w:r>
      <w:r>
        <w:rPr>
          <w:rFonts w:ascii="宋体" w:hAnsi="宋体"/>
        </w:rPr>
        <w:t>38件。全市各类工业品牌16个，</w:t>
      </w:r>
      <w:r>
        <w:rPr>
          <w:rFonts w:hint="eastAsia" w:ascii="宋体" w:hAnsi="宋体"/>
        </w:rPr>
        <w:t>其中国家地理标志保护产品</w:t>
      </w:r>
      <w:r>
        <w:rPr>
          <w:rFonts w:ascii="宋体" w:hAnsi="宋体"/>
        </w:rPr>
        <w:t>1个，广东省名</w:t>
      </w:r>
      <w:r>
        <w:rPr>
          <w:rFonts w:hint="eastAsia" w:ascii="宋体" w:hAnsi="宋体"/>
        </w:rPr>
        <w:t>牌产品</w:t>
      </w:r>
      <w:r>
        <w:rPr>
          <w:rFonts w:ascii="宋体" w:hAnsi="宋体"/>
        </w:rPr>
        <w:t>3个，广东省著名商标1个，区域品牌</w:t>
      </w:r>
      <w:r>
        <w:rPr>
          <w:rFonts w:hint="eastAsia" w:ascii="宋体" w:hAnsi="宋体"/>
        </w:rPr>
        <w:t>11个。</w:t>
      </w:r>
    </w:p>
    <w:p w14:paraId="50E75CEF">
      <w:pPr>
        <w:ind w:firstLine="420"/>
        <w:rPr>
          <w:rFonts w:ascii="宋体" w:hAnsi="宋体"/>
        </w:rPr>
      </w:pPr>
      <w:r>
        <w:rPr>
          <w:rFonts w:hint="eastAsia" w:ascii="宋体" w:hAnsi="宋体"/>
        </w:rPr>
        <w:t>教育事业取得骄人成绩。高考取得了历史性突破，高考成绩名列韶关市前列。全市高中毕业考入大专院校</w:t>
      </w:r>
      <w:r>
        <w:rPr>
          <w:rFonts w:ascii="宋体" w:hAnsi="宋体"/>
        </w:rPr>
        <w:t>2856人，其中</w:t>
      </w:r>
      <w:r>
        <w:rPr>
          <w:rFonts w:hint="eastAsia" w:ascii="宋体" w:hAnsi="宋体"/>
        </w:rPr>
        <w:t>：</w:t>
      </w:r>
      <w:r>
        <w:rPr>
          <w:rFonts w:ascii="宋体" w:hAnsi="宋体"/>
        </w:rPr>
        <w:t>本科917人，专科1939人。成人教育在校学生718</w:t>
      </w:r>
      <w:r>
        <w:rPr>
          <w:rFonts w:hint="eastAsia" w:ascii="宋体" w:hAnsi="宋体"/>
        </w:rPr>
        <w:t>人，其中本科</w:t>
      </w:r>
      <w:r>
        <w:rPr>
          <w:rFonts w:ascii="宋体" w:hAnsi="宋体"/>
        </w:rPr>
        <w:t>210人，专科508人。</w:t>
      </w:r>
    </w:p>
    <w:p w14:paraId="1CE48A61">
      <w:pPr>
        <w:ind w:firstLine="420"/>
        <w:rPr>
          <w:rFonts w:ascii="宋体" w:hAnsi="宋体"/>
        </w:rPr>
      </w:pPr>
      <w:r>
        <w:rPr>
          <w:rFonts w:hint="eastAsia" w:ascii="宋体" w:hAnsi="宋体"/>
        </w:rPr>
        <w:t>精神文明建设不断推进。广泛深入开展“全民读书”、“孝廉”文化进农家活动，启动全民读书和“读书漂流”活动，完成</w:t>
      </w:r>
      <w:r>
        <w:rPr>
          <w:rFonts w:ascii="宋体" w:hAnsi="宋体"/>
        </w:rPr>
        <w:t>184家</w:t>
      </w:r>
      <w:r>
        <w:rPr>
          <w:rFonts w:hint="eastAsia" w:ascii="宋体" w:hAnsi="宋体"/>
        </w:rPr>
        <w:t>农家书屋建设，增加图书</w:t>
      </w:r>
      <w:r>
        <w:rPr>
          <w:rFonts w:ascii="宋体" w:hAnsi="宋体"/>
        </w:rPr>
        <w:t>26万多册；积极做</w:t>
      </w:r>
      <w:r>
        <w:rPr>
          <w:rFonts w:hint="eastAsia" w:ascii="宋体" w:hAnsi="宋体"/>
        </w:rPr>
        <w:t>好“韶关好人”评选工作、“迎亚运、创五优”活动，有力地提升全市文明水平。</w:t>
      </w:r>
    </w:p>
    <w:p w14:paraId="18F0C35C">
      <w:pPr>
        <w:ind w:firstLine="420"/>
        <w:rPr>
          <w:rFonts w:ascii="宋体" w:hAnsi="宋体"/>
        </w:rPr>
      </w:pPr>
      <w:r>
        <w:rPr>
          <w:rFonts w:hint="eastAsia" w:ascii="宋体" w:hAnsi="宋体"/>
        </w:rPr>
        <w:t>文化、广电新闻出版事业不断进步。开展广场、社区、学校、企业文化系列活动，市采茶剧团、金叶、夕阳红艺术团等演出团体为全市人民献演众多精彩节目。组织开展“祖国在我心中”第二届红歌大赛活动，在全市掀起一股“唱红歌、传承苏区精神，扬正气、争做道德公民”的社会热潮。全市有线电视新增用户</w:t>
      </w:r>
      <w:r>
        <w:rPr>
          <w:rFonts w:ascii="宋体" w:hAnsi="宋体"/>
        </w:rPr>
        <w:t>2700多户，用户总数达5万户。</w:t>
      </w:r>
      <w:r>
        <w:rPr>
          <w:rFonts w:hint="eastAsia" w:ascii="宋体" w:hAnsi="宋体"/>
        </w:rPr>
        <w:t>积极推进数字电视工作。有线数字电视整体转换工程项目也已经全面启动。市图书馆藏书</w:t>
      </w:r>
      <w:r>
        <w:rPr>
          <w:rFonts w:ascii="宋体" w:hAnsi="宋体"/>
        </w:rPr>
        <w:t>8.02万册。全市拥有名胜古迹和文物保护</w:t>
      </w:r>
      <w:r>
        <w:rPr>
          <w:rFonts w:hint="eastAsia" w:ascii="宋体" w:hAnsi="宋体"/>
        </w:rPr>
        <w:t>区</w:t>
      </w:r>
      <w:r>
        <w:rPr>
          <w:rFonts w:ascii="宋体" w:hAnsi="宋体"/>
        </w:rPr>
        <w:t>26处。</w:t>
      </w:r>
    </w:p>
    <w:p w14:paraId="4B23ED73">
      <w:pPr>
        <w:ind w:firstLine="420"/>
        <w:rPr>
          <w:rFonts w:ascii="宋体" w:hAnsi="宋体"/>
        </w:rPr>
      </w:pPr>
      <w:r>
        <w:rPr>
          <w:rFonts w:hint="eastAsia" w:ascii="宋体" w:hAnsi="宋体"/>
        </w:rPr>
        <w:t>体育事业取得新进步。竞技体育取得历史性突破，马丽芸获广州亚运会女子小轮车赛冠军。全民健身运动如火如荼，全市各单位举办各类运动会</w:t>
      </w:r>
      <w:r>
        <w:rPr>
          <w:rFonts w:ascii="宋体" w:hAnsi="宋体"/>
        </w:rPr>
        <w:t>48次，参加比赛人数达3.42万人。老年体育健康发展，在市区参与</w:t>
      </w:r>
      <w:r>
        <w:rPr>
          <w:rFonts w:hint="eastAsia" w:ascii="宋体" w:hAnsi="宋体"/>
        </w:rPr>
        <w:t>体育健身运动的老年体育人口达</w:t>
      </w:r>
      <w:r>
        <w:rPr>
          <w:rFonts w:ascii="宋体" w:hAnsi="宋体"/>
        </w:rPr>
        <w:t>50%。</w:t>
      </w:r>
    </w:p>
    <w:p w14:paraId="429B8270">
      <w:pPr>
        <w:ind w:firstLine="420"/>
        <w:rPr>
          <w:rFonts w:ascii="宋体" w:hAnsi="宋体"/>
        </w:rPr>
      </w:pPr>
      <w:r>
        <w:rPr>
          <w:rFonts w:hint="eastAsia" w:ascii="宋体" w:hAnsi="宋体"/>
        </w:rPr>
        <w:t>医疗卫生条件进一步改善。疾病预防和控制工作进一步加强，农村合作医疗工作稳步开展，公共卫生体系不断完善，公共卫生监督进一步加强，九大基本公共卫生服务项目全面实施，预防保健工作成绩显著。切实加强疾病的防控工作，突发公共卫生应急处理和疾病预防控制能力明显增强。全市拥有卫生机构</w:t>
      </w:r>
      <w:r>
        <w:rPr>
          <w:rFonts w:ascii="宋体" w:hAnsi="宋体"/>
        </w:rPr>
        <w:t>28个，其中医院21间，医院病床位945张，医生、卫生技术人员920人。医院、</w:t>
      </w:r>
      <w:r>
        <w:rPr>
          <w:rFonts w:hint="eastAsia" w:ascii="宋体" w:hAnsi="宋体"/>
        </w:rPr>
        <w:t>卫生院诊疗人数</w:t>
      </w:r>
      <w:r>
        <w:rPr>
          <w:rFonts w:ascii="宋体" w:hAnsi="宋体"/>
        </w:rPr>
        <w:t>63.32万人次，婴儿死亡率0.63%，5岁以下儿童死亡率0.88%，产妇住</w:t>
      </w:r>
      <w:r>
        <w:rPr>
          <w:rFonts w:hint="eastAsia" w:ascii="宋体" w:hAnsi="宋体"/>
        </w:rPr>
        <w:t>院分娩比例达到</w:t>
      </w:r>
      <w:r>
        <w:rPr>
          <w:rFonts w:ascii="宋体" w:hAnsi="宋体"/>
        </w:rPr>
        <w:t>100%。参加农村合作医疗人</w:t>
      </w:r>
      <w:r>
        <w:rPr>
          <w:rFonts w:hint="eastAsia" w:ascii="宋体" w:hAnsi="宋体"/>
        </w:rPr>
        <w:t>口覆盖率达</w:t>
      </w:r>
      <w:r>
        <w:rPr>
          <w:rFonts w:ascii="宋体" w:hAnsi="宋体"/>
        </w:rPr>
        <w:t>100%，发放医疗补助金5329</w:t>
      </w:r>
      <w:r>
        <w:rPr>
          <w:rFonts w:hint="eastAsia" w:ascii="宋体" w:hAnsi="宋体"/>
        </w:rPr>
        <w:t>.</w:t>
      </w:r>
      <w:r>
        <w:rPr>
          <w:rFonts w:ascii="宋体" w:hAnsi="宋体"/>
        </w:rPr>
        <w:t>8</w:t>
      </w:r>
      <w:r>
        <w:rPr>
          <w:rFonts w:hint="eastAsia" w:ascii="宋体" w:hAnsi="宋体"/>
        </w:rPr>
        <w:t>万元。</w:t>
      </w:r>
    </w:p>
    <w:p w14:paraId="1F927120">
      <w:pPr>
        <w:ind w:firstLine="420"/>
        <w:rPr>
          <w:rFonts w:ascii="宋体" w:hAnsi="宋体"/>
        </w:rPr>
      </w:pPr>
      <w:r>
        <w:rPr>
          <w:rFonts w:hint="eastAsia" w:ascii="宋体" w:hAnsi="宋体"/>
        </w:rPr>
        <w:t>人口持续低速增长。据公安部门统计，全市年末户籍人口</w:t>
      </w:r>
      <w:r>
        <w:rPr>
          <w:rFonts w:ascii="宋体" w:hAnsi="宋体"/>
        </w:rPr>
        <w:t>47.09万人，其中</w:t>
      </w:r>
      <w:r>
        <w:rPr>
          <w:rFonts w:hint="eastAsia" w:ascii="宋体" w:hAnsi="宋体"/>
        </w:rPr>
        <w:t>：</w:t>
      </w:r>
      <w:r>
        <w:rPr>
          <w:rFonts w:ascii="宋体" w:hAnsi="宋体"/>
        </w:rPr>
        <w:t>农业</w:t>
      </w:r>
      <w:r>
        <w:rPr>
          <w:rFonts w:hint="eastAsia" w:ascii="宋体" w:hAnsi="宋体"/>
        </w:rPr>
        <w:t>人口</w:t>
      </w:r>
      <w:r>
        <w:rPr>
          <w:rFonts w:ascii="宋体" w:hAnsi="宋体"/>
        </w:rPr>
        <w:t>38.49万人，占总人口的81.7%；非农</w:t>
      </w:r>
      <w:r>
        <w:rPr>
          <w:rFonts w:hint="eastAsia" w:ascii="宋体" w:hAnsi="宋体"/>
        </w:rPr>
        <w:t>人口</w:t>
      </w:r>
      <w:r>
        <w:rPr>
          <w:rFonts w:ascii="宋体" w:hAnsi="宋体"/>
        </w:rPr>
        <w:t>8.61万人，占总人口的18.3%；年末总</w:t>
      </w:r>
      <w:r>
        <w:rPr>
          <w:rFonts w:hint="eastAsia" w:ascii="宋体" w:hAnsi="宋体"/>
        </w:rPr>
        <w:t>户数</w:t>
      </w:r>
      <w:r>
        <w:rPr>
          <w:rFonts w:ascii="宋体" w:hAnsi="宋体"/>
        </w:rPr>
        <w:t>13.54万户。</w:t>
      </w:r>
    </w:p>
    <w:p w14:paraId="05E3FE52">
      <w:pPr>
        <w:ind w:firstLine="420"/>
        <w:rPr>
          <w:rFonts w:ascii="宋体" w:hAnsi="宋体"/>
        </w:rPr>
      </w:pPr>
      <w:r>
        <w:rPr>
          <w:rFonts w:hint="eastAsia" w:ascii="宋体" w:hAnsi="宋体"/>
        </w:rPr>
        <w:t>城乡居民收入不断提高。在岗职工年人均工资</w:t>
      </w:r>
      <w:r>
        <w:rPr>
          <w:rFonts w:ascii="宋体" w:hAnsi="宋体"/>
        </w:rPr>
        <w:t>26608元，同比增长6.6%；全市农</w:t>
      </w:r>
      <w:r>
        <w:rPr>
          <w:rFonts w:hint="eastAsia" w:ascii="宋体" w:hAnsi="宋体"/>
        </w:rPr>
        <w:t>民人均纯收入</w:t>
      </w:r>
      <w:r>
        <w:rPr>
          <w:rFonts w:ascii="宋体" w:hAnsi="宋体"/>
        </w:rPr>
        <w:t>5945元，按可比口径增长10.9%。全年城镇居民可支配收入为11886</w:t>
      </w:r>
      <w:r>
        <w:rPr>
          <w:rFonts w:hint="eastAsia" w:ascii="宋体" w:hAnsi="宋体"/>
        </w:rPr>
        <w:t>元，同比上年增长</w:t>
      </w:r>
      <w:r>
        <w:rPr>
          <w:rFonts w:ascii="宋体" w:hAnsi="宋体"/>
        </w:rPr>
        <w:t>10.0%。</w:t>
      </w:r>
    </w:p>
    <w:p w14:paraId="49488BD5">
      <w:pPr>
        <w:ind w:firstLine="420"/>
        <w:rPr>
          <w:rFonts w:ascii="宋体" w:hAnsi="宋体"/>
        </w:rPr>
      </w:pPr>
      <w:r>
        <w:rPr>
          <w:rFonts w:hint="eastAsia" w:ascii="宋体" w:hAnsi="宋体"/>
        </w:rPr>
        <w:t>社会福利事业不断加强。居民最低生活保障落实到位，社会保障相关待遇标准有所提高。全市实现城乡“低保”全覆盖，对符合条件的</w:t>
      </w:r>
      <w:r>
        <w:rPr>
          <w:rFonts w:ascii="宋体" w:hAnsi="宋体"/>
        </w:rPr>
        <w:t>1.52万名困难群众实现应保尽保；</w:t>
      </w:r>
      <w:r>
        <w:rPr>
          <w:rFonts w:hint="eastAsia" w:ascii="宋体" w:hAnsi="宋体"/>
        </w:rPr>
        <w:t>扶贫开发的“规划到户、责任到人”工作强力推进，使广大农民更好地共享发展成果。年末全市拥有敬老院</w:t>
      </w:r>
      <w:r>
        <w:rPr>
          <w:rFonts w:ascii="宋体" w:hAnsi="宋体"/>
        </w:rPr>
        <w:t>19间，供养人数1350</w:t>
      </w:r>
      <w:r>
        <w:rPr>
          <w:rFonts w:hint="eastAsia" w:ascii="宋体" w:hAnsi="宋体"/>
        </w:rPr>
        <w:t>人；社会福利收养性单位</w:t>
      </w:r>
      <w:r>
        <w:rPr>
          <w:rFonts w:ascii="宋体" w:hAnsi="宋体"/>
        </w:rPr>
        <w:t>18个。享受城市居</w:t>
      </w:r>
      <w:r>
        <w:rPr>
          <w:rFonts w:hint="eastAsia" w:ascii="宋体" w:hAnsi="宋体"/>
        </w:rPr>
        <w:t>民最低生活保障</w:t>
      </w:r>
      <w:r>
        <w:rPr>
          <w:rFonts w:ascii="宋体" w:hAnsi="宋体"/>
        </w:rPr>
        <w:t>2426人，享受农村居民最低</w:t>
      </w:r>
      <w:r>
        <w:rPr>
          <w:rFonts w:hint="eastAsia" w:ascii="宋体" w:hAnsi="宋体"/>
        </w:rPr>
        <w:t>生活保障</w:t>
      </w:r>
      <w:r>
        <w:rPr>
          <w:rFonts w:ascii="宋体" w:hAnsi="宋体"/>
        </w:rPr>
        <w:t>12871人，农村传统救济人数1350人。</w:t>
      </w:r>
    </w:p>
    <w:p w14:paraId="5006DD8A">
      <w:pPr>
        <w:ind w:firstLine="420"/>
        <w:rPr>
          <w:rFonts w:ascii="宋体" w:hAnsi="宋体"/>
        </w:rPr>
      </w:pPr>
      <w:r>
        <w:rPr>
          <w:rFonts w:hint="eastAsia" w:ascii="宋体" w:hAnsi="宋体"/>
        </w:rPr>
        <w:t>生态文明建设稳步推进。严厉打击土地和矿产资源违法行为，查处违法用地</w:t>
      </w:r>
      <w:r>
        <w:rPr>
          <w:rFonts w:ascii="宋体" w:hAnsi="宋体"/>
        </w:rPr>
        <w:t>127宗，</w:t>
      </w:r>
      <w:r>
        <w:rPr>
          <w:rFonts w:hint="eastAsia" w:ascii="宋体" w:hAnsi="宋体"/>
        </w:rPr>
        <w:t>实施强拆</w:t>
      </w:r>
      <w:r>
        <w:rPr>
          <w:rFonts w:ascii="宋体" w:hAnsi="宋体"/>
        </w:rPr>
        <w:t>4宗，拆除面积2000多平方米；基</w:t>
      </w:r>
      <w:r>
        <w:rPr>
          <w:rFonts w:hint="eastAsia" w:ascii="宋体" w:hAnsi="宋体"/>
        </w:rPr>
        <w:t>本清除全市范围内的违法开采稀土矿点；大力推进“三旧”改造工作，规划面积</w:t>
      </w:r>
      <w:r>
        <w:rPr>
          <w:rFonts w:ascii="宋体" w:hAnsi="宋体"/>
        </w:rPr>
        <w:t>1.045</w:t>
      </w:r>
      <w:r>
        <w:rPr>
          <w:rFonts w:hint="eastAsia" w:ascii="宋体" w:hAnsi="宋体"/>
        </w:rPr>
        <w:t>万亩，完成改造项目</w:t>
      </w:r>
      <w:r>
        <w:rPr>
          <w:rFonts w:ascii="宋体" w:hAnsi="宋体"/>
        </w:rPr>
        <w:t>5个，改造面积26亩；</w:t>
      </w:r>
      <w:r>
        <w:rPr>
          <w:rFonts w:hint="eastAsia" w:ascii="宋体" w:hAnsi="宋体"/>
        </w:rPr>
        <w:t>“空心村”改造复耕复绿</w:t>
      </w:r>
      <w:r>
        <w:rPr>
          <w:rFonts w:ascii="宋体" w:hAnsi="宋体"/>
        </w:rPr>
        <w:t>1284亩，节约用地</w:t>
      </w:r>
      <w:r>
        <w:rPr>
          <w:rFonts w:hint="eastAsia" w:ascii="宋体" w:hAnsi="宋体"/>
        </w:rPr>
        <w:t>面积。积极稳妥推进集体林权改革，全市林改工作覆盖林业用地</w:t>
      </w:r>
      <w:r>
        <w:rPr>
          <w:rFonts w:ascii="宋体" w:hAnsi="宋体"/>
        </w:rPr>
        <w:t>239万亩，林地所有权</w:t>
      </w:r>
      <w:r>
        <w:rPr>
          <w:rFonts w:hint="eastAsia" w:ascii="宋体" w:hAnsi="宋体"/>
        </w:rPr>
        <w:t>证、林地使用权证发证率分别达到</w:t>
      </w:r>
      <w:r>
        <w:rPr>
          <w:rFonts w:ascii="宋体" w:hAnsi="宋体"/>
        </w:rPr>
        <w:t>95%和80%。，调处山林纠纷1015宗，较好地维护</w:t>
      </w:r>
      <w:r>
        <w:rPr>
          <w:rFonts w:hint="eastAsia" w:ascii="宋体" w:hAnsi="宋体"/>
        </w:rPr>
        <w:t>林农利益。积极抓好林业生态市创建工作，顺利通过了省专家组的考核验收。市区的园林绿地面积为</w:t>
      </w:r>
      <w:r>
        <w:rPr>
          <w:rFonts w:ascii="宋体" w:hAnsi="宋体"/>
        </w:rPr>
        <w:t>154.16公顷，公共绿地面积为108.59公顷、建成区绿化覆盖面积为162.71</w:t>
      </w:r>
      <w:r>
        <w:rPr>
          <w:rFonts w:hint="eastAsia" w:ascii="宋体" w:hAnsi="宋体"/>
        </w:rPr>
        <w:t>公顷，分别比上年同期增长</w:t>
      </w:r>
      <w:r>
        <w:rPr>
          <w:rFonts w:ascii="宋体" w:hAnsi="宋体"/>
        </w:rPr>
        <w:t>3.4%、0.5%</w:t>
      </w:r>
      <w:r>
        <w:rPr>
          <w:rFonts w:hint="eastAsia" w:ascii="宋体" w:hAnsi="宋体"/>
        </w:rPr>
        <w:t>和</w:t>
      </w:r>
      <w:r>
        <w:rPr>
          <w:rFonts w:ascii="宋体" w:hAnsi="宋体"/>
        </w:rPr>
        <w:t>3.4%。</w:t>
      </w:r>
    </w:p>
    <w:p w14:paraId="0B5F5E8A">
      <w:pPr>
        <w:ind w:firstLine="420"/>
        <w:rPr>
          <w:rFonts w:ascii="宋体" w:hAnsi="宋体"/>
        </w:rPr>
      </w:pPr>
      <w:r>
        <w:rPr>
          <w:rFonts w:hint="eastAsia" w:ascii="宋体" w:hAnsi="宋体"/>
        </w:rPr>
        <w:t>环境保护水平进一步提高。东莞大岭山（南雄）产业转移工业园获得省环保局批准，成为粤北首个化工基地；投资</w:t>
      </w:r>
      <w:r>
        <w:rPr>
          <w:rFonts w:ascii="宋体" w:hAnsi="宋体"/>
        </w:rPr>
        <w:t>900万元新建</w:t>
      </w:r>
      <w:r>
        <w:rPr>
          <w:rFonts w:hint="eastAsia" w:ascii="宋体" w:hAnsi="宋体"/>
        </w:rPr>
        <w:t>基地污水处理厂，正进入运行调试阶段。投资</w:t>
      </w:r>
      <w:r>
        <w:rPr>
          <w:rFonts w:ascii="宋体" w:hAnsi="宋体"/>
        </w:rPr>
        <w:t>1000多万元，完善城市污水处理截污管</w:t>
      </w:r>
      <w:r>
        <w:rPr>
          <w:rFonts w:hint="eastAsia" w:ascii="宋体" w:hAnsi="宋体"/>
        </w:rPr>
        <w:t>网，使城市污水处理率达到</w:t>
      </w:r>
      <w:r>
        <w:rPr>
          <w:rFonts w:ascii="宋体" w:hAnsi="宋体"/>
        </w:rPr>
        <w:t>75%以上。节能</w:t>
      </w:r>
      <w:r>
        <w:rPr>
          <w:rFonts w:hint="eastAsia" w:ascii="宋体" w:hAnsi="宋体"/>
        </w:rPr>
        <w:t>降耗和治污减排措施到位，检查排污企业</w:t>
      </w:r>
      <w:r>
        <w:rPr>
          <w:rFonts w:ascii="宋体" w:hAnsi="宋体"/>
        </w:rPr>
        <w:t>169</w:t>
      </w:r>
      <w:r>
        <w:rPr>
          <w:rFonts w:hint="eastAsia" w:ascii="宋体" w:hAnsi="宋体"/>
        </w:rPr>
        <w:t>家次，关闭非法小型造纸厂</w:t>
      </w:r>
      <w:r>
        <w:rPr>
          <w:rFonts w:ascii="宋体" w:hAnsi="宋体"/>
        </w:rPr>
        <w:t>3家，完成了省</w:t>
      </w:r>
      <w:r>
        <w:rPr>
          <w:rFonts w:hint="eastAsia" w:ascii="宋体" w:hAnsi="宋体"/>
        </w:rPr>
        <w:t>、市下达的主要污染物总量减排任务。环境污染治理投资</w:t>
      </w:r>
      <w:r>
        <w:rPr>
          <w:rFonts w:ascii="宋体" w:hAnsi="宋体"/>
        </w:rPr>
        <w:t>173.8万元，污水处理厂加大资</w:t>
      </w:r>
      <w:r>
        <w:rPr>
          <w:rFonts w:hint="eastAsia" w:ascii="宋体" w:hAnsi="宋体"/>
        </w:rPr>
        <w:t>金投入，改善环境质量，生活污水处理率达到</w:t>
      </w:r>
      <w:r>
        <w:rPr>
          <w:rFonts w:ascii="宋体" w:hAnsi="宋体"/>
        </w:rPr>
        <w:t>86%，提高1.79个百分点，城市污水日处</w:t>
      </w:r>
      <w:r>
        <w:rPr>
          <w:rFonts w:hint="eastAsia" w:ascii="宋体" w:hAnsi="宋体"/>
        </w:rPr>
        <w:t>理能力达到</w:t>
      </w:r>
      <w:r>
        <w:rPr>
          <w:rFonts w:ascii="宋体" w:hAnsi="宋体"/>
        </w:rPr>
        <w:t>1万吨以上，生活垃圾无害化处</w:t>
      </w:r>
      <w:r>
        <w:rPr>
          <w:rFonts w:hint="eastAsia" w:ascii="宋体" w:hAnsi="宋体"/>
        </w:rPr>
        <w:t>理得到加强。</w:t>
      </w:r>
    </w:p>
    <w:p w14:paraId="5BF1BC42">
      <w:pPr>
        <w:pStyle w:val="2"/>
      </w:pPr>
      <w:r>
        <w:rPr>
          <w:rFonts w:hint="eastAsia"/>
        </w:rPr>
        <w:t>南雄市行政区划图</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CE7C5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922B0EC">
            <w:pPr>
              <w:ind w:firstLine="0" w:firstLineChars="0"/>
              <w:rPr>
                <w:rFonts w:ascii="宋体" w:hAnsi="宋体"/>
              </w:rPr>
            </w:pPr>
            <w:r>
              <w:rPr>
                <w:rFonts w:ascii="宋体" w:hAnsi="宋体"/>
              </w:rPr>
              <w:drawing>
                <wp:inline distT="0" distB="0" distL="114300" distR="114300">
                  <wp:extent cx="6174105" cy="4125595"/>
                  <wp:effectExtent l="0" t="0" r="17145" b="8255"/>
                  <wp:docPr id="158" name="图片 1" descr="南雄年鉴 2011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 descr="南雄年鉴 2011_0001"/>
                          <pic:cNvPicPr>
                            <a:picLocks noChangeAspect="1"/>
                          </pic:cNvPicPr>
                        </pic:nvPicPr>
                        <pic:blipFill>
                          <a:blip r:embed="rId15"/>
                          <a:stretch>
                            <a:fillRect/>
                          </a:stretch>
                        </pic:blipFill>
                        <pic:spPr>
                          <a:xfrm>
                            <a:off x="0" y="0"/>
                            <a:ext cx="6174105" cy="4125595"/>
                          </a:xfrm>
                          <a:prstGeom prst="rect">
                            <a:avLst/>
                          </a:prstGeom>
                          <a:noFill/>
                          <a:ln>
                            <a:noFill/>
                          </a:ln>
                        </pic:spPr>
                      </pic:pic>
                    </a:graphicData>
                  </a:graphic>
                </wp:inline>
              </w:drawing>
            </w:r>
          </w:p>
        </w:tc>
      </w:tr>
    </w:tbl>
    <w:p w14:paraId="1F14D700">
      <w:pPr>
        <w:pStyle w:val="2"/>
      </w:pPr>
      <w:r>
        <w:rPr>
          <w:rFonts w:hint="eastAsia"/>
        </w:rPr>
        <w:t>图片专辑</w:t>
      </w:r>
    </w:p>
    <w:p w14:paraId="0FCF9B85">
      <w:pPr>
        <w:pStyle w:val="3"/>
      </w:pPr>
      <w:r>
        <w:rPr>
          <w:rFonts w:hint="eastAsia"/>
        </w:rPr>
        <w:t>领导关怀</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EB3B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9962" w:type="dxa"/>
            <w:tcBorders>
              <w:top w:val="nil"/>
              <w:left w:val="nil"/>
              <w:bottom w:val="nil"/>
              <w:right w:val="nil"/>
            </w:tcBorders>
          </w:tcPr>
          <w:p w14:paraId="0979BC91">
            <w:pPr>
              <w:ind w:firstLine="0" w:firstLineChars="0"/>
              <w:jc w:val="center"/>
              <w:rPr>
                <w:rFonts w:ascii="宋体" w:hAnsi="宋体"/>
              </w:rPr>
            </w:pPr>
            <w:r>
              <w:rPr>
                <w:rFonts w:hint="eastAsia" w:ascii="宋体" w:hAnsi="宋体"/>
              </w:rPr>
              <w:drawing>
                <wp:inline distT="0" distB="0" distL="114300" distR="114300">
                  <wp:extent cx="6186805" cy="4166235"/>
                  <wp:effectExtent l="0" t="0" r="4445" b="5715"/>
                  <wp:docPr id="27" name="图片 27" descr="南雄年鉴 2011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南雄年鉴 2011_0002"/>
                          <pic:cNvPicPr>
                            <a:picLocks noChangeAspect="1"/>
                          </pic:cNvPicPr>
                        </pic:nvPicPr>
                        <pic:blipFill>
                          <a:blip r:embed="rId16" cstate="print"/>
                          <a:stretch>
                            <a:fillRect/>
                          </a:stretch>
                        </pic:blipFill>
                        <pic:spPr>
                          <a:xfrm>
                            <a:off x="0" y="0"/>
                            <a:ext cx="6186805" cy="4166235"/>
                          </a:xfrm>
                          <a:prstGeom prst="rect">
                            <a:avLst/>
                          </a:prstGeom>
                        </pic:spPr>
                      </pic:pic>
                    </a:graphicData>
                  </a:graphic>
                </wp:inline>
              </w:drawing>
            </w:r>
          </w:p>
        </w:tc>
      </w:tr>
      <w:tr w14:paraId="7124C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EF93D55">
            <w:pPr>
              <w:ind w:firstLine="420"/>
              <w:rPr>
                <w:rFonts w:ascii="宋体" w:hAnsi="宋体"/>
              </w:rPr>
            </w:pPr>
            <w:r>
              <w:rPr>
                <w:rFonts w:ascii="宋体" w:hAnsi="宋体"/>
                <w:szCs w:val="21"/>
              </w:rPr>
              <w:t>2010年4月，原国防部部长迟浩田（前排中）在现任南雄市委书记许志新陪同下参观梅关古道</w:t>
            </w:r>
          </w:p>
        </w:tc>
      </w:tr>
    </w:tbl>
    <w:p w14:paraId="43DAA194">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497A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5A92874A">
            <w:pPr>
              <w:ind w:firstLine="0" w:firstLineChars="0"/>
              <w:jc w:val="center"/>
              <w:rPr>
                <w:rFonts w:ascii="宋体" w:hAnsi="宋体"/>
              </w:rPr>
            </w:pPr>
            <w:r>
              <w:rPr>
                <w:rFonts w:hint="eastAsia" w:ascii="宋体" w:hAnsi="宋体"/>
              </w:rPr>
              <w:drawing>
                <wp:inline distT="0" distB="0" distL="114300" distR="114300">
                  <wp:extent cx="6184265" cy="4131945"/>
                  <wp:effectExtent l="0" t="0" r="6985" b="1905"/>
                  <wp:docPr id="28" name="图片 28" descr="南雄年鉴 2011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南雄年鉴 2011_0003"/>
                          <pic:cNvPicPr>
                            <a:picLocks noChangeAspect="1"/>
                          </pic:cNvPicPr>
                        </pic:nvPicPr>
                        <pic:blipFill>
                          <a:blip r:embed="rId17" cstate="print"/>
                          <a:stretch>
                            <a:fillRect/>
                          </a:stretch>
                        </pic:blipFill>
                        <pic:spPr>
                          <a:xfrm>
                            <a:off x="0" y="0"/>
                            <a:ext cx="6184265" cy="4131945"/>
                          </a:xfrm>
                          <a:prstGeom prst="rect">
                            <a:avLst/>
                          </a:prstGeom>
                        </pic:spPr>
                      </pic:pic>
                    </a:graphicData>
                  </a:graphic>
                </wp:inline>
              </w:drawing>
            </w:r>
          </w:p>
        </w:tc>
      </w:tr>
      <w:tr w14:paraId="02B80E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80F4737">
            <w:pPr>
              <w:ind w:firstLine="420"/>
              <w:rPr>
                <w:rFonts w:ascii="宋体" w:hAnsi="宋体"/>
              </w:rPr>
            </w:pPr>
            <w:r>
              <w:rPr>
                <w:rFonts w:ascii="宋体" w:hAnsi="宋体" w:cs="HiddenHorzOCR"/>
                <w:kern w:val="0"/>
                <w:szCs w:val="21"/>
              </w:rPr>
              <w:t>2010</w:t>
            </w:r>
            <w:r>
              <w:rPr>
                <w:rFonts w:hint="eastAsia" w:ascii="宋体" w:hAnsi="宋体" w:cs="HiddenHorzOCR"/>
                <w:kern w:val="0"/>
                <w:szCs w:val="21"/>
              </w:rPr>
              <w:t>年</w:t>
            </w:r>
            <w:r>
              <w:rPr>
                <w:rFonts w:ascii="宋体" w:hAnsi="宋体" w:cs="HiddenHorzOCR"/>
                <w:kern w:val="0"/>
                <w:szCs w:val="21"/>
              </w:rPr>
              <w:t>1</w:t>
            </w:r>
            <w:r>
              <w:rPr>
                <w:rFonts w:hint="eastAsia" w:ascii="宋体" w:hAnsi="宋体" w:cs="HiddenHorzOCR"/>
                <w:kern w:val="0"/>
                <w:szCs w:val="21"/>
              </w:rPr>
              <w:t>月</w:t>
            </w:r>
            <w:r>
              <w:rPr>
                <w:rFonts w:ascii="宋体" w:hAnsi="宋体" w:cs="HiddenHorzOCR"/>
                <w:kern w:val="0"/>
                <w:szCs w:val="21"/>
              </w:rPr>
              <w:t>15</w:t>
            </w:r>
            <w:r>
              <w:rPr>
                <w:rFonts w:hint="eastAsia" w:ascii="宋体" w:hAnsi="宋体" w:cs="HiddenHorzOCR"/>
                <w:kern w:val="0"/>
                <w:szCs w:val="21"/>
              </w:rPr>
              <w:t>日，中共中央政治局委</w:t>
            </w:r>
            <w:r>
              <w:rPr>
                <w:rFonts w:hint="eastAsia" w:ascii="宋体" w:hAnsi="宋体"/>
                <w:kern w:val="0"/>
                <w:szCs w:val="21"/>
              </w:rPr>
              <w:t>员</w:t>
            </w:r>
            <w:r>
              <w:rPr>
                <w:rFonts w:hint="eastAsia" w:ascii="宋体" w:hAnsi="宋体" w:cs="HiddenHorzOCR"/>
                <w:kern w:val="0"/>
                <w:szCs w:val="21"/>
              </w:rPr>
              <w:t>、广</w:t>
            </w:r>
            <w:r>
              <w:rPr>
                <w:rFonts w:hint="eastAsia" w:ascii="宋体" w:hAnsi="宋体"/>
                <w:kern w:val="0"/>
                <w:szCs w:val="21"/>
              </w:rPr>
              <w:t>东</w:t>
            </w:r>
            <w:r>
              <w:rPr>
                <w:rFonts w:hint="eastAsia" w:ascii="宋体" w:hAnsi="宋体" w:cs="MS Gothic"/>
                <w:kern w:val="0"/>
                <w:szCs w:val="21"/>
              </w:rPr>
              <w:t>省委</w:t>
            </w:r>
            <w:r>
              <w:rPr>
                <w:rFonts w:hint="eastAsia" w:ascii="宋体" w:hAnsi="宋体"/>
                <w:kern w:val="0"/>
                <w:szCs w:val="21"/>
              </w:rPr>
              <w:t>书记</w:t>
            </w:r>
            <w:r>
              <w:rPr>
                <w:rFonts w:hint="eastAsia" w:ascii="宋体" w:hAnsi="宋体" w:cs="MS Gothic"/>
                <w:kern w:val="0"/>
                <w:szCs w:val="21"/>
              </w:rPr>
              <w:t>汪洋</w:t>
            </w:r>
            <w:r>
              <w:rPr>
                <w:rFonts w:hint="eastAsia" w:ascii="宋体" w:hAnsi="宋体" w:cs="HiddenHorzOCR"/>
                <w:kern w:val="0"/>
                <w:szCs w:val="21"/>
              </w:rPr>
              <w:t>（右二），广</w:t>
            </w:r>
            <w:r>
              <w:rPr>
                <w:rFonts w:hint="eastAsia" w:ascii="宋体" w:hAnsi="宋体"/>
                <w:kern w:val="0"/>
                <w:szCs w:val="21"/>
              </w:rPr>
              <w:t>东</w:t>
            </w:r>
            <w:r>
              <w:rPr>
                <w:rFonts w:hint="eastAsia" w:ascii="宋体" w:hAnsi="宋体" w:cs="MS Gothic"/>
                <w:kern w:val="0"/>
                <w:szCs w:val="21"/>
              </w:rPr>
              <w:t>省省</w:t>
            </w:r>
            <w:r>
              <w:rPr>
                <w:rFonts w:hint="eastAsia" w:ascii="宋体" w:hAnsi="宋体"/>
                <w:kern w:val="0"/>
                <w:szCs w:val="21"/>
              </w:rPr>
              <w:t>长</w:t>
            </w:r>
            <w:r>
              <w:rPr>
                <w:rFonts w:hint="eastAsia" w:ascii="宋体" w:hAnsi="宋体" w:cs="MS Gothic"/>
                <w:kern w:val="0"/>
                <w:szCs w:val="21"/>
              </w:rPr>
              <w:t>黄</w:t>
            </w:r>
            <w:r>
              <w:rPr>
                <w:rFonts w:hint="eastAsia" w:ascii="宋体" w:hAnsi="宋体"/>
                <w:kern w:val="0"/>
                <w:szCs w:val="21"/>
              </w:rPr>
              <w:t>华华</w:t>
            </w:r>
            <w:r>
              <w:rPr>
                <w:rFonts w:hint="eastAsia" w:ascii="宋体" w:hAnsi="宋体" w:cs="HiddenHorzOCR"/>
                <w:kern w:val="0"/>
                <w:szCs w:val="21"/>
              </w:rPr>
              <w:t>（右一）在南雄考察工</w:t>
            </w:r>
            <w:r>
              <w:rPr>
                <w:rFonts w:hint="eastAsia" w:ascii="宋体" w:hAnsi="宋体"/>
                <w:kern w:val="0"/>
                <w:szCs w:val="21"/>
              </w:rPr>
              <w:t>业</w:t>
            </w:r>
            <w:r>
              <w:rPr>
                <w:rFonts w:hint="eastAsia" w:ascii="宋体" w:hAnsi="宋体" w:cs="MS Gothic"/>
                <w:kern w:val="0"/>
                <w:szCs w:val="21"/>
              </w:rPr>
              <w:t>园</w:t>
            </w:r>
            <w:r>
              <w:rPr>
                <w:rFonts w:hint="eastAsia" w:ascii="宋体" w:hAnsi="宋体" w:cs="HiddenHorzOCR"/>
                <w:kern w:val="0"/>
                <w:szCs w:val="21"/>
              </w:rPr>
              <w:t>区</w:t>
            </w:r>
          </w:p>
        </w:tc>
      </w:tr>
    </w:tbl>
    <w:p w14:paraId="7CE66452">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C2C5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7BF0A119">
            <w:pPr>
              <w:ind w:firstLine="0" w:firstLineChars="0"/>
              <w:jc w:val="center"/>
              <w:rPr>
                <w:rFonts w:ascii="宋体" w:hAnsi="宋体"/>
              </w:rPr>
            </w:pPr>
            <w:r>
              <w:rPr>
                <w:rFonts w:hint="eastAsia" w:ascii="宋体" w:hAnsi="宋体"/>
              </w:rPr>
              <w:drawing>
                <wp:inline distT="0" distB="0" distL="114300" distR="114300">
                  <wp:extent cx="6181090" cy="3983355"/>
                  <wp:effectExtent l="0" t="0" r="10160" b="17145"/>
                  <wp:docPr id="29" name="图片 29" descr="南雄年鉴 2011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南雄年鉴 2011_0004"/>
                          <pic:cNvPicPr>
                            <a:picLocks noChangeAspect="1"/>
                          </pic:cNvPicPr>
                        </pic:nvPicPr>
                        <pic:blipFill>
                          <a:blip r:embed="rId18" cstate="print"/>
                          <a:stretch>
                            <a:fillRect/>
                          </a:stretch>
                        </pic:blipFill>
                        <pic:spPr>
                          <a:xfrm>
                            <a:off x="0" y="0"/>
                            <a:ext cx="6181090" cy="3983355"/>
                          </a:xfrm>
                          <a:prstGeom prst="rect">
                            <a:avLst/>
                          </a:prstGeom>
                        </pic:spPr>
                      </pic:pic>
                    </a:graphicData>
                  </a:graphic>
                </wp:inline>
              </w:drawing>
            </w:r>
          </w:p>
        </w:tc>
      </w:tr>
      <w:tr w14:paraId="2A7F9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538FAC8">
            <w:pPr>
              <w:ind w:firstLine="420"/>
              <w:rPr>
                <w:rFonts w:ascii="宋体" w:hAnsi="宋体"/>
              </w:rPr>
            </w:pPr>
            <w:r>
              <w:rPr>
                <w:rFonts w:ascii="宋体" w:hAnsi="宋体" w:cs="HiddenHorzOCR"/>
                <w:kern w:val="0"/>
                <w:szCs w:val="21"/>
              </w:rPr>
              <w:t>2010</w:t>
            </w:r>
            <w:r>
              <w:rPr>
                <w:rFonts w:hint="eastAsia" w:ascii="宋体" w:hAnsi="宋体" w:cs="HiddenHorzOCR"/>
                <w:kern w:val="0"/>
                <w:szCs w:val="21"/>
              </w:rPr>
              <w:t>年</w:t>
            </w:r>
            <w:r>
              <w:rPr>
                <w:rFonts w:ascii="宋体" w:hAnsi="宋体" w:cs="HiddenHorzOCR"/>
                <w:kern w:val="0"/>
                <w:szCs w:val="21"/>
              </w:rPr>
              <w:t>1</w:t>
            </w:r>
            <w:r>
              <w:rPr>
                <w:rFonts w:hint="eastAsia" w:ascii="宋体" w:hAnsi="宋体" w:cs="HiddenHorzOCR"/>
                <w:kern w:val="0"/>
                <w:szCs w:val="21"/>
              </w:rPr>
              <w:t>月</w:t>
            </w:r>
            <w:r>
              <w:rPr>
                <w:rFonts w:ascii="宋体" w:hAnsi="宋体" w:cs="HiddenHorzOCR"/>
                <w:kern w:val="0"/>
                <w:szCs w:val="21"/>
              </w:rPr>
              <w:t>15</w:t>
            </w:r>
            <w:r>
              <w:rPr>
                <w:rFonts w:hint="eastAsia" w:ascii="宋体" w:hAnsi="宋体" w:cs="HiddenHorzOCR"/>
                <w:kern w:val="0"/>
                <w:szCs w:val="21"/>
              </w:rPr>
              <w:t>日，中共中央政治局委</w:t>
            </w:r>
            <w:r>
              <w:rPr>
                <w:rFonts w:hint="eastAsia" w:ascii="宋体" w:hAnsi="宋体"/>
                <w:kern w:val="0"/>
                <w:szCs w:val="21"/>
              </w:rPr>
              <w:t>员</w:t>
            </w:r>
            <w:r>
              <w:rPr>
                <w:rFonts w:hint="eastAsia" w:ascii="宋体" w:hAnsi="宋体" w:cs="MS Gothic"/>
                <w:kern w:val="0"/>
                <w:szCs w:val="21"/>
              </w:rPr>
              <w:t>、广</w:t>
            </w:r>
            <w:r>
              <w:rPr>
                <w:rFonts w:hint="eastAsia" w:ascii="宋体" w:hAnsi="宋体"/>
                <w:kern w:val="0"/>
                <w:szCs w:val="21"/>
              </w:rPr>
              <w:t>东</w:t>
            </w:r>
            <w:r>
              <w:rPr>
                <w:rFonts w:hint="eastAsia" w:ascii="宋体" w:hAnsi="宋体" w:cs="MS Gothic"/>
                <w:kern w:val="0"/>
                <w:szCs w:val="21"/>
              </w:rPr>
              <w:t>省委</w:t>
            </w:r>
            <w:r>
              <w:rPr>
                <w:rFonts w:hint="eastAsia" w:ascii="宋体" w:hAnsi="宋体"/>
                <w:kern w:val="0"/>
                <w:szCs w:val="21"/>
              </w:rPr>
              <w:t>书记</w:t>
            </w:r>
            <w:r>
              <w:rPr>
                <w:rFonts w:hint="eastAsia" w:ascii="宋体" w:hAnsi="宋体" w:cs="MS Gothic"/>
                <w:kern w:val="0"/>
                <w:szCs w:val="21"/>
              </w:rPr>
              <w:t>汪洋</w:t>
            </w:r>
            <w:r>
              <w:rPr>
                <w:rFonts w:hint="eastAsia" w:ascii="宋体" w:hAnsi="宋体" w:cs="HiddenHorzOCR"/>
                <w:kern w:val="0"/>
                <w:szCs w:val="21"/>
              </w:rPr>
              <w:t>（中）</w:t>
            </w:r>
            <w:r>
              <w:rPr>
                <w:rFonts w:hint="eastAsia" w:ascii="宋体" w:hAnsi="宋体"/>
                <w:kern w:val="0"/>
                <w:szCs w:val="21"/>
              </w:rPr>
              <w:t>视</w:t>
            </w:r>
            <w:r>
              <w:rPr>
                <w:rFonts w:hint="eastAsia" w:ascii="宋体" w:hAnsi="宋体" w:cs="MS Gothic"/>
                <w:kern w:val="0"/>
                <w:szCs w:val="21"/>
              </w:rPr>
              <w:t>察南雄双</w:t>
            </w:r>
            <w:r>
              <w:rPr>
                <w:rFonts w:hint="eastAsia" w:ascii="宋体" w:hAnsi="宋体"/>
                <w:kern w:val="0"/>
                <w:szCs w:val="21"/>
              </w:rPr>
              <w:t>转</w:t>
            </w:r>
            <w:r>
              <w:rPr>
                <w:rFonts w:hint="eastAsia" w:ascii="宋体" w:hAnsi="宋体" w:cs="MS Gothic"/>
                <w:kern w:val="0"/>
                <w:szCs w:val="21"/>
              </w:rPr>
              <w:t>移培</w:t>
            </w:r>
            <w:r>
              <w:rPr>
                <w:rFonts w:hint="eastAsia" w:ascii="宋体" w:hAnsi="宋体"/>
                <w:kern w:val="0"/>
                <w:szCs w:val="21"/>
              </w:rPr>
              <w:t>训</w:t>
            </w:r>
            <w:r>
              <w:rPr>
                <w:rFonts w:hint="eastAsia" w:ascii="宋体" w:hAnsi="宋体" w:cs="MS Gothic"/>
                <w:kern w:val="0"/>
                <w:szCs w:val="21"/>
              </w:rPr>
              <w:t>基</w:t>
            </w:r>
            <w:r>
              <w:rPr>
                <w:rFonts w:hint="eastAsia" w:ascii="宋体" w:hAnsi="宋体" w:cs="HiddenHorzOCR"/>
                <w:kern w:val="0"/>
                <w:szCs w:val="21"/>
              </w:rPr>
              <w:t>地</w:t>
            </w:r>
          </w:p>
        </w:tc>
      </w:tr>
    </w:tbl>
    <w:p w14:paraId="543BA91E">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A3F6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3BACFA92">
            <w:pPr>
              <w:ind w:firstLine="0" w:firstLineChars="0"/>
              <w:jc w:val="center"/>
              <w:rPr>
                <w:rFonts w:ascii="宋体" w:hAnsi="宋体"/>
              </w:rPr>
            </w:pPr>
            <w:r>
              <w:rPr>
                <w:rFonts w:hint="eastAsia" w:ascii="宋体" w:hAnsi="宋体"/>
              </w:rPr>
              <w:drawing>
                <wp:inline distT="0" distB="0" distL="114300" distR="114300">
                  <wp:extent cx="6184265" cy="4109085"/>
                  <wp:effectExtent l="0" t="0" r="6985" b="5715"/>
                  <wp:docPr id="30" name="图片 30" descr="南雄年鉴 2011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南雄年鉴 2011_0005"/>
                          <pic:cNvPicPr>
                            <a:picLocks noChangeAspect="1"/>
                          </pic:cNvPicPr>
                        </pic:nvPicPr>
                        <pic:blipFill>
                          <a:blip r:embed="rId19" cstate="print"/>
                          <a:stretch>
                            <a:fillRect/>
                          </a:stretch>
                        </pic:blipFill>
                        <pic:spPr>
                          <a:xfrm>
                            <a:off x="0" y="0"/>
                            <a:ext cx="6184265" cy="4109085"/>
                          </a:xfrm>
                          <a:prstGeom prst="rect">
                            <a:avLst/>
                          </a:prstGeom>
                        </pic:spPr>
                      </pic:pic>
                    </a:graphicData>
                  </a:graphic>
                </wp:inline>
              </w:drawing>
            </w:r>
          </w:p>
        </w:tc>
      </w:tr>
      <w:tr w14:paraId="6B7BF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D4098B5">
            <w:pPr>
              <w:ind w:firstLine="420"/>
              <w:rPr>
                <w:rFonts w:ascii="宋体" w:hAnsi="宋体"/>
              </w:rPr>
            </w:pPr>
            <w:r>
              <w:rPr>
                <w:rFonts w:hint="eastAsia" w:ascii="宋体" w:hAnsi="宋体" w:cs="HiddenHorzOCR"/>
                <w:kern w:val="0"/>
                <w:szCs w:val="21"/>
              </w:rPr>
              <w:t>中共中央政治局委</w:t>
            </w:r>
            <w:r>
              <w:rPr>
                <w:rFonts w:hint="eastAsia" w:ascii="宋体" w:hAnsi="宋体"/>
                <w:kern w:val="0"/>
                <w:szCs w:val="21"/>
              </w:rPr>
              <w:t>员</w:t>
            </w:r>
            <w:r>
              <w:rPr>
                <w:rFonts w:hint="eastAsia" w:ascii="宋体" w:hAnsi="宋体" w:cs="HiddenHorzOCR"/>
                <w:kern w:val="0"/>
                <w:szCs w:val="21"/>
              </w:rPr>
              <w:t>、广</w:t>
            </w:r>
            <w:r>
              <w:rPr>
                <w:rFonts w:hint="eastAsia" w:ascii="宋体" w:hAnsi="宋体"/>
                <w:kern w:val="0"/>
                <w:szCs w:val="21"/>
              </w:rPr>
              <w:t>东</w:t>
            </w:r>
            <w:r>
              <w:rPr>
                <w:rFonts w:hint="eastAsia" w:ascii="宋体" w:hAnsi="宋体" w:cs="MS Gothic"/>
                <w:kern w:val="0"/>
                <w:szCs w:val="21"/>
              </w:rPr>
              <w:t>省委</w:t>
            </w:r>
            <w:r>
              <w:rPr>
                <w:rFonts w:hint="eastAsia" w:ascii="宋体" w:hAnsi="宋体"/>
                <w:kern w:val="0"/>
                <w:szCs w:val="21"/>
              </w:rPr>
              <w:t>书记</w:t>
            </w:r>
            <w:r>
              <w:rPr>
                <w:rFonts w:hint="eastAsia" w:ascii="宋体" w:hAnsi="宋体" w:cs="MS Gothic"/>
                <w:kern w:val="0"/>
                <w:szCs w:val="21"/>
              </w:rPr>
              <w:t>汪洋</w:t>
            </w:r>
            <w:r>
              <w:rPr>
                <w:rFonts w:hint="eastAsia" w:ascii="宋体" w:hAnsi="宋体" w:cs="HiddenHorzOCR"/>
                <w:kern w:val="0"/>
                <w:szCs w:val="21"/>
              </w:rPr>
              <w:t>（中）在南雄迎</w:t>
            </w:r>
            <w:r>
              <w:rPr>
                <w:rFonts w:hint="eastAsia" w:ascii="宋体" w:hAnsi="宋体"/>
                <w:kern w:val="0"/>
                <w:szCs w:val="21"/>
              </w:rPr>
              <w:t>宾</w:t>
            </w:r>
            <w:r>
              <w:rPr>
                <w:rFonts w:hint="eastAsia" w:ascii="宋体" w:hAnsi="宋体" w:cs="MS Gothic"/>
                <w:kern w:val="0"/>
                <w:szCs w:val="21"/>
              </w:rPr>
              <w:t>楼与南雄市</w:t>
            </w:r>
            <w:r>
              <w:rPr>
                <w:rFonts w:hint="eastAsia" w:ascii="宋体" w:hAnsi="宋体"/>
                <w:kern w:val="0"/>
                <w:szCs w:val="21"/>
              </w:rPr>
              <w:t>领导</w:t>
            </w:r>
            <w:r>
              <w:rPr>
                <w:rFonts w:hint="eastAsia" w:ascii="宋体" w:hAnsi="宋体" w:cs="MS Gothic"/>
                <w:kern w:val="0"/>
                <w:szCs w:val="21"/>
              </w:rPr>
              <w:t>合</w:t>
            </w:r>
            <w:r>
              <w:rPr>
                <w:rFonts w:hint="eastAsia" w:ascii="宋体" w:hAnsi="宋体" w:cs="HiddenHorzOCR"/>
                <w:kern w:val="0"/>
                <w:szCs w:val="21"/>
              </w:rPr>
              <w:t>影</w:t>
            </w:r>
          </w:p>
        </w:tc>
      </w:tr>
    </w:tbl>
    <w:p w14:paraId="2F943AC6">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11C8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606B8DF7">
            <w:pPr>
              <w:ind w:firstLine="0" w:firstLineChars="0"/>
              <w:jc w:val="center"/>
              <w:rPr>
                <w:rFonts w:ascii="宋体" w:hAnsi="宋体"/>
              </w:rPr>
            </w:pPr>
            <w:r>
              <w:rPr>
                <w:rFonts w:hint="eastAsia" w:ascii="宋体" w:hAnsi="宋体"/>
              </w:rPr>
              <w:drawing>
                <wp:inline distT="0" distB="0" distL="114300" distR="114300">
                  <wp:extent cx="6182360" cy="4343400"/>
                  <wp:effectExtent l="0" t="0" r="8890" b="0"/>
                  <wp:docPr id="31" name="图片 31" descr="南雄年鉴 2011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南雄年鉴 2011_0006"/>
                          <pic:cNvPicPr>
                            <a:picLocks noChangeAspect="1"/>
                          </pic:cNvPicPr>
                        </pic:nvPicPr>
                        <pic:blipFill>
                          <a:blip r:embed="rId20" cstate="print"/>
                          <a:stretch>
                            <a:fillRect/>
                          </a:stretch>
                        </pic:blipFill>
                        <pic:spPr>
                          <a:xfrm>
                            <a:off x="0" y="0"/>
                            <a:ext cx="6182360" cy="4343400"/>
                          </a:xfrm>
                          <a:prstGeom prst="rect">
                            <a:avLst/>
                          </a:prstGeom>
                        </pic:spPr>
                      </pic:pic>
                    </a:graphicData>
                  </a:graphic>
                </wp:inline>
              </w:drawing>
            </w:r>
          </w:p>
        </w:tc>
      </w:tr>
      <w:tr w14:paraId="5CF21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7BB8602">
            <w:pPr>
              <w:ind w:firstLine="420"/>
              <w:rPr>
                <w:rFonts w:ascii="宋体" w:hAnsi="宋体"/>
              </w:rPr>
            </w:pPr>
            <w:r>
              <w:rPr>
                <w:rFonts w:ascii="宋体" w:hAnsi="宋体" w:cs="HiddenHorzOCR"/>
                <w:kern w:val="0"/>
                <w:szCs w:val="21"/>
              </w:rPr>
              <w:t>2010</w:t>
            </w:r>
            <w:r>
              <w:rPr>
                <w:rFonts w:hint="eastAsia" w:ascii="宋体" w:hAnsi="宋体" w:cs="HiddenHorzOCR"/>
                <w:kern w:val="0"/>
                <w:szCs w:val="21"/>
              </w:rPr>
              <w:t>年</w:t>
            </w:r>
            <w:r>
              <w:rPr>
                <w:rFonts w:ascii="宋体" w:hAnsi="宋体" w:cs="HiddenHorzOCR"/>
                <w:kern w:val="0"/>
                <w:szCs w:val="21"/>
              </w:rPr>
              <w:t>5</w:t>
            </w:r>
            <w:r>
              <w:rPr>
                <w:rFonts w:hint="eastAsia" w:ascii="宋体" w:hAnsi="宋体" w:cs="HiddenHorzOCR"/>
                <w:kern w:val="0"/>
                <w:szCs w:val="21"/>
              </w:rPr>
              <w:t>月</w:t>
            </w:r>
            <w:r>
              <w:rPr>
                <w:rFonts w:ascii="宋体" w:hAnsi="宋体" w:cs="HiddenHorzOCR"/>
                <w:kern w:val="0"/>
                <w:szCs w:val="21"/>
              </w:rPr>
              <w:t>22</w:t>
            </w:r>
            <w:r>
              <w:rPr>
                <w:rFonts w:hint="eastAsia" w:ascii="宋体" w:hAnsi="宋体" w:cs="HiddenHorzOCR"/>
                <w:kern w:val="0"/>
                <w:szCs w:val="21"/>
              </w:rPr>
              <w:t>日，香港特</w:t>
            </w:r>
            <w:r>
              <w:rPr>
                <w:rFonts w:hint="eastAsia" w:ascii="宋体" w:hAnsi="宋体"/>
                <w:kern w:val="0"/>
                <w:szCs w:val="21"/>
              </w:rPr>
              <w:t>别</w:t>
            </w:r>
            <w:r>
              <w:rPr>
                <w:rFonts w:hint="eastAsia" w:ascii="宋体" w:hAnsi="宋体" w:cs="MS Gothic"/>
                <w:kern w:val="0"/>
                <w:szCs w:val="21"/>
              </w:rPr>
              <w:t>行</w:t>
            </w:r>
            <w:r>
              <w:rPr>
                <w:rFonts w:hint="eastAsia" w:ascii="宋体" w:hAnsi="宋体" w:cs="HiddenHorzOCR"/>
                <w:kern w:val="0"/>
                <w:szCs w:val="21"/>
              </w:rPr>
              <w:t>政区行政</w:t>
            </w:r>
            <w:r>
              <w:rPr>
                <w:rFonts w:hint="eastAsia" w:ascii="宋体" w:hAnsi="宋体"/>
                <w:kern w:val="0"/>
                <w:szCs w:val="21"/>
              </w:rPr>
              <w:t>长</w:t>
            </w:r>
            <w:r>
              <w:rPr>
                <w:rFonts w:hint="eastAsia" w:ascii="宋体" w:hAnsi="宋体" w:cs="MS Gothic"/>
                <w:kern w:val="0"/>
                <w:szCs w:val="21"/>
              </w:rPr>
              <w:t>官曾</w:t>
            </w:r>
            <w:r>
              <w:rPr>
                <w:rFonts w:hint="eastAsia" w:ascii="宋体" w:hAnsi="宋体"/>
                <w:kern w:val="0"/>
                <w:szCs w:val="21"/>
              </w:rPr>
              <w:t>荫权</w:t>
            </w:r>
            <w:r>
              <w:rPr>
                <w:rFonts w:hint="eastAsia" w:ascii="宋体" w:hAnsi="宋体" w:cs="MS Gothic"/>
                <w:kern w:val="0"/>
                <w:szCs w:val="21"/>
              </w:rPr>
              <w:t>在珠</w:t>
            </w:r>
            <w:r>
              <w:rPr>
                <w:rFonts w:hint="eastAsia" w:ascii="宋体" w:hAnsi="宋体"/>
                <w:kern w:val="0"/>
                <w:szCs w:val="21"/>
              </w:rPr>
              <w:t>玑</w:t>
            </w:r>
            <w:r>
              <w:rPr>
                <w:rFonts w:hint="eastAsia" w:ascii="宋体" w:hAnsi="宋体" w:cs="MS Gothic"/>
                <w:kern w:val="0"/>
                <w:szCs w:val="21"/>
              </w:rPr>
              <w:t>古巷</w:t>
            </w:r>
            <w:r>
              <w:rPr>
                <w:rFonts w:hint="eastAsia" w:ascii="宋体" w:hAnsi="宋体" w:cs="HiddenHorzOCR"/>
                <w:kern w:val="0"/>
                <w:szCs w:val="21"/>
              </w:rPr>
              <w:t>参</w:t>
            </w:r>
            <w:r>
              <w:rPr>
                <w:rFonts w:hint="eastAsia" w:ascii="宋体" w:hAnsi="宋体"/>
                <w:kern w:val="0"/>
                <w:szCs w:val="21"/>
              </w:rPr>
              <w:t>观</w:t>
            </w:r>
          </w:p>
        </w:tc>
      </w:tr>
    </w:tbl>
    <w:p w14:paraId="4545B4F5">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2D3B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2E469A33">
            <w:pPr>
              <w:ind w:firstLine="0" w:firstLineChars="0"/>
              <w:jc w:val="center"/>
              <w:rPr>
                <w:rFonts w:ascii="宋体" w:hAnsi="宋体"/>
              </w:rPr>
            </w:pPr>
            <w:r>
              <w:rPr>
                <w:rFonts w:hint="eastAsia" w:ascii="宋体" w:hAnsi="宋体"/>
              </w:rPr>
              <w:drawing>
                <wp:inline distT="0" distB="0" distL="114300" distR="114300">
                  <wp:extent cx="6184900" cy="4029075"/>
                  <wp:effectExtent l="0" t="0" r="6350" b="9525"/>
                  <wp:docPr id="32" name="图片 32" descr="南雄年鉴 2011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南雄年鉴 2011_0007"/>
                          <pic:cNvPicPr>
                            <a:picLocks noChangeAspect="1"/>
                          </pic:cNvPicPr>
                        </pic:nvPicPr>
                        <pic:blipFill>
                          <a:blip r:embed="rId21" cstate="print"/>
                          <a:stretch>
                            <a:fillRect/>
                          </a:stretch>
                        </pic:blipFill>
                        <pic:spPr>
                          <a:xfrm>
                            <a:off x="0" y="0"/>
                            <a:ext cx="6184900" cy="4029075"/>
                          </a:xfrm>
                          <a:prstGeom prst="rect">
                            <a:avLst/>
                          </a:prstGeom>
                        </pic:spPr>
                      </pic:pic>
                    </a:graphicData>
                  </a:graphic>
                </wp:inline>
              </w:drawing>
            </w:r>
          </w:p>
        </w:tc>
      </w:tr>
      <w:tr w14:paraId="75F4C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07DC1D89">
            <w:pPr>
              <w:ind w:firstLine="420"/>
              <w:rPr>
                <w:rFonts w:ascii="宋体" w:hAnsi="宋体"/>
              </w:rPr>
            </w:pPr>
            <w:r>
              <w:rPr>
                <w:rFonts w:ascii="宋体" w:hAnsi="宋体" w:cs="HiddenHorzOCR"/>
                <w:kern w:val="0"/>
                <w:szCs w:val="21"/>
              </w:rPr>
              <w:t>2008</w:t>
            </w:r>
            <w:r>
              <w:rPr>
                <w:rFonts w:hint="eastAsia" w:ascii="宋体" w:hAnsi="宋体" w:cs="HiddenHorzOCR"/>
                <w:kern w:val="0"/>
                <w:szCs w:val="21"/>
              </w:rPr>
              <w:t>年</w:t>
            </w:r>
            <w:r>
              <w:rPr>
                <w:rFonts w:ascii="宋体" w:hAnsi="宋体" w:cs="HiddenHorzOCR"/>
                <w:kern w:val="0"/>
                <w:szCs w:val="21"/>
              </w:rPr>
              <w:t>2</w:t>
            </w:r>
            <w:r>
              <w:rPr>
                <w:rFonts w:hint="eastAsia" w:ascii="宋体" w:hAnsi="宋体" w:cs="HiddenHorzOCR"/>
                <w:kern w:val="0"/>
                <w:szCs w:val="21"/>
              </w:rPr>
              <w:t>月</w:t>
            </w:r>
            <w:r>
              <w:rPr>
                <w:rFonts w:ascii="宋体" w:hAnsi="宋体" w:cs="HiddenHorzOCR"/>
                <w:kern w:val="0"/>
                <w:szCs w:val="21"/>
              </w:rPr>
              <w:t>5</w:t>
            </w:r>
            <w:r>
              <w:rPr>
                <w:rFonts w:hint="eastAsia" w:ascii="宋体" w:hAnsi="宋体" w:cs="HiddenHorzOCR"/>
                <w:kern w:val="0"/>
                <w:szCs w:val="21"/>
              </w:rPr>
              <w:t>日，省人大常委会主任欧广源在南雄</w:t>
            </w:r>
            <w:r>
              <w:rPr>
                <w:rFonts w:hint="eastAsia" w:ascii="宋体" w:hAnsi="宋体"/>
                <w:kern w:val="0"/>
                <w:szCs w:val="21"/>
              </w:rPr>
              <w:t>调</w:t>
            </w:r>
            <w:r>
              <w:rPr>
                <w:rFonts w:hint="eastAsia" w:ascii="宋体" w:hAnsi="宋体" w:cs="HiddenHorzOCR"/>
                <w:kern w:val="0"/>
                <w:szCs w:val="21"/>
              </w:rPr>
              <w:t>研</w:t>
            </w:r>
          </w:p>
        </w:tc>
      </w:tr>
    </w:tbl>
    <w:p w14:paraId="6EA6931E">
      <w:pPr>
        <w:ind w:firstLine="0" w:firstLineChars="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F2E0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5CB293C6">
            <w:pPr>
              <w:ind w:firstLine="0" w:firstLineChars="0"/>
              <w:jc w:val="center"/>
              <w:rPr>
                <w:rFonts w:ascii="宋体" w:hAnsi="宋体"/>
              </w:rPr>
            </w:pPr>
            <w:r>
              <w:rPr>
                <w:rFonts w:hint="eastAsia" w:ascii="宋体" w:hAnsi="宋体"/>
              </w:rPr>
              <w:drawing>
                <wp:inline distT="0" distB="0" distL="114300" distR="114300">
                  <wp:extent cx="6186170" cy="4114800"/>
                  <wp:effectExtent l="0" t="0" r="5080" b="0"/>
                  <wp:docPr id="33" name="图片 33" descr="南雄年鉴 2011_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南雄年鉴 2011_0008"/>
                          <pic:cNvPicPr>
                            <a:picLocks noChangeAspect="1"/>
                          </pic:cNvPicPr>
                        </pic:nvPicPr>
                        <pic:blipFill>
                          <a:blip r:embed="rId22" cstate="print"/>
                          <a:stretch>
                            <a:fillRect/>
                          </a:stretch>
                        </pic:blipFill>
                        <pic:spPr>
                          <a:xfrm>
                            <a:off x="0" y="0"/>
                            <a:ext cx="6186170" cy="4114800"/>
                          </a:xfrm>
                          <a:prstGeom prst="rect">
                            <a:avLst/>
                          </a:prstGeom>
                        </pic:spPr>
                      </pic:pic>
                    </a:graphicData>
                  </a:graphic>
                </wp:inline>
              </w:drawing>
            </w:r>
          </w:p>
        </w:tc>
      </w:tr>
      <w:tr w14:paraId="6D68A8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F5F90C5">
            <w:pPr>
              <w:ind w:firstLine="420"/>
              <w:rPr>
                <w:rFonts w:ascii="宋体" w:hAnsi="宋体"/>
              </w:rPr>
            </w:pPr>
            <w:r>
              <w:rPr>
                <w:rFonts w:ascii="宋体" w:hAnsi="宋体" w:cs="HiddenHorzOCR"/>
                <w:kern w:val="0"/>
                <w:szCs w:val="21"/>
              </w:rPr>
              <w:t>2009</w:t>
            </w:r>
            <w:r>
              <w:rPr>
                <w:rFonts w:hint="eastAsia" w:ascii="宋体" w:hAnsi="宋体" w:cs="HiddenHorzOCR"/>
                <w:kern w:val="0"/>
                <w:szCs w:val="21"/>
              </w:rPr>
              <w:t>年</w:t>
            </w:r>
            <w:r>
              <w:rPr>
                <w:rFonts w:ascii="宋体" w:hAnsi="宋体" w:cs="HiddenHorzOCR"/>
                <w:kern w:val="0"/>
                <w:szCs w:val="21"/>
              </w:rPr>
              <w:t>3</w:t>
            </w:r>
            <w:r>
              <w:rPr>
                <w:rFonts w:hint="eastAsia" w:ascii="宋体" w:hAnsi="宋体" w:cs="HiddenHorzOCR"/>
                <w:kern w:val="0"/>
                <w:szCs w:val="21"/>
              </w:rPr>
              <w:t>月，省政</w:t>
            </w:r>
            <w:r>
              <w:rPr>
                <w:rFonts w:hint="eastAsia" w:ascii="宋体" w:hAnsi="宋体"/>
                <w:kern w:val="0"/>
                <w:szCs w:val="21"/>
              </w:rPr>
              <w:t>协</w:t>
            </w:r>
            <w:r>
              <w:rPr>
                <w:rFonts w:hint="eastAsia" w:ascii="宋体" w:hAnsi="宋体" w:cs="HiddenHorzOCR"/>
                <w:kern w:val="0"/>
                <w:szCs w:val="21"/>
              </w:rPr>
              <w:t>主席黄</w:t>
            </w:r>
            <w:r>
              <w:rPr>
                <w:rFonts w:hint="eastAsia" w:ascii="宋体" w:hAnsi="宋体"/>
                <w:kern w:val="0"/>
                <w:szCs w:val="21"/>
              </w:rPr>
              <w:t>龙</w:t>
            </w:r>
            <w:r>
              <w:rPr>
                <w:rFonts w:hint="eastAsia" w:ascii="宋体" w:hAnsi="宋体" w:cs="HiddenHorzOCR"/>
                <w:kern w:val="0"/>
                <w:szCs w:val="21"/>
              </w:rPr>
              <w:t>云在南雄</w:t>
            </w:r>
            <w:r>
              <w:rPr>
                <w:rFonts w:hint="eastAsia" w:ascii="宋体" w:hAnsi="宋体"/>
                <w:kern w:val="0"/>
                <w:szCs w:val="21"/>
              </w:rPr>
              <w:t>调</w:t>
            </w:r>
            <w:r>
              <w:rPr>
                <w:rFonts w:hint="eastAsia" w:ascii="宋体" w:hAnsi="宋体" w:cs="HiddenHorzOCR"/>
                <w:kern w:val="0"/>
                <w:szCs w:val="21"/>
              </w:rPr>
              <w:t>研</w:t>
            </w:r>
          </w:p>
        </w:tc>
      </w:tr>
    </w:tbl>
    <w:p w14:paraId="4BCA77BD">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E82D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4C70269B">
            <w:pPr>
              <w:ind w:firstLine="0" w:firstLineChars="0"/>
              <w:jc w:val="center"/>
              <w:rPr>
                <w:rFonts w:ascii="宋体" w:hAnsi="宋体"/>
              </w:rPr>
            </w:pPr>
            <w:r>
              <w:rPr>
                <w:rFonts w:hint="eastAsia" w:ascii="宋体" w:hAnsi="宋体"/>
              </w:rPr>
              <w:drawing>
                <wp:inline distT="0" distB="0" distL="114300" distR="114300">
                  <wp:extent cx="6181725" cy="4171950"/>
                  <wp:effectExtent l="0" t="0" r="9525" b="0"/>
                  <wp:docPr id="34" name="图片 34" descr="南雄年鉴 2011_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南雄年鉴 2011_0009"/>
                          <pic:cNvPicPr>
                            <a:picLocks noChangeAspect="1"/>
                          </pic:cNvPicPr>
                        </pic:nvPicPr>
                        <pic:blipFill>
                          <a:blip r:embed="rId23" cstate="print"/>
                          <a:stretch>
                            <a:fillRect/>
                          </a:stretch>
                        </pic:blipFill>
                        <pic:spPr>
                          <a:xfrm>
                            <a:off x="0" y="0"/>
                            <a:ext cx="6181725" cy="4171950"/>
                          </a:xfrm>
                          <a:prstGeom prst="rect">
                            <a:avLst/>
                          </a:prstGeom>
                        </pic:spPr>
                      </pic:pic>
                    </a:graphicData>
                  </a:graphic>
                </wp:inline>
              </w:drawing>
            </w:r>
          </w:p>
        </w:tc>
      </w:tr>
      <w:tr w14:paraId="77A7B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9B95E88">
            <w:pPr>
              <w:ind w:firstLine="420"/>
              <w:rPr>
                <w:rFonts w:ascii="宋体" w:hAnsi="宋体"/>
              </w:rPr>
            </w:pPr>
            <w:r>
              <w:rPr>
                <w:rFonts w:ascii="宋体" w:hAnsi="宋体" w:cs="HiddenHorzOCR"/>
                <w:kern w:val="0"/>
                <w:szCs w:val="21"/>
              </w:rPr>
              <w:t>2010</w:t>
            </w:r>
            <w:r>
              <w:rPr>
                <w:rFonts w:hint="eastAsia" w:ascii="宋体" w:hAnsi="宋体" w:cs="HiddenHorzOCR"/>
                <w:kern w:val="0"/>
                <w:szCs w:val="21"/>
              </w:rPr>
              <w:t>年</w:t>
            </w:r>
            <w:r>
              <w:rPr>
                <w:rFonts w:ascii="宋体" w:hAnsi="宋体" w:cs="HiddenHorzOCR"/>
                <w:kern w:val="0"/>
                <w:szCs w:val="21"/>
              </w:rPr>
              <w:t>6</w:t>
            </w:r>
            <w:r>
              <w:rPr>
                <w:rFonts w:hint="eastAsia" w:ascii="宋体" w:hAnsi="宋体" w:cs="HiddenHorzOCR"/>
                <w:kern w:val="0"/>
                <w:szCs w:val="21"/>
              </w:rPr>
              <w:t>月</w:t>
            </w:r>
            <w:r>
              <w:rPr>
                <w:rFonts w:ascii="宋体" w:hAnsi="宋体" w:cs="HiddenHorzOCR"/>
                <w:kern w:val="0"/>
                <w:szCs w:val="21"/>
              </w:rPr>
              <w:t>13</w:t>
            </w:r>
            <w:r>
              <w:rPr>
                <w:rFonts w:hint="eastAsia" w:ascii="宋体" w:hAnsi="宋体" w:cs="HiddenHorzOCR"/>
                <w:kern w:val="0"/>
                <w:szCs w:val="21"/>
              </w:rPr>
              <w:t>日，中央党史研究室第一研究部副主任李蓉出席南雄市被确</w:t>
            </w:r>
            <w:r>
              <w:rPr>
                <w:rFonts w:hint="eastAsia" w:ascii="宋体" w:hAnsi="宋体"/>
                <w:kern w:val="0"/>
                <w:szCs w:val="21"/>
              </w:rPr>
              <w:t>认为</w:t>
            </w:r>
            <w:r>
              <w:rPr>
                <w:rFonts w:hint="eastAsia" w:ascii="宋体" w:hAnsi="宋体" w:cs="MS Gothic"/>
                <w:kern w:val="0"/>
                <w:szCs w:val="21"/>
              </w:rPr>
              <w:t>中央</w:t>
            </w:r>
            <w:r>
              <w:rPr>
                <w:rFonts w:hint="eastAsia" w:ascii="宋体" w:hAnsi="宋体"/>
                <w:kern w:val="0"/>
                <w:szCs w:val="21"/>
              </w:rPr>
              <w:t>苏</w:t>
            </w:r>
            <w:r>
              <w:rPr>
                <w:rFonts w:hint="eastAsia" w:ascii="宋体" w:hAnsi="宋体" w:cs="MS Gothic"/>
                <w:kern w:val="0"/>
                <w:szCs w:val="21"/>
              </w:rPr>
              <w:t>区</w:t>
            </w:r>
            <w:r>
              <w:rPr>
                <w:rFonts w:hint="eastAsia" w:ascii="宋体" w:hAnsi="宋体"/>
                <w:kern w:val="0"/>
                <w:szCs w:val="21"/>
              </w:rPr>
              <w:t>县</w:t>
            </w:r>
            <w:r>
              <w:rPr>
                <w:rFonts w:hint="eastAsia" w:ascii="宋体" w:hAnsi="宋体" w:cs="MS Gothic"/>
                <w:kern w:val="0"/>
                <w:szCs w:val="21"/>
              </w:rPr>
              <w:t>新</w:t>
            </w:r>
            <w:r>
              <w:rPr>
                <w:rFonts w:hint="eastAsia" w:ascii="宋体" w:hAnsi="宋体"/>
                <w:kern w:val="0"/>
                <w:szCs w:val="21"/>
              </w:rPr>
              <w:t>闻发</w:t>
            </w:r>
            <w:r>
              <w:rPr>
                <w:rFonts w:hint="eastAsia" w:ascii="宋体" w:hAnsi="宋体" w:cs="MS Gothic"/>
                <w:kern w:val="0"/>
                <w:szCs w:val="21"/>
              </w:rPr>
              <w:t>布</w:t>
            </w:r>
            <w:r>
              <w:rPr>
                <w:rFonts w:hint="eastAsia" w:ascii="宋体" w:hAnsi="宋体" w:cs="HiddenHorzOCR"/>
                <w:kern w:val="0"/>
                <w:szCs w:val="21"/>
              </w:rPr>
              <w:t>会</w:t>
            </w:r>
          </w:p>
        </w:tc>
      </w:tr>
    </w:tbl>
    <w:p w14:paraId="37815971">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4C06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0D2E54B2">
            <w:pPr>
              <w:ind w:firstLine="0" w:firstLineChars="0"/>
              <w:jc w:val="center"/>
              <w:rPr>
                <w:rFonts w:ascii="宋体" w:hAnsi="宋体"/>
              </w:rPr>
            </w:pPr>
            <w:r>
              <w:rPr>
                <w:rFonts w:hint="eastAsia" w:ascii="宋体" w:hAnsi="宋体"/>
              </w:rPr>
              <w:drawing>
                <wp:inline distT="0" distB="0" distL="114300" distR="114300">
                  <wp:extent cx="6184265" cy="4183380"/>
                  <wp:effectExtent l="0" t="0" r="6985" b="7620"/>
                  <wp:docPr id="35" name="图片 35" descr="南雄年鉴 2011_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南雄年鉴 2011_0010"/>
                          <pic:cNvPicPr>
                            <a:picLocks noChangeAspect="1"/>
                          </pic:cNvPicPr>
                        </pic:nvPicPr>
                        <pic:blipFill>
                          <a:blip r:embed="rId24" cstate="print"/>
                          <a:stretch>
                            <a:fillRect/>
                          </a:stretch>
                        </pic:blipFill>
                        <pic:spPr>
                          <a:xfrm>
                            <a:off x="0" y="0"/>
                            <a:ext cx="6184265" cy="4183380"/>
                          </a:xfrm>
                          <a:prstGeom prst="rect">
                            <a:avLst/>
                          </a:prstGeom>
                        </pic:spPr>
                      </pic:pic>
                    </a:graphicData>
                  </a:graphic>
                </wp:inline>
              </w:drawing>
            </w:r>
          </w:p>
        </w:tc>
      </w:tr>
      <w:tr w14:paraId="1AE4D7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AF9C924">
            <w:pPr>
              <w:ind w:firstLine="420"/>
              <w:rPr>
                <w:rFonts w:ascii="宋体" w:hAnsi="宋体"/>
              </w:rPr>
            </w:pPr>
            <w:r>
              <w:rPr>
                <w:rFonts w:ascii="宋体" w:hAnsi="宋体" w:cs="HiddenHorzOCR"/>
                <w:kern w:val="0"/>
                <w:szCs w:val="21"/>
              </w:rPr>
              <w:t>2010</w:t>
            </w:r>
            <w:r>
              <w:rPr>
                <w:rFonts w:hint="eastAsia" w:ascii="宋体" w:hAnsi="宋体" w:cs="HiddenHorzOCR"/>
                <w:kern w:val="0"/>
                <w:szCs w:val="21"/>
              </w:rPr>
              <w:t>年</w:t>
            </w:r>
            <w:r>
              <w:rPr>
                <w:rFonts w:ascii="宋体" w:hAnsi="宋体" w:cs="HiddenHorzOCR"/>
                <w:kern w:val="0"/>
                <w:szCs w:val="21"/>
              </w:rPr>
              <w:t>2</w:t>
            </w:r>
            <w:r>
              <w:rPr>
                <w:rFonts w:hint="eastAsia" w:ascii="宋体" w:hAnsi="宋体" w:cs="HiddenHorzOCR"/>
                <w:kern w:val="0"/>
                <w:szCs w:val="21"/>
              </w:rPr>
              <w:t>月</w:t>
            </w:r>
            <w:r>
              <w:rPr>
                <w:rFonts w:ascii="宋体" w:hAnsi="宋体" w:cs="HiddenHorzOCR"/>
                <w:kern w:val="0"/>
                <w:szCs w:val="21"/>
              </w:rPr>
              <w:t>5</w:t>
            </w:r>
            <w:r>
              <w:rPr>
                <w:rFonts w:hint="eastAsia" w:ascii="宋体" w:hAnsi="宋体" w:cs="HiddenHorzOCR"/>
                <w:kern w:val="0"/>
                <w:szCs w:val="21"/>
              </w:rPr>
              <w:t>日，南雄市委</w:t>
            </w:r>
            <w:r>
              <w:rPr>
                <w:rFonts w:hint="eastAsia" w:ascii="宋体" w:hAnsi="宋体"/>
                <w:kern w:val="0"/>
                <w:szCs w:val="21"/>
              </w:rPr>
              <w:t>书记</w:t>
            </w:r>
            <w:r>
              <w:rPr>
                <w:rFonts w:hint="eastAsia" w:ascii="宋体" w:hAnsi="宋体" w:cs="MS Gothic"/>
                <w:kern w:val="0"/>
                <w:szCs w:val="21"/>
              </w:rPr>
              <w:t>林楚欣</w:t>
            </w:r>
            <w:r>
              <w:rPr>
                <w:rFonts w:hint="eastAsia" w:ascii="宋体" w:hAnsi="宋体" w:cs="HiddenHorzOCR"/>
                <w:kern w:val="0"/>
                <w:szCs w:val="21"/>
              </w:rPr>
              <w:t>（右一）、市</w:t>
            </w:r>
            <w:r>
              <w:rPr>
                <w:rFonts w:hint="eastAsia" w:ascii="宋体" w:hAnsi="宋体"/>
                <w:kern w:val="0"/>
                <w:szCs w:val="21"/>
              </w:rPr>
              <w:t>长许</w:t>
            </w:r>
            <w:r>
              <w:rPr>
                <w:rFonts w:hint="eastAsia" w:ascii="宋体" w:hAnsi="宋体" w:cs="MS Gothic"/>
                <w:kern w:val="0"/>
                <w:szCs w:val="21"/>
              </w:rPr>
              <w:t>志新</w:t>
            </w:r>
            <w:r>
              <w:rPr>
                <w:rFonts w:hint="eastAsia" w:ascii="宋体" w:hAnsi="宋体" w:cs="HiddenHorzOCR"/>
                <w:kern w:val="0"/>
                <w:szCs w:val="21"/>
              </w:rPr>
              <w:t>（左一）陪同韶关市委</w:t>
            </w:r>
            <w:r>
              <w:rPr>
                <w:rFonts w:hint="eastAsia" w:ascii="宋体" w:hAnsi="宋体"/>
                <w:kern w:val="0"/>
                <w:szCs w:val="21"/>
              </w:rPr>
              <w:t>书记</w:t>
            </w:r>
            <w:r>
              <w:rPr>
                <w:rFonts w:hint="eastAsia" w:ascii="宋体" w:hAnsi="宋体" w:cs="MS Gothic"/>
                <w:kern w:val="0"/>
                <w:szCs w:val="21"/>
              </w:rPr>
              <w:t>徐建</w:t>
            </w:r>
            <w:r>
              <w:rPr>
                <w:rFonts w:hint="eastAsia" w:ascii="宋体" w:hAnsi="宋体"/>
                <w:kern w:val="0"/>
                <w:szCs w:val="21"/>
              </w:rPr>
              <w:t>华</w:t>
            </w:r>
            <w:r>
              <w:rPr>
                <w:rFonts w:hint="eastAsia" w:ascii="宋体" w:hAnsi="宋体" w:cs="HiddenHorzOCR"/>
                <w:kern w:val="0"/>
                <w:szCs w:val="21"/>
              </w:rPr>
              <w:t>（中）在南雄考察工作</w:t>
            </w:r>
          </w:p>
        </w:tc>
      </w:tr>
    </w:tbl>
    <w:p w14:paraId="1FAFD8E5">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8B2D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0FAD7D44">
            <w:pPr>
              <w:ind w:firstLine="0" w:firstLineChars="0"/>
              <w:jc w:val="center"/>
              <w:rPr>
                <w:rFonts w:ascii="宋体" w:hAnsi="宋体"/>
              </w:rPr>
            </w:pPr>
            <w:r>
              <w:rPr>
                <w:rFonts w:hint="eastAsia" w:ascii="宋体" w:hAnsi="宋体"/>
              </w:rPr>
              <w:drawing>
                <wp:inline distT="0" distB="0" distL="114300" distR="114300">
                  <wp:extent cx="6187440" cy="4194810"/>
                  <wp:effectExtent l="0" t="0" r="3810" b="15240"/>
                  <wp:docPr id="48" name="图片 48" descr="南雄年鉴 2011_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南雄年鉴 2011_0011"/>
                          <pic:cNvPicPr>
                            <a:picLocks noChangeAspect="1"/>
                          </pic:cNvPicPr>
                        </pic:nvPicPr>
                        <pic:blipFill>
                          <a:blip r:embed="rId25" cstate="print"/>
                          <a:stretch>
                            <a:fillRect/>
                          </a:stretch>
                        </pic:blipFill>
                        <pic:spPr>
                          <a:xfrm>
                            <a:off x="0" y="0"/>
                            <a:ext cx="6187440" cy="4194810"/>
                          </a:xfrm>
                          <a:prstGeom prst="rect">
                            <a:avLst/>
                          </a:prstGeom>
                        </pic:spPr>
                      </pic:pic>
                    </a:graphicData>
                  </a:graphic>
                </wp:inline>
              </w:drawing>
            </w:r>
          </w:p>
        </w:tc>
      </w:tr>
      <w:tr w14:paraId="1020D4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0B3C4DD6">
            <w:pPr>
              <w:ind w:firstLine="420"/>
              <w:rPr>
                <w:rFonts w:ascii="宋体" w:hAnsi="宋体"/>
              </w:rPr>
            </w:pPr>
            <w:r>
              <w:rPr>
                <w:rFonts w:hint="eastAsia" w:ascii="宋体" w:hAnsi="宋体" w:cs="HiddenHorzOCR"/>
                <w:kern w:val="0"/>
                <w:szCs w:val="21"/>
              </w:rPr>
              <w:t>韶关市委</w:t>
            </w:r>
            <w:r>
              <w:rPr>
                <w:rFonts w:hint="eastAsia" w:ascii="宋体" w:hAnsi="宋体"/>
                <w:kern w:val="0"/>
                <w:szCs w:val="21"/>
              </w:rPr>
              <w:t>书记郑</w:t>
            </w:r>
            <w:r>
              <w:rPr>
                <w:rFonts w:hint="eastAsia" w:ascii="宋体" w:hAnsi="宋体" w:cs="MS Gothic"/>
                <w:kern w:val="0"/>
                <w:szCs w:val="21"/>
              </w:rPr>
              <w:t>振涛</w:t>
            </w:r>
            <w:r>
              <w:rPr>
                <w:rFonts w:hint="eastAsia" w:ascii="宋体" w:hAnsi="宋体" w:cs="HiddenHorzOCR"/>
                <w:kern w:val="0"/>
                <w:szCs w:val="21"/>
              </w:rPr>
              <w:t>（中）到南雄</w:t>
            </w:r>
            <w:r>
              <w:rPr>
                <w:rFonts w:hint="eastAsia" w:ascii="宋体" w:hAnsi="宋体"/>
                <w:kern w:val="0"/>
                <w:szCs w:val="21"/>
              </w:rPr>
              <w:t>调</w:t>
            </w:r>
            <w:r>
              <w:rPr>
                <w:rFonts w:hint="eastAsia" w:ascii="宋体" w:hAnsi="宋体" w:cs="HiddenHorzOCR"/>
                <w:kern w:val="0"/>
                <w:szCs w:val="21"/>
              </w:rPr>
              <w:t>研</w:t>
            </w:r>
          </w:p>
        </w:tc>
      </w:tr>
    </w:tbl>
    <w:p w14:paraId="74D7462C">
      <w:pPr>
        <w:pStyle w:val="3"/>
      </w:pPr>
      <w:r>
        <w:t>大事要闻</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D8802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11FEBAE1">
            <w:pPr>
              <w:ind w:firstLine="0" w:firstLineChars="0"/>
              <w:jc w:val="center"/>
              <w:rPr>
                <w:rFonts w:ascii="宋体" w:hAnsi="宋体"/>
              </w:rPr>
            </w:pPr>
            <w:r>
              <w:rPr>
                <w:rFonts w:hint="eastAsia" w:ascii="宋体" w:hAnsi="宋体"/>
              </w:rPr>
              <w:drawing>
                <wp:inline distT="0" distB="0" distL="114300" distR="114300">
                  <wp:extent cx="6182995" cy="4480560"/>
                  <wp:effectExtent l="0" t="0" r="8255" b="15240"/>
                  <wp:docPr id="49" name="图片 49" descr="南雄年鉴 2011_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南雄年鉴 2011_0012"/>
                          <pic:cNvPicPr>
                            <a:picLocks noChangeAspect="1"/>
                          </pic:cNvPicPr>
                        </pic:nvPicPr>
                        <pic:blipFill>
                          <a:blip r:embed="rId26" cstate="print"/>
                          <a:stretch>
                            <a:fillRect/>
                          </a:stretch>
                        </pic:blipFill>
                        <pic:spPr>
                          <a:xfrm>
                            <a:off x="0" y="0"/>
                            <a:ext cx="6182995" cy="4480560"/>
                          </a:xfrm>
                          <a:prstGeom prst="rect">
                            <a:avLst/>
                          </a:prstGeom>
                        </pic:spPr>
                      </pic:pic>
                    </a:graphicData>
                  </a:graphic>
                </wp:inline>
              </w:drawing>
            </w:r>
          </w:p>
        </w:tc>
      </w:tr>
      <w:tr w14:paraId="047E8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834B7BF">
            <w:pPr>
              <w:ind w:firstLine="420"/>
              <w:jc w:val="center"/>
              <w:rPr>
                <w:rFonts w:ascii="宋体" w:hAnsi="宋体"/>
              </w:rPr>
            </w:pPr>
            <w:r>
              <w:rPr>
                <w:rFonts w:hint="eastAsia" w:ascii="宋体" w:hAnsi="宋体"/>
                <w:kern w:val="0"/>
                <w:szCs w:val="21"/>
              </w:rPr>
              <w:t>中共南雄市委</w:t>
            </w:r>
            <w:r>
              <w:rPr>
                <w:rFonts w:hint="eastAsia" w:ascii="宋体" w:hAnsi="宋体" w:cs="宋体"/>
                <w:kern w:val="0"/>
                <w:szCs w:val="21"/>
              </w:rPr>
              <w:t>书记</w:t>
            </w:r>
            <w:r>
              <w:rPr>
                <w:rFonts w:hint="eastAsia" w:ascii="宋体" w:hAnsi="宋体" w:cs="MS Gothic"/>
                <w:kern w:val="0"/>
                <w:szCs w:val="21"/>
              </w:rPr>
              <w:t xml:space="preserve">、市人大常委会主任  </w:t>
            </w:r>
            <w:r>
              <w:rPr>
                <w:rFonts w:hint="eastAsia" w:ascii="宋体" w:hAnsi="宋体" w:cs="宋体"/>
                <w:kern w:val="0"/>
                <w:szCs w:val="21"/>
              </w:rPr>
              <w:t>许</w:t>
            </w:r>
            <w:r>
              <w:rPr>
                <w:rFonts w:hint="eastAsia" w:ascii="宋体" w:hAnsi="宋体" w:cs="MS Gothic"/>
                <w:kern w:val="0"/>
                <w:szCs w:val="21"/>
              </w:rPr>
              <w:t>志新</w:t>
            </w:r>
          </w:p>
        </w:tc>
      </w:tr>
    </w:tbl>
    <w:p w14:paraId="6D49B834">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B36C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721F7377">
            <w:pPr>
              <w:ind w:firstLine="0" w:firstLineChars="0"/>
              <w:jc w:val="center"/>
              <w:rPr>
                <w:rFonts w:ascii="宋体" w:hAnsi="宋体"/>
              </w:rPr>
            </w:pPr>
            <w:r>
              <w:rPr>
                <w:rFonts w:hint="eastAsia" w:ascii="宋体" w:hAnsi="宋体"/>
              </w:rPr>
              <w:drawing>
                <wp:inline distT="0" distB="0" distL="114300" distR="114300">
                  <wp:extent cx="6188075" cy="4612005"/>
                  <wp:effectExtent l="0" t="0" r="3175" b="17145"/>
                  <wp:docPr id="50" name="图片 50" descr="南雄年鉴 2011_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南雄年鉴 2011_0013"/>
                          <pic:cNvPicPr>
                            <a:picLocks noChangeAspect="1"/>
                          </pic:cNvPicPr>
                        </pic:nvPicPr>
                        <pic:blipFill>
                          <a:blip r:embed="rId27" cstate="print"/>
                          <a:stretch>
                            <a:fillRect/>
                          </a:stretch>
                        </pic:blipFill>
                        <pic:spPr>
                          <a:xfrm>
                            <a:off x="0" y="0"/>
                            <a:ext cx="6188075" cy="4612005"/>
                          </a:xfrm>
                          <a:prstGeom prst="rect">
                            <a:avLst/>
                          </a:prstGeom>
                        </pic:spPr>
                      </pic:pic>
                    </a:graphicData>
                  </a:graphic>
                </wp:inline>
              </w:drawing>
            </w:r>
          </w:p>
        </w:tc>
      </w:tr>
      <w:tr w14:paraId="1E518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EA5960D">
            <w:pPr>
              <w:ind w:firstLine="420"/>
              <w:jc w:val="center"/>
              <w:rPr>
                <w:rFonts w:ascii="宋体" w:hAnsi="宋体"/>
              </w:rPr>
            </w:pPr>
            <w:r>
              <w:rPr>
                <w:rFonts w:hint="eastAsia" w:ascii="宋体" w:hAnsi="宋体"/>
                <w:color w:val="414343"/>
                <w:kern w:val="0"/>
                <w:szCs w:val="21"/>
              </w:rPr>
              <w:t>南雄市</w:t>
            </w:r>
            <w:r>
              <w:rPr>
                <w:rFonts w:hint="eastAsia" w:ascii="宋体" w:hAnsi="宋体"/>
                <w:kern w:val="0"/>
                <w:szCs w:val="21"/>
              </w:rPr>
              <w:t>人民政府市</w:t>
            </w:r>
            <w:r>
              <w:rPr>
                <w:rFonts w:hint="eastAsia" w:ascii="宋体" w:hAnsi="宋体" w:cs="宋体"/>
                <w:kern w:val="0"/>
                <w:szCs w:val="21"/>
              </w:rPr>
              <w:t xml:space="preserve">长  </w:t>
            </w:r>
            <w:r>
              <w:rPr>
                <w:rFonts w:hint="eastAsia" w:ascii="宋体" w:hAnsi="宋体" w:cs="MS Gothic"/>
                <w:kern w:val="0"/>
                <w:szCs w:val="21"/>
              </w:rPr>
              <w:t>刘</w:t>
            </w:r>
            <w:r>
              <w:rPr>
                <w:rFonts w:hint="eastAsia" w:ascii="宋体" w:hAnsi="宋体"/>
                <w:color w:val="414343"/>
                <w:kern w:val="0"/>
                <w:szCs w:val="21"/>
              </w:rPr>
              <w:t>清生</w:t>
            </w:r>
          </w:p>
        </w:tc>
      </w:tr>
    </w:tbl>
    <w:p w14:paraId="24FD704B">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DB46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3E852B42">
            <w:pPr>
              <w:ind w:firstLine="0" w:firstLineChars="0"/>
              <w:jc w:val="center"/>
              <w:rPr>
                <w:rFonts w:ascii="宋体" w:hAnsi="宋体"/>
              </w:rPr>
            </w:pPr>
            <w:r>
              <w:rPr>
                <w:rFonts w:hint="eastAsia" w:ascii="宋体" w:hAnsi="宋体"/>
              </w:rPr>
              <w:drawing>
                <wp:inline distT="0" distB="0" distL="114300" distR="114300">
                  <wp:extent cx="6182360" cy="4126230"/>
                  <wp:effectExtent l="0" t="0" r="8890" b="7620"/>
                  <wp:docPr id="51" name="图片 51" descr="南雄年鉴 2011_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南雄年鉴 2011_0014"/>
                          <pic:cNvPicPr>
                            <a:picLocks noChangeAspect="1"/>
                          </pic:cNvPicPr>
                        </pic:nvPicPr>
                        <pic:blipFill>
                          <a:blip r:embed="rId28" cstate="print"/>
                          <a:stretch>
                            <a:fillRect/>
                          </a:stretch>
                        </pic:blipFill>
                        <pic:spPr>
                          <a:xfrm>
                            <a:off x="0" y="0"/>
                            <a:ext cx="6182360" cy="4126230"/>
                          </a:xfrm>
                          <a:prstGeom prst="rect">
                            <a:avLst/>
                          </a:prstGeom>
                        </pic:spPr>
                      </pic:pic>
                    </a:graphicData>
                  </a:graphic>
                </wp:inline>
              </w:drawing>
            </w:r>
          </w:p>
        </w:tc>
      </w:tr>
      <w:tr w14:paraId="493F1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587945A">
            <w:pPr>
              <w:ind w:firstLine="420"/>
              <w:jc w:val="center"/>
              <w:rPr>
                <w:rFonts w:ascii="宋体" w:hAnsi="宋体"/>
              </w:rPr>
            </w:pPr>
            <w:r>
              <w:rPr>
                <w:rFonts w:ascii="宋体" w:hAnsi="宋体"/>
                <w:color w:val="2F2D2E"/>
                <w:kern w:val="0"/>
                <w:szCs w:val="21"/>
              </w:rPr>
              <w:t>2010</w:t>
            </w:r>
            <w:r>
              <w:rPr>
                <w:rFonts w:hint="eastAsia" w:ascii="宋体" w:hAnsi="宋体"/>
                <w:color w:val="2F2D2E"/>
                <w:kern w:val="0"/>
                <w:szCs w:val="21"/>
              </w:rPr>
              <w:t>年</w:t>
            </w:r>
            <w:r>
              <w:rPr>
                <w:rFonts w:ascii="宋体" w:hAnsi="宋体"/>
                <w:color w:val="2F2D2E"/>
                <w:kern w:val="0"/>
                <w:szCs w:val="21"/>
              </w:rPr>
              <w:t>11</w:t>
            </w:r>
            <w:r>
              <w:rPr>
                <w:rFonts w:hint="eastAsia" w:ascii="宋体" w:hAnsi="宋体"/>
                <w:color w:val="2F2D2E"/>
                <w:kern w:val="0"/>
                <w:szCs w:val="21"/>
              </w:rPr>
              <w:t>月</w:t>
            </w:r>
            <w:r>
              <w:rPr>
                <w:rFonts w:ascii="宋体" w:hAnsi="宋体"/>
                <w:color w:val="2F2D2E"/>
                <w:kern w:val="0"/>
                <w:szCs w:val="21"/>
              </w:rPr>
              <w:t>18</w:t>
            </w:r>
            <w:r>
              <w:rPr>
                <w:rFonts w:hint="eastAsia" w:ascii="宋体" w:hAnsi="宋体"/>
                <w:color w:val="2F2D2E"/>
                <w:kern w:val="0"/>
                <w:szCs w:val="21"/>
              </w:rPr>
              <w:t>日</w:t>
            </w:r>
            <w:r>
              <w:rPr>
                <w:rFonts w:hint="eastAsia" w:ascii="宋体" w:hAnsi="宋体"/>
                <w:color w:val="5E5E5C"/>
                <w:kern w:val="0"/>
                <w:szCs w:val="21"/>
              </w:rPr>
              <w:t>，</w:t>
            </w:r>
            <w:r>
              <w:rPr>
                <w:rFonts w:hint="eastAsia" w:ascii="宋体" w:hAnsi="宋体"/>
                <w:color w:val="2F2D2E"/>
                <w:kern w:val="0"/>
                <w:szCs w:val="21"/>
              </w:rPr>
              <w:t>召开南雄市人大常委会</w:t>
            </w:r>
            <w:r>
              <w:rPr>
                <w:rFonts w:hint="eastAsia" w:ascii="宋体" w:hAnsi="宋体" w:cs="宋体"/>
                <w:color w:val="2F2D2E"/>
                <w:kern w:val="0"/>
                <w:szCs w:val="21"/>
              </w:rPr>
              <w:t>设</w:t>
            </w:r>
            <w:r>
              <w:rPr>
                <w:rFonts w:hint="eastAsia" w:ascii="宋体" w:hAnsi="宋体" w:cs="MS Gothic"/>
                <w:color w:val="2F2D2E"/>
                <w:kern w:val="0"/>
                <w:szCs w:val="21"/>
              </w:rPr>
              <w:t>立</w:t>
            </w:r>
            <w:r>
              <w:rPr>
                <w:rFonts w:ascii="宋体" w:hAnsi="宋体"/>
                <w:color w:val="2F2D2E"/>
                <w:kern w:val="0"/>
                <w:szCs w:val="21"/>
              </w:rPr>
              <w:t>30</w:t>
            </w:r>
            <w:r>
              <w:rPr>
                <w:rFonts w:hint="eastAsia" w:ascii="宋体" w:hAnsi="宋体"/>
                <w:color w:val="2F2D2E"/>
                <w:kern w:val="0"/>
                <w:szCs w:val="21"/>
              </w:rPr>
              <w:t>周年</w:t>
            </w:r>
            <w:r>
              <w:rPr>
                <w:rFonts w:hint="eastAsia" w:ascii="宋体" w:hAnsi="宋体" w:cs="宋体"/>
                <w:color w:val="2F2D2E"/>
                <w:kern w:val="0"/>
                <w:szCs w:val="21"/>
              </w:rPr>
              <w:t>纪</w:t>
            </w:r>
            <w:r>
              <w:rPr>
                <w:rFonts w:hint="eastAsia" w:ascii="宋体" w:hAnsi="宋体" w:cs="MS Gothic"/>
                <w:color w:val="2F2D2E"/>
                <w:kern w:val="0"/>
                <w:szCs w:val="21"/>
              </w:rPr>
              <w:t>念大</w:t>
            </w:r>
            <w:r>
              <w:rPr>
                <w:rFonts w:hint="eastAsia" w:ascii="宋体" w:hAnsi="宋体"/>
                <w:color w:val="2F2D2E"/>
                <w:kern w:val="0"/>
                <w:szCs w:val="21"/>
              </w:rPr>
              <w:t>会</w:t>
            </w:r>
          </w:p>
        </w:tc>
      </w:tr>
    </w:tbl>
    <w:p w14:paraId="5D24EB88">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280FB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4230376F">
            <w:pPr>
              <w:ind w:firstLine="0" w:firstLineChars="0"/>
              <w:jc w:val="center"/>
              <w:rPr>
                <w:rFonts w:ascii="宋体" w:hAnsi="宋体"/>
              </w:rPr>
            </w:pPr>
            <w:r>
              <w:rPr>
                <w:rFonts w:hint="eastAsia" w:ascii="宋体" w:hAnsi="宋体"/>
              </w:rPr>
              <w:drawing>
                <wp:inline distT="0" distB="0" distL="114300" distR="114300">
                  <wp:extent cx="6187440" cy="4655820"/>
                  <wp:effectExtent l="0" t="0" r="3810" b="11430"/>
                  <wp:docPr id="52" name="图片 52" descr="南雄年鉴 2011_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南雄年鉴 2011_0015"/>
                          <pic:cNvPicPr>
                            <a:picLocks noChangeAspect="1"/>
                          </pic:cNvPicPr>
                        </pic:nvPicPr>
                        <pic:blipFill>
                          <a:blip r:embed="rId29" cstate="print"/>
                          <a:stretch>
                            <a:fillRect/>
                          </a:stretch>
                        </pic:blipFill>
                        <pic:spPr>
                          <a:xfrm>
                            <a:off x="0" y="0"/>
                            <a:ext cx="6187440" cy="4655820"/>
                          </a:xfrm>
                          <a:prstGeom prst="rect">
                            <a:avLst/>
                          </a:prstGeom>
                        </pic:spPr>
                      </pic:pic>
                    </a:graphicData>
                  </a:graphic>
                </wp:inline>
              </w:drawing>
            </w:r>
          </w:p>
        </w:tc>
      </w:tr>
      <w:tr w14:paraId="22ECC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FA021B5">
            <w:pPr>
              <w:ind w:firstLine="420"/>
              <w:jc w:val="center"/>
              <w:rPr>
                <w:rFonts w:ascii="宋体" w:hAnsi="宋体"/>
              </w:rPr>
            </w:pPr>
            <w:r>
              <w:rPr>
                <w:rFonts w:ascii="宋体" w:hAnsi="宋体"/>
                <w:color w:val="2F2D2E"/>
                <w:kern w:val="0"/>
                <w:szCs w:val="21"/>
              </w:rPr>
              <w:t>2010</w:t>
            </w:r>
            <w:r>
              <w:rPr>
                <w:rFonts w:hint="eastAsia" w:ascii="宋体" w:hAnsi="宋体"/>
                <w:color w:val="2F2D2E"/>
                <w:kern w:val="0"/>
                <w:szCs w:val="21"/>
              </w:rPr>
              <w:t>年</w:t>
            </w:r>
            <w:r>
              <w:rPr>
                <w:rFonts w:ascii="宋体" w:hAnsi="宋体"/>
                <w:color w:val="2F2D2E"/>
                <w:kern w:val="0"/>
                <w:szCs w:val="21"/>
              </w:rPr>
              <w:t>11</w:t>
            </w:r>
            <w:r>
              <w:rPr>
                <w:rFonts w:hint="eastAsia" w:ascii="宋体" w:hAnsi="宋体"/>
                <w:color w:val="2F2D2E"/>
                <w:kern w:val="0"/>
                <w:szCs w:val="21"/>
              </w:rPr>
              <w:t>月</w:t>
            </w:r>
            <w:r>
              <w:rPr>
                <w:rFonts w:hint="eastAsia" w:ascii="宋体" w:hAnsi="宋体"/>
                <w:color w:val="5E5E5C"/>
                <w:kern w:val="0"/>
                <w:szCs w:val="21"/>
              </w:rPr>
              <w:t>，</w:t>
            </w:r>
            <w:r>
              <w:rPr>
                <w:rFonts w:hint="eastAsia" w:ascii="宋体" w:hAnsi="宋体"/>
                <w:color w:val="2F2D2E"/>
                <w:kern w:val="0"/>
                <w:szCs w:val="21"/>
              </w:rPr>
              <w:t>召开南雄市</w:t>
            </w:r>
            <w:r>
              <w:rPr>
                <w:rFonts w:hint="eastAsia" w:ascii="宋体" w:hAnsi="宋体" w:cs="宋体"/>
                <w:color w:val="2F2D2E"/>
                <w:kern w:val="0"/>
                <w:szCs w:val="21"/>
              </w:rPr>
              <w:t>庆</w:t>
            </w:r>
            <w:r>
              <w:rPr>
                <w:rFonts w:hint="eastAsia" w:ascii="宋体" w:hAnsi="宋体" w:cs="MS Gothic"/>
                <w:color w:val="2F2D2E"/>
                <w:kern w:val="0"/>
                <w:szCs w:val="21"/>
              </w:rPr>
              <w:t>祝南雄市政</w:t>
            </w:r>
            <w:r>
              <w:rPr>
                <w:rFonts w:hint="eastAsia" w:ascii="宋体" w:hAnsi="宋体" w:cs="宋体"/>
                <w:color w:val="2F2D2E"/>
                <w:kern w:val="0"/>
                <w:szCs w:val="21"/>
              </w:rPr>
              <w:t>协</w:t>
            </w:r>
            <w:r>
              <w:rPr>
                <w:rFonts w:hint="eastAsia" w:ascii="宋体" w:hAnsi="宋体" w:cs="MS Gothic"/>
                <w:color w:val="2F2D2E"/>
                <w:kern w:val="0"/>
                <w:szCs w:val="21"/>
              </w:rPr>
              <w:t>成立</w:t>
            </w:r>
            <w:r>
              <w:rPr>
                <w:rFonts w:ascii="宋体" w:hAnsi="宋体"/>
                <w:color w:val="2F2D2E"/>
                <w:kern w:val="0"/>
                <w:szCs w:val="21"/>
              </w:rPr>
              <w:t>30</w:t>
            </w:r>
            <w:r>
              <w:rPr>
                <w:rFonts w:hint="eastAsia" w:ascii="宋体" w:hAnsi="宋体"/>
                <w:color w:val="2F2D2E"/>
                <w:kern w:val="0"/>
                <w:szCs w:val="21"/>
              </w:rPr>
              <w:t>周年大会</w:t>
            </w:r>
          </w:p>
        </w:tc>
      </w:tr>
    </w:tbl>
    <w:p w14:paraId="08BF171C">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2956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42CB3874">
            <w:pPr>
              <w:ind w:firstLine="0" w:firstLineChars="0"/>
              <w:jc w:val="center"/>
              <w:rPr>
                <w:rFonts w:ascii="宋体" w:hAnsi="宋体"/>
              </w:rPr>
            </w:pPr>
            <w:r>
              <w:rPr>
                <w:rFonts w:hint="eastAsia" w:ascii="宋体" w:hAnsi="宋体"/>
              </w:rPr>
              <w:drawing>
                <wp:inline distT="0" distB="0" distL="114300" distR="114300">
                  <wp:extent cx="6186805" cy="4074795"/>
                  <wp:effectExtent l="0" t="0" r="4445" b="1905"/>
                  <wp:docPr id="53" name="图片 53" descr="南雄年鉴 2011_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南雄年鉴 2011_0016"/>
                          <pic:cNvPicPr>
                            <a:picLocks noChangeAspect="1"/>
                          </pic:cNvPicPr>
                        </pic:nvPicPr>
                        <pic:blipFill>
                          <a:blip r:embed="rId30" cstate="print"/>
                          <a:stretch>
                            <a:fillRect/>
                          </a:stretch>
                        </pic:blipFill>
                        <pic:spPr>
                          <a:xfrm>
                            <a:off x="0" y="0"/>
                            <a:ext cx="6186805" cy="4074795"/>
                          </a:xfrm>
                          <a:prstGeom prst="rect">
                            <a:avLst/>
                          </a:prstGeom>
                        </pic:spPr>
                      </pic:pic>
                    </a:graphicData>
                  </a:graphic>
                </wp:inline>
              </w:drawing>
            </w:r>
          </w:p>
        </w:tc>
      </w:tr>
      <w:tr w14:paraId="28028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A99E207">
            <w:pPr>
              <w:ind w:firstLine="420"/>
              <w:jc w:val="center"/>
              <w:rPr>
                <w:rFonts w:ascii="宋体" w:hAnsi="宋体"/>
              </w:rPr>
            </w:pPr>
            <w:r>
              <w:rPr>
                <w:rFonts w:ascii="宋体" w:hAnsi="宋体"/>
                <w:color w:val="353434"/>
                <w:kern w:val="0"/>
                <w:szCs w:val="21"/>
              </w:rPr>
              <w:t>2010</w:t>
            </w:r>
            <w:r>
              <w:rPr>
                <w:rFonts w:hint="eastAsia" w:ascii="宋体" w:hAnsi="宋体"/>
                <w:color w:val="353434"/>
                <w:kern w:val="0"/>
                <w:szCs w:val="21"/>
              </w:rPr>
              <w:t>年</w:t>
            </w:r>
            <w:r>
              <w:rPr>
                <w:rFonts w:ascii="宋体" w:hAnsi="宋体"/>
                <w:color w:val="353434"/>
                <w:kern w:val="0"/>
                <w:szCs w:val="21"/>
              </w:rPr>
              <w:t>6</w:t>
            </w:r>
            <w:r>
              <w:rPr>
                <w:rFonts w:hint="eastAsia" w:ascii="宋体" w:hAnsi="宋体"/>
                <w:color w:val="353434"/>
                <w:kern w:val="0"/>
                <w:szCs w:val="21"/>
              </w:rPr>
              <w:t>月</w:t>
            </w:r>
            <w:r>
              <w:rPr>
                <w:rFonts w:ascii="宋体" w:hAnsi="宋体"/>
                <w:color w:val="353434"/>
                <w:kern w:val="0"/>
                <w:szCs w:val="21"/>
              </w:rPr>
              <w:t>29</w:t>
            </w:r>
            <w:r>
              <w:rPr>
                <w:rFonts w:hint="eastAsia" w:ascii="宋体" w:hAnsi="宋体"/>
                <w:color w:val="353434"/>
                <w:kern w:val="0"/>
                <w:szCs w:val="21"/>
              </w:rPr>
              <w:t>日，南雄市被确</w:t>
            </w:r>
            <w:r>
              <w:rPr>
                <w:rFonts w:hint="eastAsia" w:ascii="宋体" w:hAnsi="宋体" w:cs="宋体"/>
                <w:color w:val="353434"/>
                <w:kern w:val="0"/>
                <w:szCs w:val="21"/>
              </w:rPr>
              <w:t>认为</w:t>
            </w:r>
            <w:r>
              <w:rPr>
                <w:rFonts w:hint="eastAsia" w:ascii="宋体" w:hAnsi="宋体" w:cs="MS Gothic"/>
                <w:color w:val="353434"/>
                <w:kern w:val="0"/>
                <w:szCs w:val="21"/>
              </w:rPr>
              <w:t>中央</w:t>
            </w:r>
            <w:r>
              <w:rPr>
                <w:rFonts w:hint="eastAsia" w:ascii="宋体" w:hAnsi="宋体" w:cs="宋体"/>
                <w:color w:val="353434"/>
                <w:kern w:val="0"/>
                <w:szCs w:val="21"/>
              </w:rPr>
              <w:t>苏</w:t>
            </w:r>
            <w:r>
              <w:rPr>
                <w:rFonts w:hint="eastAsia" w:ascii="宋体" w:hAnsi="宋体" w:cs="MS Gothic"/>
                <w:color w:val="353434"/>
                <w:kern w:val="0"/>
                <w:szCs w:val="21"/>
              </w:rPr>
              <w:t>区</w:t>
            </w:r>
            <w:r>
              <w:rPr>
                <w:rFonts w:hint="eastAsia" w:ascii="宋体" w:hAnsi="宋体" w:cs="宋体"/>
                <w:color w:val="353434"/>
                <w:kern w:val="0"/>
                <w:szCs w:val="21"/>
              </w:rPr>
              <w:t>县庆</w:t>
            </w:r>
            <w:r>
              <w:rPr>
                <w:rFonts w:hint="eastAsia" w:ascii="宋体" w:hAnsi="宋体" w:cs="MS Gothic"/>
                <w:color w:val="353434"/>
                <w:kern w:val="0"/>
                <w:szCs w:val="21"/>
              </w:rPr>
              <w:t>祝大会会</w:t>
            </w:r>
            <w:r>
              <w:rPr>
                <w:rFonts w:hint="eastAsia" w:ascii="宋体" w:hAnsi="宋体" w:cs="宋体"/>
                <w:color w:val="353434"/>
                <w:kern w:val="0"/>
                <w:szCs w:val="21"/>
              </w:rPr>
              <w:t>场</w:t>
            </w:r>
          </w:p>
        </w:tc>
      </w:tr>
    </w:tbl>
    <w:p w14:paraId="5AF4652F">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F7CE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12AFB347">
            <w:pPr>
              <w:ind w:firstLine="0" w:firstLineChars="0"/>
              <w:jc w:val="center"/>
              <w:rPr>
                <w:rFonts w:ascii="宋体" w:hAnsi="宋体"/>
              </w:rPr>
            </w:pPr>
            <w:r>
              <w:rPr>
                <w:rFonts w:hint="eastAsia" w:ascii="宋体" w:hAnsi="宋体"/>
              </w:rPr>
              <w:drawing>
                <wp:inline distT="0" distB="0" distL="114300" distR="114300">
                  <wp:extent cx="6187440" cy="4566285"/>
                  <wp:effectExtent l="0" t="0" r="3810" b="5715"/>
                  <wp:docPr id="54" name="图片 54" descr="南雄年鉴 2011_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南雄年鉴 2011_0017"/>
                          <pic:cNvPicPr>
                            <a:picLocks noChangeAspect="1"/>
                          </pic:cNvPicPr>
                        </pic:nvPicPr>
                        <pic:blipFill>
                          <a:blip r:embed="rId31" cstate="print"/>
                          <a:stretch>
                            <a:fillRect/>
                          </a:stretch>
                        </pic:blipFill>
                        <pic:spPr>
                          <a:xfrm>
                            <a:off x="0" y="0"/>
                            <a:ext cx="6187440" cy="4566285"/>
                          </a:xfrm>
                          <a:prstGeom prst="rect">
                            <a:avLst/>
                          </a:prstGeom>
                        </pic:spPr>
                      </pic:pic>
                    </a:graphicData>
                  </a:graphic>
                </wp:inline>
              </w:drawing>
            </w:r>
          </w:p>
        </w:tc>
      </w:tr>
      <w:tr w14:paraId="67493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D042B76">
            <w:pPr>
              <w:ind w:firstLine="420"/>
              <w:rPr>
                <w:rFonts w:ascii="宋体" w:hAnsi="宋体"/>
              </w:rPr>
            </w:pPr>
            <w:r>
              <w:rPr>
                <w:rFonts w:ascii="宋体" w:hAnsi="宋体"/>
                <w:color w:val="353434"/>
                <w:kern w:val="0"/>
                <w:szCs w:val="21"/>
              </w:rPr>
              <w:t>2009</w:t>
            </w:r>
            <w:r>
              <w:rPr>
                <w:rFonts w:hint="eastAsia" w:ascii="宋体" w:hAnsi="宋体"/>
                <w:color w:val="353434"/>
                <w:kern w:val="0"/>
                <w:szCs w:val="21"/>
              </w:rPr>
              <w:t>年</w:t>
            </w:r>
            <w:r>
              <w:rPr>
                <w:rFonts w:ascii="宋体" w:hAnsi="宋体"/>
                <w:color w:val="353434"/>
                <w:kern w:val="0"/>
                <w:szCs w:val="21"/>
              </w:rPr>
              <w:t>3</w:t>
            </w:r>
            <w:r>
              <w:rPr>
                <w:rFonts w:hint="eastAsia" w:ascii="宋体" w:hAnsi="宋体"/>
                <w:color w:val="353434"/>
                <w:kern w:val="0"/>
                <w:szCs w:val="21"/>
              </w:rPr>
              <w:t>月</w:t>
            </w:r>
            <w:r>
              <w:rPr>
                <w:rFonts w:ascii="宋体" w:hAnsi="宋体"/>
                <w:color w:val="353434"/>
                <w:kern w:val="0"/>
                <w:szCs w:val="21"/>
              </w:rPr>
              <w:t>21</w:t>
            </w:r>
            <w:r>
              <w:rPr>
                <w:rFonts w:hint="eastAsia" w:ascii="宋体" w:hAnsi="宋体"/>
                <w:color w:val="353434"/>
                <w:kern w:val="0"/>
                <w:szCs w:val="21"/>
              </w:rPr>
              <w:t>日</w:t>
            </w:r>
            <w:r>
              <w:rPr>
                <w:rFonts w:hint="eastAsia" w:ascii="宋体" w:hAnsi="宋体"/>
                <w:color w:val="6C6C6A"/>
                <w:kern w:val="0"/>
                <w:szCs w:val="21"/>
              </w:rPr>
              <w:t>，</w:t>
            </w:r>
            <w:r>
              <w:rPr>
                <w:rFonts w:hint="eastAsia" w:ascii="宋体" w:hAnsi="宋体"/>
                <w:color w:val="4A4949"/>
                <w:kern w:val="0"/>
                <w:szCs w:val="21"/>
              </w:rPr>
              <w:t>中共中央政治局委</w:t>
            </w:r>
            <w:r>
              <w:rPr>
                <w:rFonts w:hint="eastAsia" w:ascii="宋体" w:hAnsi="宋体" w:cs="宋体"/>
                <w:color w:val="4A4949"/>
                <w:kern w:val="0"/>
                <w:szCs w:val="21"/>
              </w:rPr>
              <w:t>员</w:t>
            </w:r>
            <w:r>
              <w:rPr>
                <w:rFonts w:hint="eastAsia" w:ascii="宋体" w:hAnsi="宋体"/>
                <w:color w:val="6C6C6A"/>
                <w:kern w:val="0"/>
                <w:szCs w:val="21"/>
              </w:rPr>
              <w:t>、</w:t>
            </w:r>
            <w:r>
              <w:rPr>
                <w:rFonts w:hint="eastAsia" w:ascii="宋体" w:hAnsi="宋体"/>
                <w:color w:val="4A4949"/>
                <w:kern w:val="0"/>
                <w:szCs w:val="21"/>
              </w:rPr>
              <w:t>广</w:t>
            </w:r>
            <w:r>
              <w:rPr>
                <w:rFonts w:hint="eastAsia" w:ascii="宋体" w:hAnsi="宋体" w:cs="宋体"/>
                <w:color w:val="4A4949"/>
                <w:kern w:val="0"/>
                <w:szCs w:val="21"/>
              </w:rPr>
              <w:t>东</w:t>
            </w:r>
            <w:r>
              <w:rPr>
                <w:rFonts w:hint="eastAsia" w:ascii="宋体" w:hAnsi="宋体" w:cs="MS Gothic"/>
                <w:color w:val="4A4949"/>
                <w:kern w:val="0"/>
                <w:szCs w:val="21"/>
              </w:rPr>
              <w:t>省委</w:t>
            </w:r>
            <w:r>
              <w:rPr>
                <w:rFonts w:hint="eastAsia" w:ascii="宋体" w:hAnsi="宋体" w:cs="宋体"/>
                <w:color w:val="4A4949"/>
                <w:kern w:val="0"/>
                <w:szCs w:val="21"/>
              </w:rPr>
              <w:t>书记</w:t>
            </w:r>
            <w:r>
              <w:rPr>
                <w:rFonts w:hint="eastAsia" w:ascii="宋体" w:hAnsi="宋体" w:cs="MS Gothic"/>
                <w:color w:val="4A4949"/>
                <w:kern w:val="0"/>
                <w:szCs w:val="21"/>
              </w:rPr>
              <w:t>汪洋等</w:t>
            </w:r>
            <w:r>
              <w:rPr>
                <w:rFonts w:hint="eastAsia" w:ascii="宋体" w:hAnsi="宋体" w:cs="宋体"/>
                <w:color w:val="6C6C6A"/>
                <w:kern w:val="0"/>
                <w:szCs w:val="21"/>
              </w:rPr>
              <w:t>领导</w:t>
            </w:r>
            <w:r>
              <w:rPr>
                <w:rFonts w:hint="eastAsia" w:ascii="宋体" w:hAnsi="宋体"/>
                <w:color w:val="4A4949"/>
                <w:kern w:val="0"/>
                <w:szCs w:val="21"/>
              </w:rPr>
              <w:t>出席韶</w:t>
            </w:r>
            <w:r>
              <w:rPr>
                <w:rFonts w:hint="eastAsia" w:ascii="宋体" w:hAnsi="宋体" w:cs="宋体"/>
                <w:color w:val="6C6C6A"/>
                <w:kern w:val="0"/>
                <w:szCs w:val="21"/>
              </w:rPr>
              <w:t>赣</w:t>
            </w:r>
            <w:r>
              <w:rPr>
                <w:rFonts w:hint="eastAsia" w:ascii="宋体" w:hAnsi="宋体" w:cs="宋体"/>
                <w:color w:val="4A4949"/>
                <w:kern w:val="0"/>
                <w:szCs w:val="21"/>
              </w:rPr>
              <w:t>铁</w:t>
            </w:r>
            <w:r>
              <w:rPr>
                <w:rFonts w:hint="eastAsia" w:ascii="宋体" w:hAnsi="宋体" w:cs="MS Gothic"/>
                <w:color w:val="4A4949"/>
                <w:kern w:val="0"/>
                <w:szCs w:val="21"/>
              </w:rPr>
              <w:t>路</w:t>
            </w:r>
            <w:r>
              <w:rPr>
                <w:rFonts w:hint="eastAsia" w:ascii="宋体" w:hAnsi="宋体" w:cs="宋体"/>
                <w:color w:val="4A4949"/>
                <w:kern w:val="0"/>
                <w:szCs w:val="21"/>
              </w:rPr>
              <w:t>动</w:t>
            </w:r>
            <w:r>
              <w:rPr>
                <w:rFonts w:hint="eastAsia" w:ascii="宋体" w:hAnsi="宋体" w:cs="MS Gothic"/>
                <w:color w:val="4A4949"/>
                <w:kern w:val="0"/>
                <w:szCs w:val="21"/>
              </w:rPr>
              <w:t>工</w:t>
            </w:r>
            <w:r>
              <w:rPr>
                <w:rFonts w:hint="eastAsia" w:ascii="宋体" w:hAnsi="宋体" w:cs="宋体"/>
                <w:color w:val="4A4949"/>
                <w:kern w:val="0"/>
                <w:szCs w:val="21"/>
              </w:rPr>
              <w:t>仪</w:t>
            </w:r>
            <w:r>
              <w:rPr>
                <w:rFonts w:hint="eastAsia" w:ascii="宋体" w:hAnsi="宋体"/>
                <w:color w:val="4A4949"/>
                <w:kern w:val="0"/>
                <w:szCs w:val="21"/>
              </w:rPr>
              <w:t>式</w:t>
            </w:r>
          </w:p>
        </w:tc>
      </w:tr>
    </w:tbl>
    <w:p w14:paraId="19A66DD0">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85C0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280CEB08">
            <w:pPr>
              <w:ind w:firstLine="0" w:firstLineChars="0"/>
              <w:jc w:val="center"/>
              <w:rPr>
                <w:rFonts w:ascii="宋体" w:hAnsi="宋体"/>
              </w:rPr>
            </w:pPr>
            <w:r>
              <w:rPr>
                <w:rFonts w:hint="eastAsia" w:ascii="宋体" w:hAnsi="宋体"/>
              </w:rPr>
              <w:drawing>
                <wp:inline distT="0" distB="0" distL="114300" distR="114300">
                  <wp:extent cx="6187440" cy="4194810"/>
                  <wp:effectExtent l="0" t="0" r="3810" b="15240"/>
                  <wp:docPr id="55" name="图片 55" descr="南雄年鉴 2011_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南雄年鉴 2011_0018"/>
                          <pic:cNvPicPr>
                            <a:picLocks noChangeAspect="1"/>
                          </pic:cNvPicPr>
                        </pic:nvPicPr>
                        <pic:blipFill>
                          <a:blip r:embed="rId32" cstate="print"/>
                          <a:stretch>
                            <a:fillRect/>
                          </a:stretch>
                        </pic:blipFill>
                        <pic:spPr>
                          <a:xfrm>
                            <a:off x="0" y="0"/>
                            <a:ext cx="6187440" cy="4194810"/>
                          </a:xfrm>
                          <a:prstGeom prst="rect">
                            <a:avLst/>
                          </a:prstGeom>
                        </pic:spPr>
                      </pic:pic>
                    </a:graphicData>
                  </a:graphic>
                </wp:inline>
              </w:drawing>
            </w:r>
          </w:p>
        </w:tc>
      </w:tr>
      <w:tr w14:paraId="7021D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767E115">
            <w:pPr>
              <w:ind w:firstLine="420"/>
              <w:rPr>
                <w:rFonts w:ascii="宋体" w:hAnsi="宋体"/>
              </w:rPr>
            </w:pPr>
            <w:r>
              <w:rPr>
                <w:rFonts w:hint="eastAsia" w:ascii="宋体" w:hAnsi="宋体"/>
                <w:color w:val="333438"/>
                <w:kern w:val="0"/>
                <w:szCs w:val="21"/>
              </w:rPr>
              <w:t>韶</w:t>
            </w:r>
            <w:r>
              <w:rPr>
                <w:rFonts w:hint="eastAsia" w:ascii="宋体" w:hAnsi="宋体" w:cs="宋体"/>
                <w:color w:val="333438"/>
                <w:kern w:val="0"/>
                <w:szCs w:val="21"/>
              </w:rPr>
              <w:t>赣</w:t>
            </w:r>
            <w:r>
              <w:rPr>
                <w:rFonts w:hint="eastAsia" w:ascii="宋体" w:hAnsi="宋体" w:cs="MS Gothic"/>
                <w:color w:val="333438"/>
                <w:kern w:val="0"/>
                <w:szCs w:val="21"/>
              </w:rPr>
              <w:t>高速公路粤境段梅关站</w:t>
            </w:r>
          </w:p>
        </w:tc>
      </w:tr>
    </w:tbl>
    <w:p w14:paraId="6D63A4D2">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687A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6A743A3C">
            <w:pPr>
              <w:ind w:firstLine="0" w:firstLineChars="0"/>
              <w:jc w:val="center"/>
              <w:rPr>
                <w:rFonts w:ascii="宋体" w:hAnsi="宋体"/>
              </w:rPr>
            </w:pPr>
            <w:r>
              <w:rPr>
                <w:rFonts w:hint="eastAsia" w:ascii="宋体" w:hAnsi="宋体"/>
              </w:rPr>
              <w:drawing>
                <wp:inline distT="0" distB="0" distL="114300" distR="114300">
                  <wp:extent cx="6186170" cy="4217670"/>
                  <wp:effectExtent l="0" t="0" r="5080" b="11430"/>
                  <wp:docPr id="56" name="图片 56" descr="南雄年鉴 2011_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南雄年鉴 2011_0019"/>
                          <pic:cNvPicPr>
                            <a:picLocks noChangeAspect="1"/>
                          </pic:cNvPicPr>
                        </pic:nvPicPr>
                        <pic:blipFill>
                          <a:blip r:embed="rId33" cstate="print"/>
                          <a:stretch>
                            <a:fillRect/>
                          </a:stretch>
                        </pic:blipFill>
                        <pic:spPr>
                          <a:xfrm>
                            <a:off x="0" y="0"/>
                            <a:ext cx="6186170" cy="4217670"/>
                          </a:xfrm>
                          <a:prstGeom prst="rect">
                            <a:avLst/>
                          </a:prstGeom>
                        </pic:spPr>
                      </pic:pic>
                    </a:graphicData>
                  </a:graphic>
                </wp:inline>
              </w:drawing>
            </w:r>
          </w:p>
        </w:tc>
      </w:tr>
      <w:tr w14:paraId="49144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2DD3BF0">
            <w:pPr>
              <w:ind w:firstLine="420"/>
              <w:rPr>
                <w:rFonts w:ascii="宋体" w:hAnsi="宋体"/>
              </w:rPr>
            </w:pPr>
            <w:r>
              <w:rPr>
                <w:rFonts w:hint="eastAsia" w:ascii="宋体" w:hAnsi="宋体"/>
                <w:color w:val="1F2024"/>
                <w:kern w:val="0"/>
                <w:szCs w:val="21"/>
              </w:rPr>
              <w:t>韶</w:t>
            </w:r>
            <w:r>
              <w:rPr>
                <w:rFonts w:hint="eastAsia" w:ascii="宋体" w:hAnsi="宋体" w:cs="宋体"/>
                <w:color w:val="1F2024"/>
                <w:kern w:val="0"/>
                <w:szCs w:val="21"/>
              </w:rPr>
              <w:t>赣</w:t>
            </w:r>
            <w:r>
              <w:rPr>
                <w:rFonts w:hint="eastAsia" w:ascii="宋体" w:hAnsi="宋体" w:cs="MS Gothic"/>
                <w:color w:val="1F2024"/>
                <w:kern w:val="0"/>
                <w:szCs w:val="21"/>
              </w:rPr>
              <w:t>高速公路粤境段通</w:t>
            </w:r>
            <w:r>
              <w:rPr>
                <w:rFonts w:hint="eastAsia" w:ascii="宋体" w:hAnsi="宋体" w:cs="宋体"/>
                <w:color w:val="1F2024"/>
                <w:kern w:val="0"/>
                <w:szCs w:val="21"/>
              </w:rPr>
              <w:t>车仪</w:t>
            </w:r>
            <w:r>
              <w:rPr>
                <w:rFonts w:hint="eastAsia" w:ascii="宋体" w:hAnsi="宋体" w:cs="MS Gothic"/>
                <w:color w:val="1F2024"/>
                <w:kern w:val="0"/>
                <w:szCs w:val="21"/>
              </w:rPr>
              <w:t>式</w:t>
            </w:r>
          </w:p>
        </w:tc>
      </w:tr>
    </w:tbl>
    <w:p w14:paraId="0883401F">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B41D8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7737C3C6">
            <w:pPr>
              <w:ind w:firstLine="0" w:firstLineChars="0"/>
              <w:jc w:val="center"/>
              <w:rPr>
                <w:rFonts w:ascii="宋体" w:hAnsi="宋体"/>
              </w:rPr>
            </w:pPr>
            <w:r>
              <w:rPr>
                <w:rFonts w:hint="eastAsia" w:ascii="宋体" w:hAnsi="宋体"/>
              </w:rPr>
              <w:drawing>
                <wp:inline distT="0" distB="0" distL="114300" distR="114300">
                  <wp:extent cx="6186170" cy="4051935"/>
                  <wp:effectExtent l="0" t="0" r="5080" b="5715"/>
                  <wp:docPr id="57" name="图片 57" descr="南雄年鉴 2011_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南雄年鉴 2011_0020"/>
                          <pic:cNvPicPr>
                            <a:picLocks noChangeAspect="1"/>
                          </pic:cNvPicPr>
                        </pic:nvPicPr>
                        <pic:blipFill>
                          <a:blip r:embed="rId34" cstate="print"/>
                          <a:stretch>
                            <a:fillRect/>
                          </a:stretch>
                        </pic:blipFill>
                        <pic:spPr>
                          <a:xfrm>
                            <a:off x="0" y="0"/>
                            <a:ext cx="6186170" cy="4051935"/>
                          </a:xfrm>
                          <a:prstGeom prst="rect">
                            <a:avLst/>
                          </a:prstGeom>
                        </pic:spPr>
                      </pic:pic>
                    </a:graphicData>
                  </a:graphic>
                </wp:inline>
              </w:drawing>
            </w:r>
          </w:p>
        </w:tc>
      </w:tr>
      <w:tr w14:paraId="557BE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C89EDBD">
            <w:pPr>
              <w:ind w:firstLine="420"/>
              <w:rPr>
                <w:rFonts w:ascii="宋体" w:hAnsi="宋体"/>
              </w:rPr>
            </w:pPr>
            <w:r>
              <w:rPr>
                <w:rFonts w:hint="eastAsia" w:ascii="宋体" w:hAnsi="宋体"/>
                <w:color w:val="333438"/>
                <w:kern w:val="0"/>
                <w:szCs w:val="21"/>
              </w:rPr>
              <w:t>韶</w:t>
            </w:r>
            <w:r>
              <w:rPr>
                <w:rFonts w:hint="eastAsia" w:ascii="宋体" w:hAnsi="宋体" w:cs="宋体"/>
                <w:color w:val="333438"/>
                <w:kern w:val="0"/>
                <w:szCs w:val="21"/>
              </w:rPr>
              <w:t>赣</w:t>
            </w:r>
            <w:r>
              <w:rPr>
                <w:rFonts w:hint="eastAsia" w:ascii="宋体" w:hAnsi="宋体" w:cs="MS Gothic"/>
                <w:color w:val="333438"/>
                <w:kern w:val="0"/>
                <w:szCs w:val="21"/>
              </w:rPr>
              <w:t>高速公路</w:t>
            </w:r>
            <w:r>
              <w:rPr>
                <w:rFonts w:hint="eastAsia" w:ascii="宋体" w:hAnsi="宋体"/>
                <w:color w:val="5E5E5F"/>
                <w:kern w:val="0"/>
                <w:szCs w:val="21"/>
              </w:rPr>
              <w:t>（</w:t>
            </w:r>
            <w:r>
              <w:rPr>
                <w:rFonts w:hint="eastAsia" w:ascii="宋体" w:hAnsi="宋体"/>
                <w:color w:val="333438"/>
                <w:kern w:val="0"/>
                <w:szCs w:val="21"/>
              </w:rPr>
              <w:t>南雄段</w:t>
            </w:r>
            <w:r>
              <w:rPr>
                <w:rFonts w:hint="eastAsia" w:ascii="宋体" w:hAnsi="宋体"/>
                <w:color w:val="5E5E5F"/>
                <w:kern w:val="0"/>
                <w:szCs w:val="21"/>
              </w:rPr>
              <w:t>）</w:t>
            </w:r>
          </w:p>
        </w:tc>
      </w:tr>
    </w:tbl>
    <w:p w14:paraId="46544076">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B430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4F1F1A83">
            <w:pPr>
              <w:ind w:firstLine="0" w:firstLineChars="0"/>
              <w:jc w:val="center"/>
              <w:rPr>
                <w:rFonts w:ascii="宋体" w:hAnsi="宋体"/>
              </w:rPr>
            </w:pPr>
            <w:r>
              <w:rPr>
                <w:rFonts w:hint="eastAsia" w:ascii="宋体" w:hAnsi="宋体"/>
              </w:rPr>
              <w:drawing>
                <wp:inline distT="0" distB="0" distL="114300" distR="114300">
                  <wp:extent cx="6181090" cy="4457700"/>
                  <wp:effectExtent l="0" t="0" r="10160" b="0"/>
                  <wp:docPr id="58" name="图片 58" descr="南雄年鉴 2011_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南雄年鉴 2011_0021"/>
                          <pic:cNvPicPr>
                            <a:picLocks noChangeAspect="1"/>
                          </pic:cNvPicPr>
                        </pic:nvPicPr>
                        <pic:blipFill>
                          <a:blip r:embed="rId35" cstate="print"/>
                          <a:stretch>
                            <a:fillRect/>
                          </a:stretch>
                        </pic:blipFill>
                        <pic:spPr>
                          <a:xfrm>
                            <a:off x="0" y="0"/>
                            <a:ext cx="6181090" cy="4457700"/>
                          </a:xfrm>
                          <a:prstGeom prst="rect">
                            <a:avLst/>
                          </a:prstGeom>
                        </pic:spPr>
                      </pic:pic>
                    </a:graphicData>
                  </a:graphic>
                </wp:inline>
              </w:drawing>
            </w:r>
          </w:p>
        </w:tc>
      </w:tr>
      <w:tr w14:paraId="39C78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1950FD2">
            <w:pPr>
              <w:ind w:firstLine="420"/>
              <w:rPr>
                <w:rFonts w:ascii="宋体" w:hAnsi="宋体"/>
              </w:rPr>
            </w:pPr>
            <w:r>
              <w:rPr>
                <w:rFonts w:ascii="宋体" w:hAnsi="宋体"/>
                <w:kern w:val="0"/>
              </w:rPr>
              <w:t>2010</w:t>
            </w:r>
            <w:r>
              <w:rPr>
                <w:rFonts w:hint="eastAsia" w:ascii="宋体" w:hAnsi="宋体"/>
                <w:kern w:val="0"/>
              </w:rPr>
              <w:t>年</w:t>
            </w:r>
            <w:r>
              <w:rPr>
                <w:rFonts w:ascii="宋体" w:hAnsi="宋体"/>
                <w:kern w:val="0"/>
              </w:rPr>
              <w:t>6</w:t>
            </w:r>
            <w:r>
              <w:rPr>
                <w:rFonts w:hint="eastAsia" w:ascii="宋体" w:hAnsi="宋体"/>
                <w:kern w:val="0"/>
              </w:rPr>
              <w:t>月</w:t>
            </w:r>
            <w:r>
              <w:rPr>
                <w:rFonts w:ascii="宋体" w:hAnsi="宋体"/>
                <w:kern w:val="0"/>
              </w:rPr>
              <w:t>29</w:t>
            </w:r>
            <w:r>
              <w:rPr>
                <w:rFonts w:hint="eastAsia" w:ascii="宋体" w:hAnsi="宋体"/>
                <w:kern w:val="0"/>
              </w:rPr>
              <w:t>日，中央党史研究室宣教局副巡</w:t>
            </w:r>
            <w:r>
              <w:rPr>
                <w:rFonts w:hint="eastAsia" w:ascii="宋体" w:hAnsi="宋体" w:cs="宋体"/>
                <w:kern w:val="0"/>
              </w:rPr>
              <w:t>视员</w:t>
            </w:r>
            <w:r>
              <w:rPr>
                <w:rFonts w:hint="eastAsia" w:ascii="宋体" w:hAnsi="宋体" w:cs="MS Gothic"/>
                <w:kern w:val="0"/>
              </w:rPr>
              <w:t>刑</w:t>
            </w:r>
            <w:r>
              <w:rPr>
                <w:rFonts w:hint="eastAsia" w:ascii="宋体" w:hAnsi="宋体" w:cs="宋体"/>
                <w:kern w:val="0"/>
              </w:rPr>
              <w:t>济</w:t>
            </w:r>
            <w:r>
              <w:rPr>
                <w:rFonts w:hint="eastAsia" w:ascii="宋体" w:hAnsi="宋体" w:cs="MS Gothic"/>
                <w:kern w:val="0"/>
              </w:rPr>
              <w:t>萍在南</w:t>
            </w:r>
            <w:r>
              <w:rPr>
                <w:rFonts w:hint="eastAsia" w:ascii="宋体" w:hAnsi="宋体"/>
                <w:kern w:val="0"/>
              </w:rPr>
              <w:t>雄市被确</w:t>
            </w:r>
            <w:r>
              <w:rPr>
                <w:rFonts w:hint="eastAsia" w:ascii="宋体" w:hAnsi="宋体" w:cs="宋体"/>
                <w:kern w:val="0"/>
              </w:rPr>
              <w:t>认为</w:t>
            </w:r>
            <w:r>
              <w:rPr>
                <w:rFonts w:hint="eastAsia" w:ascii="宋体" w:hAnsi="宋体" w:cs="MS Gothic"/>
                <w:kern w:val="0"/>
              </w:rPr>
              <w:t>中央</w:t>
            </w:r>
            <w:r>
              <w:rPr>
                <w:rFonts w:hint="eastAsia" w:ascii="宋体" w:hAnsi="宋体" w:cs="宋体"/>
                <w:kern w:val="0"/>
              </w:rPr>
              <w:t>苏</w:t>
            </w:r>
            <w:r>
              <w:rPr>
                <w:rFonts w:hint="eastAsia" w:ascii="宋体" w:hAnsi="宋体" w:cs="MS Gothic"/>
                <w:kern w:val="0"/>
              </w:rPr>
              <w:t>区</w:t>
            </w:r>
            <w:r>
              <w:rPr>
                <w:rFonts w:hint="eastAsia" w:ascii="宋体" w:hAnsi="宋体" w:cs="宋体"/>
                <w:kern w:val="0"/>
              </w:rPr>
              <w:t>县庆</w:t>
            </w:r>
            <w:r>
              <w:rPr>
                <w:rFonts w:hint="eastAsia" w:ascii="宋体" w:hAnsi="宋体" w:cs="MS Gothic"/>
                <w:kern w:val="0"/>
              </w:rPr>
              <w:t>祝大</w:t>
            </w:r>
            <w:r>
              <w:rPr>
                <w:rFonts w:hint="eastAsia" w:ascii="宋体" w:hAnsi="宋体"/>
                <w:kern w:val="0"/>
              </w:rPr>
              <w:t>会上</w:t>
            </w:r>
            <w:r>
              <w:rPr>
                <w:rFonts w:hint="eastAsia" w:ascii="宋体" w:hAnsi="宋体" w:cs="宋体"/>
                <w:kern w:val="0"/>
              </w:rPr>
              <w:t>讲话</w:t>
            </w:r>
          </w:p>
        </w:tc>
      </w:tr>
    </w:tbl>
    <w:p w14:paraId="6F964FDD">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830A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3B14645F">
            <w:pPr>
              <w:ind w:firstLine="0" w:firstLineChars="0"/>
              <w:jc w:val="center"/>
              <w:rPr>
                <w:rFonts w:ascii="宋体" w:hAnsi="宋体"/>
              </w:rPr>
            </w:pPr>
            <w:r>
              <w:rPr>
                <w:rFonts w:hint="eastAsia" w:ascii="宋体" w:hAnsi="宋体"/>
              </w:rPr>
              <w:drawing>
                <wp:inline distT="0" distB="0" distL="114300" distR="114300">
                  <wp:extent cx="6186170" cy="3760470"/>
                  <wp:effectExtent l="0" t="0" r="5080" b="11430"/>
                  <wp:docPr id="59" name="图片 59" descr="南雄年鉴 2011_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南雄年鉴 2011_0022"/>
                          <pic:cNvPicPr>
                            <a:picLocks noChangeAspect="1"/>
                          </pic:cNvPicPr>
                        </pic:nvPicPr>
                        <pic:blipFill>
                          <a:blip r:embed="rId36" cstate="print"/>
                          <a:stretch>
                            <a:fillRect/>
                          </a:stretch>
                        </pic:blipFill>
                        <pic:spPr>
                          <a:xfrm>
                            <a:off x="0" y="0"/>
                            <a:ext cx="6186170" cy="3760470"/>
                          </a:xfrm>
                          <a:prstGeom prst="rect">
                            <a:avLst/>
                          </a:prstGeom>
                        </pic:spPr>
                      </pic:pic>
                    </a:graphicData>
                  </a:graphic>
                </wp:inline>
              </w:drawing>
            </w:r>
          </w:p>
        </w:tc>
      </w:tr>
      <w:tr w14:paraId="0F9F4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F1B7D58">
            <w:pPr>
              <w:ind w:firstLine="420"/>
              <w:rPr>
                <w:rFonts w:ascii="宋体" w:hAnsi="宋体"/>
              </w:rPr>
            </w:pPr>
            <w:r>
              <w:rPr>
                <w:rFonts w:hint="eastAsia" w:ascii="宋体" w:hAnsi="宋体"/>
                <w:kern w:val="0"/>
              </w:rPr>
              <w:t>中科院南雄材料生</w:t>
            </w:r>
            <w:r>
              <w:rPr>
                <w:rFonts w:hint="eastAsia" w:ascii="宋体" w:hAnsi="宋体" w:cs="宋体"/>
                <w:kern w:val="0"/>
              </w:rPr>
              <w:t>产</w:t>
            </w:r>
            <w:r>
              <w:rPr>
                <w:rFonts w:hint="eastAsia" w:ascii="宋体" w:hAnsi="宋体" w:cs="MS Gothic"/>
                <w:kern w:val="0"/>
              </w:rPr>
              <w:t>基地奠基</w:t>
            </w:r>
          </w:p>
        </w:tc>
      </w:tr>
    </w:tbl>
    <w:p w14:paraId="3C3A0166">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AA46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9962" w:type="dxa"/>
            <w:tcBorders>
              <w:top w:val="nil"/>
              <w:left w:val="nil"/>
              <w:bottom w:val="nil"/>
              <w:right w:val="nil"/>
            </w:tcBorders>
          </w:tcPr>
          <w:p w14:paraId="3DB3B960">
            <w:pPr>
              <w:ind w:firstLine="0" w:firstLineChars="0"/>
              <w:jc w:val="center"/>
              <w:rPr>
                <w:rFonts w:ascii="宋体" w:hAnsi="宋体"/>
              </w:rPr>
            </w:pPr>
            <w:r>
              <w:rPr>
                <w:rFonts w:hint="eastAsia" w:ascii="宋体" w:hAnsi="宋体"/>
              </w:rPr>
              <w:drawing>
                <wp:inline distT="0" distB="0" distL="114300" distR="114300">
                  <wp:extent cx="6185535" cy="4423410"/>
                  <wp:effectExtent l="0" t="0" r="5715" b="15240"/>
                  <wp:docPr id="60" name="图片 60" descr="南雄年鉴 2011_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南雄年鉴 2011_0023"/>
                          <pic:cNvPicPr>
                            <a:picLocks noChangeAspect="1"/>
                          </pic:cNvPicPr>
                        </pic:nvPicPr>
                        <pic:blipFill>
                          <a:blip r:embed="rId37" cstate="print"/>
                          <a:stretch>
                            <a:fillRect/>
                          </a:stretch>
                        </pic:blipFill>
                        <pic:spPr>
                          <a:xfrm>
                            <a:off x="0" y="0"/>
                            <a:ext cx="6185535" cy="4423410"/>
                          </a:xfrm>
                          <a:prstGeom prst="rect">
                            <a:avLst/>
                          </a:prstGeom>
                        </pic:spPr>
                      </pic:pic>
                    </a:graphicData>
                  </a:graphic>
                </wp:inline>
              </w:drawing>
            </w:r>
          </w:p>
        </w:tc>
      </w:tr>
      <w:tr w14:paraId="35C86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A746AE3">
            <w:pPr>
              <w:ind w:firstLine="420"/>
              <w:rPr>
                <w:rFonts w:ascii="宋体" w:hAnsi="宋体"/>
              </w:rPr>
            </w:pPr>
            <w:r>
              <w:rPr>
                <w:rFonts w:hint="eastAsia" w:ascii="宋体" w:hAnsi="宋体"/>
                <w:kern w:val="0"/>
              </w:rPr>
              <w:t>香港</w:t>
            </w:r>
            <w:r>
              <w:rPr>
                <w:rFonts w:hint="eastAsia" w:ascii="宋体" w:hAnsi="宋体" w:cs="宋体"/>
                <w:kern w:val="0"/>
              </w:rPr>
              <w:t>辉</w:t>
            </w:r>
            <w:r>
              <w:rPr>
                <w:rFonts w:hint="eastAsia" w:ascii="宋体" w:hAnsi="宋体" w:cs="MS Gothic"/>
                <w:kern w:val="0"/>
              </w:rPr>
              <w:t>晋</w:t>
            </w:r>
            <w:r>
              <w:rPr>
                <w:rFonts w:hint="eastAsia" w:ascii="宋体" w:hAnsi="宋体"/>
                <w:kern w:val="0"/>
              </w:rPr>
              <w:t>（南雄）</w:t>
            </w:r>
            <w:r>
              <w:rPr>
                <w:rFonts w:hint="eastAsia" w:ascii="宋体" w:hAnsi="宋体" w:cs="宋体"/>
                <w:kern w:val="0"/>
              </w:rPr>
              <w:t>电</w:t>
            </w:r>
            <w:r>
              <w:rPr>
                <w:rFonts w:hint="eastAsia" w:ascii="宋体" w:hAnsi="宋体" w:cs="MS Gothic"/>
                <w:kern w:val="0"/>
              </w:rPr>
              <w:t>子有限</w:t>
            </w:r>
            <w:r>
              <w:rPr>
                <w:rFonts w:hint="eastAsia" w:ascii="宋体" w:hAnsi="宋体"/>
                <w:kern w:val="0"/>
              </w:rPr>
              <w:t>公司</w:t>
            </w:r>
            <w:r>
              <w:rPr>
                <w:rFonts w:hint="eastAsia" w:ascii="宋体" w:hAnsi="宋体" w:cs="宋体"/>
                <w:kern w:val="0"/>
              </w:rPr>
              <w:t>钟</w:t>
            </w:r>
            <w:r>
              <w:rPr>
                <w:rFonts w:hint="eastAsia" w:ascii="宋体" w:hAnsi="宋体" w:cs="MS Gothic"/>
                <w:kern w:val="0"/>
              </w:rPr>
              <w:t>表及</w:t>
            </w:r>
            <w:r>
              <w:rPr>
                <w:rFonts w:hint="eastAsia" w:ascii="宋体" w:hAnsi="宋体" w:cs="宋体"/>
                <w:kern w:val="0"/>
              </w:rPr>
              <w:t>电</w:t>
            </w:r>
            <w:r>
              <w:rPr>
                <w:rFonts w:hint="eastAsia" w:ascii="宋体" w:hAnsi="宋体" w:cs="MS Gothic"/>
                <w:kern w:val="0"/>
              </w:rPr>
              <w:t>子</w:t>
            </w:r>
            <w:r>
              <w:rPr>
                <w:rFonts w:hint="eastAsia" w:ascii="宋体" w:hAnsi="宋体" w:cs="宋体"/>
                <w:kern w:val="0"/>
              </w:rPr>
              <w:t>产</w:t>
            </w:r>
            <w:r>
              <w:rPr>
                <w:rFonts w:hint="eastAsia" w:ascii="宋体" w:hAnsi="宋体" w:cs="MS Gothic"/>
                <w:kern w:val="0"/>
              </w:rPr>
              <w:t>品制造</w:t>
            </w:r>
            <w:r>
              <w:rPr>
                <w:rFonts w:hint="eastAsia" w:ascii="宋体" w:hAnsi="宋体" w:cs="宋体"/>
                <w:kern w:val="0"/>
              </w:rPr>
              <w:t>项</w:t>
            </w:r>
            <w:r>
              <w:rPr>
                <w:rFonts w:hint="eastAsia" w:ascii="宋体" w:hAnsi="宋体" w:cs="MS Gothic"/>
                <w:kern w:val="0"/>
              </w:rPr>
              <w:t>目</w:t>
            </w:r>
            <w:r>
              <w:rPr>
                <w:rFonts w:hint="eastAsia" w:ascii="宋体" w:hAnsi="宋体" w:cs="宋体"/>
                <w:kern w:val="0"/>
              </w:rPr>
              <w:t>签约仪</w:t>
            </w:r>
            <w:r>
              <w:rPr>
                <w:rFonts w:hint="eastAsia" w:ascii="宋体" w:hAnsi="宋体"/>
                <w:kern w:val="0"/>
              </w:rPr>
              <w:t>式</w:t>
            </w:r>
          </w:p>
        </w:tc>
      </w:tr>
    </w:tbl>
    <w:p w14:paraId="691B5FBF">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6DB3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676A8224">
            <w:pPr>
              <w:ind w:firstLine="0" w:firstLineChars="0"/>
              <w:jc w:val="center"/>
              <w:rPr>
                <w:rFonts w:ascii="宋体" w:hAnsi="宋体"/>
              </w:rPr>
            </w:pPr>
            <w:r>
              <w:rPr>
                <w:rFonts w:hint="eastAsia" w:ascii="宋体" w:hAnsi="宋体"/>
              </w:rPr>
              <w:drawing>
                <wp:inline distT="0" distB="0" distL="114300" distR="114300">
                  <wp:extent cx="6187440" cy="4377690"/>
                  <wp:effectExtent l="0" t="0" r="3810" b="3810"/>
                  <wp:docPr id="61" name="图片 61" descr="南雄年鉴 2011_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南雄年鉴 2011_0024"/>
                          <pic:cNvPicPr>
                            <a:picLocks noChangeAspect="1"/>
                          </pic:cNvPicPr>
                        </pic:nvPicPr>
                        <pic:blipFill>
                          <a:blip r:embed="rId38" cstate="print"/>
                          <a:stretch>
                            <a:fillRect/>
                          </a:stretch>
                        </pic:blipFill>
                        <pic:spPr>
                          <a:xfrm>
                            <a:off x="0" y="0"/>
                            <a:ext cx="6187440" cy="4377690"/>
                          </a:xfrm>
                          <a:prstGeom prst="rect">
                            <a:avLst/>
                          </a:prstGeom>
                        </pic:spPr>
                      </pic:pic>
                    </a:graphicData>
                  </a:graphic>
                </wp:inline>
              </w:drawing>
            </w:r>
          </w:p>
        </w:tc>
      </w:tr>
      <w:tr w14:paraId="63058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B6C6609">
            <w:pPr>
              <w:ind w:firstLine="420"/>
              <w:rPr>
                <w:rFonts w:ascii="宋体" w:hAnsi="宋体"/>
              </w:rPr>
            </w:pPr>
            <w:r>
              <w:rPr>
                <w:rFonts w:hint="eastAsia" w:ascii="宋体" w:hAnsi="宋体"/>
                <w:kern w:val="0"/>
              </w:rPr>
              <w:t>第十六届</w:t>
            </w:r>
            <w:r>
              <w:rPr>
                <w:rFonts w:hint="eastAsia" w:ascii="宋体" w:hAnsi="宋体" w:cs="宋体"/>
                <w:kern w:val="0"/>
              </w:rPr>
              <w:t>亚</w:t>
            </w:r>
            <w:r>
              <w:rPr>
                <w:rFonts w:hint="eastAsia" w:ascii="宋体" w:hAnsi="宋体" w:cs="MS Gothic"/>
                <w:kern w:val="0"/>
              </w:rPr>
              <w:t>运会小</w:t>
            </w:r>
            <w:r>
              <w:rPr>
                <w:rFonts w:hint="eastAsia" w:ascii="宋体" w:hAnsi="宋体" w:cs="宋体"/>
                <w:kern w:val="0"/>
              </w:rPr>
              <w:t>轮车项</w:t>
            </w:r>
            <w:r>
              <w:rPr>
                <w:rFonts w:hint="eastAsia" w:ascii="宋体" w:hAnsi="宋体" w:cs="MS Gothic"/>
                <w:kern w:val="0"/>
              </w:rPr>
              <w:t>目比</w:t>
            </w:r>
            <w:r>
              <w:rPr>
                <w:rFonts w:hint="eastAsia" w:ascii="宋体" w:hAnsi="宋体" w:cs="宋体"/>
                <w:kern w:val="0"/>
              </w:rPr>
              <w:t>赛现场</w:t>
            </w:r>
            <w:r>
              <w:rPr>
                <w:rFonts w:hint="eastAsia" w:ascii="宋体" w:hAnsi="宋体"/>
                <w:kern w:val="0"/>
              </w:rPr>
              <w:t>，</w:t>
            </w:r>
            <w:r>
              <w:rPr>
                <w:rFonts w:hint="eastAsia" w:ascii="宋体" w:hAnsi="宋体" w:cs="宋体"/>
                <w:kern w:val="0"/>
              </w:rPr>
              <w:t>马丽</w:t>
            </w:r>
            <w:r>
              <w:rPr>
                <w:rFonts w:hint="eastAsia" w:ascii="宋体" w:hAnsi="宋体" w:cs="MS Gothic"/>
                <w:kern w:val="0"/>
              </w:rPr>
              <w:t>芸</w:t>
            </w:r>
            <w:r>
              <w:rPr>
                <w:rFonts w:hint="eastAsia" w:ascii="宋体" w:hAnsi="宋体" w:cs="宋体"/>
                <w:kern w:val="0"/>
              </w:rPr>
              <w:t>领</w:t>
            </w:r>
            <w:r>
              <w:rPr>
                <w:rFonts w:hint="eastAsia" w:ascii="宋体" w:hAnsi="宋体" w:cs="MS Gothic"/>
                <w:kern w:val="0"/>
              </w:rPr>
              <w:t>先在</w:t>
            </w:r>
            <w:r>
              <w:rPr>
                <w:rFonts w:hint="eastAsia" w:ascii="宋体" w:hAnsi="宋体"/>
                <w:kern w:val="0"/>
              </w:rPr>
              <w:t>前</w:t>
            </w:r>
          </w:p>
        </w:tc>
      </w:tr>
    </w:tbl>
    <w:p w14:paraId="2D5B4B42">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69D7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6376D18D">
            <w:pPr>
              <w:ind w:firstLine="0" w:firstLineChars="0"/>
              <w:jc w:val="center"/>
              <w:rPr>
                <w:rFonts w:ascii="宋体" w:hAnsi="宋体"/>
              </w:rPr>
            </w:pPr>
            <w:r>
              <w:rPr>
                <w:rFonts w:hint="eastAsia" w:ascii="宋体" w:hAnsi="宋体"/>
              </w:rPr>
              <w:drawing>
                <wp:inline distT="0" distB="0" distL="114300" distR="114300">
                  <wp:extent cx="6187440" cy="4577715"/>
                  <wp:effectExtent l="0" t="0" r="3810" b="13335"/>
                  <wp:docPr id="62" name="图片 62" descr="南雄年鉴 2011_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南雄年鉴 2011_0025"/>
                          <pic:cNvPicPr>
                            <a:picLocks noChangeAspect="1"/>
                          </pic:cNvPicPr>
                        </pic:nvPicPr>
                        <pic:blipFill>
                          <a:blip r:embed="rId39" cstate="print"/>
                          <a:stretch>
                            <a:fillRect/>
                          </a:stretch>
                        </pic:blipFill>
                        <pic:spPr>
                          <a:xfrm>
                            <a:off x="0" y="0"/>
                            <a:ext cx="6187440" cy="4577715"/>
                          </a:xfrm>
                          <a:prstGeom prst="rect">
                            <a:avLst/>
                          </a:prstGeom>
                        </pic:spPr>
                      </pic:pic>
                    </a:graphicData>
                  </a:graphic>
                </wp:inline>
              </w:drawing>
            </w:r>
          </w:p>
        </w:tc>
      </w:tr>
      <w:tr w14:paraId="45892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F1C3FC5">
            <w:pPr>
              <w:ind w:firstLine="420"/>
              <w:rPr>
                <w:rFonts w:ascii="宋体" w:hAnsi="宋体"/>
              </w:rPr>
            </w:pPr>
            <w:r>
              <w:rPr>
                <w:rFonts w:ascii="宋体" w:hAnsi="宋体"/>
                <w:kern w:val="0"/>
              </w:rPr>
              <w:t>2010</w:t>
            </w:r>
            <w:r>
              <w:rPr>
                <w:rFonts w:hint="eastAsia" w:ascii="宋体" w:hAnsi="宋体"/>
                <w:kern w:val="0"/>
              </w:rPr>
              <w:t>年</w:t>
            </w:r>
            <w:r>
              <w:rPr>
                <w:rFonts w:hint="eastAsia" w:ascii="宋体" w:hAnsi="宋体" w:cs="宋体"/>
                <w:kern w:val="0"/>
              </w:rPr>
              <w:t>11月19</w:t>
            </w:r>
            <w:r>
              <w:rPr>
                <w:rFonts w:hint="eastAsia" w:ascii="宋体" w:hAnsi="宋体"/>
                <w:kern w:val="0"/>
              </w:rPr>
              <w:t>日，在广州第十六届</w:t>
            </w:r>
            <w:r>
              <w:rPr>
                <w:rFonts w:hint="eastAsia" w:ascii="宋体" w:hAnsi="宋体" w:cs="宋体"/>
                <w:kern w:val="0"/>
              </w:rPr>
              <w:t>亚</w:t>
            </w:r>
            <w:r>
              <w:rPr>
                <w:rFonts w:hint="eastAsia" w:ascii="宋体" w:hAnsi="宋体" w:cs="MS Gothic"/>
                <w:kern w:val="0"/>
              </w:rPr>
              <w:t>运会上</w:t>
            </w:r>
            <w:r>
              <w:rPr>
                <w:rFonts w:hint="eastAsia" w:ascii="宋体" w:hAnsi="宋体"/>
                <w:kern w:val="0"/>
              </w:rPr>
              <w:t>，南雄市运</w:t>
            </w:r>
            <w:r>
              <w:rPr>
                <w:rFonts w:hint="eastAsia" w:ascii="宋体" w:hAnsi="宋体" w:cs="宋体"/>
                <w:kern w:val="0"/>
              </w:rPr>
              <w:t>动员马丽</w:t>
            </w:r>
            <w:r>
              <w:rPr>
                <w:rFonts w:hint="eastAsia" w:ascii="宋体" w:hAnsi="宋体"/>
                <w:kern w:val="0"/>
              </w:rPr>
              <w:t>芸（右二〉</w:t>
            </w:r>
            <w:r>
              <w:rPr>
                <w:rFonts w:hint="eastAsia" w:ascii="宋体" w:hAnsi="宋体" w:cs="宋体"/>
                <w:kern w:val="0"/>
              </w:rPr>
              <w:t>获</w:t>
            </w:r>
            <w:r>
              <w:rPr>
                <w:rFonts w:hint="eastAsia" w:ascii="宋体" w:hAnsi="宋体" w:cs="MS Gothic"/>
                <w:kern w:val="0"/>
              </w:rPr>
              <w:t>得小</w:t>
            </w:r>
            <w:r>
              <w:rPr>
                <w:rFonts w:hint="eastAsia" w:ascii="宋体" w:hAnsi="宋体" w:cs="宋体"/>
                <w:kern w:val="0"/>
              </w:rPr>
              <w:t>轮车项</w:t>
            </w:r>
            <w:r>
              <w:rPr>
                <w:rFonts w:hint="eastAsia" w:ascii="宋体" w:hAnsi="宋体" w:cs="MS Gothic"/>
                <w:kern w:val="0"/>
              </w:rPr>
              <w:t>目女子</w:t>
            </w:r>
            <w:r>
              <w:rPr>
                <w:rFonts w:hint="eastAsia" w:ascii="宋体" w:hAnsi="宋体" w:cs="宋体"/>
                <w:kern w:val="0"/>
              </w:rPr>
              <w:t>组</w:t>
            </w:r>
            <w:r>
              <w:rPr>
                <w:rFonts w:hint="eastAsia" w:ascii="宋体" w:hAnsi="宋体"/>
                <w:kern w:val="0"/>
              </w:rPr>
              <w:t>冠</w:t>
            </w:r>
            <w:r>
              <w:rPr>
                <w:rFonts w:hint="eastAsia" w:ascii="宋体" w:hAnsi="宋体" w:cs="宋体"/>
                <w:kern w:val="0"/>
              </w:rPr>
              <w:t>军</w:t>
            </w:r>
            <w:r>
              <w:rPr>
                <w:rFonts w:hint="eastAsia" w:ascii="宋体" w:hAnsi="宋体" w:cs="MS Gothic"/>
                <w:kern w:val="0"/>
              </w:rPr>
              <w:t>后与韶关市及南雄市体育局</w:t>
            </w:r>
            <w:r>
              <w:rPr>
                <w:rFonts w:hint="eastAsia" w:ascii="宋体" w:hAnsi="宋体" w:cs="宋体"/>
                <w:kern w:val="0"/>
              </w:rPr>
              <w:t>领导</w:t>
            </w:r>
            <w:r>
              <w:rPr>
                <w:rFonts w:hint="eastAsia" w:ascii="宋体" w:hAnsi="宋体" w:cs="MS Gothic"/>
                <w:kern w:val="0"/>
              </w:rPr>
              <w:t>合</w:t>
            </w:r>
            <w:r>
              <w:rPr>
                <w:rFonts w:hint="eastAsia" w:ascii="宋体" w:hAnsi="宋体"/>
                <w:kern w:val="0"/>
              </w:rPr>
              <w:t>影</w:t>
            </w:r>
          </w:p>
        </w:tc>
      </w:tr>
    </w:tbl>
    <w:p w14:paraId="06DD3F2E">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3ABB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9962" w:type="dxa"/>
            <w:tcBorders>
              <w:top w:val="nil"/>
              <w:left w:val="nil"/>
              <w:bottom w:val="nil"/>
              <w:right w:val="nil"/>
            </w:tcBorders>
          </w:tcPr>
          <w:p w14:paraId="1611D4D2">
            <w:pPr>
              <w:ind w:firstLine="0" w:firstLineChars="0"/>
              <w:jc w:val="center"/>
              <w:rPr>
                <w:rFonts w:ascii="宋体" w:hAnsi="宋体"/>
              </w:rPr>
            </w:pPr>
            <w:r>
              <w:rPr>
                <w:rFonts w:hint="eastAsia" w:ascii="宋体" w:hAnsi="宋体"/>
              </w:rPr>
              <w:drawing>
                <wp:inline distT="0" distB="0" distL="114300" distR="114300">
                  <wp:extent cx="6186805" cy="4251960"/>
                  <wp:effectExtent l="0" t="0" r="4445" b="15240"/>
                  <wp:docPr id="63" name="图片 63" descr="南雄年鉴 2011_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南雄年鉴 2011_0026"/>
                          <pic:cNvPicPr>
                            <a:picLocks noChangeAspect="1"/>
                          </pic:cNvPicPr>
                        </pic:nvPicPr>
                        <pic:blipFill>
                          <a:blip r:embed="rId40" cstate="print"/>
                          <a:stretch>
                            <a:fillRect/>
                          </a:stretch>
                        </pic:blipFill>
                        <pic:spPr>
                          <a:xfrm>
                            <a:off x="0" y="0"/>
                            <a:ext cx="6186805" cy="4251960"/>
                          </a:xfrm>
                          <a:prstGeom prst="rect">
                            <a:avLst/>
                          </a:prstGeom>
                        </pic:spPr>
                      </pic:pic>
                    </a:graphicData>
                  </a:graphic>
                </wp:inline>
              </w:drawing>
            </w:r>
          </w:p>
        </w:tc>
      </w:tr>
      <w:tr w14:paraId="42252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6159E1C">
            <w:pPr>
              <w:ind w:firstLine="420"/>
              <w:rPr>
                <w:rFonts w:ascii="宋体" w:hAnsi="宋体"/>
              </w:rPr>
            </w:pPr>
            <w:r>
              <w:rPr>
                <w:rFonts w:ascii="宋体" w:hAnsi="宋体"/>
                <w:kern w:val="0"/>
              </w:rPr>
              <w:t>2009</w:t>
            </w:r>
            <w:r>
              <w:rPr>
                <w:rFonts w:hint="eastAsia" w:ascii="宋体" w:hAnsi="宋体"/>
                <w:kern w:val="0"/>
              </w:rPr>
              <w:t>年</w:t>
            </w:r>
            <w:r>
              <w:rPr>
                <w:rFonts w:ascii="宋体" w:hAnsi="宋体"/>
                <w:kern w:val="0"/>
              </w:rPr>
              <w:t>12</w:t>
            </w:r>
            <w:r>
              <w:rPr>
                <w:rFonts w:hint="eastAsia" w:ascii="宋体" w:hAnsi="宋体"/>
                <w:kern w:val="0"/>
              </w:rPr>
              <w:t>月</w:t>
            </w:r>
            <w:r>
              <w:rPr>
                <w:rFonts w:ascii="宋体" w:hAnsi="宋体"/>
                <w:kern w:val="0"/>
              </w:rPr>
              <w:t>21</w:t>
            </w:r>
            <w:r>
              <w:rPr>
                <w:rFonts w:hint="eastAsia" w:ascii="宋体" w:hAnsi="宋体"/>
                <w:kern w:val="0"/>
              </w:rPr>
              <w:t>日，南雄市</w:t>
            </w:r>
            <w:r>
              <w:rPr>
                <w:rFonts w:hint="eastAsia" w:ascii="宋体" w:hAnsi="宋体" w:cs="宋体"/>
                <w:kern w:val="0"/>
              </w:rPr>
              <w:t>经贸</w:t>
            </w:r>
            <w:r>
              <w:rPr>
                <w:rFonts w:hint="eastAsia" w:ascii="宋体" w:hAnsi="宋体"/>
                <w:kern w:val="0"/>
              </w:rPr>
              <w:t>洽</w:t>
            </w:r>
            <w:r>
              <w:rPr>
                <w:rFonts w:hint="eastAsia" w:ascii="宋体" w:hAnsi="宋体" w:cs="宋体"/>
                <w:kern w:val="0"/>
              </w:rPr>
              <w:t>谈</w:t>
            </w:r>
            <w:r>
              <w:rPr>
                <w:rFonts w:hint="eastAsia" w:ascii="宋体" w:hAnsi="宋体"/>
                <w:kern w:val="0"/>
              </w:rPr>
              <w:t>会</w:t>
            </w:r>
            <w:r>
              <w:rPr>
                <w:rFonts w:hint="eastAsia" w:ascii="宋体" w:hAnsi="宋体" w:cs="宋体"/>
                <w:kern w:val="0"/>
              </w:rPr>
              <w:t>暨</w:t>
            </w:r>
            <w:r>
              <w:rPr>
                <w:rFonts w:hint="eastAsia" w:ascii="宋体" w:hAnsi="宋体" w:cs="MS Gothic"/>
                <w:kern w:val="0"/>
              </w:rPr>
              <w:t>三</w:t>
            </w:r>
            <w:r>
              <w:rPr>
                <w:rFonts w:hint="eastAsia" w:ascii="宋体" w:hAnsi="宋体"/>
                <w:kern w:val="0"/>
              </w:rPr>
              <w:t>影塔千年</w:t>
            </w:r>
            <w:r>
              <w:rPr>
                <w:rFonts w:hint="eastAsia" w:ascii="宋体" w:hAnsi="宋体" w:cs="宋体"/>
                <w:kern w:val="0"/>
              </w:rPr>
              <w:t>庆</w:t>
            </w:r>
            <w:r>
              <w:rPr>
                <w:rFonts w:hint="eastAsia" w:ascii="宋体" w:hAnsi="宋体"/>
                <w:kern w:val="0"/>
              </w:rPr>
              <w:t>典</w:t>
            </w:r>
          </w:p>
        </w:tc>
      </w:tr>
    </w:tbl>
    <w:p w14:paraId="61649B17">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A824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9962" w:type="dxa"/>
            <w:tcBorders>
              <w:top w:val="nil"/>
              <w:left w:val="nil"/>
              <w:bottom w:val="nil"/>
              <w:right w:val="nil"/>
            </w:tcBorders>
          </w:tcPr>
          <w:p w14:paraId="6CE075B3">
            <w:pPr>
              <w:ind w:firstLine="0" w:firstLineChars="0"/>
              <w:jc w:val="center"/>
              <w:rPr>
                <w:rFonts w:ascii="宋体" w:hAnsi="宋体"/>
              </w:rPr>
            </w:pPr>
            <w:r>
              <w:rPr>
                <w:rFonts w:hint="eastAsia" w:ascii="宋体" w:hAnsi="宋体"/>
              </w:rPr>
              <w:drawing>
                <wp:inline distT="0" distB="0" distL="114300" distR="114300">
                  <wp:extent cx="6186805" cy="4074795"/>
                  <wp:effectExtent l="0" t="0" r="4445" b="1905"/>
                  <wp:docPr id="64" name="图片 64" descr="南雄年鉴 2011_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南雄年鉴 2011_0027"/>
                          <pic:cNvPicPr>
                            <a:picLocks noChangeAspect="1"/>
                          </pic:cNvPicPr>
                        </pic:nvPicPr>
                        <pic:blipFill>
                          <a:blip r:embed="rId41" cstate="print"/>
                          <a:stretch>
                            <a:fillRect/>
                          </a:stretch>
                        </pic:blipFill>
                        <pic:spPr>
                          <a:xfrm>
                            <a:off x="0" y="0"/>
                            <a:ext cx="6186805" cy="4074795"/>
                          </a:xfrm>
                          <a:prstGeom prst="rect">
                            <a:avLst/>
                          </a:prstGeom>
                        </pic:spPr>
                      </pic:pic>
                    </a:graphicData>
                  </a:graphic>
                </wp:inline>
              </w:drawing>
            </w:r>
          </w:p>
        </w:tc>
      </w:tr>
      <w:tr w14:paraId="22A56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89B0AB5">
            <w:pPr>
              <w:ind w:firstLine="420"/>
              <w:rPr>
                <w:rFonts w:ascii="宋体" w:hAnsi="宋体"/>
              </w:rPr>
            </w:pPr>
            <w:r>
              <w:rPr>
                <w:rFonts w:ascii="宋体" w:hAnsi="宋体"/>
                <w:kern w:val="0"/>
              </w:rPr>
              <w:t>2010</w:t>
            </w:r>
            <w:r>
              <w:rPr>
                <w:rFonts w:hint="eastAsia" w:ascii="宋体" w:hAnsi="宋体"/>
                <w:kern w:val="0"/>
              </w:rPr>
              <w:t>年</w:t>
            </w:r>
            <w:r>
              <w:rPr>
                <w:rFonts w:ascii="宋体" w:hAnsi="宋体"/>
                <w:kern w:val="0"/>
              </w:rPr>
              <w:t>5</w:t>
            </w:r>
            <w:r>
              <w:rPr>
                <w:rFonts w:hint="eastAsia" w:ascii="宋体" w:hAnsi="宋体"/>
                <w:kern w:val="0"/>
              </w:rPr>
              <w:t>月，召开南雄市</w:t>
            </w:r>
            <w:r>
              <w:rPr>
                <w:rFonts w:hint="eastAsia" w:ascii="宋体" w:hAnsi="宋体" w:cs="宋体"/>
                <w:kern w:val="0"/>
              </w:rPr>
              <w:t>领导</w:t>
            </w:r>
            <w:r>
              <w:rPr>
                <w:rFonts w:hint="eastAsia" w:ascii="宋体" w:hAnsi="宋体"/>
                <w:kern w:val="0"/>
              </w:rPr>
              <w:t>干部学</w:t>
            </w:r>
            <w:r>
              <w:rPr>
                <w:rFonts w:hint="eastAsia" w:ascii="宋体" w:hAnsi="宋体" w:cs="宋体"/>
                <w:kern w:val="0"/>
              </w:rPr>
              <w:t>习</w:t>
            </w:r>
            <w:r>
              <w:rPr>
                <w:rFonts w:hint="eastAsia" w:ascii="宋体" w:hAnsi="宋体"/>
                <w:kern w:val="0"/>
              </w:rPr>
              <w:t>《廉政准</w:t>
            </w:r>
            <w:r>
              <w:rPr>
                <w:rFonts w:hint="eastAsia" w:ascii="宋体" w:hAnsi="宋体" w:cs="宋体"/>
                <w:kern w:val="0"/>
              </w:rPr>
              <w:t>则</w:t>
            </w:r>
            <w:r>
              <w:rPr>
                <w:rFonts w:hint="eastAsia" w:ascii="宋体" w:hAnsi="宋体"/>
                <w:kern w:val="0"/>
              </w:rPr>
              <w:t>》</w:t>
            </w:r>
            <w:r>
              <w:rPr>
                <w:rFonts w:hint="eastAsia" w:ascii="宋体" w:hAnsi="宋体" w:cs="宋体"/>
                <w:kern w:val="0"/>
              </w:rPr>
              <w:t>专题辅导报</w:t>
            </w:r>
            <w:r>
              <w:rPr>
                <w:rFonts w:hint="eastAsia" w:ascii="宋体" w:hAnsi="宋体" w:cs="MS Gothic"/>
                <w:kern w:val="0"/>
              </w:rPr>
              <w:t>告</w:t>
            </w:r>
            <w:r>
              <w:rPr>
                <w:rFonts w:hint="eastAsia" w:ascii="宋体" w:hAnsi="宋体"/>
                <w:kern w:val="0"/>
              </w:rPr>
              <w:t>会</w:t>
            </w:r>
          </w:p>
        </w:tc>
      </w:tr>
    </w:tbl>
    <w:p w14:paraId="46EAE6E5">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7649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6F766439">
            <w:pPr>
              <w:ind w:firstLine="0" w:firstLineChars="0"/>
              <w:jc w:val="center"/>
              <w:rPr>
                <w:rFonts w:ascii="宋体" w:hAnsi="宋体"/>
              </w:rPr>
            </w:pPr>
            <w:r>
              <w:rPr>
                <w:rFonts w:hint="eastAsia" w:ascii="宋体" w:hAnsi="宋体"/>
              </w:rPr>
              <w:drawing>
                <wp:inline distT="0" distB="0" distL="114300" distR="114300">
                  <wp:extent cx="6180455" cy="3903345"/>
                  <wp:effectExtent l="0" t="0" r="10795" b="1905"/>
                  <wp:docPr id="65" name="图片 65" descr="南雄年鉴 2011_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南雄年鉴 2011_0028"/>
                          <pic:cNvPicPr>
                            <a:picLocks noChangeAspect="1"/>
                          </pic:cNvPicPr>
                        </pic:nvPicPr>
                        <pic:blipFill>
                          <a:blip r:embed="rId42" cstate="print"/>
                          <a:stretch>
                            <a:fillRect/>
                          </a:stretch>
                        </pic:blipFill>
                        <pic:spPr>
                          <a:xfrm>
                            <a:off x="0" y="0"/>
                            <a:ext cx="6180455" cy="3903345"/>
                          </a:xfrm>
                          <a:prstGeom prst="rect">
                            <a:avLst/>
                          </a:prstGeom>
                        </pic:spPr>
                      </pic:pic>
                    </a:graphicData>
                  </a:graphic>
                </wp:inline>
              </w:drawing>
            </w:r>
          </w:p>
        </w:tc>
      </w:tr>
      <w:tr w14:paraId="1ECEE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1132624">
            <w:pPr>
              <w:ind w:firstLine="420"/>
              <w:rPr>
                <w:rFonts w:ascii="宋体" w:hAnsi="宋体"/>
              </w:rPr>
            </w:pPr>
            <w:r>
              <w:rPr>
                <w:rFonts w:ascii="宋体" w:hAnsi="宋体"/>
                <w:kern w:val="0"/>
              </w:rPr>
              <w:t>2010</w:t>
            </w:r>
            <w:r>
              <w:rPr>
                <w:rFonts w:hint="eastAsia" w:ascii="宋体" w:hAnsi="宋体"/>
                <w:kern w:val="0"/>
              </w:rPr>
              <w:t>年</w:t>
            </w:r>
            <w:r>
              <w:rPr>
                <w:rFonts w:ascii="宋体" w:hAnsi="宋体"/>
                <w:kern w:val="0"/>
              </w:rPr>
              <w:t>11</w:t>
            </w:r>
            <w:r>
              <w:rPr>
                <w:rFonts w:hint="eastAsia" w:ascii="宋体" w:hAnsi="宋体"/>
                <w:kern w:val="0"/>
              </w:rPr>
              <w:t>月，召开南雄市烟叶工作</w:t>
            </w:r>
            <w:r>
              <w:rPr>
                <w:rFonts w:hint="eastAsia" w:ascii="宋体" w:hAnsi="宋体" w:cs="宋体"/>
                <w:kern w:val="0"/>
              </w:rPr>
              <w:t>总结</w:t>
            </w:r>
            <w:r>
              <w:rPr>
                <w:rFonts w:hint="eastAsia" w:ascii="宋体" w:hAnsi="宋体" w:cs="MS Gothic"/>
                <w:kern w:val="0"/>
              </w:rPr>
              <w:t>表彰大</w:t>
            </w:r>
            <w:r>
              <w:rPr>
                <w:rFonts w:hint="eastAsia" w:ascii="宋体" w:hAnsi="宋体"/>
                <w:kern w:val="0"/>
              </w:rPr>
              <w:t>会</w:t>
            </w:r>
          </w:p>
        </w:tc>
      </w:tr>
    </w:tbl>
    <w:p w14:paraId="5E54F860">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79B7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1D3F4499">
            <w:pPr>
              <w:ind w:firstLine="0" w:firstLineChars="0"/>
              <w:jc w:val="center"/>
              <w:rPr>
                <w:rFonts w:ascii="宋体" w:hAnsi="宋体"/>
              </w:rPr>
            </w:pPr>
            <w:r>
              <w:rPr>
                <w:rFonts w:hint="eastAsia" w:ascii="宋体" w:hAnsi="宋体"/>
              </w:rPr>
              <w:drawing>
                <wp:inline distT="0" distB="0" distL="114300" distR="114300">
                  <wp:extent cx="6184265" cy="4497705"/>
                  <wp:effectExtent l="0" t="0" r="6985" b="17145"/>
                  <wp:docPr id="66" name="图片 66" descr="南雄年鉴 2011_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南雄年鉴 2011_0029"/>
                          <pic:cNvPicPr>
                            <a:picLocks noChangeAspect="1"/>
                          </pic:cNvPicPr>
                        </pic:nvPicPr>
                        <pic:blipFill>
                          <a:blip r:embed="rId43" cstate="print"/>
                          <a:stretch>
                            <a:fillRect/>
                          </a:stretch>
                        </pic:blipFill>
                        <pic:spPr>
                          <a:xfrm>
                            <a:off x="0" y="0"/>
                            <a:ext cx="6184265" cy="4497705"/>
                          </a:xfrm>
                          <a:prstGeom prst="rect">
                            <a:avLst/>
                          </a:prstGeom>
                        </pic:spPr>
                      </pic:pic>
                    </a:graphicData>
                  </a:graphic>
                </wp:inline>
              </w:drawing>
            </w:r>
          </w:p>
        </w:tc>
      </w:tr>
      <w:tr w14:paraId="339F3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7378421">
            <w:pPr>
              <w:ind w:firstLine="420"/>
              <w:rPr>
                <w:rFonts w:ascii="宋体" w:hAnsi="宋体"/>
              </w:rPr>
            </w:pPr>
            <w:r>
              <w:rPr>
                <w:rFonts w:ascii="宋体" w:hAnsi="宋体"/>
                <w:kern w:val="0"/>
              </w:rPr>
              <w:t>2010</w:t>
            </w:r>
            <w:r>
              <w:rPr>
                <w:rFonts w:hint="eastAsia" w:ascii="宋体" w:hAnsi="宋体"/>
                <w:kern w:val="0"/>
              </w:rPr>
              <w:t>年</w:t>
            </w:r>
            <w:r>
              <w:rPr>
                <w:rFonts w:ascii="宋体" w:hAnsi="宋体"/>
                <w:kern w:val="0"/>
              </w:rPr>
              <w:t>9</w:t>
            </w:r>
            <w:r>
              <w:rPr>
                <w:rFonts w:hint="eastAsia" w:ascii="宋体" w:hAnsi="宋体"/>
                <w:kern w:val="0"/>
              </w:rPr>
              <w:t>月</w:t>
            </w:r>
            <w:r>
              <w:rPr>
                <w:rFonts w:ascii="宋体" w:hAnsi="宋体"/>
                <w:kern w:val="0"/>
              </w:rPr>
              <w:t>6</w:t>
            </w:r>
            <w:r>
              <w:rPr>
                <w:rFonts w:hint="eastAsia" w:ascii="宋体" w:hAnsi="宋体"/>
                <w:kern w:val="0"/>
              </w:rPr>
              <w:t>日，南雄市启</w:t>
            </w:r>
            <w:r>
              <w:rPr>
                <w:rFonts w:hint="eastAsia" w:ascii="宋体" w:hAnsi="宋体" w:cs="宋体"/>
                <w:kern w:val="0"/>
              </w:rPr>
              <w:t>动</w:t>
            </w:r>
            <w:r>
              <w:rPr>
                <w:rFonts w:hint="eastAsia" w:ascii="宋体" w:hAnsi="宋体"/>
                <w:kern w:val="0"/>
              </w:rPr>
              <w:t>《南雄年</w:t>
            </w:r>
            <w:r>
              <w:rPr>
                <w:rFonts w:hint="eastAsia" w:ascii="宋体" w:hAnsi="宋体" w:cs="宋体"/>
                <w:kern w:val="0"/>
              </w:rPr>
              <w:t>鉴</w:t>
            </w:r>
            <w:r>
              <w:rPr>
                <w:rFonts w:hint="eastAsia" w:ascii="宋体" w:hAnsi="宋体"/>
                <w:kern w:val="0"/>
              </w:rPr>
              <w:t>》</w:t>
            </w:r>
            <w:r>
              <w:rPr>
                <w:rFonts w:hint="eastAsia" w:ascii="宋体" w:hAnsi="宋体" w:cs="宋体"/>
                <w:kern w:val="0"/>
              </w:rPr>
              <w:t>编纂</w:t>
            </w:r>
            <w:r>
              <w:rPr>
                <w:rFonts w:hint="eastAsia" w:ascii="宋体" w:hAnsi="宋体" w:cs="MS Gothic"/>
                <w:kern w:val="0"/>
              </w:rPr>
              <w:t>工</w:t>
            </w:r>
            <w:r>
              <w:rPr>
                <w:rFonts w:hint="eastAsia" w:ascii="宋体" w:hAnsi="宋体"/>
                <w:kern w:val="0"/>
              </w:rPr>
              <w:t>作</w:t>
            </w:r>
          </w:p>
        </w:tc>
      </w:tr>
    </w:tbl>
    <w:p w14:paraId="5FE6C984">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FD4A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0D855D72">
            <w:pPr>
              <w:ind w:firstLine="0" w:firstLineChars="0"/>
              <w:jc w:val="center"/>
              <w:rPr>
                <w:rFonts w:ascii="宋体" w:hAnsi="宋体"/>
              </w:rPr>
            </w:pPr>
            <w:r>
              <w:rPr>
                <w:rFonts w:hint="eastAsia" w:ascii="宋体" w:hAnsi="宋体"/>
              </w:rPr>
              <w:drawing>
                <wp:inline distT="0" distB="0" distL="114300" distR="114300">
                  <wp:extent cx="6181090" cy="4120515"/>
                  <wp:effectExtent l="0" t="0" r="10160" b="13335"/>
                  <wp:docPr id="67" name="图片 67" descr="南雄年鉴 2011_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南雄年鉴 2011_0030"/>
                          <pic:cNvPicPr>
                            <a:picLocks noChangeAspect="1"/>
                          </pic:cNvPicPr>
                        </pic:nvPicPr>
                        <pic:blipFill>
                          <a:blip r:embed="rId44" cstate="print"/>
                          <a:stretch>
                            <a:fillRect/>
                          </a:stretch>
                        </pic:blipFill>
                        <pic:spPr>
                          <a:xfrm>
                            <a:off x="0" y="0"/>
                            <a:ext cx="6181090" cy="4120515"/>
                          </a:xfrm>
                          <a:prstGeom prst="rect">
                            <a:avLst/>
                          </a:prstGeom>
                        </pic:spPr>
                      </pic:pic>
                    </a:graphicData>
                  </a:graphic>
                </wp:inline>
              </w:drawing>
            </w:r>
          </w:p>
        </w:tc>
      </w:tr>
      <w:tr w14:paraId="071FD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612247B">
            <w:pPr>
              <w:ind w:firstLine="420"/>
              <w:rPr>
                <w:rFonts w:ascii="宋体" w:hAnsi="宋体"/>
              </w:rPr>
            </w:pPr>
            <w:r>
              <w:rPr>
                <w:rFonts w:ascii="宋体" w:hAnsi="宋体"/>
                <w:kern w:val="0"/>
              </w:rPr>
              <w:t>2010</w:t>
            </w:r>
            <w:r>
              <w:rPr>
                <w:rFonts w:hint="eastAsia" w:ascii="宋体" w:hAnsi="宋体"/>
                <w:kern w:val="0"/>
              </w:rPr>
              <w:t>年</w:t>
            </w:r>
            <w:r>
              <w:rPr>
                <w:rFonts w:ascii="宋体" w:hAnsi="宋体"/>
                <w:kern w:val="0"/>
              </w:rPr>
              <w:t>2</w:t>
            </w:r>
            <w:r>
              <w:rPr>
                <w:rFonts w:hint="eastAsia" w:ascii="宋体" w:hAnsi="宋体"/>
                <w:kern w:val="0"/>
              </w:rPr>
              <w:t>月</w:t>
            </w:r>
            <w:r>
              <w:rPr>
                <w:rFonts w:ascii="宋体" w:hAnsi="宋体"/>
                <w:kern w:val="0"/>
              </w:rPr>
              <w:t>2</w:t>
            </w:r>
            <w:r>
              <w:rPr>
                <w:rFonts w:hint="eastAsia" w:ascii="宋体" w:hAnsi="宋体"/>
                <w:kern w:val="0"/>
              </w:rPr>
              <w:t>日，南雄市与澳大利</w:t>
            </w:r>
            <w:r>
              <w:rPr>
                <w:rFonts w:hint="eastAsia" w:ascii="宋体" w:hAnsi="宋体" w:cs="宋体"/>
                <w:kern w:val="0"/>
              </w:rPr>
              <w:t>亚</w:t>
            </w:r>
            <w:r>
              <w:rPr>
                <w:rFonts w:hint="eastAsia" w:ascii="宋体" w:hAnsi="宋体" w:cs="MS Gothic"/>
                <w:kern w:val="0"/>
              </w:rPr>
              <w:t>高嘉</w:t>
            </w:r>
            <w:r>
              <w:rPr>
                <w:rFonts w:hint="eastAsia" w:ascii="宋体" w:hAnsi="宋体" w:cs="宋体"/>
                <w:kern w:val="0"/>
              </w:rPr>
              <w:t>华</w:t>
            </w:r>
            <w:r>
              <w:rPr>
                <w:rFonts w:hint="eastAsia" w:ascii="宋体" w:hAnsi="宋体" w:cs="MS Gothic"/>
                <w:kern w:val="0"/>
              </w:rPr>
              <w:t>市</w:t>
            </w:r>
            <w:r>
              <w:rPr>
                <w:rFonts w:hint="eastAsia" w:ascii="宋体" w:hAnsi="宋体" w:cs="宋体"/>
                <w:kern w:val="0"/>
              </w:rPr>
              <w:t>结为</w:t>
            </w:r>
            <w:r>
              <w:rPr>
                <w:rFonts w:hint="eastAsia" w:ascii="宋体" w:hAnsi="宋体" w:cs="MS Gothic"/>
                <w:kern w:val="0"/>
              </w:rPr>
              <w:t>友好</w:t>
            </w:r>
            <w:r>
              <w:rPr>
                <w:rFonts w:hint="eastAsia" w:ascii="宋体" w:hAnsi="宋体"/>
                <w:kern w:val="0"/>
              </w:rPr>
              <w:t>城市，市</w:t>
            </w:r>
            <w:r>
              <w:rPr>
                <w:rFonts w:hint="eastAsia" w:ascii="宋体" w:hAnsi="宋体" w:cs="宋体"/>
                <w:kern w:val="0"/>
              </w:rPr>
              <w:t>长许</w:t>
            </w:r>
            <w:r>
              <w:rPr>
                <w:rFonts w:hint="eastAsia" w:ascii="宋体" w:hAnsi="宋体" w:cs="MS Gothic"/>
                <w:kern w:val="0"/>
              </w:rPr>
              <w:t>志新与高嘉</w:t>
            </w:r>
            <w:r>
              <w:rPr>
                <w:rFonts w:hint="eastAsia" w:ascii="宋体" w:hAnsi="宋体" w:cs="宋体"/>
                <w:kern w:val="0"/>
              </w:rPr>
              <w:t>华</w:t>
            </w:r>
            <w:r>
              <w:rPr>
                <w:rFonts w:hint="eastAsia" w:ascii="宋体" w:hAnsi="宋体"/>
                <w:kern w:val="0"/>
              </w:rPr>
              <w:t>市</w:t>
            </w:r>
            <w:r>
              <w:rPr>
                <w:rFonts w:hint="eastAsia" w:ascii="宋体" w:hAnsi="宋体" w:cs="宋体"/>
                <w:kern w:val="0"/>
              </w:rPr>
              <w:t>长</w:t>
            </w:r>
            <w:r>
              <w:rPr>
                <w:rFonts w:hint="eastAsia" w:ascii="宋体" w:hAnsi="宋体" w:cs="MS Gothic"/>
                <w:kern w:val="0"/>
              </w:rPr>
              <w:t>互</w:t>
            </w:r>
            <w:r>
              <w:rPr>
                <w:rFonts w:hint="eastAsia" w:ascii="宋体" w:hAnsi="宋体" w:cs="宋体"/>
                <w:kern w:val="0"/>
              </w:rPr>
              <w:t>赠纪</w:t>
            </w:r>
            <w:r>
              <w:rPr>
                <w:rFonts w:hint="eastAsia" w:ascii="宋体" w:hAnsi="宋体" w:cs="MS Gothic"/>
                <w:kern w:val="0"/>
              </w:rPr>
              <w:t>念</w:t>
            </w:r>
            <w:r>
              <w:rPr>
                <w:rFonts w:hint="eastAsia" w:ascii="宋体" w:hAnsi="宋体"/>
                <w:kern w:val="0"/>
              </w:rPr>
              <w:t>品</w:t>
            </w:r>
          </w:p>
        </w:tc>
      </w:tr>
    </w:tbl>
    <w:p w14:paraId="66298D76">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F270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1B7093AF">
            <w:pPr>
              <w:ind w:firstLine="0" w:firstLineChars="0"/>
              <w:jc w:val="center"/>
              <w:rPr>
                <w:rFonts w:ascii="宋体" w:hAnsi="宋体"/>
              </w:rPr>
            </w:pPr>
            <w:r>
              <w:rPr>
                <w:rFonts w:hint="eastAsia" w:ascii="宋体" w:hAnsi="宋体"/>
              </w:rPr>
              <w:drawing>
                <wp:inline distT="0" distB="0" distL="114300" distR="114300">
                  <wp:extent cx="6182995" cy="3560445"/>
                  <wp:effectExtent l="0" t="0" r="8255" b="1905"/>
                  <wp:docPr id="68" name="图片 68" descr="南雄年鉴 2011_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南雄年鉴 2011_0031"/>
                          <pic:cNvPicPr>
                            <a:picLocks noChangeAspect="1"/>
                          </pic:cNvPicPr>
                        </pic:nvPicPr>
                        <pic:blipFill>
                          <a:blip r:embed="rId45" cstate="print"/>
                          <a:stretch>
                            <a:fillRect/>
                          </a:stretch>
                        </pic:blipFill>
                        <pic:spPr>
                          <a:xfrm>
                            <a:off x="0" y="0"/>
                            <a:ext cx="6182995" cy="3560445"/>
                          </a:xfrm>
                          <a:prstGeom prst="rect">
                            <a:avLst/>
                          </a:prstGeom>
                        </pic:spPr>
                      </pic:pic>
                    </a:graphicData>
                  </a:graphic>
                </wp:inline>
              </w:drawing>
            </w:r>
          </w:p>
        </w:tc>
      </w:tr>
      <w:tr w14:paraId="5DF77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9AD3E6E">
            <w:pPr>
              <w:ind w:firstLine="420"/>
              <w:rPr>
                <w:rFonts w:ascii="宋体" w:hAnsi="宋体"/>
              </w:rPr>
            </w:pPr>
            <w:r>
              <w:rPr>
                <w:rFonts w:hint="eastAsia" w:ascii="宋体" w:hAnsi="宋体"/>
                <w:kern w:val="0"/>
              </w:rPr>
              <w:t>南雄市</w:t>
            </w:r>
            <w:r>
              <w:rPr>
                <w:rFonts w:hint="eastAsia" w:ascii="宋体" w:hAnsi="宋体" w:cs="宋体"/>
                <w:kern w:val="0"/>
              </w:rPr>
              <w:t>获</w:t>
            </w:r>
            <w:r>
              <w:rPr>
                <w:rFonts w:hint="eastAsia" w:ascii="宋体" w:hAnsi="宋体" w:cs="MS Gothic"/>
                <w:kern w:val="0"/>
              </w:rPr>
              <w:t>得广</w:t>
            </w:r>
            <w:r>
              <w:rPr>
                <w:rFonts w:hint="eastAsia" w:ascii="宋体" w:hAnsi="宋体" w:cs="宋体"/>
                <w:kern w:val="0"/>
              </w:rPr>
              <w:t>东</w:t>
            </w:r>
            <w:r>
              <w:rPr>
                <w:rFonts w:hint="eastAsia" w:ascii="宋体" w:hAnsi="宋体" w:cs="MS Gothic"/>
                <w:kern w:val="0"/>
              </w:rPr>
              <w:t>省文明城</w:t>
            </w:r>
            <w:r>
              <w:rPr>
                <w:rFonts w:hint="eastAsia" w:ascii="宋体" w:hAnsi="宋体"/>
                <w:kern w:val="0"/>
              </w:rPr>
              <w:t>市和可持</w:t>
            </w:r>
            <w:r>
              <w:rPr>
                <w:rFonts w:hint="eastAsia" w:ascii="宋体" w:hAnsi="宋体" w:cs="宋体"/>
                <w:kern w:val="0"/>
              </w:rPr>
              <w:t>续发</w:t>
            </w:r>
            <w:r>
              <w:rPr>
                <w:rFonts w:hint="eastAsia" w:ascii="宋体" w:hAnsi="宋体" w:cs="MS Gothic"/>
                <w:kern w:val="0"/>
              </w:rPr>
              <w:t>展</w:t>
            </w:r>
            <w:r>
              <w:rPr>
                <w:rFonts w:hint="eastAsia" w:ascii="宋体" w:hAnsi="宋体" w:cs="宋体"/>
                <w:kern w:val="0"/>
              </w:rPr>
              <w:t>实验</w:t>
            </w:r>
            <w:r>
              <w:rPr>
                <w:rFonts w:hint="eastAsia" w:ascii="宋体" w:hAnsi="宋体" w:cs="MS Gothic"/>
                <w:kern w:val="0"/>
              </w:rPr>
              <w:t>区揭牌</w:t>
            </w:r>
            <w:r>
              <w:rPr>
                <w:rFonts w:hint="eastAsia" w:ascii="宋体" w:hAnsi="宋体" w:cs="宋体"/>
                <w:kern w:val="0"/>
              </w:rPr>
              <w:t>仪</w:t>
            </w:r>
            <w:r>
              <w:rPr>
                <w:rFonts w:hint="eastAsia" w:ascii="宋体" w:hAnsi="宋体"/>
                <w:kern w:val="0"/>
              </w:rPr>
              <w:t>式</w:t>
            </w:r>
          </w:p>
        </w:tc>
      </w:tr>
    </w:tbl>
    <w:p w14:paraId="4CFD33CB">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F97E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1FDAA2FA">
            <w:pPr>
              <w:ind w:firstLine="0" w:firstLineChars="0"/>
              <w:jc w:val="center"/>
              <w:rPr>
                <w:rFonts w:ascii="宋体" w:hAnsi="宋体"/>
              </w:rPr>
            </w:pPr>
            <w:r>
              <w:rPr>
                <w:rFonts w:hint="eastAsia" w:ascii="宋体" w:hAnsi="宋体"/>
              </w:rPr>
              <w:drawing>
                <wp:inline distT="0" distB="0" distL="114300" distR="114300">
                  <wp:extent cx="6187440" cy="4097655"/>
                  <wp:effectExtent l="0" t="0" r="3810" b="17145"/>
                  <wp:docPr id="81" name="图片 81" descr="南雄年鉴 2011_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南雄年鉴 2011_0032"/>
                          <pic:cNvPicPr>
                            <a:picLocks noChangeAspect="1"/>
                          </pic:cNvPicPr>
                        </pic:nvPicPr>
                        <pic:blipFill>
                          <a:blip r:embed="rId46" cstate="print"/>
                          <a:stretch>
                            <a:fillRect/>
                          </a:stretch>
                        </pic:blipFill>
                        <pic:spPr>
                          <a:xfrm>
                            <a:off x="0" y="0"/>
                            <a:ext cx="6187440" cy="4097655"/>
                          </a:xfrm>
                          <a:prstGeom prst="rect">
                            <a:avLst/>
                          </a:prstGeom>
                        </pic:spPr>
                      </pic:pic>
                    </a:graphicData>
                  </a:graphic>
                </wp:inline>
              </w:drawing>
            </w:r>
          </w:p>
        </w:tc>
      </w:tr>
      <w:tr w14:paraId="6F91C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F7096B2">
            <w:pPr>
              <w:ind w:firstLine="420"/>
              <w:rPr>
                <w:rFonts w:ascii="宋体" w:hAnsi="宋体"/>
              </w:rPr>
            </w:pPr>
            <w:r>
              <w:rPr>
                <w:rFonts w:hint="eastAsia" w:ascii="宋体" w:hAnsi="宋体" w:cs="宋体"/>
                <w:kern w:val="0"/>
              </w:rPr>
              <w:t>为</w:t>
            </w:r>
            <w:r>
              <w:rPr>
                <w:rFonts w:hint="eastAsia" w:ascii="宋体" w:hAnsi="宋体" w:cs="MS Gothic"/>
                <w:kern w:val="0"/>
              </w:rPr>
              <w:t>建</w:t>
            </w:r>
            <w:r>
              <w:rPr>
                <w:rFonts w:hint="eastAsia" w:ascii="宋体" w:hAnsi="宋体" w:cs="宋体"/>
                <w:kern w:val="0"/>
              </w:rPr>
              <w:t>设</w:t>
            </w:r>
            <w:r>
              <w:rPr>
                <w:rFonts w:hint="eastAsia" w:ascii="宋体" w:hAnsi="宋体"/>
                <w:kern w:val="0"/>
              </w:rPr>
              <w:t>“科技型、</w:t>
            </w:r>
            <w:r>
              <w:rPr>
                <w:rFonts w:hint="eastAsia" w:ascii="宋体" w:hAnsi="宋体" w:cs="宋体"/>
                <w:kern w:val="0"/>
              </w:rPr>
              <w:t>节约</w:t>
            </w:r>
            <w:r>
              <w:rPr>
                <w:rFonts w:hint="eastAsia" w:ascii="宋体" w:hAnsi="宋体" w:cs="MS Gothic"/>
                <w:kern w:val="0"/>
              </w:rPr>
              <w:t>用地</w:t>
            </w:r>
            <w:r>
              <w:rPr>
                <w:rFonts w:hint="eastAsia" w:ascii="宋体" w:hAnsi="宋体"/>
                <w:kern w:val="0"/>
              </w:rPr>
              <w:t>型、</w:t>
            </w:r>
            <w:r>
              <w:rPr>
                <w:rFonts w:hint="eastAsia" w:ascii="宋体" w:hAnsi="宋体" w:cs="宋体"/>
                <w:kern w:val="0"/>
              </w:rPr>
              <w:t>环</w:t>
            </w:r>
            <w:r>
              <w:rPr>
                <w:rFonts w:hint="eastAsia" w:ascii="宋体" w:hAnsi="宋体" w:cs="MS Gothic"/>
                <w:kern w:val="0"/>
              </w:rPr>
              <w:t>境友好</w:t>
            </w:r>
            <w:r>
              <w:rPr>
                <w:rFonts w:hint="eastAsia" w:ascii="宋体" w:hAnsi="宋体"/>
                <w:kern w:val="0"/>
              </w:rPr>
              <w:t>型、</w:t>
            </w:r>
            <w:r>
              <w:rPr>
                <w:rFonts w:hint="eastAsia" w:ascii="宋体" w:hAnsi="宋体" w:cs="宋体"/>
                <w:kern w:val="0"/>
              </w:rPr>
              <w:t>创</w:t>
            </w:r>
            <w:r>
              <w:rPr>
                <w:rFonts w:hint="eastAsia" w:ascii="宋体" w:hAnsi="宋体" w:cs="MS Gothic"/>
                <w:kern w:val="0"/>
              </w:rPr>
              <w:t>税型</w:t>
            </w:r>
            <w:r>
              <w:rPr>
                <w:rFonts w:hint="eastAsia" w:ascii="宋体" w:hAnsi="宋体"/>
                <w:kern w:val="0"/>
              </w:rPr>
              <w:t>”的精</w:t>
            </w:r>
            <w:r>
              <w:rPr>
                <w:rFonts w:hint="eastAsia" w:ascii="宋体" w:hAnsi="宋体" w:cs="宋体"/>
                <w:kern w:val="0"/>
              </w:rPr>
              <w:t>细</w:t>
            </w:r>
            <w:r>
              <w:rPr>
                <w:rFonts w:hint="eastAsia" w:ascii="宋体" w:hAnsi="宋体" w:cs="MS Gothic"/>
                <w:kern w:val="0"/>
              </w:rPr>
              <w:t>化</w:t>
            </w:r>
            <w:r>
              <w:rPr>
                <w:rFonts w:hint="eastAsia" w:ascii="宋体" w:hAnsi="宋体"/>
                <w:kern w:val="0"/>
              </w:rPr>
              <w:t>工</w:t>
            </w:r>
            <w:r>
              <w:rPr>
                <w:rFonts w:hint="eastAsia" w:ascii="宋体" w:hAnsi="宋体" w:cs="宋体"/>
                <w:kern w:val="0"/>
              </w:rPr>
              <w:t>产业</w:t>
            </w:r>
            <w:r>
              <w:rPr>
                <w:rFonts w:hint="eastAsia" w:ascii="宋体" w:hAnsi="宋体" w:cs="MS Gothic"/>
                <w:kern w:val="0"/>
              </w:rPr>
              <w:t>园</w:t>
            </w:r>
            <w:r>
              <w:rPr>
                <w:rFonts w:hint="eastAsia" w:ascii="宋体" w:hAnsi="宋体"/>
                <w:kern w:val="0"/>
              </w:rPr>
              <w:t>，</w:t>
            </w:r>
            <w:r>
              <w:rPr>
                <w:rFonts w:ascii="宋体" w:hAnsi="宋体"/>
                <w:kern w:val="0"/>
              </w:rPr>
              <w:t>2010</w:t>
            </w:r>
            <w:r>
              <w:rPr>
                <w:rFonts w:hint="eastAsia" w:ascii="宋体" w:hAnsi="宋体"/>
                <w:kern w:val="0"/>
              </w:rPr>
              <w:t>年南雄市争取到国家开</w:t>
            </w:r>
            <w:r>
              <w:rPr>
                <w:rFonts w:hint="eastAsia" w:ascii="宋体" w:hAnsi="宋体" w:cs="宋体"/>
                <w:kern w:val="0"/>
              </w:rPr>
              <w:t>发银</w:t>
            </w:r>
            <w:r>
              <w:rPr>
                <w:rFonts w:hint="eastAsia" w:ascii="宋体" w:hAnsi="宋体"/>
                <w:kern w:val="0"/>
              </w:rPr>
              <w:t>行广</w:t>
            </w:r>
            <w:r>
              <w:rPr>
                <w:rFonts w:hint="eastAsia" w:ascii="宋体" w:hAnsi="宋体" w:cs="宋体"/>
                <w:kern w:val="0"/>
              </w:rPr>
              <w:t>东</w:t>
            </w:r>
            <w:r>
              <w:rPr>
                <w:rFonts w:hint="eastAsia" w:ascii="宋体" w:hAnsi="宋体" w:cs="MS Gothic"/>
                <w:kern w:val="0"/>
              </w:rPr>
              <w:t>分行</w:t>
            </w:r>
            <w:r>
              <w:rPr>
                <w:rFonts w:ascii="宋体" w:hAnsi="宋体"/>
                <w:kern w:val="0"/>
              </w:rPr>
              <w:t>9</w:t>
            </w:r>
            <w:r>
              <w:rPr>
                <w:rFonts w:hint="eastAsia" w:ascii="宋体" w:hAnsi="宋体" w:cs="宋体"/>
                <w:kern w:val="0"/>
              </w:rPr>
              <w:t>亿</w:t>
            </w:r>
            <w:r>
              <w:rPr>
                <w:rFonts w:hint="eastAsia" w:ascii="宋体" w:hAnsi="宋体"/>
                <w:kern w:val="0"/>
              </w:rPr>
              <w:t>元授信</w:t>
            </w:r>
            <w:r>
              <w:rPr>
                <w:rFonts w:hint="eastAsia" w:ascii="宋体" w:hAnsi="宋体" w:cs="宋体"/>
                <w:kern w:val="0"/>
              </w:rPr>
              <w:t>贷</w:t>
            </w:r>
            <w:r>
              <w:rPr>
                <w:rFonts w:hint="eastAsia" w:ascii="宋体" w:hAnsi="宋体" w:cs="MS Gothic"/>
                <w:kern w:val="0"/>
              </w:rPr>
              <w:t>款，</w:t>
            </w:r>
            <w:r>
              <w:rPr>
                <w:rFonts w:hint="eastAsia" w:ascii="宋体" w:hAnsi="宋体" w:cs="宋体"/>
                <w:kern w:val="0"/>
              </w:rPr>
              <w:t>图为</w:t>
            </w:r>
            <w:r>
              <w:rPr>
                <w:rFonts w:hint="eastAsia" w:ascii="宋体" w:hAnsi="宋体"/>
                <w:kern w:val="0"/>
              </w:rPr>
              <w:t>精</w:t>
            </w:r>
            <w:r>
              <w:rPr>
                <w:rFonts w:hint="eastAsia" w:ascii="宋体" w:hAnsi="宋体" w:cs="宋体"/>
                <w:kern w:val="0"/>
              </w:rPr>
              <w:t>细</w:t>
            </w:r>
            <w:r>
              <w:rPr>
                <w:rFonts w:hint="eastAsia" w:ascii="宋体" w:hAnsi="宋体" w:cs="MS Gothic"/>
                <w:kern w:val="0"/>
              </w:rPr>
              <w:t>化工</w:t>
            </w:r>
            <w:r>
              <w:rPr>
                <w:rFonts w:hint="eastAsia" w:ascii="宋体" w:hAnsi="宋体"/>
                <w:kern w:val="0"/>
              </w:rPr>
              <w:t>基地企</w:t>
            </w:r>
            <w:r>
              <w:rPr>
                <w:rFonts w:hint="eastAsia" w:ascii="宋体" w:hAnsi="宋体" w:cs="宋体"/>
                <w:kern w:val="0"/>
              </w:rPr>
              <w:t>业</w:t>
            </w:r>
            <w:r>
              <w:rPr>
                <w:rFonts w:hint="eastAsia" w:ascii="宋体" w:hAnsi="宋体"/>
                <w:kern w:val="0"/>
              </w:rPr>
              <w:t>融</w:t>
            </w:r>
            <w:r>
              <w:rPr>
                <w:rFonts w:hint="eastAsia" w:ascii="宋体" w:hAnsi="宋体" w:cs="宋体"/>
                <w:kern w:val="0"/>
              </w:rPr>
              <w:t>资</w:t>
            </w:r>
            <w:r>
              <w:rPr>
                <w:rFonts w:hint="eastAsia" w:ascii="宋体" w:hAnsi="宋体"/>
                <w:kern w:val="0"/>
              </w:rPr>
              <w:t>服</w:t>
            </w:r>
            <w:r>
              <w:rPr>
                <w:rFonts w:hint="eastAsia" w:ascii="宋体" w:hAnsi="宋体" w:cs="宋体"/>
                <w:kern w:val="0"/>
              </w:rPr>
              <w:t>务办</w:t>
            </w:r>
            <w:r>
              <w:rPr>
                <w:rFonts w:hint="eastAsia" w:ascii="宋体" w:hAnsi="宋体" w:cs="MS Gothic"/>
                <w:kern w:val="0"/>
              </w:rPr>
              <w:t>公</w:t>
            </w:r>
            <w:r>
              <w:rPr>
                <w:rFonts w:hint="eastAsia" w:ascii="宋体" w:hAnsi="宋体"/>
                <w:kern w:val="0"/>
              </w:rPr>
              <w:t>室揭牌</w:t>
            </w:r>
            <w:r>
              <w:rPr>
                <w:rFonts w:hint="eastAsia" w:ascii="宋体" w:hAnsi="宋体" w:cs="宋体"/>
                <w:kern w:val="0"/>
              </w:rPr>
              <w:t>仪</w:t>
            </w:r>
            <w:r>
              <w:rPr>
                <w:rFonts w:hint="eastAsia" w:ascii="宋体" w:hAnsi="宋体"/>
                <w:kern w:val="0"/>
              </w:rPr>
              <w:t>式</w:t>
            </w:r>
          </w:p>
        </w:tc>
      </w:tr>
    </w:tbl>
    <w:p w14:paraId="4B99BB05">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2B84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7619AF05">
            <w:pPr>
              <w:ind w:firstLine="0" w:firstLineChars="0"/>
              <w:jc w:val="center"/>
              <w:rPr>
                <w:rFonts w:ascii="宋体" w:hAnsi="宋体"/>
              </w:rPr>
            </w:pPr>
            <w:r>
              <w:rPr>
                <w:rFonts w:hint="eastAsia" w:ascii="宋体" w:hAnsi="宋体"/>
              </w:rPr>
              <w:drawing>
                <wp:inline distT="0" distB="0" distL="114300" distR="114300">
                  <wp:extent cx="6188710" cy="4171950"/>
                  <wp:effectExtent l="0" t="0" r="2540" b="0"/>
                  <wp:docPr id="82" name="图片 82" descr="南雄年鉴 2011_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南雄年鉴 2011_0033"/>
                          <pic:cNvPicPr>
                            <a:picLocks noChangeAspect="1"/>
                          </pic:cNvPicPr>
                        </pic:nvPicPr>
                        <pic:blipFill>
                          <a:blip r:embed="rId47" cstate="print"/>
                          <a:stretch>
                            <a:fillRect/>
                          </a:stretch>
                        </pic:blipFill>
                        <pic:spPr>
                          <a:xfrm>
                            <a:off x="0" y="0"/>
                            <a:ext cx="6188710" cy="4171950"/>
                          </a:xfrm>
                          <a:prstGeom prst="rect">
                            <a:avLst/>
                          </a:prstGeom>
                        </pic:spPr>
                      </pic:pic>
                    </a:graphicData>
                  </a:graphic>
                </wp:inline>
              </w:drawing>
            </w:r>
          </w:p>
        </w:tc>
      </w:tr>
      <w:tr w14:paraId="1DEBD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8CF6351">
            <w:pPr>
              <w:ind w:firstLine="420"/>
              <w:rPr>
                <w:rFonts w:ascii="宋体" w:hAnsi="宋体"/>
              </w:rPr>
            </w:pPr>
            <w:r>
              <w:rPr>
                <w:rFonts w:ascii="宋体" w:hAnsi="宋体"/>
                <w:kern w:val="0"/>
              </w:rPr>
              <w:t>2010</w:t>
            </w:r>
            <w:r>
              <w:rPr>
                <w:rFonts w:hint="eastAsia" w:ascii="宋体" w:hAnsi="宋体"/>
                <w:kern w:val="0"/>
              </w:rPr>
              <w:t>年</w:t>
            </w:r>
            <w:r>
              <w:rPr>
                <w:rFonts w:ascii="宋体" w:hAnsi="宋体"/>
                <w:kern w:val="0"/>
              </w:rPr>
              <w:t>8</w:t>
            </w:r>
            <w:r>
              <w:rPr>
                <w:rFonts w:hint="eastAsia" w:ascii="宋体" w:hAnsi="宋体"/>
                <w:kern w:val="0"/>
              </w:rPr>
              <w:t>月，</w:t>
            </w:r>
            <w:r>
              <w:rPr>
                <w:rFonts w:hint="eastAsia" w:ascii="宋体" w:hAnsi="宋体" w:cs="宋体"/>
                <w:kern w:val="0"/>
              </w:rPr>
              <w:t>举办</w:t>
            </w:r>
            <w:r>
              <w:rPr>
                <w:rFonts w:hint="eastAsia" w:ascii="宋体" w:hAnsi="宋体" w:cs="MS Gothic"/>
                <w:kern w:val="0"/>
              </w:rPr>
              <w:t>南雄市</w:t>
            </w:r>
            <w:r>
              <w:rPr>
                <w:rFonts w:ascii="宋体" w:hAnsi="宋体"/>
                <w:kern w:val="0"/>
              </w:rPr>
              <w:t>20</w:t>
            </w:r>
            <w:r>
              <w:rPr>
                <w:rFonts w:hint="eastAsia" w:ascii="宋体" w:hAnsi="宋体"/>
                <w:kern w:val="0"/>
              </w:rPr>
              <w:t>家企</w:t>
            </w:r>
            <w:r>
              <w:rPr>
                <w:rFonts w:hint="eastAsia" w:ascii="宋体" w:hAnsi="宋体" w:cs="宋体"/>
                <w:kern w:val="0"/>
              </w:rPr>
              <w:t>业</w:t>
            </w:r>
            <w:r>
              <w:rPr>
                <w:rFonts w:hint="eastAsia" w:ascii="宋体" w:hAnsi="宋体" w:cs="MS Gothic"/>
                <w:kern w:val="0"/>
              </w:rPr>
              <w:t>开工</w:t>
            </w:r>
            <w:r>
              <w:rPr>
                <w:rFonts w:hint="eastAsia" w:ascii="宋体" w:hAnsi="宋体" w:cs="宋体"/>
                <w:kern w:val="0"/>
              </w:rPr>
              <w:t>仪</w:t>
            </w:r>
            <w:r>
              <w:rPr>
                <w:rFonts w:hint="eastAsia" w:ascii="宋体" w:hAnsi="宋体" w:cs="MS Gothic"/>
                <w:kern w:val="0"/>
              </w:rPr>
              <w:t>式</w:t>
            </w:r>
            <w:r>
              <w:rPr>
                <w:rFonts w:hint="eastAsia" w:ascii="宋体" w:hAnsi="宋体" w:cs="宋体"/>
                <w:kern w:val="0"/>
              </w:rPr>
              <w:t>暨经贸</w:t>
            </w:r>
            <w:r>
              <w:rPr>
                <w:rFonts w:hint="eastAsia" w:ascii="宋体" w:hAnsi="宋体" w:cs="MS Gothic"/>
                <w:kern w:val="0"/>
              </w:rPr>
              <w:t>推</w:t>
            </w:r>
            <w:r>
              <w:rPr>
                <w:rFonts w:hint="eastAsia" w:ascii="宋体" w:hAnsi="宋体"/>
                <w:kern w:val="0"/>
              </w:rPr>
              <w:t>介会</w:t>
            </w:r>
          </w:p>
        </w:tc>
      </w:tr>
    </w:tbl>
    <w:p w14:paraId="570FEF91">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CC0F8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3784893C">
            <w:pPr>
              <w:ind w:firstLine="0" w:firstLineChars="0"/>
              <w:jc w:val="center"/>
              <w:rPr>
                <w:rFonts w:ascii="宋体" w:hAnsi="宋体"/>
              </w:rPr>
            </w:pPr>
            <w:r>
              <w:rPr>
                <w:rFonts w:hint="eastAsia" w:ascii="宋体" w:hAnsi="宋体"/>
              </w:rPr>
              <w:drawing>
                <wp:inline distT="0" distB="0" distL="114300" distR="114300">
                  <wp:extent cx="6184265" cy="4183380"/>
                  <wp:effectExtent l="0" t="0" r="6985" b="7620"/>
                  <wp:docPr id="83" name="图片 83" descr="南雄年鉴 2011_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南雄年鉴 2011_0034"/>
                          <pic:cNvPicPr>
                            <a:picLocks noChangeAspect="1"/>
                          </pic:cNvPicPr>
                        </pic:nvPicPr>
                        <pic:blipFill>
                          <a:blip r:embed="rId48" cstate="print"/>
                          <a:stretch>
                            <a:fillRect/>
                          </a:stretch>
                        </pic:blipFill>
                        <pic:spPr>
                          <a:xfrm>
                            <a:off x="0" y="0"/>
                            <a:ext cx="6184265" cy="4183380"/>
                          </a:xfrm>
                          <a:prstGeom prst="rect">
                            <a:avLst/>
                          </a:prstGeom>
                        </pic:spPr>
                      </pic:pic>
                    </a:graphicData>
                  </a:graphic>
                </wp:inline>
              </w:drawing>
            </w:r>
          </w:p>
        </w:tc>
      </w:tr>
      <w:tr w14:paraId="70498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7E0A0FA">
            <w:pPr>
              <w:ind w:firstLine="420"/>
              <w:rPr>
                <w:rFonts w:ascii="宋体" w:hAnsi="宋体"/>
              </w:rPr>
            </w:pPr>
            <w:r>
              <w:rPr>
                <w:rFonts w:hint="eastAsia" w:ascii="宋体" w:hAnsi="宋体" w:cs="宋体"/>
                <w:kern w:val="0"/>
              </w:rPr>
              <w:t>东</w:t>
            </w:r>
            <w:r>
              <w:rPr>
                <w:rFonts w:hint="eastAsia" w:ascii="宋体" w:hAnsi="宋体" w:cs="MS Gothic"/>
                <w:kern w:val="0"/>
              </w:rPr>
              <w:t>莞大岭山</w:t>
            </w:r>
            <w:r>
              <w:rPr>
                <w:rFonts w:hint="eastAsia" w:ascii="宋体" w:hAnsi="宋体"/>
                <w:kern w:val="0"/>
              </w:rPr>
              <w:t>（南雄）</w:t>
            </w:r>
            <w:r>
              <w:rPr>
                <w:rFonts w:hint="eastAsia" w:ascii="宋体" w:hAnsi="宋体" w:cs="宋体"/>
                <w:kern w:val="0"/>
              </w:rPr>
              <w:t>产业转</w:t>
            </w:r>
            <w:r>
              <w:rPr>
                <w:rFonts w:hint="eastAsia" w:ascii="宋体" w:hAnsi="宋体" w:cs="MS Gothic"/>
                <w:kern w:val="0"/>
              </w:rPr>
              <w:t>移园南</w:t>
            </w:r>
            <w:r>
              <w:rPr>
                <w:rFonts w:hint="eastAsia" w:ascii="宋体" w:hAnsi="宋体" w:cs="宋体"/>
                <w:kern w:val="0"/>
              </w:rPr>
              <w:t>门</w:t>
            </w:r>
          </w:p>
        </w:tc>
      </w:tr>
    </w:tbl>
    <w:p w14:paraId="4FE38327">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929C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3A251FA3">
            <w:pPr>
              <w:ind w:firstLine="0" w:firstLineChars="0"/>
              <w:jc w:val="center"/>
              <w:rPr>
                <w:rFonts w:ascii="宋体" w:hAnsi="宋体"/>
              </w:rPr>
            </w:pPr>
            <w:r>
              <w:rPr>
                <w:rFonts w:hint="eastAsia" w:ascii="宋体" w:hAnsi="宋体"/>
              </w:rPr>
              <w:drawing>
                <wp:inline distT="0" distB="0" distL="114300" distR="114300">
                  <wp:extent cx="6186805" cy="2274570"/>
                  <wp:effectExtent l="0" t="0" r="4445" b="11430"/>
                  <wp:docPr id="84" name="图片 84" descr="南雄年鉴 2011_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南雄年鉴 2011_0035"/>
                          <pic:cNvPicPr>
                            <a:picLocks noChangeAspect="1"/>
                          </pic:cNvPicPr>
                        </pic:nvPicPr>
                        <pic:blipFill>
                          <a:blip r:embed="rId49" cstate="print"/>
                          <a:stretch>
                            <a:fillRect/>
                          </a:stretch>
                        </pic:blipFill>
                        <pic:spPr>
                          <a:xfrm>
                            <a:off x="0" y="0"/>
                            <a:ext cx="6186805" cy="2274570"/>
                          </a:xfrm>
                          <a:prstGeom prst="rect">
                            <a:avLst/>
                          </a:prstGeom>
                        </pic:spPr>
                      </pic:pic>
                    </a:graphicData>
                  </a:graphic>
                </wp:inline>
              </w:drawing>
            </w:r>
          </w:p>
        </w:tc>
      </w:tr>
      <w:tr w14:paraId="135FA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8EE4844">
            <w:pPr>
              <w:ind w:firstLine="420"/>
              <w:rPr>
                <w:rFonts w:ascii="宋体" w:hAnsi="宋体"/>
              </w:rPr>
            </w:pPr>
            <w:r>
              <w:rPr>
                <w:rFonts w:hint="eastAsia" w:ascii="宋体" w:hAnsi="宋体"/>
                <w:kern w:val="0"/>
              </w:rPr>
              <w:t>雄州新貌</w:t>
            </w:r>
          </w:p>
        </w:tc>
      </w:tr>
    </w:tbl>
    <w:p w14:paraId="5A7FF783">
      <w:pPr>
        <w:pStyle w:val="3"/>
      </w:pPr>
      <w:r>
        <w:t>红色南雄</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F33D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0681943B">
            <w:pPr>
              <w:ind w:firstLine="0" w:firstLineChars="0"/>
              <w:jc w:val="center"/>
              <w:rPr>
                <w:rFonts w:ascii="宋体" w:hAnsi="宋体"/>
              </w:rPr>
            </w:pPr>
            <w:r>
              <w:rPr>
                <w:rFonts w:hint="eastAsia" w:ascii="宋体" w:hAnsi="宋体"/>
              </w:rPr>
              <w:drawing>
                <wp:inline distT="0" distB="0" distL="114300" distR="114300">
                  <wp:extent cx="6181090" cy="4120515"/>
                  <wp:effectExtent l="0" t="0" r="10160" b="13335"/>
                  <wp:docPr id="85" name="图片 85" descr="南雄年鉴 2011_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南雄年鉴 2011_0036"/>
                          <pic:cNvPicPr>
                            <a:picLocks noChangeAspect="1"/>
                          </pic:cNvPicPr>
                        </pic:nvPicPr>
                        <pic:blipFill>
                          <a:blip r:embed="rId50" cstate="print"/>
                          <a:stretch>
                            <a:fillRect/>
                          </a:stretch>
                        </pic:blipFill>
                        <pic:spPr>
                          <a:xfrm>
                            <a:off x="0" y="0"/>
                            <a:ext cx="6181090" cy="4120515"/>
                          </a:xfrm>
                          <a:prstGeom prst="rect">
                            <a:avLst/>
                          </a:prstGeom>
                        </pic:spPr>
                      </pic:pic>
                    </a:graphicData>
                  </a:graphic>
                </wp:inline>
              </w:drawing>
            </w:r>
          </w:p>
        </w:tc>
      </w:tr>
      <w:tr w14:paraId="41731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2149689">
            <w:pPr>
              <w:ind w:firstLine="420"/>
              <w:rPr>
                <w:rFonts w:ascii="宋体" w:hAnsi="宋体"/>
              </w:rPr>
            </w:pPr>
            <w:r>
              <w:rPr>
                <w:rFonts w:ascii="宋体" w:hAnsi="宋体"/>
                <w:kern w:val="0"/>
              </w:rPr>
              <w:t>2009</w:t>
            </w:r>
            <w:r>
              <w:rPr>
                <w:rFonts w:hint="eastAsia" w:ascii="宋体" w:hAnsi="宋体"/>
                <w:kern w:val="0"/>
              </w:rPr>
              <w:t>年</w:t>
            </w:r>
            <w:r>
              <w:rPr>
                <w:rFonts w:ascii="宋体" w:hAnsi="宋体"/>
                <w:kern w:val="0"/>
              </w:rPr>
              <w:t>6</w:t>
            </w:r>
            <w:r>
              <w:rPr>
                <w:rFonts w:hint="eastAsia" w:ascii="宋体" w:hAnsi="宋体"/>
                <w:kern w:val="0"/>
              </w:rPr>
              <w:t>月，中共中央政治局委</w:t>
            </w:r>
            <w:r>
              <w:rPr>
                <w:rFonts w:hint="eastAsia" w:ascii="宋体" w:hAnsi="宋体" w:cs="宋体"/>
                <w:kern w:val="0"/>
              </w:rPr>
              <w:t>员</w:t>
            </w:r>
            <w:r>
              <w:rPr>
                <w:rFonts w:hint="eastAsia" w:ascii="宋体" w:hAnsi="宋体"/>
                <w:kern w:val="0"/>
              </w:rPr>
              <w:t>、广</w:t>
            </w:r>
            <w:r>
              <w:rPr>
                <w:rFonts w:hint="eastAsia" w:ascii="宋体" w:hAnsi="宋体" w:cs="宋体"/>
                <w:kern w:val="0"/>
              </w:rPr>
              <w:t>东</w:t>
            </w:r>
            <w:r>
              <w:rPr>
                <w:rFonts w:hint="eastAsia" w:ascii="宋体" w:hAnsi="宋体" w:cs="MS Gothic"/>
                <w:kern w:val="0"/>
              </w:rPr>
              <w:t>省委</w:t>
            </w:r>
            <w:r>
              <w:rPr>
                <w:rFonts w:hint="eastAsia" w:ascii="宋体" w:hAnsi="宋体" w:cs="宋体"/>
                <w:kern w:val="0"/>
              </w:rPr>
              <w:t>书记</w:t>
            </w:r>
            <w:r>
              <w:rPr>
                <w:rFonts w:hint="eastAsia" w:ascii="宋体" w:hAnsi="宋体" w:cs="MS Gothic"/>
                <w:kern w:val="0"/>
              </w:rPr>
              <w:t>汪洋</w:t>
            </w:r>
            <w:r>
              <w:rPr>
                <w:rFonts w:hint="eastAsia" w:ascii="宋体" w:hAnsi="宋体"/>
                <w:kern w:val="0"/>
              </w:rPr>
              <w:t>（左三）</w:t>
            </w:r>
            <w:r>
              <w:rPr>
                <w:rFonts w:hint="eastAsia" w:ascii="宋体" w:hAnsi="宋体" w:cs="宋体"/>
                <w:kern w:val="0"/>
              </w:rPr>
              <w:t>视</w:t>
            </w:r>
            <w:r>
              <w:rPr>
                <w:rFonts w:hint="eastAsia" w:ascii="宋体" w:hAnsi="宋体" w:cs="MS Gothic"/>
                <w:kern w:val="0"/>
              </w:rPr>
              <w:t>察抗</w:t>
            </w:r>
            <w:r>
              <w:rPr>
                <w:rFonts w:hint="eastAsia" w:ascii="宋体" w:hAnsi="宋体" w:cs="宋体"/>
                <w:kern w:val="0"/>
              </w:rPr>
              <w:t>战时</w:t>
            </w:r>
            <w:r>
              <w:rPr>
                <w:rFonts w:hint="eastAsia" w:ascii="宋体" w:hAnsi="宋体"/>
                <w:kern w:val="0"/>
              </w:rPr>
              <w:t>期广</w:t>
            </w:r>
            <w:r>
              <w:rPr>
                <w:rFonts w:hint="eastAsia" w:ascii="宋体" w:hAnsi="宋体" w:cs="宋体"/>
                <w:kern w:val="0"/>
              </w:rPr>
              <w:t>东</w:t>
            </w:r>
            <w:r>
              <w:rPr>
                <w:rFonts w:hint="eastAsia" w:ascii="宋体" w:hAnsi="宋体" w:cs="MS Gothic"/>
                <w:kern w:val="0"/>
              </w:rPr>
              <w:t>省委机关旧址</w:t>
            </w:r>
            <w:r>
              <w:rPr>
                <w:rFonts w:hint="eastAsia" w:ascii="宋体" w:hAnsi="宋体"/>
                <w:kern w:val="0"/>
              </w:rPr>
              <w:t>瑶坑</w:t>
            </w:r>
          </w:p>
        </w:tc>
      </w:tr>
    </w:tbl>
    <w:p w14:paraId="3872FF89">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128FD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2C136D9B">
            <w:pPr>
              <w:ind w:firstLine="0" w:firstLineChars="0"/>
              <w:jc w:val="center"/>
              <w:rPr>
                <w:rFonts w:ascii="宋体" w:hAnsi="宋体"/>
              </w:rPr>
            </w:pPr>
            <w:r>
              <w:rPr>
                <w:rFonts w:hint="eastAsia" w:ascii="宋体" w:hAnsi="宋体"/>
              </w:rPr>
              <w:drawing>
                <wp:inline distT="0" distB="0" distL="114300" distR="114300">
                  <wp:extent cx="6186805" cy="4166235"/>
                  <wp:effectExtent l="0" t="0" r="4445" b="5715"/>
                  <wp:docPr id="86" name="图片 86" descr="南雄年鉴 2011_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南雄年鉴 2011_0037"/>
                          <pic:cNvPicPr>
                            <a:picLocks noChangeAspect="1"/>
                          </pic:cNvPicPr>
                        </pic:nvPicPr>
                        <pic:blipFill>
                          <a:blip r:embed="rId51" cstate="print"/>
                          <a:stretch>
                            <a:fillRect/>
                          </a:stretch>
                        </pic:blipFill>
                        <pic:spPr>
                          <a:xfrm>
                            <a:off x="0" y="0"/>
                            <a:ext cx="6186805" cy="4166235"/>
                          </a:xfrm>
                          <a:prstGeom prst="rect">
                            <a:avLst/>
                          </a:prstGeom>
                        </pic:spPr>
                      </pic:pic>
                    </a:graphicData>
                  </a:graphic>
                </wp:inline>
              </w:drawing>
            </w:r>
          </w:p>
        </w:tc>
      </w:tr>
      <w:tr w14:paraId="0F2AB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4D37D02">
            <w:pPr>
              <w:ind w:firstLine="420"/>
              <w:rPr>
                <w:rFonts w:ascii="宋体" w:hAnsi="宋体"/>
              </w:rPr>
            </w:pPr>
            <w:r>
              <w:rPr>
                <w:rFonts w:ascii="宋体" w:hAnsi="宋体"/>
                <w:kern w:val="0"/>
              </w:rPr>
              <w:t>2010</w:t>
            </w:r>
            <w:r>
              <w:rPr>
                <w:rFonts w:hint="eastAsia" w:ascii="宋体" w:hAnsi="宋体"/>
                <w:kern w:val="0"/>
              </w:rPr>
              <w:t>年</w:t>
            </w:r>
            <w:r>
              <w:rPr>
                <w:rFonts w:ascii="宋体" w:hAnsi="宋体"/>
                <w:kern w:val="0"/>
              </w:rPr>
              <w:t>6</w:t>
            </w:r>
            <w:r>
              <w:rPr>
                <w:rFonts w:hint="eastAsia" w:ascii="宋体" w:hAnsi="宋体"/>
                <w:kern w:val="0"/>
              </w:rPr>
              <w:t>月</w:t>
            </w:r>
            <w:r>
              <w:rPr>
                <w:rFonts w:ascii="宋体" w:hAnsi="宋体"/>
                <w:kern w:val="0"/>
              </w:rPr>
              <w:t>29</w:t>
            </w:r>
            <w:r>
              <w:rPr>
                <w:rFonts w:hint="eastAsia" w:ascii="宋体" w:hAnsi="宋体"/>
                <w:kern w:val="0"/>
              </w:rPr>
              <w:t>日，市委</w:t>
            </w:r>
            <w:r>
              <w:rPr>
                <w:rFonts w:hint="eastAsia" w:ascii="宋体" w:hAnsi="宋体" w:cs="宋体"/>
                <w:kern w:val="0"/>
              </w:rPr>
              <w:t>书记</w:t>
            </w:r>
            <w:r>
              <w:rPr>
                <w:rFonts w:hint="eastAsia" w:ascii="宋体" w:hAnsi="宋体"/>
                <w:kern w:val="0"/>
              </w:rPr>
              <w:t>林楚欣、市</w:t>
            </w:r>
            <w:r>
              <w:rPr>
                <w:rFonts w:hint="eastAsia" w:ascii="宋体" w:hAnsi="宋体" w:cs="宋体"/>
                <w:kern w:val="0"/>
              </w:rPr>
              <w:t>长许</w:t>
            </w:r>
            <w:r>
              <w:rPr>
                <w:rFonts w:hint="eastAsia" w:ascii="宋体" w:hAnsi="宋体"/>
                <w:kern w:val="0"/>
              </w:rPr>
              <w:t>志新陪同广</w:t>
            </w:r>
            <w:r>
              <w:rPr>
                <w:rFonts w:hint="eastAsia" w:ascii="宋体" w:hAnsi="宋体" w:cs="宋体"/>
                <w:kern w:val="0"/>
              </w:rPr>
              <w:t>东</w:t>
            </w:r>
            <w:r>
              <w:rPr>
                <w:rFonts w:hint="eastAsia" w:ascii="宋体" w:hAnsi="宋体"/>
                <w:kern w:val="0"/>
              </w:rPr>
              <w:t>省委常委、秘</w:t>
            </w:r>
            <w:r>
              <w:rPr>
                <w:rFonts w:hint="eastAsia" w:ascii="宋体" w:hAnsi="宋体" w:cs="宋体"/>
                <w:kern w:val="0"/>
              </w:rPr>
              <w:t>书长</w:t>
            </w:r>
            <w:r>
              <w:rPr>
                <w:rFonts w:hint="eastAsia" w:ascii="宋体" w:hAnsi="宋体"/>
                <w:kern w:val="0"/>
              </w:rPr>
              <w:t>徐少</w:t>
            </w:r>
            <w:r>
              <w:rPr>
                <w:rFonts w:hint="eastAsia" w:ascii="宋体" w:hAnsi="宋体" w:cs="宋体"/>
                <w:kern w:val="0"/>
              </w:rPr>
              <w:t>华</w:t>
            </w:r>
            <w:r>
              <w:rPr>
                <w:rFonts w:hint="eastAsia" w:ascii="宋体" w:hAnsi="宋体"/>
                <w:kern w:val="0"/>
              </w:rPr>
              <w:t>（前左二）参</w:t>
            </w:r>
            <w:r>
              <w:rPr>
                <w:rFonts w:hint="eastAsia" w:ascii="宋体" w:hAnsi="宋体" w:cs="宋体"/>
                <w:kern w:val="0"/>
              </w:rPr>
              <w:t>观</w:t>
            </w:r>
            <w:r>
              <w:rPr>
                <w:rFonts w:hint="eastAsia" w:ascii="宋体" w:hAnsi="宋体" w:cs="MS Gothic"/>
                <w:kern w:val="0"/>
              </w:rPr>
              <w:t>考察修复后的抗</w:t>
            </w:r>
            <w:r>
              <w:rPr>
                <w:rFonts w:hint="eastAsia" w:ascii="宋体" w:hAnsi="宋体" w:cs="宋体"/>
                <w:kern w:val="0"/>
              </w:rPr>
              <w:t>战时</w:t>
            </w:r>
            <w:r>
              <w:rPr>
                <w:rFonts w:hint="eastAsia" w:ascii="宋体" w:hAnsi="宋体"/>
                <w:kern w:val="0"/>
              </w:rPr>
              <w:t>期广</w:t>
            </w:r>
            <w:r>
              <w:rPr>
                <w:rFonts w:hint="eastAsia" w:ascii="宋体" w:hAnsi="宋体" w:cs="宋体"/>
                <w:kern w:val="0"/>
              </w:rPr>
              <w:t>东</w:t>
            </w:r>
            <w:r>
              <w:rPr>
                <w:rFonts w:hint="eastAsia" w:ascii="宋体" w:hAnsi="宋体" w:cs="MS Gothic"/>
                <w:kern w:val="0"/>
              </w:rPr>
              <w:t>省委</w:t>
            </w:r>
            <w:r>
              <w:rPr>
                <w:rFonts w:hint="eastAsia" w:ascii="宋体" w:hAnsi="宋体"/>
                <w:kern w:val="0"/>
              </w:rPr>
              <w:t>旧址瑶坑</w:t>
            </w:r>
            <w:r>
              <w:rPr>
                <w:rFonts w:hint="eastAsia" w:ascii="宋体" w:hAnsi="宋体" w:cs="宋体"/>
                <w:kern w:val="0"/>
              </w:rPr>
              <w:t>陈</w:t>
            </w:r>
            <w:r>
              <w:rPr>
                <w:rFonts w:hint="eastAsia" w:ascii="宋体" w:hAnsi="宋体" w:cs="MS Gothic"/>
                <w:kern w:val="0"/>
              </w:rPr>
              <w:t>列</w:t>
            </w:r>
            <w:r>
              <w:rPr>
                <w:rFonts w:hint="eastAsia" w:ascii="宋体" w:hAnsi="宋体"/>
                <w:kern w:val="0"/>
              </w:rPr>
              <w:t>室</w:t>
            </w:r>
          </w:p>
        </w:tc>
      </w:tr>
    </w:tbl>
    <w:p w14:paraId="5865C096">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B8ED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02D870C6">
            <w:pPr>
              <w:ind w:firstLine="0" w:firstLineChars="0"/>
              <w:jc w:val="center"/>
              <w:rPr>
                <w:rFonts w:ascii="宋体" w:hAnsi="宋体"/>
              </w:rPr>
            </w:pPr>
            <w:r>
              <w:rPr>
                <w:rFonts w:hint="eastAsia" w:ascii="宋体" w:hAnsi="宋体"/>
              </w:rPr>
              <w:drawing>
                <wp:inline distT="0" distB="0" distL="114300" distR="114300">
                  <wp:extent cx="6187440" cy="4097655"/>
                  <wp:effectExtent l="0" t="0" r="3810" b="17145"/>
                  <wp:docPr id="87" name="图片 87" descr="南雄年鉴 2011_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南雄年鉴 2011_0038"/>
                          <pic:cNvPicPr>
                            <a:picLocks noChangeAspect="1"/>
                          </pic:cNvPicPr>
                        </pic:nvPicPr>
                        <pic:blipFill>
                          <a:blip r:embed="rId52" cstate="print"/>
                          <a:stretch>
                            <a:fillRect/>
                          </a:stretch>
                        </pic:blipFill>
                        <pic:spPr>
                          <a:xfrm>
                            <a:off x="0" y="0"/>
                            <a:ext cx="6187440" cy="4097655"/>
                          </a:xfrm>
                          <a:prstGeom prst="rect">
                            <a:avLst/>
                          </a:prstGeom>
                        </pic:spPr>
                      </pic:pic>
                    </a:graphicData>
                  </a:graphic>
                </wp:inline>
              </w:drawing>
            </w:r>
          </w:p>
        </w:tc>
      </w:tr>
      <w:tr w14:paraId="7E94D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CBBD4EA">
            <w:pPr>
              <w:ind w:firstLine="420"/>
              <w:rPr>
                <w:rFonts w:ascii="宋体" w:hAnsi="宋体"/>
              </w:rPr>
            </w:pPr>
            <w:r>
              <w:rPr>
                <w:rFonts w:ascii="宋体" w:hAnsi="宋体"/>
                <w:kern w:val="0"/>
              </w:rPr>
              <w:t>2010</w:t>
            </w:r>
            <w:r>
              <w:rPr>
                <w:rFonts w:hint="eastAsia" w:ascii="宋体" w:hAnsi="宋体"/>
                <w:kern w:val="0"/>
              </w:rPr>
              <w:t>年</w:t>
            </w:r>
            <w:r>
              <w:rPr>
                <w:rFonts w:ascii="宋体" w:hAnsi="宋体"/>
                <w:kern w:val="0"/>
              </w:rPr>
              <w:t>6</w:t>
            </w:r>
            <w:r>
              <w:rPr>
                <w:rFonts w:hint="eastAsia" w:ascii="宋体" w:hAnsi="宋体"/>
                <w:kern w:val="0"/>
              </w:rPr>
              <w:t>月</w:t>
            </w:r>
            <w:r>
              <w:rPr>
                <w:rFonts w:ascii="宋体" w:hAnsi="宋体"/>
                <w:kern w:val="0"/>
              </w:rPr>
              <w:t>13</w:t>
            </w:r>
            <w:r>
              <w:rPr>
                <w:rFonts w:hint="eastAsia" w:ascii="宋体" w:hAnsi="宋体"/>
                <w:kern w:val="0"/>
              </w:rPr>
              <w:t>日，南雄市确</w:t>
            </w:r>
            <w:r>
              <w:rPr>
                <w:rFonts w:hint="eastAsia" w:ascii="宋体" w:hAnsi="宋体" w:cs="宋体"/>
                <w:kern w:val="0"/>
              </w:rPr>
              <w:t>认为</w:t>
            </w:r>
            <w:r>
              <w:rPr>
                <w:rFonts w:hint="eastAsia" w:ascii="宋体" w:hAnsi="宋体"/>
                <w:kern w:val="0"/>
              </w:rPr>
              <w:t>中央</w:t>
            </w:r>
            <w:r>
              <w:rPr>
                <w:rFonts w:hint="eastAsia" w:ascii="宋体" w:hAnsi="宋体" w:cs="宋体"/>
                <w:kern w:val="0"/>
              </w:rPr>
              <w:t>苏</w:t>
            </w:r>
            <w:r>
              <w:rPr>
                <w:rFonts w:hint="eastAsia" w:ascii="宋体" w:hAnsi="宋体" w:cs="MS Gothic"/>
                <w:kern w:val="0"/>
              </w:rPr>
              <w:t>区</w:t>
            </w:r>
            <w:r>
              <w:rPr>
                <w:rFonts w:hint="eastAsia" w:ascii="宋体" w:hAnsi="宋体" w:cs="宋体"/>
                <w:kern w:val="0"/>
              </w:rPr>
              <w:t>县</w:t>
            </w:r>
            <w:r>
              <w:rPr>
                <w:rFonts w:hint="eastAsia" w:ascii="宋体" w:hAnsi="宋体" w:cs="MS Gothic"/>
                <w:kern w:val="0"/>
              </w:rPr>
              <w:t>新</w:t>
            </w:r>
            <w:r>
              <w:rPr>
                <w:rFonts w:hint="eastAsia" w:ascii="宋体" w:hAnsi="宋体" w:cs="宋体"/>
                <w:kern w:val="0"/>
              </w:rPr>
              <w:t>闻发</w:t>
            </w:r>
            <w:r>
              <w:rPr>
                <w:rFonts w:hint="eastAsia" w:ascii="宋体" w:hAnsi="宋体" w:cs="MS Gothic"/>
                <w:kern w:val="0"/>
              </w:rPr>
              <w:t>布会在广州珠</w:t>
            </w:r>
            <w:r>
              <w:rPr>
                <w:rFonts w:hint="eastAsia" w:ascii="宋体" w:hAnsi="宋体" w:cs="宋体"/>
                <w:kern w:val="0"/>
              </w:rPr>
              <w:t>岛宾馆举</w:t>
            </w:r>
            <w:r>
              <w:rPr>
                <w:rFonts w:hint="eastAsia" w:ascii="宋体" w:hAnsi="宋体"/>
                <w:kern w:val="0"/>
              </w:rPr>
              <w:t>行</w:t>
            </w:r>
          </w:p>
        </w:tc>
      </w:tr>
    </w:tbl>
    <w:p w14:paraId="122DB9C6">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5651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57CA320A">
            <w:pPr>
              <w:ind w:firstLine="0" w:firstLineChars="0"/>
              <w:jc w:val="center"/>
              <w:rPr>
                <w:rFonts w:ascii="宋体" w:hAnsi="宋体"/>
              </w:rPr>
            </w:pPr>
            <w:r>
              <w:rPr>
                <w:rFonts w:hint="eastAsia" w:ascii="宋体" w:hAnsi="宋体"/>
              </w:rPr>
              <w:drawing>
                <wp:inline distT="0" distB="0" distL="114300" distR="114300">
                  <wp:extent cx="6188710" cy="4040505"/>
                  <wp:effectExtent l="0" t="0" r="2540" b="17145"/>
                  <wp:docPr id="88" name="图片 88" descr="南雄年鉴 2011_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南雄年鉴 2011_0039"/>
                          <pic:cNvPicPr>
                            <a:picLocks noChangeAspect="1"/>
                          </pic:cNvPicPr>
                        </pic:nvPicPr>
                        <pic:blipFill>
                          <a:blip r:embed="rId53" cstate="print"/>
                          <a:stretch>
                            <a:fillRect/>
                          </a:stretch>
                        </pic:blipFill>
                        <pic:spPr>
                          <a:xfrm>
                            <a:off x="0" y="0"/>
                            <a:ext cx="6188710" cy="4040505"/>
                          </a:xfrm>
                          <a:prstGeom prst="rect">
                            <a:avLst/>
                          </a:prstGeom>
                        </pic:spPr>
                      </pic:pic>
                    </a:graphicData>
                  </a:graphic>
                </wp:inline>
              </w:drawing>
            </w:r>
          </w:p>
        </w:tc>
      </w:tr>
      <w:tr w14:paraId="762281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F4846CA">
            <w:pPr>
              <w:ind w:firstLine="420"/>
              <w:rPr>
                <w:rFonts w:ascii="宋体" w:hAnsi="宋体"/>
              </w:rPr>
            </w:pPr>
            <w:r>
              <w:rPr>
                <w:rFonts w:ascii="宋体" w:hAnsi="宋体"/>
                <w:kern w:val="0"/>
              </w:rPr>
              <w:t>2010</w:t>
            </w:r>
            <w:r>
              <w:rPr>
                <w:rFonts w:hint="eastAsia" w:ascii="宋体" w:hAnsi="宋体"/>
                <w:kern w:val="0"/>
              </w:rPr>
              <w:t>年</w:t>
            </w:r>
            <w:r>
              <w:rPr>
                <w:rFonts w:ascii="宋体" w:hAnsi="宋体"/>
                <w:kern w:val="0"/>
              </w:rPr>
              <w:t>6</w:t>
            </w:r>
            <w:r>
              <w:rPr>
                <w:rFonts w:hint="eastAsia" w:ascii="宋体" w:hAnsi="宋体"/>
                <w:kern w:val="0"/>
              </w:rPr>
              <w:t>月</w:t>
            </w:r>
            <w:r>
              <w:rPr>
                <w:rFonts w:ascii="宋体" w:hAnsi="宋体"/>
                <w:kern w:val="0"/>
              </w:rPr>
              <w:t>29</w:t>
            </w:r>
            <w:r>
              <w:rPr>
                <w:rFonts w:hint="eastAsia" w:ascii="宋体" w:hAnsi="宋体"/>
                <w:kern w:val="0"/>
              </w:rPr>
              <w:t>日，南雄市“中央</w:t>
            </w:r>
            <w:r>
              <w:rPr>
                <w:rFonts w:hint="eastAsia" w:ascii="宋体" w:hAnsi="宋体" w:cs="宋体"/>
                <w:kern w:val="0"/>
              </w:rPr>
              <w:t>苏</w:t>
            </w:r>
            <w:r>
              <w:rPr>
                <w:rFonts w:hint="eastAsia" w:ascii="宋体" w:hAnsi="宋体"/>
                <w:kern w:val="0"/>
              </w:rPr>
              <w:t>区</w:t>
            </w:r>
            <w:r>
              <w:rPr>
                <w:rFonts w:hint="eastAsia" w:ascii="宋体" w:hAnsi="宋体" w:cs="宋体"/>
                <w:kern w:val="0"/>
              </w:rPr>
              <w:t>县</w:t>
            </w:r>
            <w:r>
              <w:rPr>
                <w:rFonts w:hint="eastAsia" w:ascii="宋体" w:hAnsi="宋体"/>
                <w:kern w:val="0"/>
              </w:rPr>
              <w:t>”揭牌</w:t>
            </w:r>
          </w:p>
        </w:tc>
      </w:tr>
    </w:tbl>
    <w:p w14:paraId="23766613">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ACD1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61DB9AC8">
            <w:pPr>
              <w:ind w:firstLine="0" w:firstLineChars="0"/>
              <w:jc w:val="center"/>
              <w:rPr>
                <w:rFonts w:ascii="宋体" w:hAnsi="宋体"/>
              </w:rPr>
            </w:pPr>
            <w:r>
              <w:rPr>
                <w:rFonts w:hint="eastAsia" w:ascii="宋体" w:hAnsi="宋体"/>
              </w:rPr>
              <w:drawing>
                <wp:inline distT="0" distB="0" distL="114300" distR="114300">
                  <wp:extent cx="6180455" cy="4097655"/>
                  <wp:effectExtent l="0" t="0" r="10795" b="17145"/>
                  <wp:docPr id="89" name="图片 89" descr="南雄年鉴 2011_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南雄年鉴 2011_0040"/>
                          <pic:cNvPicPr>
                            <a:picLocks noChangeAspect="1"/>
                          </pic:cNvPicPr>
                        </pic:nvPicPr>
                        <pic:blipFill>
                          <a:blip r:embed="rId54" cstate="print"/>
                          <a:stretch>
                            <a:fillRect/>
                          </a:stretch>
                        </pic:blipFill>
                        <pic:spPr>
                          <a:xfrm>
                            <a:off x="0" y="0"/>
                            <a:ext cx="6180455" cy="4097655"/>
                          </a:xfrm>
                          <a:prstGeom prst="rect">
                            <a:avLst/>
                          </a:prstGeom>
                        </pic:spPr>
                      </pic:pic>
                    </a:graphicData>
                  </a:graphic>
                </wp:inline>
              </w:drawing>
            </w:r>
          </w:p>
        </w:tc>
      </w:tr>
      <w:tr w14:paraId="7F7DB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1E0C1DD">
            <w:pPr>
              <w:ind w:firstLine="420"/>
              <w:rPr>
                <w:rFonts w:ascii="宋体" w:hAnsi="宋体"/>
              </w:rPr>
            </w:pPr>
            <w:r>
              <w:rPr>
                <w:rFonts w:ascii="宋体" w:hAnsi="宋体"/>
                <w:kern w:val="0"/>
              </w:rPr>
              <w:t>2010</w:t>
            </w:r>
            <w:r>
              <w:rPr>
                <w:rFonts w:hint="eastAsia" w:ascii="宋体" w:hAnsi="宋体"/>
                <w:kern w:val="0"/>
              </w:rPr>
              <w:t>年</w:t>
            </w:r>
            <w:r>
              <w:rPr>
                <w:rFonts w:ascii="宋体" w:hAnsi="宋体"/>
                <w:kern w:val="0"/>
              </w:rPr>
              <w:t>9</w:t>
            </w:r>
            <w:r>
              <w:rPr>
                <w:rFonts w:hint="eastAsia" w:ascii="宋体" w:hAnsi="宋体"/>
                <w:kern w:val="0"/>
              </w:rPr>
              <w:t>月，南雄市</w:t>
            </w:r>
            <w:r>
              <w:rPr>
                <w:rFonts w:hint="eastAsia" w:ascii="宋体" w:hAnsi="宋体" w:cs="宋体"/>
                <w:kern w:val="0"/>
              </w:rPr>
              <w:t>举</w:t>
            </w:r>
            <w:r>
              <w:rPr>
                <w:rFonts w:hint="eastAsia" w:ascii="宋体" w:hAnsi="宋体" w:cs="MS Gothic"/>
                <w:kern w:val="0"/>
              </w:rPr>
              <w:t>行</w:t>
            </w:r>
            <w:r>
              <w:rPr>
                <w:rFonts w:hint="eastAsia" w:ascii="宋体" w:hAnsi="宋体" w:cs="宋体"/>
                <w:kern w:val="0"/>
              </w:rPr>
              <w:t>纪</w:t>
            </w:r>
            <w:r>
              <w:rPr>
                <w:rFonts w:hint="eastAsia" w:ascii="宋体" w:hAnsi="宋体" w:cs="MS Gothic"/>
                <w:kern w:val="0"/>
              </w:rPr>
              <w:t>念抗</w:t>
            </w:r>
            <w:r>
              <w:rPr>
                <w:rFonts w:hint="eastAsia" w:ascii="宋体" w:hAnsi="宋体" w:cs="宋体"/>
                <w:kern w:val="0"/>
              </w:rPr>
              <w:t>战胜</w:t>
            </w:r>
            <w:r>
              <w:rPr>
                <w:rFonts w:hint="eastAsia" w:ascii="宋体" w:hAnsi="宋体" w:cs="MS Gothic"/>
                <w:kern w:val="0"/>
              </w:rPr>
              <w:t>利</w:t>
            </w:r>
            <w:r>
              <w:rPr>
                <w:rFonts w:ascii="宋体" w:hAnsi="宋体"/>
                <w:kern w:val="0"/>
              </w:rPr>
              <w:t>65</w:t>
            </w:r>
            <w:r>
              <w:rPr>
                <w:rFonts w:hint="eastAsia" w:ascii="宋体" w:hAnsi="宋体"/>
                <w:kern w:val="0"/>
              </w:rPr>
              <w:t>周年文</w:t>
            </w:r>
            <w:r>
              <w:rPr>
                <w:rFonts w:hint="eastAsia" w:ascii="宋体" w:hAnsi="宋体" w:cs="宋体"/>
                <w:kern w:val="0"/>
              </w:rPr>
              <w:t>艺</w:t>
            </w:r>
            <w:r>
              <w:rPr>
                <w:rFonts w:hint="eastAsia" w:ascii="宋体" w:hAnsi="宋体" w:cs="MS Gothic"/>
                <w:kern w:val="0"/>
              </w:rPr>
              <w:t>晚</w:t>
            </w:r>
            <w:r>
              <w:rPr>
                <w:rFonts w:hint="eastAsia" w:ascii="宋体" w:hAnsi="宋体"/>
                <w:kern w:val="0"/>
              </w:rPr>
              <w:t>会</w:t>
            </w:r>
          </w:p>
        </w:tc>
      </w:tr>
    </w:tbl>
    <w:p w14:paraId="63F5A6F6">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1BA4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5EE2C9E6">
            <w:pPr>
              <w:ind w:firstLine="0" w:firstLineChars="0"/>
              <w:jc w:val="center"/>
              <w:rPr>
                <w:rFonts w:ascii="宋体" w:hAnsi="宋体"/>
              </w:rPr>
            </w:pPr>
            <w:r>
              <w:rPr>
                <w:rFonts w:hint="eastAsia" w:ascii="宋体" w:hAnsi="宋体"/>
              </w:rPr>
              <w:drawing>
                <wp:inline distT="0" distB="0" distL="114300" distR="114300">
                  <wp:extent cx="6181725" cy="4080510"/>
                  <wp:effectExtent l="0" t="0" r="9525" b="15240"/>
                  <wp:docPr id="90" name="图片 90" descr="南雄年鉴 2011_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南雄年鉴 2011_0041"/>
                          <pic:cNvPicPr>
                            <a:picLocks noChangeAspect="1"/>
                          </pic:cNvPicPr>
                        </pic:nvPicPr>
                        <pic:blipFill>
                          <a:blip r:embed="rId55" cstate="print"/>
                          <a:stretch>
                            <a:fillRect/>
                          </a:stretch>
                        </pic:blipFill>
                        <pic:spPr>
                          <a:xfrm>
                            <a:off x="0" y="0"/>
                            <a:ext cx="6181725" cy="4080510"/>
                          </a:xfrm>
                          <a:prstGeom prst="rect">
                            <a:avLst/>
                          </a:prstGeom>
                        </pic:spPr>
                      </pic:pic>
                    </a:graphicData>
                  </a:graphic>
                </wp:inline>
              </w:drawing>
            </w:r>
          </w:p>
        </w:tc>
      </w:tr>
      <w:tr w14:paraId="3B2F2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684F2B9">
            <w:pPr>
              <w:ind w:firstLine="420"/>
              <w:rPr>
                <w:rFonts w:ascii="宋体" w:hAnsi="宋体"/>
              </w:rPr>
            </w:pPr>
            <w:r>
              <w:rPr>
                <w:rFonts w:ascii="宋体" w:hAnsi="宋体"/>
                <w:kern w:val="0"/>
              </w:rPr>
              <w:t>2010</w:t>
            </w:r>
            <w:r>
              <w:rPr>
                <w:rFonts w:hint="eastAsia" w:ascii="宋体" w:hAnsi="宋体"/>
                <w:kern w:val="0"/>
              </w:rPr>
              <w:t>年</w:t>
            </w:r>
            <w:r>
              <w:rPr>
                <w:rFonts w:ascii="宋体" w:hAnsi="宋体"/>
                <w:kern w:val="0"/>
              </w:rPr>
              <w:t>6</w:t>
            </w:r>
            <w:r>
              <w:rPr>
                <w:rFonts w:hint="eastAsia" w:ascii="宋体" w:hAnsi="宋体"/>
                <w:kern w:val="0"/>
              </w:rPr>
              <w:t>月</w:t>
            </w:r>
            <w:r>
              <w:rPr>
                <w:rFonts w:ascii="宋体" w:hAnsi="宋体"/>
                <w:kern w:val="0"/>
              </w:rPr>
              <w:t>29</w:t>
            </w:r>
            <w:r>
              <w:rPr>
                <w:rFonts w:hint="eastAsia" w:ascii="宋体" w:hAnsi="宋体"/>
                <w:kern w:val="0"/>
              </w:rPr>
              <w:t>日，抗</w:t>
            </w:r>
            <w:r>
              <w:rPr>
                <w:rFonts w:hint="eastAsia" w:ascii="宋体" w:hAnsi="宋体" w:cs="宋体"/>
                <w:kern w:val="0"/>
              </w:rPr>
              <w:t>战时</w:t>
            </w:r>
            <w:r>
              <w:rPr>
                <w:rFonts w:hint="eastAsia" w:ascii="宋体" w:hAnsi="宋体" w:cs="MS Gothic"/>
                <w:kern w:val="0"/>
              </w:rPr>
              <w:t>期</w:t>
            </w:r>
            <w:r>
              <w:rPr>
                <w:rFonts w:hint="eastAsia" w:ascii="宋体" w:hAnsi="宋体"/>
                <w:kern w:val="0"/>
              </w:rPr>
              <w:t>广</w:t>
            </w:r>
            <w:r>
              <w:rPr>
                <w:rFonts w:hint="eastAsia" w:ascii="宋体" w:hAnsi="宋体" w:cs="宋体"/>
                <w:kern w:val="0"/>
              </w:rPr>
              <w:t>东</w:t>
            </w:r>
            <w:r>
              <w:rPr>
                <w:rFonts w:hint="eastAsia" w:ascii="宋体" w:hAnsi="宋体" w:cs="MS Gothic"/>
                <w:kern w:val="0"/>
              </w:rPr>
              <w:t>省委机关旧址瑶</w:t>
            </w:r>
            <w:r>
              <w:rPr>
                <w:rFonts w:hint="eastAsia" w:ascii="宋体" w:hAnsi="宋体"/>
                <w:kern w:val="0"/>
              </w:rPr>
              <w:t>坑修复工程落成</w:t>
            </w:r>
          </w:p>
        </w:tc>
      </w:tr>
    </w:tbl>
    <w:p w14:paraId="79438FC7">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CE1E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2E497B13">
            <w:pPr>
              <w:ind w:firstLine="0" w:firstLineChars="0"/>
              <w:jc w:val="center"/>
              <w:rPr>
                <w:rFonts w:ascii="宋体" w:hAnsi="宋体"/>
              </w:rPr>
            </w:pPr>
            <w:r>
              <w:rPr>
                <w:rFonts w:hint="eastAsia" w:ascii="宋体" w:hAnsi="宋体"/>
              </w:rPr>
              <w:drawing>
                <wp:inline distT="0" distB="0" distL="114300" distR="114300">
                  <wp:extent cx="6188075" cy="4600575"/>
                  <wp:effectExtent l="0" t="0" r="3175" b="9525"/>
                  <wp:docPr id="91" name="图片 91" descr="南雄年鉴 2011_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南雄年鉴 2011_0042"/>
                          <pic:cNvPicPr>
                            <a:picLocks noChangeAspect="1"/>
                          </pic:cNvPicPr>
                        </pic:nvPicPr>
                        <pic:blipFill>
                          <a:blip r:embed="rId56" cstate="print"/>
                          <a:stretch>
                            <a:fillRect/>
                          </a:stretch>
                        </pic:blipFill>
                        <pic:spPr>
                          <a:xfrm>
                            <a:off x="0" y="0"/>
                            <a:ext cx="6188075" cy="4600575"/>
                          </a:xfrm>
                          <a:prstGeom prst="rect">
                            <a:avLst/>
                          </a:prstGeom>
                        </pic:spPr>
                      </pic:pic>
                    </a:graphicData>
                  </a:graphic>
                </wp:inline>
              </w:drawing>
            </w:r>
          </w:p>
        </w:tc>
      </w:tr>
      <w:tr w14:paraId="26CEE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8E3F2A3">
            <w:pPr>
              <w:ind w:firstLine="420"/>
              <w:rPr>
                <w:rFonts w:ascii="宋体" w:hAnsi="宋体"/>
              </w:rPr>
            </w:pPr>
            <w:r>
              <w:rPr>
                <w:rFonts w:hint="eastAsia" w:ascii="宋体" w:hAnsi="宋体"/>
                <w:kern w:val="0"/>
              </w:rPr>
              <w:t>水口</w:t>
            </w:r>
            <w:r>
              <w:rPr>
                <w:rFonts w:hint="eastAsia" w:ascii="宋体" w:hAnsi="宋体" w:cs="宋体"/>
                <w:kern w:val="0"/>
              </w:rPr>
              <w:t>战</w:t>
            </w:r>
            <w:r>
              <w:rPr>
                <w:rFonts w:hint="eastAsia" w:ascii="宋体" w:hAnsi="宋体" w:cs="MS Gothic"/>
                <w:kern w:val="0"/>
              </w:rPr>
              <w:t>役</w:t>
            </w:r>
            <w:r>
              <w:rPr>
                <w:rFonts w:hint="eastAsia" w:ascii="宋体" w:hAnsi="宋体" w:cs="宋体"/>
                <w:kern w:val="0"/>
              </w:rPr>
              <w:t>纪</w:t>
            </w:r>
            <w:r>
              <w:rPr>
                <w:rFonts w:hint="eastAsia" w:ascii="宋体" w:hAnsi="宋体" w:cs="MS Gothic"/>
                <w:kern w:val="0"/>
              </w:rPr>
              <w:t>念公园</w:t>
            </w:r>
          </w:p>
        </w:tc>
      </w:tr>
    </w:tbl>
    <w:p w14:paraId="650EEC5B">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FF10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9962" w:type="dxa"/>
            <w:tcBorders>
              <w:top w:val="nil"/>
              <w:left w:val="nil"/>
              <w:bottom w:val="nil"/>
              <w:right w:val="nil"/>
            </w:tcBorders>
          </w:tcPr>
          <w:p w14:paraId="224A9591">
            <w:pPr>
              <w:ind w:firstLine="0" w:firstLineChars="0"/>
              <w:jc w:val="center"/>
              <w:rPr>
                <w:rFonts w:ascii="宋体" w:hAnsi="宋体"/>
              </w:rPr>
            </w:pPr>
            <w:r>
              <w:rPr>
                <w:rFonts w:hint="eastAsia" w:ascii="宋体" w:hAnsi="宋体"/>
              </w:rPr>
              <w:drawing>
                <wp:inline distT="0" distB="0" distL="114300" distR="114300">
                  <wp:extent cx="6181725" cy="4229100"/>
                  <wp:effectExtent l="0" t="0" r="9525" b="0"/>
                  <wp:docPr id="92" name="图片 92" descr="南雄年鉴 2011_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南雄年鉴 2011_0043"/>
                          <pic:cNvPicPr>
                            <a:picLocks noChangeAspect="1"/>
                          </pic:cNvPicPr>
                        </pic:nvPicPr>
                        <pic:blipFill>
                          <a:blip r:embed="rId57" cstate="print"/>
                          <a:stretch>
                            <a:fillRect/>
                          </a:stretch>
                        </pic:blipFill>
                        <pic:spPr>
                          <a:xfrm>
                            <a:off x="0" y="0"/>
                            <a:ext cx="6181725" cy="4229100"/>
                          </a:xfrm>
                          <a:prstGeom prst="rect">
                            <a:avLst/>
                          </a:prstGeom>
                        </pic:spPr>
                      </pic:pic>
                    </a:graphicData>
                  </a:graphic>
                </wp:inline>
              </w:drawing>
            </w:r>
          </w:p>
        </w:tc>
      </w:tr>
      <w:tr w14:paraId="1C2FF9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7CF9A21">
            <w:pPr>
              <w:ind w:firstLine="420"/>
              <w:rPr>
                <w:rFonts w:ascii="宋体" w:hAnsi="宋体"/>
              </w:rPr>
            </w:pPr>
            <w:r>
              <w:rPr>
                <w:rFonts w:hint="eastAsia" w:ascii="宋体" w:hAnsi="宋体"/>
                <w:kern w:val="0"/>
              </w:rPr>
              <w:t>抗日</w:t>
            </w:r>
            <w:r>
              <w:rPr>
                <w:rFonts w:hint="eastAsia" w:ascii="宋体" w:hAnsi="宋体" w:cs="宋体"/>
                <w:kern w:val="0"/>
              </w:rPr>
              <w:t>战</w:t>
            </w:r>
            <w:r>
              <w:rPr>
                <w:rFonts w:hint="eastAsia" w:ascii="宋体" w:hAnsi="宋体" w:cs="MS Gothic"/>
                <w:kern w:val="0"/>
              </w:rPr>
              <w:t>争</w:t>
            </w:r>
            <w:r>
              <w:rPr>
                <w:rFonts w:hint="eastAsia" w:ascii="宋体" w:hAnsi="宋体" w:cs="宋体"/>
                <w:kern w:val="0"/>
              </w:rPr>
              <w:t>时</w:t>
            </w:r>
            <w:r>
              <w:rPr>
                <w:rFonts w:hint="eastAsia" w:ascii="宋体" w:hAnsi="宋体" w:cs="MS Gothic"/>
                <w:kern w:val="0"/>
              </w:rPr>
              <w:t>期</w:t>
            </w:r>
            <w:r>
              <w:rPr>
                <w:rFonts w:hint="eastAsia" w:ascii="宋体" w:hAnsi="宋体" w:cs="宋体"/>
                <w:kern w:val="0"/>
              </w:rPr>
              <w:t>陈</w:t>
            </w:r>
            <w:r>
              <w:rPr>
                <w:rFonts w:hint="eastAsia" w:ascii="宋体" w:hAnsi="宋体" w:cs="MS Gothic"/>
                <w:kern w:val="0"/>
              </w:rPr>
              <w:t>毅在</w:t>
            </w:r>
            <w:r>
              <w:rPr>
                <w:rFonts w:hint="eastAsia" w:ascii="宋体" w:hAnsi="宋体" w:cs="宋体"/>
                <w:kern w:val="0"/>
              </w:rPr>
              <w:t>钟</w:t>
            </w:r>
            <w:r>
              <w:rPr>
                <w:rFonts w:hint="eastAsia" w:ascii="宋体" w:hAnsi="宋体" w:cs="MS Gothic"/>
                <w:kern w:val="0"/>
              </w:rPr>
              <w:t>鼓</w:t>
            </w:r>
            <w:r>
              <w:rPr>
                <w:rFonts w:hint="eastAsia" w:ascii="宋体" w:hAnsi="宋体"/>
                <w:kern w:val="0"/>
              </w:rPr>
              <w:t>岩</w:t>
            </w:r>
            <w:r>
              <w:rPr>
                <w:rFonts w:hint="eastAsia" w:ascii="宋体" w:hAnsi="宋体" w:cs="宋体"/>
                <w:kern w:val="0"/>
              </w:rPr>
              <w:t>谈</w:t>
            </w:r>
            <w:r>
              <w:rPr>
                <w:rFonts w:hint="eastAsia" w:ascii="宋体" w:hAnsi="宋体" w:cs="MS Gothic"/>
                <w:kern w:val="0"/>
              </w:rPr>
              <w:t>判旧</w:t>
            </w:r>
            <w:r>
              <w:rPr>
                <w:rFonts w:hint="eastAsia" w:ascii="宋体" w:hAnsi="宋体"/>
                <w:kern w:val="0"/>
              </w:rPr>
              <w:t>址</w:t>
            </w:r>
          </w:p>
        </w:tc>
      </w:tr>
    </w:tbl>
    <w:p w14:paraId="36A66C24">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014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9962" w:type="dxa"/>
            <w:tcBorders>
              <w:top w:val="nil"/>
              <w:left w:val="nil"/>
              <w:bottom w:val="nil"/>
              <w:right w:val="nil"/>
            </w:tcBorders>
          </w:tcPr>
          <w:p w14:paraId="4C5C5FC8">
            <w:pPr>
              <w:ind w:firstLine="0" w:firstLineChars="0"/>
              <w:jc w:val="center"/>
              <w:rPr>
                <w:rFonts w:ascii="宋体" w:hAnsi="宋体"/>
              </w:rPr>
            </w:pPr>
            <w:r>
              <w:rPr>
                <w:rFonts w:hint="eastAsia" w:ascii="宋体" w:hAnsi="宋体"/>
              </w:rPr>
              <w:drawing>
                <wp:inline distT="0" distB="0" distL="114300" distR="114300">
                  <wp:extent cx="5698490" cy="7863840"/>
                  <wp:effectExtent l="0" t="0" r="16510" b="3810"/>
                  <wp:docPr id="93" name="图片 93" descr="南雄年鉴 2011_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南雄年鉴 2011_0044"/>
                          <pic:cNvPicPr>
                            <a:picLocks noChangeAspect="1"/>
                          </pic:cNvPicPr>
                        </pic:nvPicPr>
                        <pic:blipFill>
                          <a:blip r:embed="rId58" cstate="print"/>
                          <a:stretch>
                            <a:fillRect/>
                          </a:stretch>
                        </pic:blipFill>
                        <pic:spPr>
                          <a:xfrm>
                            <a:off x="0" y="0"/>
                            <a:ext cx="5700928" cy="7867445"/>
                          </a:xfrm>
                          <a:prstGeom prst="rect">
                            <a:avLst/>
                          </a:prstGeom>
                        </pic:spPr>
                      </pic:pic>
                    </a:graphicData>
                  </a:graphic>
                </wp:inline>
              </w:drawing>
            </w:r>
          </w:p>
        </w:tc>
      </w:tr>
      <w:tr w14:paraId="7AE3A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8E8B9CF">
            <w:pPr>
              <w:ind w:firstLine="420"/>
              <w:rPr>
                <w:rFonts w:ascii="宋体" w:hAnsi="宋体"/>
              </w:rPr>
            </w:pPr>
            <w:r>
              <w:rPr>
                <w:rFonts w:hint="eastAsia" w:ascii="宋体" w:hAnsi="宋体"/>
                <w:kern w:val="0"/>
              </w:rPr>
              <w:t>油山革命</w:t>
            </w:r>
            <w:r>
              <w:rPr>
                <w:rFonts w:hint="eastAsia" w:ascii="宋体" w:hAnsi="宋体" w:cs="宋体"/>
                <w:kern w:val="0"/>
              </w:rPr>
              <w:t>纪</w:t>
            </w:r>
            <w:r>
              <w:rPr>
                <w:rFonts w:hint="eastAsia" w:ascii="宋体" w:hAnsi="宋体" w:cs="MS Gothic"/>
                <w:kern w:val="0"/>
              </w:rPr>
              <w:t>念碑</w:t>
            </w:r>
          </w:p>
        </w:tc>
      </w:tr>
    </w:tbl>
    <w:p w14:paraId="483B2E65">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BE01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5A6A142E">
            <w:pPr>
              <w:ind w:firstLine="0" w:firstLineChars="0"/>
              <w:jc w:val="center"/>
              <w:rPr>
                <w:rFonts w:ascii="宋体" w:hAnsi="宋体"/>
              </w:rPr>
            </w:pPr>
            <w:r>
              <w:rPr>
                <w:rFonts w:hint="eastAsia" w:ascii="宋体" w:hAnsi="宋体"/>
              </w:rPr>
              <w:drawing>
                <wp:inline distT="0" distB="0" distL="114300" distR="114300">
                  <wp:extent cx="6187440" cy="4980940"/>
                  <wp:effectExtent l="0" t="0" r="3810" b="10160"/>
                  <wp:docPr id="94" name="图片 94" descr="南雄年鉴 2011_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南雄年鉴 2011_0045"/>
                          <pic:cNvPicPr>
                            <a:picLocks noChangeAspect="1"/>
                          </pic:cNvPicPr>
                        </pic:nvPicPr>
                        <pic:blipFill>
                          <a:blip r:embed="rId59" cstate="print"/>
                          <a:stretch>
                            <a:fillRect/>
                          </a:stretch>
                        </pic:blipFill>
                        <pic:spPr>
                          <a:xfrm>
                            <a:off x="0" y="0"/>
                            <a:ext cx="6187440" cy="4980940"/>
                          </a:xfrm>
                          <a:prstGeom prst="rect">
                            <a:avLst/>
                          </a:prstGeom>
                        </pic:spPr>
                      </pic:pic>
                    </a:graphicData>
                  </a:graphic>
                </wp:inline>
              </w:drawing>
            </w:r>
          </w:p>
        </w:tc>
      </w:tr>
      <w:tr w14:paraId="4C7327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A678FFF">
            <w:pPr>
              <w:ind w:firstLine="420"/>
              <w:rPr>
                <w:rFonts w:ascii="宋体" w:hAnsi="宋体"/>
              </w:rPr>
            </w:pPr>
            <w:r>
              <w:rPr>
                <w:rFonts w:hint="eastAsia" w:ascii="宋体" w:hAnsi="宋体"/>
                <w:kern w:val="0"/>
              </w:rPr>
              <w:t>毛</w:t>
            </w:r>
            <w:r>
              <w:rPr>
                <w:rFonts w:hint="eastAsia" w:ascii="宋体" w:hAnsi="宋体" w:cs="宋体"/>
                <w:kern w:val="0"/>
              </w:rPr>
              <w:t>泽东</w:t>
            </w:r>
            <w:r>
              <w:rPr>
                <w:rFonts w:hint="eastAsia" w:ascii="宋体" w:hAnsi="宋体" w:cs="MS Gothic"/>
                <w:kern w:val="0"/>
              </w:rPr>
              <w:t>在南雄居住旧址</w:t>
            </w:r>
          </w:p>
        </w:tc>
      </w:tr>
    </w:tbl>
    <w:p w14:paraId="195FB0A0">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7BAB2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51F9D7F4">
            <w:pPr>
              <w:ind w:firstLine="0" w:firstLineChars="0"/>
              <w:jc w:val="center"/>
              <w:rPr>
                <w:rFonts w:ascii="宋体" w:hAnsi="宋体"/>
              </w:rPr>
            </w:pPr>
            <w:r>
              <w:rPr>
                <w:rFonts w:hint="eastAsia" w:ascii="宋体" w:hAnsi="宋体"/>
              </w:rPr>
              <w:drawing>
                <wp:inline distT="0" distB="0" distL="114300" distR="114300">
                  <wp:extent cx="6187440" cy="4895850"/>
                  <wp:effectExtent l="0" t="0" r="3810" b="0"/>
                  <wp:docPr id="95" name="图片 95" descr="南雄年鉴 2011_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南雄年鉴 2011_0046"/>
                          <pic:cNvPicPr>
                            <a:picLocks noChangeAspect="1"/>
                          </pic:cNvPicPr>
                        </pic:nvPicPr>
                        <pic:blipFill>
                          <a:blip r:embed="rId60" cstate="print"/>
                          <a:stretch>
                            <a:fillRect/>
                          </a:stretch>
                        </pic:blipFill>
                        <pic:spPr>
                          <a:xfrm>
                            <a:off x="0" y="0"/>
                            <a:ext cx="6187440" cy="4895850"/>
                          </a:xfrm>
                          <a:prstGeom prst="rect">
                            <a:avLst/>
                          </a:prstGeom>
                        </pic:spPr>
                      </pic:pic>
                    </a:graphicData>
                  </a:graphic>
                </wp:inline>
              </w:drawing>
            </w:r>
          </w:p>
        </w:tc>
      </w:tr>
      <w:tr w14:paraId="00B2A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3AD50A7">
            <w:pPr>
              <w:ind w:firstLine="420"/>
              <w:rPr>
                <w:rFonts w:ascii="宋体" w:hAnsi="宋体"/>
              </w:rPr>
            </w:pPr>
            <w:r>
              <w:rPr>
                <w:rFonts w:hint="eastAsia" w:ascii="宋体" w:hAnsi="宋体" w:cs="宋体"/>
                <w:kern w:val="0"/>
              </w:rPr>
              <w:t>红军赣</w:t>
            </w:r>
            <w:r>
              <w:rPr>
                <w:rFonts w:hint="eastAsia" w:ascii="宋体" w:hAnsi="宋体" w:cs="MS Gothic"/>
                <w:kern w:val="0"/>
              </w:rPr>
              <w:t>粤独立</w:t>
            </w:r>
            <w:r>
              <w:rPr>
                <w:rFonts w:hint="eastAsia" w:ascii="宋体" w:hAnsi="宋体" w:cs="宋体"/>
                <w:kern w:val="0"/>
              </w:rPr>
              <w:t>师</w:t>
            </w:r>
            <w:r>
              <w:rPr>
                <w:rFonts w:hint="eastAsia" w:ascii="宋体" w:hAnsi="宋体" w:cs="MS Gothic"/>
                <w:kern w:val="0"/>
              </w:rPr>
              <w:t>第三</w:t>
            </w:r>
            <w:r>
              <w:rPr>
                <w:rFonts w:hint="eastAsia" w:ascii="宋体" w:hAnsi="宋体" w:cs="宋体"/>
                <w:kern w:val="0"/>
              </w:rPr>
              <w:t>团团</w:t>
            </w:r>
            <w:r>
              <w:rPr>
                <w:rFonts w:hint="eastAsia" w:ascii="宋体" w:hAnsi="宋体" w:cs="MS Gothic"/>
                <w:kern w:val="0"/>
              </w:rPr>
              <w:t>部旧址</w:t>
            </w:r>
          </w:p>
        </w:tc>
      </w:tr>
    </w:tbl>
    <w:p w14:paraId="73706896">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D89F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7C277CF2">
            <w:pPr>
              <w:ind w:firstLine="0" w:firstLineChars="0"/>
              <w:jc w:val="center"/>
              <w:rPr>
                <w:rFonts w:ascii="宋体" w:hAnsi="宋体"/>
              </w:rPr>
            </w:pPr>
            <w:r>
              <w:rPr>
                <w:rFonts w:hint="eastAsia" w:ascii="宋体" w:hAnsi="宋体"/>
              </w:rPr>
              <w:drawing>
                <wp:inline distT="0" distB="0" distL="114300" distR="114300">
                  <wp:extent cx="6187440" cy="4895850"/>
                  <wp:effectExtent l="0" t="0" r="3810" b="0"/>
                  <wp:docPr id="96" name="图片 96" descr="南雄年鉴 2011_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南雄年鉴 2011_0047"/>
                          <pic:cNvPicPr>
                            <a:picLocks noChangeAspect="1"/>
                          </pic:cNvPicPr>
                        </pic:nvPicPr>
                        <pic:blipFill>
                          <a:blip r:embed="rId61" cstate="print"/>
                          <a:stretch>
                            <a:fillRect/>
                          </a:stretch>
                        </pic:blipFill>
                        <pic:spPr>
                          <a:xfrm>
                            <a:off x="0" y="0"/>
                            <a:ext cx="6187440" cy="4895850"/>
                          </a:xfrm>
                          <a:prstGeom prst="rect">
                            <a:avLst/>
                          </a:prstGeom>
                        </pic:spPr>
                      </pic:pic>
                    </a:graphicData>
                  </a:graphic>
                </wp:inline>
              </w:drawing>
            </w:r>
          </w:p>
        </w:tc>
      </w:tr>
      <w:tr w14:paraId="3CB82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004FF05">
            <w:pPr>
              <w:ind w:firstLine="420"/>
              <w:rPr>
                <w:rFonts w:ascii="宋体" w:hAnsi="宋体"/>
              </w:rPr>
            </w:pPr>
            <w:r>
              <w:rPr>
                <w:rFonts w:hint="eastAsia" w:ascii="宋体" w:hAnsi="宋体"/>
                <w:kern w:val="0"/>
              </w:rPr>
              <w:t>梅岭三章</w:t>
            </w:r>
            <w:r>
              <w:rPr>
                <w:rFonts w:hint="eastAsia" w:ascii="宋体" w:hAnsi="宋体" w:cs="宋体"/>
                <w:kern w:val="0"/>
              </w:rPr>
              <w:t>诗</w:t>
            </w:r>
            <w:r>
              <w:rPr>
                <w:rFonts w:hint="eastAsia" w:ascii="宋体" w:hAnsi="宋体" w:cs="MS Gothic"/>
                <w:kern w:val="0"/>
              </w:rPr>
              <w:t>碑成</w:t>
            </w:r>
            <w:r>
              <w:rPr>
                <w:rFonts w:hint="eastAsia" w:ascii="宋体" w:hAnsi="宋体" w:cs="宋体"/>
                <w:kern w:val="0"/>
              </w:rPr>
              <w:t>红</w:t>
            </w:r>
            <w:r>
              <w:rPr>
                <w:rFonts w:hint="eastAsia" w:ascii="宋体" w:hAnsi="宋体" w:cs="MS Gothic"/>
                <w:kern w:val="0"/>
              </w:rPr>
              <w:t>色旅游</w:t>
            </w:r>
            <w:r>
              <w:rPr>
                <w:rFonts w:hint="eastAsia" w:ascii="宋体" w:hAnsi="宋体" w:cs="宋体"/>
                <w:kern w:val="0"/>
              </w:rPr>
              <w:t>胜</w:t>
            </w:r>
            <w:r>
              <w:rPr>
                <w:rFonts w:hint="eastAsia" w:ascii="宋体" w:hAnsi="宋体" w:cs="MS Gothic"/>
                <w:kern w:val="0"/>
              </w:rPr>
              <w:t>地</w:t>
            </w:r>
          </w:p>
        </w:tc>
      </w:tr>
    </w:tbl>
    <w:p w14:paraId="24C32942">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668C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17CE3DA4">
            <w:pPr>
              <w:ind w:firstLine="0" w:firstLineChars="0"/>
              <w:jc w:val="center"/>
              <w:rPr>
                <w:rFonts w:ascii="宋体" w:hAnsi="宋体"/>
              </w:rPr>
            </w:pPr>
            <w:r>
              <w:rPr>
                <w:rFonts w:hint="eastAsia" w:ascii="宋体" w:hAnsi="宋体"/>
              </w:rPr>
              <w:drawing>
                <wp:inline distT="0" distB="0" distL="114300" distR="114300">
                  <wp:extent cx="6187440" cy="4194810"/>
                  <wp:effectExtent l="0" t="0" r="3810" b="15240"/>
                  <wp:docPr id="97" name="图片 97" descr="南雄年鉴 2011_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南雄年鉴 2011_0048"/>
                          <pic:cNvPicPr>
                            <a:picLocks noChangeAspect="1"/>
                          </pic:cNvPicPr>
                        </pic:nvPicPr>
                        <pic:blipFill>
                          <a:blip r:embed="rId62" cstate="print"/>
                          <a:stretch>
                            <a:fillRect/>
                          </a:stretch>
                        </pic:blipFill>
                        <pic:spPr>
                          <a:xfrm>
                            <a:off x="0" y="0"/>
                            <a:ext cx="6187440" cy="4194810"/>
                          </a:xfrm>
                          <a:prstGeom prst="rect">
                            <a:avLst/>
                          </a:prstGeom>
                        </pic:spPr>
                      </pic:pic>
                    </a:graphicData>
                  </a:graphic>
                </wp:inline>
              </w:drawing>
            </w:r>
          </w:p>
        </w:tc>
      </w:tr>
      <w:tr w14:paraId="45263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A8EB647">
            <w:pPr>
              <w:ind w:firstLine="420"/>
              <w:rPr>
                <w:rFonts w:ascii="宋体" w:hAnsi="宋体"/>
              </w:rPr>
            </w:pPr>
            <w:r>
              <w:rPr>
                <w:rFonts w:hint="eastAsia" w:ascii="宋体" w:hAnsi="宋体" w:cs="宋体"/>
                <w:kern w:val="0"/>
              </w:rPr>
              <w:t>忆</w:t>
            </w:r>
            <w:r>
              <w:rPr>
                <w:rFonts w:hint="eastAsia" w:ascii="宋体" w:hAnsi="宋体" w:cs="MS Gothic"/>
                <w:kern w:val="0"/>
              </w:rPr>
              <w:t>往昔—老</w:t>
            </w:r>
            <w:r>
              <w:rPr>
                <w:rFonts w:hint="eastAsia" w:ascii="宋体" w:hAnsi="宋体"/>
                <w:kern w:val="0"/>
              </w:rPr>
              <w:t>游</w:t>
            </w:r>
            <w:r>
              <w:rPr>
                <w:rFonts w:hint="eastAsia" w:ascii="宋体" w:hAnsi="宋体" w:cs="宋体"/>
                <w:kern w:val="0"/>
              </w:rPr>
              <w:t>击战</w:t>
            </w:r>
            <w:r>
              <w:rPr>
                <w:rFonts w:hint="eastAsia" w:ascii="宋体" w:hAnsi="宋体" w:cs="MS Gothic"/>
                <w:kern w:val="0"/>
              </w:rPr>
              <w:t>士参</w:t>
            </w:r>
            <w:r>
              <w:rPr>
                <w:rFonts w:hint="eastAsia" w:ascii="宋体" w:hAnsi="宋体" w:cs="宋体"/>
                <w:kern w:val="0"/>
              </w:rPr>
              <w:t>观</w:t>
            </w:r>
            <w:r>
              <w:rPr>
                <w:rFonts w:hint="eastAsia" w:ascii="宋体" w:hAnsi="宋体" w:cs="MS Gothic"/>
                <w:kern w:val="0"/>
              </w:rPr>
              <w:t>南</w:t>
            </w:r>
            <w:r>
              <w:rPr>
                <w:rFonts w:hint="eastAsia" w:ascii="宋体" w:hAnsi="宋体"/>
                <w:kern w:val="0"/>
              </w:rPr>
              <w:t>雄革命</w:t>
            </w:r>
            <w:r>
              <w:rPr>
                <w:rFonts w:hint="eastAsia" w:ascii="宋体" w:hAnsi="宋体" w:cs="宋体"/>
                <w:kern w:val="0"/>
              </w:rPr>
              <w:t>历</w:t>
            </w:r>
            <w:r>
              <w:rPr>
                <w:rFonts w:hint="eastAsia" w:ascii="宋体" w:hAnsi="宋体" w:cs="MS Gothic"/>
                <w:kern w:val="0"/>
              </w:rPr>
              <w:t>史</w:t>
            </w:r>
            <w:r>
              <w:rPr>
                <w:rFonts w:hint="eastAsia" w:ascii="宋体" w:hAnsi="宋体"/>
                <w:kern w:val="0"/>
              </w:rPr>
              <w:t>展</w:t>
            </w:r>
          </w:p>
        </w:tc>
      </w:tr>
    </w:tbl>
    <w:p w14:paraId="0ABCB353">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CE12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28C4BCB4">
            <w:pPr>
              <w:ind w:firstLine="0" w:firstLineChars="0"/>
              <w:jc w:val="center"/>
              <w:rPr>
                <w:rFonts w:ascii="宋体" w:hAnsi="宋体"/>
              </w:rPr>
            </w:pPr>
            <w:r>
              <w:rPr>
                <w:rFonts w:hint="eastAsia" w:ascii="宋体" w:hAnsi="宋体"/>
              </w:rPr>
              <w:drawing>
                <wp:inline distT="0" distB="0" distL="114300" distR="114300">
                  <wp:extent cx="6187440" cy="4725670"/>
                  <wp:effectExtent l="0" t="0" r="3810" b="17780"/>
                  <wp:docPr id="98" name="图片 98" descr="南雄年鉴 2011_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南雄年鉴 2011_0049"/>
                          <pic:cNvPicPr>
                            <a:picLocks noChangeAspect="1"/>
                          </pic:cNvPicPr>
                        </pic:nvPicPr>
                        <pic:blipFill>
                          <a:blip r:embed="rId63" cstate="print"/>
                          <a:stretch>
                            <a:fillRect/>
                          </a:stretch>
                        </pic:blipFill>
                        <pic:spPr>
                          <a:xfrm>
                            <a:off x="0" y="0"/>
                            <a:ext cx="6187440" cy="4725670"/>
                          </a:xfrm>
                          <a:prstGeom prst="rect">
                            <a:avLst/>
                          </a:prstGeom>
                        </pic:spPr>
                      </pic:pic>
                    </a:graphicData>
                  </a:graphic>
                </wp:inline>
              </w:drawing>
            </w:r>
          </w:p>
        </w:tc>
      </w:tr>
      <w:tr w14:paraId="25F75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A3C7369">
            <w:pPr>
              <w:ind w:firstLine="420"/>
              <w:rPr>
                <w:rFonts w:ascii="宋体" w:hAnsi="宋体"/>
              </w:rPr>
            </w:pPr>
            <w:r>
              <w:rPr>
                <w:rFonts w:hint="eastAsia" w:ascii="宋体" w:hAnsi="宋体"/>
                <w:kern w:val="0"/>
              </w:rPr>
              <w:t>南雄市博物</w:t>
            </w:r>
            <w:r>
              <w:rPr>
                <w:rFonts w:hint="eastAsia" w:ascii="宋体" w:hAnsi="宋体" w:cs="宋体"/>
                <w:kern w:val="0"/>
              </w:rPr>
              <w:t>馆</w:t>
            </w:r>
          </w:p>
        </w:tc>
      </w:tr>
    </w:tbl>
    <w:p w14:paraId="34D7BA75">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C368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74E37500">
            <w:pPr>
              <w:ind w:firstLine="0" w:firstLineChars="0"/>
              <w:jc w:val="center"/>
              <w:rPr>
                <w:rFonts w:ascii="宋体" w:hAnsi="宋体"/>
              </w:rPr>
            </w:pPr>
            <w:r>
              <w:rPr>
                <w:rFonts w:hint="eastAsia" w:ascii="宋体" w:hAnsi="宋体"/>
              </w:rPr>
              <w:drawing>
                <wp:inline distT="0" distB="0" distL="114300" distR="114300">
                  <wp:extent cx="6187440" cy="4764405"/>
                  <wp:effectExtent l="0" t="0" r="3810" b="17145"/>
                  <wp:docPr id="99" name="图片 99" descr="南雄年鉴 2011_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南雄年鉴 2011_0050"/>
                          <pic:cNvPicPr>
                            <a:picLocks noChangeAspect="1"/>
                          </pic:cNvPicPr>
                        </pic:nvPicPr>
                        <pic:blipFill>
                          <a:blip r:embed="rId64" cstate="print"/>
                          <a:stretch>
                            <a:fillRect/>
                          </a:stretch>
                        </pic:blipFill>
                        <pic:spPr>
                          <a:xfrm>
                            <a:off x="0" y="0"/>
                            <a:ext cx="6187440" cy="4764405"/>
                          </a:xfrm>
                          <a:prstGeom prst="rect">
                            <a:avLst/>
                          </a:prstGeom>
                        </pic:spPr>
                      </pic:pic>
                    </a:graphicData>
                  </a:graphic>
                </wp:inline>
              </w:drawing>
            </w:r>
          </w:p>
        </w:tc>
      </w:tr>
      <w:tr w14:paraId="0CC40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81048CA">
            <w:pPr>
              <w:ind w:firstLine="420"/>
              <w:rPr>
                <w:rFonts w:ascii="宋体" w:hAnsi="宋体"/>
              </w:rPr>
            </w:pPr>
            <w:r>
              <w:rPr>
                <w:rFonts w:hint="eastAsia" w:ascii="宋体" w:hAnsi="宋体"/>
                <w:kern w:val="0"/>
              </w:rPr>
              <w:t>南雄市博物</w:t>
            </w:r>
            <w:r>
              <w:rPr>
                <w:rFonts w:hint="eastAsia" w:ascii="宋体" w:hAnsi="宋体" w:cs="宋体"/>
                <w:kern w:val="0"/>
              </w:rPr>
              <w:t>馆</w:t>
            </w:r>
            <w:r>
              <w:rPr>
                <w:rFonts w:hint="eastAsia" w:ascii="宋体" w:hAnsi="宋体" w:cs="MS Gothic"/>
                <w:kern w:val="0"/>
              </w:rPr>
              <w:t>展</w:t>
            </w:r>
            <w:r>
              <w:rPr>
                <w:rFonts w:hint="eastAsia" w:ascii="宋体" w:hAnsi="宋体" w:cs="宋体"/>
                <w:kern w:val="0"/>
              </w:rPr>
              <w:t>览</w:t>
            </w:r>
            <w:r>
              <w:rPr>
                <w:rFonts w:hint="eastAsia" w:ascii="宋体" w:hAnsi="宋体" w:cs="MS Gothic"/>
                <w:kern w:val="0"/>
              </w:rPr>
              <w:t>室</w:t>
            </w:r>
          </w:p>
        </w:tc>
      </w:tr>
    </w:tbl>
    <w:p w14:paraId="1124B2C6">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944A5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2AF634D0">
            <w:pPr>
              <w:ind w:firstLine="0" w:firstLineChars="0"/>
              <w:jc w:val="center"/>
              <w:rPr>
                <w:rFonts w:ascii="宋体" w:hAnsi="宋体"/>
              </w:rPr>
            </w:pPr>
            <w:r>
              <w:rPr>
                <w:rFonts w:hint="eastAsia" w:ascii="宋体" w:hAnsi="宋体"/>
              </w:rPr>
              <w:drawing>
                <wp:inline distT="0" distB="0" distL="114300" distR="114300">
                  <wp:extent cx="6183630" cy="4486275"/>
                  <wp:effectExtent l="0" t="0" r="7620" b="9525"/>
                  <wp:docPr id="100" name="图片 100" descr="南雄年鉴 2011_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南雄年鉴 2011_0051"/>
                          <pic:cNvPicPr>
                            <a:picLocks noChangeAspect="1"/>
                          </pic:cNvPicPr>
                        </pic:nvPicPr>
                        <pic:blipFill>
                          <a:blip r:embed="rId65" cstate="print"/>
                          <a:stretch>
                            <a:fillRect/>
                          </a:stretch>
                        </pic:blipFill>
                        <pic:spPr>
                          <a:xfrm>
                            <a:off x="0" y="0"/>
                            <a:ext cx="6183630" cy="4486275"/>
                          </a:xfrm>
                          <a:prstGeom prst="rect">
                            <a:avLst/>
                          </a:prstGeom>
                        </pic:spPr>
                      </pic:pic>
                    </a:graphicData>
                  </a:graphic>
                </wp:inline>
              </w:drawing>
            </w:r>
          </w:p>
        </w:tc>
      </w:tr>
      <w:tr w14:paraId="586C83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366A1EF">
            <w:pPr>
              <w:ind w:firstLine="420"/>
              <w:rPr>
                <w:rFonts w:ascii="宋体" w:hAnsi="宋体"/>
              </w:rPr>
            </w:pPr>
            <w:r>
              <w:rPr>
                <w:rFonts w:hint="eastAsia" w:ascii="宋体" w:hAnsi="宋体" w:cs="宋体"/>
                <w:kern w:val="0"/>
              </w:rPr>
              <w:t>邓</w:t>
            </w:r>
            <w:r>
              <w:rPr>
                <w:rFonts w:hint="eastAsia" w:ascii="宋体" w:hAnsi="宋体" w:cs="MS Gothic"/>
                <w:kern w:val="0"/>
              </w:rPr>
              <w:t>坊上湖西坑五岭地委</w:t>
            </w:r>
            <w:r>
              <w:rPr>
                <w:rFonts w:hint="eastAsia" w:ascii="宋体" w:hAnsi="宋体" w:cs="宋体"/>
                <w:kern w:val="0"/>
              </w:rPr>
              <w:t>扩</w:t>
            </w:r>
            <w:r>
              <w:rPr>
                <w:rFonts w:hint="eastAsia" w:ascii="宋体" w:hAnsi="宋体" w:cs="MS Gothic"/>
                <w:kern w:val="0"/>
              </w:rPr>
              <w:t>大会</w:t>
            </w:r>
            <w:r>
              <w:rPr>
                <w:rFonts w:hint="eastAsia" w:ascii="宋体" w:hAnsi="宋体" w:cs="宋体"/>
                <w:kern w:val="0"/>
              </w:rPr>
              <w:t>议遗</w:t>
            </w:r>
            <w:r>
              <w:rPr>
                <w:rFonts w:hint="eastAsia" w:ascii="宋体" w:hAnsi="宋体" w:cs="MS Gothic"/>
                <w:kern w:val="0"/>
              </w:rPr>
              <w:t>址</w:t>
            </w:r>
          </w:p>
        </w:tc>
      </w:tr>
    </w:tbl>
    <w:p w14:paraId="51C3B85E">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2E05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1F5D3ED9">
            <w:pPr>
              <w:ind w:firstLine="0" w:firstLineChars="0"/>
              <w:jc w:val="center"/>
              <w:rPr>
                <w:rFonts w:ascii="宋体" w:hAnsi="宋体"/>
              </w:rPr>
            </w:pPr>
            <w:r>
              <w:rPr>
                <w:rFonts w:hint="eastAsia" w:ascii="宋体" w:hAnsi="宋体"/>
              </w:rPr>
              <w:drawing>
                <wp:inline distT="0" distB="0" distL="114300" distR="114300">
                  <wp:extent cx="6185535" cy="4246245"/>
                  <wp:effectExtent l="0" t="0" r="5715" b="1905"/>
                  <wp:docPr id="101" name="图片 101" descr="南雄年鉴 2011_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南雄年鉴 2011_0052"/>
                          <pic:cNvPicPr>
                            <a:picLocks noChangeAspect="1"/>
                          </pic:cNvPicPr>
                        </pic:nvPicPr>
                        <pic:blipFill>
                          <a:blip r:embed="rId66" cstate="print"/>
                          <a:stretch>
                            <a:fillRect/>
                          </a:stretch>
                        </pic:blipFill>
                        <pic:spPr>
                          <a:xfrm>
                            <a:off x="0" y="0"/>
                            <a:ext cx="6185535" cy="4246245"/>
                          </a:xfrm>
                          <a:prstGeom prst="rect">
                            <a:avLst/>
                          </a:prstGeom>
                        </pic:spPr>
                      </pic:pic>
                    </a:graphicData>
                  </a:graphic>
                </wp:inline>
              </w:drawing>
            </w:r>
          </w:p>
        </w:tc>
      </w:tr>
      <w:tr w14:paraId="624EE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FFA9FAF">
            <w:pPr>
              <w:ind w:firstLine="420"/>
              <w:rPr>
                <w:rFonts w:ascii="宋体" w:hAnsi="宋体"/>
              </w:rPr>
            </w:pPr>
            <w:r>
              <w:rPr>
                <w:rFonts w:hint="eastAsia" w:ascii="宋体" w:hAnsi="宋体"/>
                <w:kern w:val="0"/>
              </w:rPr>
              <w:t>南雄</w:t>
            </w:r>
            <w:r>
              <w:rPr>
                <w:rFonts w:hint="eastAsia" w:ascii="宋体" w:hAnsi="宋体" w:cs="宋体"/>
                <w:kern w:val="0"/>
              </w:rPr>
              <w:t>苏维</w:t>
            </w:r>
            <w:r>
              <w:rPr>
                <w:rFonts w:hint="eastAsia" w:ascii="宋体" w:hAnsi="宋体" w:cs="MS Gothic"/>
                <w:kern w:val="0"/>
              </w:rPr>
              <w:t>埃政府</w:t>
            </w:r>
            <w:r>
              <w:rPr>
                <w:rFonts w:hint="eastAsia" w:ascii="宋体" w:hAnsi="宋体"/>
                <w:kern w:val="0"/>
              </w:rPr>
              <w:t>（油山上朔）旧址</w:t>
            </w:r>
          </w:p>
        </w:tc>
      </w:tr>
    </w:tbl>
    <w:p w14:paraId="6683C954">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1949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9962" w:type="dxa"/>
            <w:tcBorders>
              <w:top w:val="nil"/>
              <w:left w:val="nil"/>
              <w:bottom w:val="nil"/>
              <w:right w:val="nil"/>
            </w:tcBorders>
          </w:tcPr>
          <w:p w14:paraId="3D0614F3">
            <w:pPr>
              <w:ind w:firstLine="0" w:firstLineChars="0"/>
              <w:jc w:val="center"/>
              <w:rPr>
                <w:rFonts w:ascii="宋体" w:hAnsi="宋体"/>
              </w:rPr>
            </w:pPr>
            <w:r>
              <w:rPr>
                <w:rFonts w:hint="eastAsia" w:ascii="宋体" w:hAnsi="宋体"/>
              </w:rPr>
              <w:drawing>
                <wp:inline distT="0" distB="0" distL="114300" distR="114300">
                  <wp:extent cx="6182995" cy="4234815"/>
                  <wp:effectExtent l="0" t="0" r="8255" b="13335"/>
                  <wp:docPr id="102" name="图片 102" descr="南雄年鉴 2011_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南雄年鉴 2011_0053"/>
                          <pic:cNvPicPr>
                            <a:picLocks noChangeAspect="1"/>
                          </pic:cNvPicPr>
                        </pic:nvPicPr>
                        <pic:blipFill>
                          <a:blip r:embed="rId67" cstate="print"/>
                          <a:stretch>
                            <a:fillRect/>
                          </a:stretch>
                        </pic:blipFill>
                        <pic:spPr>
                          <a:xfrm>
                            <a:off x="0" y="0"/>
                            <a:ext cx="6182995" cy="4234815"/>
                          </a:xfrm>
                          <a:prstGeom prst="rect">
                            <a:avLst/>
                          </a:prstGeom>
                        </pic:spPr>
                      </pic:pic>
                    </a:graphicData>
                  </a:graphic>
                </wp:inline>
              </w:drawing>
            </w:r>
          </w:p>
        </w:tc>
      </w:tr>
      <w:tr w14:paraId="6E4E6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F7DC6DB">
            <w:pPr>
              <w:ind w:firstLine="420"/>
              <w:rPr>
                <w:rFonts w:ascii="宋体" w:hAnsi="宋体"/>
              </w:rPr>
            </w:pPr>
            <w:r>
              <w:rPr>
                <w:rFonts w:hint="eastAsia" w:ascii="宋体" w:hAnsi="宋体" w:cs="宋体"/>
                <w:kern w:val="0"/>
                <w:szCs w:val="21"/>
              </w:rPr>
              <w:t>陈</w:t>
            </w:r>
            <w:r>
              <w:rPr>
                <w:rFonts w:hint="eastAsia" w:ascii="宋体" w:hAnsi="宋体" w:cs="MS Gothic"/>
                <w:kern w:val="0"/>
                <w:szCs w:val="21"/>
              </w:rPr>
              <w:t>毅同志三年游</w:t>
            </w:r>
            <w:r>
              <w:rPr>
                <w:rFonts w:hint="eastAsia" w:ascii="宋体" w:hAnsi="宋体" w:cs="宋体"/>
                <w:kern w:val="0"/>
                <w:szCs w:val="21"/>
              </w:rPr>
              <w:t>击战</w:t>
            </w:r>
            <w:r>
              <w:rPr>
                <w:rFonts w:hint="eastAsia" w:ascii="宋体" w:hAnsi="宋体" w:cs="MS Gothic"/>
                <w:kern w:val="0"/>
                <w:szCs w:val="21"/>
              </w:rPr>
              <w:t>活</w:t>
            </w:r>
            <w:r>
              <w:rPr>
                <w:rFonts w:hint="eastAsia" w:ascii="宋体" w:hAnsi="宋体" w:cs="宋体"/>
                <w:kern w:val="0"/>
                <w:szCs w:val="21"/>
              </w:rPr>
              <w:t>动</w:t>
            </w:r>
            <w:r>
              <w:rPr>
                <w:rFonts w:hint="eastAsia" w:ascii="宋体" w:hAnsi="宋体" w:cs="MS Gothic"/>
                <w:kern w:val="0"/>
                <w:szCs w:val="21"/>
              </w:rPr>
              <w:t>地油山大</w:t>
            </w:r>
            <w:r>
              <w:rPr>
                <w:rFonts w:hint="eastAsia" w:ascii="宋体" w:hAnsi="宋体" w:cs="宋体"/>
                <w:kern w:val="0"/>
                <w:szCs w:val="21"/>
              </w:rPr>
              <w:t>兰</w:t>
            </w:r>
            <w:r>
              <w:rPr>
                <w:rFonts w:hint="eastAsia" w:ascii="宋体" w:hAnsi="宋体" w:cs="MS Gothic"/>
                <w:kern w:val="0"/>
                <w:szCs w:val="21"/>
              </w:rPr>
              <w:t>李坑</w:t>
            </w:r>
            <w:r>
              <w:rPr>
                <w:rFonts w:hint="eastAsia" w:ascii="宋体" w:hAnsi="宋体" w:cs="宋体"/>
                <w:kern w:val="0"/>
                <w:szCs w:val="21"/>
              </w:rPr>
              <w:t>垅</w:t>
            </w:r>
            <w:r>
              <w:rPr>
                <w:rFonts w:hint="eastAsia" w:ascii="宋体" w:hAnsi="宋体" w:cs="MS Gothic"/>
                <w:kern w:val="0"/>
                <w:szCs w:val="21"/>
              </w:rPr>
              <w:t>旧址</w:t>
            </w:r>
          </w:p>
        </w:tc>
      </w:tr>
    </w:tbl>
    <w:p w14:paraId="49EACD3A">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C964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12867F40">
            <w:pPr>
              <w:ind w:firstLine="0" w:firstLineChars="0"/>
              <w:jc w:val="center"/>
              <w:rPr>
                <w:rFonts w:ascii="宋体" w:hAnsi="宋体"/>
              </w:rPr>
            </w:pPr>
            <w:r>
              <w:rPr>
                <w:rFonts w:hint="eastAsia" w:ascii="宋体" w:hAnsi="宋体"/>
              </w:rPr>
              <w:drawing>
                <wp:inline distT="0" distB="0" distL="114300" distR="114300">
                  <wp:extent cx="6187440" cy="4194810"/>
                  <wp:effectExtent l="0" t="0" r="3810" b="15240"/>
                  <wp:docPr id="103" name="图片 103" descr="南雄年鉴 2011_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南雄年鉴 2011_0054"/>
                          <pic:cNvPicPr>
                            <a:picLocks noChangeAspect="1"/>
                          </pic:cNvPicPr>
                        </pic:nvPicPr>
                        <pic:blipFill>
                          <a:blip r:embed="rId68" cstate="print"/>
                          <a:stretch>
                            <a:fillRect/>
                          </a:stretch>
                        </pic:blipFill>
                        <pic:spPr>
                          <a:xfrm>
                            <a:off x="0" y="0"/>
                            <a:ext cx="6187440" cy="4194810"/>
                          </a:xfrm>
                          <a:prstGeom prst="rect">
                            <a:avLst/>
                          </a:prstGeom>
                        </pic:spPr>
                      </pic:pic>
                    </a:graphicData>
                  </a:graphic>
                </wp:inline>
              </w:drawing>
            </w:r>
          </w:p>
        </w:tc>
      </w:tr>
      <w:tr w14:paraId="26B59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4818A01">
            <w:pPr>
              <w:ind w:firstLine="420"/>
              <w:rPr>
                <w:rFonts w:ascii="宋体" w:hAnsi="宋体"/>
              </w:rPr>
            </w:pPr>
            <w:r>
              <w:rPr>
                <w:rFonts w:hint="eastAsia" w:ascii="宋体" w:hAnsi="宋体" w:cs="HiddenHorzOCR"/>
                <w:kern w:val="0"/>
                <w:szCs w:val="21"/>
              </w:rPr>
              <w:t>帽子峰乾村五岭地委</w:t>
            </w:r>
            <w:r>
              <w:rPr>
                <w:rFonts w:hint="eastAsia" w:ascii="宋体" w:hAnsi="宋体" w:cs="宋体"/>
                <w:kern w:val="0"/>
                <w:szCs w:val="21"/>
              </w:rPr>
              <w:t>驻</w:t>
            </w:r>
            <w:r>
              <w:rPr>
                <w:rFonts w:hint="eastAsia" w:ascii="宋体" w:hAnsi="宋体" w:cs="MS Gothic"/>
                <w:kern w:val="0"/>
                <w:szCs w:val="21"/>
              </w:rPr>
              <w:t>地</w:t>
            </w:r>
          </w:p>
        </w:tc>
      </w:tr>
    </w:tbl>
    <w:p w14:paraId="45C25462">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AD2D1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9962" w:type="dxa"/>
            <w:tcBorders>
              <w:top w:val="nil"/>
              <w:left w:val="nil"/>
              <w:bottom w:val="nil"/>
              <w:right w:val="nil"/>
            </w:tcBorders>
          </w:tcPr>
          <w:p w14:paraId="41EB34D2">
            <w:pPr>
              <w:ind w:firstLine="0" w:firstLineChars="0"/>
              <w:jc w:val="center"/>
              <w:rPr>
                <w:rFonts w:ascii="宋体" w:hAnsi="宋体"/>
              </w:rPr>
            </w:pPr>
            <w:r>
              <w:rPr>
                <w:rFonts w:hint="eastAsia" w:ascii="宋体" w:hAnsi="宋体"/>
              </w:rPr>
              <w:drawing>
                <wp:inline distT="0" distB="0" distL="114300" distR="114300">
                  <wp:extent cx="6187440" cy="7293610"/>
                  <wp:effectExtent l="0" t="0" r="3810" b="2540"/>
                  <wp:docPr id="104" name="图片 104" descr="南雄年鉴 2011_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南雄年鉴 2011_0055"/>
                          <pic:cNvPicPr>
                            <a:picLocks noChangeAspect="1"/>
                          </pic:cNvPicPr>
                        </pic:nvPicPr>
                        <pic:blipFill>
                          <a:blip r:embed="rId69" cstate="print"/>
                          <a:stretch>
                            <a:fillRect/>
                          </a:stretch>
                        </pic:blipFill>
                        <pic:spPr>
                          <a:xfrm>
                            <a:off x="0" y="0"/>
                            <a:ext cx="6187440" cy="7293610"/>
                          </a:xfrm>
                          <a:prstGeom prst="rect">
                            <a:avLst/>
                          </a:prstGeom>
                        </pic:spPr>
                      </pic:pic>
                    </a:graphicData>
                  </a:graphic>
                </wp:inline>
              </w:drawing>
            </w:r>
          </w:p>
        </w:tc>
      </w:tr>
      <w:tr w14:paraId="27582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A494A0B">
            <w:pPr>
              <w:ind w:firstLine="420"/>
              <w:rPr>
                <w:rFonts w:ascii="宋体" w:hAnsi="宋体"/>
              </w:rPr>
            </w:pPr>
            <w:r>
              <w:rPr>
                <w:rFonts w:hint="eastAsia" w:ascii="宋体" w:hAnsi="宋体" w:cs="宋体"/>
                <w:kern w:val="0"/>
                <w:szCs w:val="21"/>
              </w:rPr>
              <w:t>龙</w:t>
            </w:r>
            <w:r>
              <w:rPr>
                <w:rFonts w:hint="eastAsia" w:ascii="宋体" w:hAnsi="宋体" w:cs="MS Gothic"/>
                <w:kern w:val="0"/>
                <w:szCs w:val="21"/>
              </w:rPr>
              <w:t>西石</w:t>
            </w:r>
            <w:r>
              <w:rPr>
                <w:rFonts w:hint="eastAsia" w:ascii="宋体" w:hAnsi="宋体" w:cs="HiddenHorzOCR"/>
                <w:kern w:val="0"/>
                <w:szCs w:val="21"/>
              </w:rPr>
              <w:t>——“北山事件”碑文</w:t>
            </w:r>
          </w:p>
        </w:tc>
      </w:tr>
    </w:tbl>
    <w:p w14:paraId="27507CC3">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537F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792AEFE5">
            <w:pPr>
              <w:ind w:firstLine="0" w:firstLineChars="0"/>
              <w:jc w:val="center"/>
              <w:rPr>
                <w:rFonts w:ascii="宋体" w:hAnsi="宋体"/>
              </w:rPr>
            </w:pPr>
            <w:r>
              <w:rPr>
                <w:rFonts w:hint="eastAsia" w:ascii="宋体" w:hAnsi="宋体"/>
              </w:rPr>
              <w:drawing>
                <wp:inline distT="0" distB="0" distL="114300" distR="114300">
                  <wp:extent cx="6184265" cy="3869055"/>
                  <wp:effectExtent l="0" t="0" r="6985" b="17145"/>
                  <wp:docPr id="105" name="图片 105" descr="南雄年鉴 2011_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南雄年鉴 2011_0056"/>
                          <pic:cNvPicPr>
                            <a:picLocks noChangeAspect="1"/>
                          </pic:cNvPicPr>
                        </pic:nvPicPr>
                        <pic:blipFill>
                          <a:blip r:embed="rId70" cstate="print"/>
                          <a:stretch>
                            <a:fillRect/>
                          </a:stretch>
                        </pic:blipFill>
                        <pic:spPr>
                          <a:xfrm>
                            <a:off x="0" y="0"/>
                            <a:ext cx="6184265" cy="3869055"/>
                          </a:xfrm>
                          <a:prstGeom prst="rect">
                            <a:avLst/>
                          </a:prstGeom>
                        </pic:spPr>
                      </pic:pic>
                    </a:graphicData>
                  </a:graphic>
                </wp:inline>
              </w:drawing>
            </w:r>
          </w:p>
        </w:tc>
      </w:tr>
      <w:tr w14:paraId="1A0A8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003D277">
            <w:pPr>
              <w:ind w:firstLine="420"/>
              <w:rPr>
                <w:rFonts w:ascii="宋体" w:hAnsi="宋体"/>
              </w:rPr>
            </w:pPr>
            <w:r>
              <w:rPr>
                <w:rFonts w:hint="eastAsia" w:ascii="宋体" w:hAnsi="宋体" w:cs="HiddenHorzOCR"/>
                <w:kern w:val="0"/>
                <w:szCs w:val="21"/>
              </w:rPr>
              <w:t>毛</w:t>
            </w:r>
            <w:r>
              <w:rPr>
                <w:rFonts w:hint="eastAsia" w:ascii="宋体" w:hAnsi="宋体" w:cs="宋体"/>
                <w:kern w:val="0"/>
                <w:szCs w:val="21"/>
              </w:rPr>
              <w:t>泽东</w:t>
            </w:r>
            <w:r>
              <w:rPr>
                <w:rFonts w:hint="eastAsia" w:ascii="宋体" w:hAnsi="宋体" w:cs="MS Gothic"/>
                <w:kern w:val="0"/>
                <w:szCs w:val="21"/>
              </w:rPr>
              <w:t>召开群众大会旧址（人民医院</w:t>
            </w:r>
            <w:r>
              <w:rPr>
                <w:rFonts w:hint="eastAsia" w:ascii="宋体" w:hAnsi="宋体" w:cs="宋体"/>
                <w:kern w:val="0"/>
                <w:szCs w:val="21"/>
              </w:rPr>
              <w:t>门诊</w:t>
            </w:r>
            <w:r>
              <w:rPr>
                <w:rFonts w:hint="eastAsia" w:ascii="宋体" w:hAnsi="宋体" w:cs="MS Gothic"/>
                <w:kern w:val="0"/>
                <w:szCs w:val="21"/>
              </w:rPr>
              <w:t>部</w:t>
            </w:r>
            <w:r>
              <w:rPr>
                <w:rFonts w:hint="eastAsia" w:ascii="宋体" w:hAnsi="宋体" w:cs="HiddenHorzOCR"/>
                <w:kern w:val="0"/>
                <w:szCs w:val="21"/>
              </w:rPr>
              <w:t>）</w:t>
            </w:r>
          </w:p>
        </w:tc>
      </w:tr>
    </w:tbl>
    <w:p w14:paraId="626292B1">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A779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49CD3E44">
            <w:pPr>
              <w:ind w:firstLine="0" w:firstLineChars="0"/>
              <w:jc w:val="center"/>
              <w:rPr>
                <w:rFonts w:ascii="宋体" w:hAnsi="宋体"/>
              </w:rPr>
            </w:pPr>
            <w:r>
              <w:rPr>
                <w:rFonts w:hint="eastAsia" w:ascii="宋体" w:hAnsi="宋体"/>
              </w:rPr>
              <w:drawing>
                <wp:inline distT="0" distB="0" distL="114300" distR="114300">
                  <wp:extent cx="5800725" cy="3858260"/>
                  <wp:effectExtent l="0" t="0" r="9525" b="8890"/>
                  <wp:docPr id="106" name="图片 106" descr="南雄年鉴 2011_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南雄年鉴 2011_0057"/>
                          <pic:cNvPicPr>
                            <a:picLocks noChangeAspect="1"/>
                          </pic:cNvPicPr>
                        </pic:nvPicPr>
                        <pic:blipFill>
                          <a:blip r:embed="rId71" cstate="print"/>
                          <a:stretch>
                            <a:fillRect/>
                          </a:stretch>
                        </pic:blipFill>
                        <pic:spPr>
                          <a:xfrm>
                            <a:off x="0" y="0"/>
                            <a:ext cx="5803384" cy="3860186"/>
                          </a:xfrm>
                          <a:prstGeom prst="rect">
                            <a:avLst/>
                          </a:prstGeom>
                        </pic:spPr>
                      </pic:pic>
                    </a:graphicData>
                  </a:graphic>
                </wp:inline>
              </w:drawing>
            </w:r>
          </w:p>
        </w:tc>
      </w:tr>
      <w:tr w14:paraId="4E014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B6D77A3">
            <w:pPr>
              <w:ind w:firstLine="420"/>
              <w:rPr>
                <w:rFonts w:ascii="宋体" w:hAnsi="宋体"/>
              </w:rPr>
            </w:pPr>
            <w:r>
              <w:rPr>
                <w:rFonts w:hint="eastAsia" w:ascii="宋体" w:hAnsi="宋体" w:cs="HiddenHorzOCR"/>
                <w:kern w:val="0"/>
                <w:szCs w:val="21"/>
              </w:rPr>
              <w:t>申</w:t>
            </w:r>
            <w:r>
              <w:rPr>
                <w:rFonts w:hint="eastAsia" w:ascii="宋体" w:hAnsi="宋体" w:cs="宋体"/>
                <w:kern w:val="0"/>
                <w:szCs w:val="21"/>
              </w:rPr>
              <w:t>报</w:t>
            </w:r>
            <w:r>
              <w:rPr>
                <w:rFonts w:hint="eastAsia" w:ascii="宋体" w:hAnsi="宋体" w:cs="MS Gothic"/>
                <w:kern w:val="0"/>
                <w:szCs w:val="21"/>
              </w:rPr>
              <w:t>中央</w:t>
            </w:r>
            <w:r>
              <w:rPr>
                <w:rFonts w:hint="eastAsia" w:ascii="宋体" w:hAnsi="宋体" w:cs="宋体"/>
                <w:kern w:val="0"/>
                <w:szCs w:val="21"/>
              </w:rPr>
              <w:t>苏</w:t>
            </w:r>
            <w:r>
              <w:rPr>
                <w:rFonts w:hint="eastAsia" w:ascii="宋体" w:hAnsi="宋体" w:cs="HiddenHorzOCR"/>
                <w:kern w:val="0"/>
                <w:szCs w:val="21"/>
              </w:rPr>
              <w:t>区</w:t>
            </w:r>
            <w:r>
              <w:rPr>
                <w:rFonts w:hint="eastAsia" w:ascii="宋体" w:hAnsi="宋体" w:cs="宋体"/>
                <w:kern w:val="0"/>
                <w:szCs w:val="21"/>
              </w:rPr>
              <w:t>县</w:t>
            </w:r>
            <w:r>
              <w:rPr>
                <w:rFonts w:hint="eastAsia" w:ascii="宋体" w:hAnsi="宋体" w:cs="HiddenHorzOCR"/>
                <w:kern w:val="0"/>
                <w:szCs w:val="21"/>
              </w:rPr>
              <w:t>先</w:t>
            </w:r>
            <w:r>
              <w:rPr>
                <w:rFonts w:hint="eastAsia" w:ascii="宋体" w:hAnsi="宋体" w:cs="宋体"/>
                <w:kern w:val="0"/>
                <w:szCs w:val="21"/>
              </w:rPr>
              <w:t>进</w:t>
            </w:r>
            <w:r>
              <w:rPr>
                <w:rFonts w:hint="eastAsia" w:ascii="宋体" w:hAnsi="宋体" w:cs="HiddenHorzOCR"/>
                <w:kern w:val="0"/>
                <w:szCs w:val="21"/>
              </w:rPr>
              <w:t>个人：从左到右李君祥、</w:t>
            </w:r>
            <w:r>
              <w:rPr>
                <w:rFonts w:hint="eastAsia" w:ascii="宋体" w:hAnsi="宋体" w:cs="宋体"/>
                <w:kern w:val="0"/>
                <w:szCs w:val="21"/>
              </w:rPr>
              <w:t>陈</w:t>
            </w:r>
            <w:r>
              <w:rPr>
                <w:rFonts w:hint="eastAsia" w:ascii="宋体" w:hAnsi="宋体" w:cs="MS Gothic"/>
                <w:kern w:val="0"/>
                <w:szCs w:val="21"/>
              </w:rPr>
              <w:t>景泰</w:t>
            </w:r>
            <w:r>
              <w:rPr>
                <w:rFonts w:hint="eastAsia" w:ascii="宋体" w:hAnsi="宋体" w:cs="HiddenHorzOCR"/>
                <w:kern w:val="0"/>
                <w:szCs w:val="21"/>
              </w:rPr>
              <w:t>、朱雄、朱定球</w:t>
            </w:r>
          </w:p>
        </w:tc>
      </w:tr>
    </w:tbl>
    <w:p w14:paraId="46586C65">
      <w:pPr>
        <w:pStyle w:val="3"/>
      </w:pPr>
      <w:r>
        <w:t>旅游文化</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842F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9962" w:type="dxa"/>
            <w:tcBorders>
              <w:top w:val="nil"/>
              <w:left w:val="nil"/>
              <w:bottom w:val="nil"/>
              <w:right w:val="nil"/>
            </w:tcBorders>
          </w:tcPr>
          <w:p w14:paraId="69D748D5">
            <w:pPr>
              <w:ind w:firstLine="0" w:firstLineChars="0"/>
              <w:jc w:val="center"/>
              <w:rPr>
                <w:rFonts w:ascii="宋体" w:hAnsi="宋体"/>
              </w:rPr>
            </w:pPr>
            <w:r>
              <w:rPr>
                <w:rFonts w:hint="eastAsia" w:ascii="宋体" w:hAnsi="宋体"/>
              </w:rPr>
              <w:drawing>
                <wp:inline distT="0" distB="0" distL="114300" distR="114300">
                  <wp:extent cx="6182360" cy="3800475"/>
                  <wp:effectExtent l="0" t="0" r="8890" b="9525"/>
                  <wp:docPr id="107" name="图片 107" descr="南雄年鉴 2011_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南雄年鉴 2011_0058"/>
                          <pic:cNvPicPr>
                            <a:picLocks noChangeAspect="1"/>
                          </pic:cNvPicPr>
                        </pic:nvPicPr>
                        <pic:blipFill>
                          <a:blip r:embed="rId72" cstate="print"/>
                          <a:stretch>
                            <a:fillRect/>
                          </a:stretch>
                        </pic:blipFill>
                        <pic:spPr>
                          <a:xfrm>
                            <a:off x="0" y="0"/>
                            <a:ext cx="6182360" cy="3800475"/>
                          </a:xfrm>
                          <a:prstGeom prst="rect">
                            <a:avLst/>
                          </a:prstGeom>
                        </pic:spPr>
                      </pic:pic>
                    </a:graphicData>
                  </a:graphic>
                </wp:inline>
              </w:drawing>
            </w:r>
          </w:p>
        </w:tc>
      </w:tr>
      <w:tr w14:paraId="6B275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644320F">
            <w:pPr>
              <w:ind w:firstLine="420"/>
              <w:rPr>
                <w:rFonts w:ascii="宋体" w:hAnsi="宋体"/>
              </w:rPr>
            </w:pPr>
            <w:r>
              <w:rPr>
                <w:rFonts w:hint="eastAsia" w:ascii="宋体" w:hAnsi="宋体" w:cs="HiddenHorzOCR"/>
                <w:kern w:val="0"/>
                <w:szCs w:val="21"/>
              </w:rPr>
              <w:t>珠</w:t>
            </w:r>
            <w:r>
              <w:rPr>
                <w:rFonts w:ascii="宋体" w:hAnsi="宋体" w:cs="HiddenHorzOCR"/>
                <w:kern w:val="0"/>
                <w:szCs w:val="21"/>
              </w:rPr>
              <w:t>玑</w:t>
            </w:r>
            <w:r>
              <w:rPr>
                <w:rFonts w:hint="eastAsia" w:ascii="宋体" w:hAnsi="宋体" w:cs="HiddenHorzOCR"/>
                <w:kern w:val="0"/>
                <w:szCs w:val="21"/>
              </w:rPr>
              <w:t>古巷</w:t>
            </w:r>
          </w:p>
        </w:tc>
      </w:tr>
    </w:tbl>
    <w:p w14:paraId="633BFB17">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87AF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516399C5">
            <w:pPr>
              <w:ind w:firstLine="0" w:firstLineChars="0"/>
              <w:jc w:val="center"/>
              <w:rPr>
                <w:rFonts w:ascii="宋体" w:hAnsi="宋体"/>
              </w:rPr>
            </w:pPr>
            <w:r>
              <w:rPr>
                <w:rFonts w:hint="eastAsia" w:ascii="宋体" w:hAnsi="宋体"/>
              </w:rPr>
              <w:drawing>
                <wp:inline distT="0" distB="0" distL="114300" distR="114300">
                  <wp:extent cx="6187440" cy="5630545"/>
                  <wp:effectExtent l="0" t="0" r="3810" b="8255"/>
                  <wp:docPr id="108" name="图片 108" descr="南雄年鉴 2011_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南雄年鉴 2011_0059"/>
                          <pic:cNvPicPr>
                            <a:picLocks noChangeAspect="1"/>
                          </pic:cNvPicPr>
                        </pic:nvPicPr>
                        <pic:blipFill>
                          <a:blip r:embed="rId73" cstate="print"/>
                          <a:stretch>
                            <a:fillRect/>
                          </a:stretch>
                        </pic:blipFill>
                        <pic:spPr>
                          <a:xfrm>
                            <a:off x="0" y="0"/>
                            <a:ext cx="6187440" cy="5630545"/>
                          </a:xfrm>
                          <a:prstGeom prst="rect">
                            <a:avLst/>
                          </a:prstGeom>
                        </pic:spPr>
                      </pic:pic>
                    </a:graphicData>
                  </a:graphic>
                </wp:inline>
              </w:drawing>
            </w:r>
          </w:p>
        </w:tc>
      </w:tr>
      <w:tr w14:paraId="7BBEC8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49BD541">
            <w:pPr>
              <w:ind w:firstLine="420"/>
              <w:rPr>
                <w:rFonts w:ascii="宋体" w:hAnsi="宋体"/>
              </w:rPr>
            </w:pPr>
            <w:r>
              <w:rPr>
                <w:rFonts w:hint="eastAsia" w:ascii="宋体" w:hAnsi="宋体" w:cs="HiddenHorzOCR"/>
                <w:kern w:val="0"/>
                <w:szCs w:val="21"/>
              </w:rPr>
              <w:t>珠</w:t>
            </w:r>
            <w:r>
              <w:rPr>
                <w:rFonts w:hint="eastAsia" w:ascii="宋体" w:hAnsi="宋体" w:cs="宋体"/>
                <w:kern w:val="0"/>
                <w:szCs w:val="21"/>
              </w:rPr>
              <w:t>玑</w:t>
            </w:r>
            <w:r>
              <w:rPr>
                <w:rFonts w:hint="eastAsia" w:ascii="宋体" w:hAnsi="宋体" w:cs="MS Gothic"/>
                <w:kern w:val="0"/>
                <w:szCs w:val="21"/>
              </w:rPr>
              <w:t>古巷南</w:t>
            </w:r>
            <w:r>
              <w:rPr>
                <w:rFonts w:hint="eastAsia" w:ascii="宋体" w:hAnsi="宋体" w:cs="宋体"/>
                <w:kern w:val="0"/>
                <w:szCs w:val="21"/>
              </w:rPr>
              <w:t>门</w:t>
            </w:r>
            <w:r>
              <w:rPr>
                <w:rFonts w:hint="eastAsia" w:ascii="宋体" w:hAnsi="宋体" w:cs="MS Gothic"/>
                <w:kern w:val="0"/>
                <w:szCs w:val="21"/>
              </w:rPr>
              <w:t>楼</w:t>
            </w:r>
          </w:p>
        </w:tc>
      </w:tr>
    </w:tbl>
    <w:p w14:paraId="77FDD8DA">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F1DD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179BC332">
            <w:pPr>
              <w:ind w:firstLine="0" w:firstLineChars="0"/>
              <w:jc w:val="center"/>
              <w:rPr>
                <w:rFonts w:ascii="宋体" w:hAnsi="宋体"/>
              </w:rPr>
            </w:pPr>
            <w:r>
              <w:rPr>
                <w:rFonts w:hint="eastAsia" w:ascii="宋体" w:hAnsi="宋体"/>
              </w:rPr>
              <w:drawing>
                <wp:inline distT="0" distB="0" distL="114300" distR="114300">
                  <wp:extent cx="6186170" cy="3617595"/>
                  <wp:effectExtent l="0" t="0" r="5080" b="1905"/>
                  <wp:docPr id="109" name="图片 109" descr="南雄年鉴 2011_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南雄年鉴 2011_0060"/>
                          <pic:cNvPicPr>
                            <a:picLocks noChangeAspect="1"/>
                          </pic:cNvPicPr>
                        </pic:nvPicPr>
                        <pic:blipFill>
                          <a:blip r:embed="rId74" cstate="print"/>
                          <a:stretch>
                            <a:fillRect/>
                          </a:stretch>
                        </pic:blipFill>
                        <pic:spPr>
                          <a:xfrm>
                            <a:off x="0" y="0"/>
                            <a:ext cx="6186170" cy="3617595"/>
                          </a:xfrm>
                          <a:prstGeom prst="rect">
                            <a:avLst/>
                          </a:prstGeom>
                        </pic:spPr>
                      </pic:pic>
                    </a:graphicData>
                  </a:graphic>
                </wp:inline>
              </w:drawing>
            </w:r>
          </w:p>
        </w:tc>
      </w:tr>
      <w:tr w14:paraId="6D07B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A1445C4">
            <w:pPr>
              <w:ind w:firstLine="420"/>
              <w:rPr>
                <w:rFonts w:ascii="宋体" w:hAnsi="宋体"/>
              </w:rPr>
            </w:pPr>
            <w:r>
              <w:rPr>
                <w:rFonts w:hint="eastAsia" w:ascii="宋体" w:hAnsi="宋体" w:cs="HiddenHorzOCR"/>
                <w:kern w:val="0"/>
                <w:szCs w:val="21"/>
              </w:rPr>
              <w:t>南粤雄关</w:t>
            </w:r>
          </w:p>
        </w:tc>
      </w:tr>
    </w:tbl>
    <w:p w14:paraId="692B1B82">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18D4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9962" w:type="dxa"/>
            <w:tcBorders>
              <w:top w:val="nil"/>
              <w:left w:val="nil"/>
              <w:bottom w:val="nil"/>
              <w:right w:val="nil"/>
            </w:tcBorders>
          </w:tcPr>
          <w:p w14:paraId="5A86E204">
            <w:pPr>
              <w:ind w:firstLine="0" w:firstLineChars="0"/>
              <w:jc w:val="center"/>
              <w:rPr>
                <w:rFonts w:ascii="宋体" w:hAnsi="宋体"/>
              </w:rPr>
            </w:pPr>
            <w:r>
              <w:rPr>
                <w:rFonts w:hint="eastAsia" w:ascii="宋体" w:hAnsi="宋体"/>
              </w:rPr>
              <w:drawing>
                <wp:inline distT="0" distB="0" distL="114300" distR="114300">
                  <wp:extent cx="5105400" cy="8271510"/>
                  <wp:effectExtent l="0" t="0" r="0" b="15240"/>
                  <wp:docPr id="110" name="图片 110" descr="南雄年鉴 2011_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南雄年鉴 2011_0061"/>
                          <pic:cNvPicPr>
                            <a:picLocks noChangeAspect="1"/>
                          </pic:cNvPicPr>
                        </pic:nvPicPr>
                        <pic:blipFill>
                          <a:blip r:embed="rId75" cstate="print"/>
                          <a:stretch>
                            <a:fillRect/>
                          </a:stretch>
                        </pic:blipFill>
                        <pic:spPr>
                          <a:xfrm>
                            <a:off x="0" y="0"/>
                            <a:ext cx="5106010" cy="8271784"/>
                          </a:xfrm>
                          <a:prstGeom prst="rect">
                            <a:avLst/>
                          </a:prstGeom>
                        </pic:spPr>
                      </pic:pic>
                    </a:graphicData>
                  </a:graphic>
                </wp:inline>
              </w:drawing>
            </w:r>
          </w:p>
        </w:tc>
      </w:tr>
      <w:tr w14:paraId="51865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358A66E">
            <w:pPr>
              <w:ind w:firstLine="420"/>
              <w:rPr>
                <w:rFonts w:ascii="宋体" w:hAnsi="宋体"/>
              </w:rPr>
            </w:pPr>
            <w:r>
              <w:rPr>
                <w:rFonts w:hint="eastAsia" w:ascii="宋体" w:hAnsi="宋体"/>
                <w:kern w:val="0"/>
                <w:szCs w:val="21"/>
              </w:rPr>
              <w:t>梅岭古</w:t>
            </w:r>
            <w:r>
              <w:rPr>
                <w:rFonts w:hint="eastAsia" w:ascii="宋体" w:hAnsi="宋体" w:cs="宋体"/>
                <w:kern w:val="0"/>
                <w:szCs w:val="21"/>
              </w:rPr>
              <w:t>驿</w:t>
            </w:r>
            <w:r>
              <w:rPr>
                <w:rFonts w:hint="eastAsia" w:ascii="宋体" w:hAnsi="宋体" w:cs="MS Gothic"/>
                <w:kern w:val="0"/>
                <w:szCs w:val="21"/>
              </w:rPr>
              <w:t>道寒梅傲雪开</w:t>
            </w:r>
          </w:p>
        </w:tc>
      </w:tr>
    </w:tbl>
    <w:p w14:paraId="3676C3F0">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21678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1E06EFA1">
            <w:pPr>
              <w:ind w:firstLine="0" w:firstLineChars="0"/>
              <w:jc w:val="center"/>
              <w:rPr>
                <w:rFonts w:ascii="宋体" w:hAnsi="宋体"/>
              </w:rPr>
            </w:pPr>
            <w:r>
              <w:rPr>
                <w:rFonts w:hint="eastAsia" w:ascii="宋体" w:hAnsi="宋体"/>
              </w:rPr>
              <w:drawing>
                <wp:inline distT="0" distB="0" distL="114300" distR="114300">
                  <wp:extent cx="6187440" cy="4560570"/>
                  <wp:effectExtent l="0" t="0" r="3810" b="11430"/>
                  <wp:docPr id="111" name="图片 111" descr="南雄年鉴 2011_0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南雄年鉴 2011_0062"/>
                          <pic:cNvPicPr>
                            <a:picLocks noChangeAspect="1"/>
                          </pic:cNvPicPr>
                        </pic:nvPicPr>
                        <pic:blipFill>
                          <a:blip r:embed="rId76" cstate="print"/>
                          <a:stretch>
                            <a:fillRect/>
                          </a:stretch>
                        </pic:blipFill>
                        <pic:spPr>
                          <a:xfrm>
                            <a:off x="0" y="0"/>
                            <a:ext cx="6187440" cy="4560570"/>
                          </a:xfrm>
                          <a:prstGeom prst="rect">
                            <a:avLst/>
                          </a:prstGeom>
                        </pic:spPr>
                      </pic:pic>
                    </a:graphicData>
                  </a:graphic>
                </wp:inline>
              </w:drawing>
            </w:r>
          </w:p>
        </w:tc>
      </w:tr>
      <w:tr w14:paraId="63E7D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B2E78F9">
            <w:pPr>
              <w:ind w:firstLine="420"/>
              <w:rPr>
                <w:rFonts w:ascii="宋体" w:hAnsi="宋体"/>
              </w:rPr>
            </w:pPr>
            <w:r>
              <w:rPr>
                <w:rFonts w:hint="eastAsia" w:ascii="宋体" w:hAnsi="宋体"/>
                <w:kern w:val="0"/>
                <w:szCs w:val="21"/>
              </w:rPr>
              <w:t>雄</w:t>
            </w:r>
            <w:r>
              <w:rPr>
                <w:rFonts w:hint="eastAsia" w:ascii="宋体" w:hAnsi="宋体" w:cs="宋体"/>
                <w:kern w:val="0"/>
                <w:szCs w:val="21"/>
              </w:rPr>
              <w:t>州</w:t>
            </w:r>
            <w:r>
              <w:rPr>
                <w:rFonts w:hint="eastAsia" w:ascii="宋体" w:hAnsi="宋体" w:cs="MS Gothic"/>
                <w:kern w:val="0"/>
                <w:szCs w:val="21"/>
              </w:rPr>
              <w:t>—江两岸</w:t>
            </w:r>
          </w:p>
        </w:tc>
      </w:tr>
    </w:tbl>
    <w:p w14:paraId="1B11C146">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15F4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9962" w:type="dxa"/>
            <w:tcBorders>
              <w:top w:val="nil"/>
              <w:left w:val="nil"/>
              <w:bottom w:val="nil"/>
              <w:right w:val="nil"/>
            </w:tcBorders>
          </w:tcPr>
          <w:p w14:paraId="330CF0D6">
            <w:pPr>
              <w:ind w:firstLine="0" w:firstLineChars="0"/>
              <w:jc w:val="center"/>
              <w:rPr>
                <w:rFonts w:ascii="宋体" w:hAnsi="宋体"/>
              </w:rPr>
            </w:pPr>
            <w:r>
              <w:rPr>
                <w:rFonts w:hint="eastAsia" w:ascii="宋体" w:hAnsi="宋体"/>
              </w:rPr>
              <w:drawing>
                <wp:inline distT="0" distB="0" distL="114300" distR="114300">
                  <wp:extent cx="6188075" cy="4612005"/>
                  <wp:effectExtent l="0" t="0" r="3175" b="17145"/>
                  <wp:docPr id="112" name="图片 112" descr="南雄年鉴 2011_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南雄年鉴 2011_0063"/>
                          <pic:cNvPicPr>
                            <a:picLocks noChangeAspect="1"/>
                          </pic:cNvPicPr>
                        </pic:nvPicPr>
                        <pic:blipFill>
                          <a:blip r:embed="rId77" cstate="print"/>
                          <a:stretch>
                            <a:fillRect/>
                          </a:stretch>
                        </pic:blipFill>
                        <pic:spPr>
                          <a:xfrm>
                            <a:off x="0" y="0"/>
                            <a:ext cx="6188075" cy="4612005"/>
                          </a:xfrm>
                          <a:prstGeom prst="rect">
                            <a:avLst/>
                          </a:prstGeom>
                        </pic:spPr>
                      </pic:pic>
                    </a:graphicData>
                  </a:graphic>
                </wp:inline>
              </w:drawing>
            </w:r>
          </w:p>
        </w:tc>
      </w:tr>
      <w:tr w14:paraId="3689C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6BB32B3">
            <w:pPr>
              <w:ind w:firstLine="420"/>
              <w:rPr>
                <w:rFonts w:ascii="宋体" w:hAnsi="宋体"/>
              </w:rPr>
            </w:pPr>
            <w:r>
              <w:rPr>
                <w:rFonts w:hint="eastAsia" w:ascii="宋体" w:hAnsi="宋体"/>
                <w:kern w:val="0"/>
                <w:szCs w:val="21"/>
              </w:rPr>
              <w:t>珠</w:t>
            </w:r>
            <w:r>
              <w:rPr>
                <w:rFonts w:hint="eastAsia" w:ascii="宋体" w:hAnsi="宋体" w:cs="宋体"/>
                <w:kern w:val="0"/>
                <w:szCs w:val="21"/>
              </w:rPr>
              <w:t>玑</w:t>
            </w:r>
            <w:r>
              <w:rPr>
                <w:rFonts w:hint="eastAsia" w:ascii="宋体" w:hAnsi="宋体" w:cs="MS Gothic"/>
                <w:kern w:val="0"/>
                <w:szCs w:val="21"/>
              </w:rPr>
              <w:t>沙水湖</w:t>
            </w:r>
          </w:p>
        </w:tc>
      </w:tr>
    </w:tbl>
    <w:p w14:paraId="4E529C5A">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3A07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1776596D">
            <w:pPr>
              <w:ind w:firstLine="0" w:firstLineChars="0"/>
              <w:jc w:val="center"/>
              <w:rPr>
                <w:rFonts w:ascii="宋体" w:hAnsi="宋体"/>
              </w:rPr>
            </w:pPr>
            <w:r>
              <w:rPr>
                <w:rFonts w:hint="eastAsia" w:ascii="宋体" w:hAnsi="宋体"/>
              </w:rPr>
              <w:drawing>
                <wp:inline distT="0" distB="0" distL="114300" distR="114300">
                  <wp:extent cx="6184265" cy="2863215"/>
                  <wp:effectExtent l="0" t="0" r="6985" b="13335"/>
                  <wp:docPr id="113" name="图片 113" descr="南雄年鉴 2011_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南雄年鉴 2011_0064"/>
                          <pic:cNvPicPr>
                            <a:picLocks noChangeAspect="1"/>
                          </pic:cNvPicPr>
                        </pic:nvPicPr>
                        <pic:blipFill>
                          <a:blip r:embed="rId78" cstate="print"/>
                          <a:stretch>
                            <a:fillRect/>
                          </a:stretch>
                        </pic:blipFill>
                        <pic:spPr>
                          <a:xfrm>
                            <a:off x="0" y="0"/>
                            <a:ext cx="6184265" cy="2863215"/>
                          </a:xfrm>
                          <a:prstGeom prst="rect">
                            <a:avLst/>
                          </a:prstGeom>
                        </pic:spPr>
                      </pic:pic>
                    </a:graphicData>
                  </a:graphic>
                </wp:inline>
              </w:drawing>
            </w:r>
          </w:p>
        </w:tc>
      </w:tr>
      <w:tr w14:paraId="0BE33D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E7E4ABA">
            <w:pPr>
              <w:ind w:firstLine="420"/>
              <w:rPr>
                <w:rFonts w:ascii="宋体" w:hAnsi="宋体"/>
              </w:rPr>
            </w:pPr>
            <w:r>
              <w:rPr>
                <w:rFonts w:hint="eastAsia" w:ascii="宋体" w:hAnsi="宋体"/>
                <w:kern w:val="0"/>
                <w:szCs w:val="21"/>
              </w:rPr>
              <w:t>帽子峰秋色</w:t>
            </w:r>
          </w:p>
        </w:tc>
      </w:tr>
    </w:tbl>
    <w:p w14:paraId="3719C284">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2FBC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16582294">
            <w:pPr>
              <w:ind w:firstLine="0" w:firstLineChars="0"/>
              <w:jc w:val="center"/>
              <w:rPr>
                <w:rFonts w:ascii="宋体" w:hAnsi="宋体"/>
              </w:rPr>
            </w:pPr>
            <w:r>
              <w:rPr>
                <w:rFonts w:hint="eastAsia" w:ascii="宋体" w:hAnsi="宋体"/>
              </w:rPr>
              <w:drawing>
                <wp:inline distT="0" distB="0" distL="114300" distR="114300">
                  <wp:extent cx="5229860" cy="8492490"/>
                  <wp:effectExtent l="0" t="0" r="8890" b="3810"/>
                  <wp:docPr id="114" name="图片 114" descr="南雄年鉴 2011_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南雄年鉴 2011_0065"/>
                          <pic:cNvPicPr>
                            <a:picLocks noChangeAspect="1"/>
                          </pic:cNvPicPr>
                        </pic:nvPicPr>
                        <pic:blipFill>
                          <a:blip r:embed="rId79" cstate="print"/>
                          <a:stretch>
                            <a:fillRect/>
                          </a:stretch>
                        </pic:blipFill>
                        <pic:spPr>
                          <a:xfrm>
                            <a:off x="0" y="0"/>
                            <a:ext cx="5233146" cy="8497162"/>
                          </a:xfrm>
                          <a:prstGeom prst="rect">
                            <a:avLst/>
                          </a:prstGeom>
                        </pic:spPr>
                      </pic:pic>
                    </a:graphicData>
                  </a:graphic>
                </wp:inline>
              </w:drawing>
            </w:r>
          </w:p>
        </w:tc>
      </w:tr>
      <w:tr w14:paraId="189843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6942AF4">
            <w:pPr>
              <w:ind w:firstLine="420"/>
              <w:rPr>
                <w:rFonts w:ascii="宋体" w:hAnsi="宋体"/>
              </w:rPr>
            </w:pPr>
            <w:r>
              <w:rPr>
                <w:rFonts w:hint="eastAsia" w:ascii="宋体" w:hAnsi="宋体"/>
                <w:kern w:val="0"/>
                <w:szCs w:val="21"/>
              </w:rPr>
              <w:t>黄烟之</w:t>
            </w:r>
            <w:r>
              <w:rPr>
                <w:rFonts w:hint="eastAsia" w:ascii="宋体" w:hAnsi="宋体" w:cs="宋体"/>
                <w:kern w:val="0"/>
                <w:szCs w:val="21"/>
              </w:rPr>
              <w:t>乡</w:t>
            </w:r>
            <w:r>
              <w:rPr>
                <w:rFonts w:hint="eastAsia" w:ascii="宋体" w:hAnsi="宋体" w:cs="MS Gothic"/>
                <w:kern w:val="0"/>
                <w:szCs w:val="21"/>
              </w:rPr>
              <w:t>南雄</w:t>
            </w:r>
          </w:p>
        </w:tc>
      </w:tr>
    </w:tbl>
    <w:p w14:paraId="6490B9AC">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FB8D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9962" w:type="dxa"/>
            <w:tcBorders>
              <w:top w:val="nil"/>
              <w:left w:val="nil"/>
              <w:bottom w:val="nil"/>
              <w:right w:val="nil"/>
            </w:tcBorders>
          </w:tcPr>
          <w:p w14:paraId="0278366F">
            <w:pPr>
              <w:ind w:firstLine="0" w:firstLineChars="0"/>
              <w:jc w:val="center"/>
              <w:rPr>
                <w:rFonts w:ascii="宋体" w:hAnsi="宋体"/>
              </w:rPr>
            </w:pPr>
            <w:r>
              <w:rPr>
                <w:rFonts w:hint="eastAsia" w:ascii="宋体" w:hAnsi="宋体"/>
              </w:rPr>
              <w:drawing>
                <wp:inline distT="0" distB="0" distL="114300" distR="114300">
                  <wp:extent cx="6187440" cy="4629150"/>
                  <wp:effectExtent l="0" t="0" r="3810" b="0"/>
                  <wp:docPr id="115" name="图片 115" descr="南雄年鉴 2011_0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南雄年鉴 2011_0066"/>
                          <pic:cNvPicPr>
                            <a:picLocks noChangeAspect="1"/>
                          </pic:cNvPicPr>
                        </pic:nvPicPr>
                        <pic:blipFill>
                          <a:blip r:embed="rId80" cstate="print"/>
                          <a:stretch>
                            <a:fillRect/>
                          </a:stretch>
                        </pic:blipFill>
                        <pic:spPr>
                          <a:xfrm>
                            <a:off x="0" y="0"/>
                            <a:ext cx="6187440" cy="4629150"/>
                          </a:xfrm>
                          <a:prstGeom prst="rect">
                            <a:avLst/>
                          </a:prstGeom>
                        </pic:spPr>
                      </pic:pic>
                    </a:graphicData>
                  </a:graphic>
                </wp:inline>
              </w:drawing>
            </w:r>
          </w:p>
        </w:tc>
      </w:tr>
      <w:tr w14:paraId="72C227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6C6035C">
            <w:pPr>
              <w:ind w:firstLine="420"/>
              <w:rPr>
                <w:rFonts w:ascii="宋体" w:hAnsi="宋体"/>
              </w:rPr>
            </w:pPr>
            <w:r>
              <w:rPr>
                <w:rFonts w:hint="eastAsia" w:ascii="宋体" w:hAnsi="宋体"/>
                <w:kern w:val="0"/>
                <w:szCs w:val="21"/>
              </w:rPr>
              <w:t>金叶</w:t>
            </w:r>
            <w:r>
              <w:rPr>
                <w:rFonts w:hint="eastAsia" w:ascii="宋体" w:hAnsi="宋体" w:cs="宋体"/>
                <w:kern w:val="0"/>
                <w:szCs w:val="21"/>
              </w:rPr>
              <w:t>飘</w:t>
            </w:r>
            <w:r>
              <w:rPr>
                <w:rFonts w:hint="eastAsia" w:ascii="宋体" w:hAnsi="宋体" w:cs="MS Gothic"/>
                <w:kern w:val="0"/>
                <w:szCs w:val="21"/>
              </w:rPr>
              <w:t>香</w:t>
            </w:r>
          </w:p>
        </w:tc>
      </w:tr>
    </w:tbl>
    <w:p w14:paraId="1B8555D5">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9362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4C3A64DE">
            <w:pPr>
              <w:ind w:firstLine="0" w:firstLineChars="0"/>
              <w:jc w:val="center"/>
              <w:rPr>
                <w:rFonts w:ascii="宋体" w:hAnsi="宋体"/>
              </w:rPr>
            </w:pPr>
            <w:r>
              <w:rPr>
                <w:rFonts w:hint="eastAsia" w:ascii="宋体" w:hAnsi="宋体"/>
              </w:rPr>
              <w:drawing>
                <wp:inline distT="0" distB="0" distL="114300" distR="114300">
                  <wp:extent cx="6186170" cy="4371975"/>
                  <wp:effectExtent l="0" t="0" r="5080" b="9525"/>
                  <wp:docPr id="116" name="图片 116" descr="南雄年鉴 2011_0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南雄年鉴 2011_0067"/>
                          <pic:cNvPicPr>
                            <a:picLocks noChangeAspect="1"/>
                          </pic:cNvPicPr>
                        </pic:nvPicPr>
                        <pic:blipFill>
                          <a:blip r:embed="rId81" cstate="print"/>
                          <a:stretch>
                            <a:fillRect/>
                          </a:stretch>
                        </pic:blipFill>
                        <pic:spPr>
                          <a:xfrm>
                            <a:off x="0" y="0"/>
                            <a:ext cx="6186170" cy="4371975"/>
                          </a:xfrm>
                          <a:prstGeom prst="rect">
                            <a:avLst/>
                          </a:prstGeom>
                        </pic:spPr>
                      </pic:pic>
                    </a:graphicData>
                  </a:graphic>
                </wp:inline>
              </w:drawing>
            </w:r>
          </w:p>
        </w:tc>
      </w:tr>
      <w:tr w14:paraId="5D33C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BF2084A">
            <w:pPr>
              <w:ind w:firstLine="420"/>
              <w:rPr>
                <w:rFonts w:ascii="宋体" w:hAnsi="宋体"/>
              </w:rPr>
            </w:pPr>
            <w:r>
              <w:rPr>
                <w:rFonts w:hint="eastAsia" w:ascii="宋体" w:hAnsi="宋体"/>
                <w:kern w:val="0"/>
                <w:szCs w:val="21"/>
              </w:rPr>
              <w:t>烟</w:t>
            </w:r>
            <w:r>
              <w:rPr>
                <w:rFonts w:hint="eastAsia" w:ascii="宋体" w:hAnsi="宋体" w:cs="宋体"/>
                <w:kern w:val="0"/>
                <w:szCs w:val="21"/>
              </w:rPr>
              <w:t>农</w:t>
            </w:r>
            <w:r>
              <w:rPr>
                <w:rFonts w:hint="eastAsia" w:ascii="宋体" w:hAnsi="宋体"/>
                <w:kern w:val="0"/>
                <w:szCs w:val="21"/>
              </w:rPr>
              <w:t>喜售黄烟（照片</w:t>
            </w:r>
            <w:r>
              <w:rPr>
                <w:rFonts w:hint="eastAsia" w:ascii="宋体" w:hAnsi="宋体" w:cs="宋体"/>
                <w:kern w:val="0"/>
                <w:szCs w:val="21"/>
              </w:rPr>
              <w:t>选</w:t>
            </w:r>
            <w:r>
              <w:rPr>
                <w:rFonts w:hint="eastAsia" w:ascii="宋体" w:hAnsi="宋体" w:cs="MS Gothic"/>
                <w:kern w:val="0"/>
                <w:szCs w:val="21"/>
              </w:rPr>
              <w:t>自南雄政府网</w:t>
            </w:r>
            <w:r>
              <w:rPr>
                <w:rFonts w:hint="eastAsia" w:ascii="宋体" w:hAnsi="宋体"/>
                <w:kern w:val="0"/>
                <w:szCs w:val="21"/>
              </w:rPr>
              <w:t>）</w:t>
            </w:r>
          </w:p>
        </w:tc>
      </w:tr>
    </w:tbl>
    <w:p w14:paraId="4D168109">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BB848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13B46758">
            <w:pPr>
              <w:ind w:firstLine="0" w:firstLineChars="0"/>
              <w:jc w:val="center"/>
              <w:rPr>
                <w:rFonts w:ascii="宋体" w:hAnsi="宋体"/>
              </w:rPr>
            </w:pPr>
            <w:r>
              <w:rPr>
                <w:rFonts w:hint="eastAsia" w:ascii="宋体" w:hAnsi="宋体"/>
              </w:rPr>
              <w:drawing>
                <wp:inline distT="0" distB="0" distL="114300" distR="114300">
                  <wp:extent cx="6182360" cy="4103370"/>
                  <wp:effectExtent l="0" t="0" r="8890" b="11430"/>
                  <wp:docPr id="117" name="图片 117" descr="南雄年鉴 2011_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南雄年鉴 2011_0068"/>
                          <pic:cNvPicPr>
                            <a:picLocks noChangeAspect="1"/>
                          </pic:cNvPicPr>
                        </pic:nvPicPr>
                        <pic:blipFill>
                          <a:blip r:embed="rId82" cstate="print"/>
                          <a:stretch>
                            <a:fillRect/>
                          </a:stretch>
                        </pic:blipFill>
                        <pic:spPr>
                          <a:xfrm>
                            <a:off x="0" y="0"/>
                            <a:ext cx="6182360" cy="4103370"/>
                          </a:xfrm>
                          <a:prstGeom prst="rect">
                            <a:avLst/>
                          </a:prstGeom>
                        </pic:spPr>
                      </pic:pic>
                    </a:graphicData>
                  </a:graphic>
                </wp:inline>
              </w:drawing>
            </w:r>
          </w:p>
        </w:tc>
      </w:tr>
      <w:tr w14:paraId="6CBAA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F3B9AE0">
            <w:pPr>
              <w:ind w:firstLine="420"/>
              <w:rPr>
                <w:rFonts w:ascii="宋体" w:hAnsi="宋体"/>
              </w:rPr>
            </w:pPr>
            <w:r>
              <w:rPr>
                <w:rFonts w:hint="eastAsia" w:ascii="宋体" w:hAnsi="宋体"/>
                <w:kern w:val="0"/>
                <w:szCs w:val="21"/>
              </w:rPr>
              <w:t>南雄黄烟大棚育苗基地</w:t>
            </w:r>
          </w:p>
        </w:tc>
      </w:tr>
    </w:tbl>
    <w:p w14:paraId="1BA51CFE">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15CF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1298B733">
            <w:pPr>
              <w:ind w:firstLine="0" w:firstLineChars="0"/>
              <w:jc w:val="center"/>
              <w:rPr>
                <w:rFonts w:ascii="宋体" w:hAnsi="宋体"/>
              </w:rPr>
            </w:pPr>
            <w:r>
              <w:rPr>
                <w:rFonts w:hint="eastAsia" w:ascii="宋体" w:hAnsi="宋体"/>
              </w:rPr>
              <w:drawing>
                <wp:inline distT="0" distB="0" distL="114300" distR="114300">
                  <wp:extent cx="6182995" cy="4206240"/>
                  <wp:effectExtent l="0" t="0" r="8255" b="3810"/>
                  <wp:docPr id="118" name="图片 118" descr="南雄年鉴 2011_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南雄年鉴 2011_0069"/>
                          <pic:cNvPicPr>
                            <a:picLocks noChangeAspect="1"/>
                          </pic:cNvPicPr>
                        </pic:nvPicPr>
                        <pic:blipFill>
                          <a:blip r:embed="rId83" cstate="print"/>
                          <a:stretch>
                            <a:fillRect/>
                          </a:stretch>
                        </pic:blipFill>
                        <pic:spPr>
                          <a:xfrm>
                            <a:off x="0" y="0"/>
                            <a:ext cx="6182995" cy="4206240"/>
                          </a:xfrm>
                          <a:prstGeom prst="rect">
                            <a:avLst/>
                          </a:prstGeom>
                        </pic:spPr>
                      </pic:pic>
                    </a:graphicData>
                  </a:graphic>
                </wp:inline>
              </w:drawing>
            </w:r>
          </w:p>
        </w:tc>
      </w:tr>
      <w:tr w14:paraId="2ADDB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7AF1017">
            <w:pPr>
              <w:ind w:firstLine="420"/>
              <w:rPr>
                <w:rFonts w:ascii="宋体" w:hAnsi="宋体"/>
              </w:rPr>
            </w:pPr>
            <w:r>
              <w:rPr>
                <w:rFonts w:ascii="宋体" w:hAnsi="宋体" w:cs="宋体"/>
                <w:szCs w:val="21"/>
              </w:rPr>
              <w:t>舞狮</w:t>
            </w:r>
          </w:p>
        </w:tc>
      </w:tr>
    </w:tbl>
    <w:p w14:paraId="715CA078">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FA99D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56C702E4">
            <w:pPr>
              <w:ind w:firstLine="0" w:firstLineChars="0"/>
              <w:jc w:val="center"/>
              <w:rPr>
                <w:rFonts w:ascii="宋体" w:hAnsi="宋体"/>
              </w:rPr>
            </w:pPr>
            <w:r>
              <w:rPr>
                <w:rFonts w:hint="eastAsia" w:ascii="宋体" w:hAnsi="宋体"/>
              </w:rPr>
              <w:drawing>
                <wp:inline distT="0" distB="0" distL="114300" distR="114300">
                  <wp:extent cx="6185535" cy="4280535"/>
                  <wp:effectExtent l="0" t="0" r="5715" b="5715"/>
                  <wp:docPr id="119" name="图片 119" descr="南雄年鉴 2011_0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南雄年鉴 2011_0070"/>
                          <pic:cNvPicPr>
                            <a:picLocks noChangeAspect="1"/>
                          </pic:cNvPicPr>
                        </pic:nvPicPr>
                        <pic:blipFill>
                          <a:blip r:embed="rId84" cstate="print"/>
                          <a:stretch>
                            <a:fillRect/>
                          </a:stretch>
                        </pic:blipFill>
                        <pic:spPr>
                          <a:xfrm>
                            <a:off x="0" y="0"/>
                            <a:ext cx="6185535" cy="4280535"/>
                          </a:xfrm>
                          <a:prstGeom prst="rect">
                            <a:avLst/>
                          </a:prstGeom>
                        </pic:spPr>
                      </pic:pic>
                    </a:graphicData>
                  </a:graphic>
                </wp:inline>
              </w:drawing>
            </w:r>
          </w:p>
        </w:tc>
      </w:tr>
      <w:tr w14:paraId="2B1B4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A741543">
            <w:pPr>
              <w:ind w:firstLine="420"/>
              <w:rPr>
                <w:rFonts w:ascii="宋体" w:hAnsi="宋体"/>
              </w:rPr>
            </w:pPr>
            <w:r>
              <w:rPr>
                <w:rFonts w:hint="eastAsia" w:ascii="宋体" w:hAnsi="宋体"/>
                <w:kern w:val="0"/>
                <w:szCs w:val="21"/>
              </w:rPr>
              <w:t>采茶</w:t>
            </w:r>
            <w:r>
              <w:rPr>
                <w:rFonts w:hint="eastAsia" w:ascii="宋体" w:hAnsi="宋体" w:cs="宋体"/>
                <w:kern w:val="0"/>
                <w:szCs w:val="21"/>
              </w:rPr>
              <w:t>戏龙</w:t>
            </w:r>
            <w:r>
              <w:rPr>
                <w:rFonts w:hint="eastAsia" w:ascii="宋体" w:hAnsi="宋体" w:cs="MS Gothic"/>
                <w:kern w:val="0"/>
                <w:szCs w:val="21"/>
              </w:rPr>
              <w:t>船歌</w:t>
            </w:r>
          </w:p>
        </w:tc>
      </w:tr>
    </w:tbl>
    <w:p w14:paraId="5C34F836">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0233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463AFC14">
            <w:pPr>
              <w:ind w:firstLine="0" w:firstLineChars="0"/>
              <w:jc w:val="center"/>
              <w:rPr>
                <w:rFonts w:ascii="宋体" w:hAnsi="宋体"/>
              </w:rPr>
            </w:pPr>
            <w:r>
              <w:rPr>
                <w:rFonts w:hint="eastAsia" w:ascii="宋体" w:hAnsi="宋体"/>
              </w:rPr>
              <w:drawing>
                <wp:inline distT="0" distB="0" distL="114300" distR="114300">
                  <wp:extent cx="6180455" cy="4257675"/>
                  <wp:effectExtent l="0" t="0" r="10795" b="9525"/>
                  <wp:docPr id="120" name="图片 120" descr="南雄年鉴 2011_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南雄年鉴 2011_0071"/>
                          <pic:cNvPicPr>
                            <a:picLocks noChangeAspect="1"/>
                          </pic:cNvPicPr>
                        </pic:nvPicPr>
                        <pic:blipFill>
                          <a:blip r:embed="rId85" cstate="print"/>
                          <a:stretch>
                            <a:fillRect/>
                          </a:stretch>
                        </pic:blipFill>
                        <pic:spPr>
                          <a:xfrm>
                            <a:off x="0" y="0"/>
                            <a:ext cx="6180455" cy="4257675"/>
                          </a:xfrm>
                          <a:prstGeom prst="rect">
                            <a:avLst/>
                          </a:prstGeom>
                        </pic:spPr>
                      </pic:pic>
                    </a:graphicData>
                  </a:graphic>
                </wp:inline>
              </w:drawing>
            </w:r>
          </w:p>
        </w:tc>
      </w:tr>
      <w:tr w14:paraId="155DB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8AD10B2">
            <w:pPr>
              <w:ind w:firstLine="420"/>
              <w:rPr>
                <w:rFonts w:ascii="宋体" w:hAnsi="宋体"/>
              </w:rPr>
            </w:pPr>
            <w:r>
              <w:rPr>
                <w:rFonts w:hint="eastAsia" w:ascii="宋体" w:hAnsi="宋体"/>
                <w:kern w:val="0"/>
                <w:szCs w:val="21"/>
              </w:rPr>
              <w:t>第二届</w:t>
            </w:r>
            <w:r>
              <w:rPr>
                <w:rFonts w:hint="eastAsia" w:ascii="宋体" w:hAnsi="宋体" w:cs="宋体"/>
                <w:kern w:val="0"/>
                <w:szCs w:val="21"/>
              </w:rPr>
              <w:t>红</w:t>
            </w:r>
            <w:r>
              <w:rPr>
                <w:rFonts w:hint="eastAsia" w:ascii="宋体" w:hAnsi="宋体" w:cs="MS Gothic"/>
                <w:kern w:val="0"/>
                <w:szCs w:val="21"/>
              </w:rPr>
              <w:t>歌会</w:t>
            </w:r>
            <w:r>
              <w:rPr>
                <w:rFonts w:hint="eastAsia" w:ascii="宋体" w:hAnsi="宋体" w:cs="宋体"/>
                <w:kern w:val="0"/>
                <w:szCs w:val="21"/>
              </w:rPr>
              <w:t>现场</w:t>
            </w:r>
          </w:p>
        </w:tc>
      </w:tr>
    </w:tbl>
    <w:p w14:paraId="7F693F17">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E623A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5F147DE6">
            <w:pPr>
              <w:ind w:firstLine="0" w:firstLineChars="0"/>
              <w:jc w:val="center"/>
              <w:rPr>
                <w:rFonts w:ascii="宋体" w:hAnsi="宋体"/>
              </w:rPr>
            </w:pPr>
            <w:r>
              <w:rPr>
                <w:rFonts w:hint="eastAsia" w:ascii="宋体" w:hAnsi="宋体"/>
              </w:rPr>
              <w:drawing>
                <wp:inline distT="0" distB="0" distL="114300" distR="114300">
                  <wp:extent cx="6184265" cy="4240530"/>
                  <wp:effectExtent l="0" t="0" r="6985" b="7620"/>
                  <wp:docPr id="121" name="图片 121" descr="南雄年鉴 2011_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南雄年鉴 2011_0072"/>
                          <pic:cNvPicPr>
                            <a:picLocks noChangeAspect="1"/>
                          </pic:cNvPicPr>
                        </pic:nvPicPr>
                        <pic:blipFill>
                          <a:blip r:embed="rId86" cstate="print"/>
                          <a:stretch>
                            <a:fillRect/>
                          </a:stretch>
                        </pic:blipFill>
                        <pic:spPr>
                          <a:xfrm>
                            <a:off x="0" y="0"/>
                            <a:ext cx="6184265" cy="4240530"/>
                          </a:xfrm>
                          <a:prstGeom prst="rect">
                            <a:avLst/>
                          </a:prstGeom>
                        </pic:spPr>
                      </pic:pic>
                    </a:graphicData>
                  </a:graphic>
                </wp:inline>
              </w:drawing>
            </w:r>
          </w:p>
        </w:tc>
      </w:tr>
      <w:tr w14:paraId="22F3B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0AAD905">
            <w:pPr>
              <w:ind w:firstLine="420"/>
              <w:rPr>
                <w:rFonts w:ascii="宋体" w:hAnsi="宋体"/>
              </w:rPr>
            </w:pPr>
            <w:r>
              <w:rPr>
                <w:rFonts w:hint="eastAsia" w:ascii="宋体" w:hAnsi="宋体"/>
                <w:kern w:val="0"/>
                <w:szCs w:val="21"/>
              </w:rPr>
              <w:t>“珠</w:t>
            </w:r>
            <w:r>
              <w:rPr>
                <w:rFonts w:hint="eastAsia" w:ascii="宋体" w:hAnsi="宋体" w:cs="宋体"/>
                <w:kern w:val="0"/>
                <w:szCs w:val="21"/>
              </w:rPr>
              <w:t>玑飘</w:t>
            </w:r>
            <w:r>
              <w:rPr>
                <w:rFonts w:hint="eastAsia" w:ascii="宋体" w:hAnsi="宋体" w:cs="MS Gothic"/>
                <w:kern w:val="0"/>
                <w:szCs w:val="21"/>
              </w:rPr>
              <w:t>色</w:t>
            </w:r>
            <w:r>
              <w:rPr>
                <w:rFonts w:hint="eastAsia" w:ascii="宋体" w:hAnsi="宋体"/>
                <w:kern w:val="0"/>
                <w:szCs w:val="21"/>
              </w:rPr>
              <w:t>”民</w:t>
            </w:r>
            <w:r>
              <w:rPr>
                <w:rFonts w:hint="eastAsia" w:ascii="宋体" w:hAnsi="宋体" w:cs="宋体"/>
                <w:kern w:val="0"/>
                <w:szCs w:val="21"/>
              </w:rPr>
              <w:t>间</w:t>
            </w:r>
            <w:r>
              <w:rPr>
                <w:rFonts w:hint="eastAsia" w:ascii="宋体" w:hAnsi="宋体" w:cs="MS Gothic"/>
                <w:kern w:val="0"/>
                <w:szCs w:val="21"/>
              </w:rPr>
              <w:t>活</w:t>
            </w:r>
            <w:r>
              <w:rPr>
                <w:rFonts w:hint="eastAsia" w:ascii="宋体" w:hAnsi="宋体" w:cs="宋体"/>
                <w:kern w:val="0"/>
                <w:szCs w:val="21"/>
              </w:rPr>
              <w:t>动</w:t>
            </w:r>
          </w:p>
        </w:tc>
      </w:tr>
    </w:tbl>
    <w:p w14:paraId="5EE43330">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895C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1DCEB21F">
            <w:pPr>
              <w:ind w:firstLine="0" w:firstLineChars="0"/>
              <w:jc w:val="center"/>
              <w:rPr>
                <w:rFonts w:ascii="宋体" w:hAnsi="宋体"/>
              </w:rPr>
            </w:pPr>
            <w:r>
              <w:rPr>
                <w:rFonts w:hint="eastAsia" w:ascii="宋体" w:hAnsi="宋体"/>
              </w:rPr>
              <w:drawing>
                <wp:inline distT="0" distB="0" distL="114300" distR="114300">
                  <wp:extent cx="6184265" cy="4497705"/>
                  <wp:effectExtent l="0" t="0" r="6985" b="17145"/>
                  <wp:docPr id="122" name="图片 122" descr="南雄年鉴 2011_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南雄年鉴 2011_0073"/>
                          <pic:cNvPicPr>
                            <a:picLocks noChangeAspect="1"/>
                          </pic:cNvPicPr>
                        </pic:nvPicPr>
                        <pic:blipFill>
                          <a:blip r:embed="rId87" cstate="print"/>
                          <a:stretch>
                            <a:fillRect/>
                          </a:stretch>
                        </pic:blipFill>
                        <pic:spPr>
                          <a:xfrm>
                            <a:off x="0" y="0"/>
                            <a:ext cx="6184265" cy="4497705"/>
                          </a:xfrm>
                          <a:prstGeom prst="rect">
                            <a:avLst/>
                          </a:prstGeom>
                        </pic:spPr>
                      </pic:pic>
                    </a:graphicData>
                  </a:graphic>
                </wp:inline>
              </w:drawing>
            </w:r>
          </w:p>
        </w:tc>
      </w:tr>
      <w:tr w14:paraId="74DFC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B7F0F44">
            <w:pPr>
              <w:ind w:firstLine="420"/>
              <w:rPr>
                <w:rFonts w:ascii="宋体" w:hAnsi="宋体"/>
              </w:rPr>
            </w:pPr>
            <w:r>
              <w:rPr>
                <w:rFonts w:hint="eastAsia" w:ascii="宋体" w:hAnsi="宋体"/>
                <w:kern w:val="0"/>
                <w:szCs w:val="21"/>
              </w:rPr>
              <w:t>舞香火</w:t>
            </w:r>
            <w:r>
              <w:rPr>
                <w:rFonts w:hint="eastAsia" w:ascii="宋体" w:hAnsi="宋体" w:cs="宋体"/>
                <w:kern w:val="0"/>
                <w:szCs w:val="21"/>
              </w:rPr>
              <w:t>龙</w:t>
            </w:r>
          </w:p>
        </w:tc>
      </w:tr>
    </w:tbl>
    <w:p w14:paraId="3247A3A9">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96B1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9962" w:type="dxa"/>
            <w:tcBorders>
              <w:top w:val="nil"/>
              <w:left w:val="nil"/>
              <w:bottom w:val="nil"/>
              <w:right w:val="nil"/>
            </w:tcBorders>
          </w:tcPr>
          <w:p w14:paraId="67966765">
            <w:pPr>
              <w:ind w:firstLine="0" w:firstLineChars="0"/>
              <w:jc w:val="center"/>
              <w:rPr>
                <w:rFonts w:ascii="宋体" w:hAnsi="宋体"/>
              </w:rPr>
            </w:pPr>
            <w:r>
              <w:rPr>
                <w:rFonts w:hint="eastAsia" w:ascii="宋体" w:hAnsi="宋体"/>
              </w:rPr>
              <w:drawing>
                <wp:inline distT="0" distB="0" distL="114300" distR="114300">
                  <wp:extent cx="6185535" cy="4280535"/>
                  <wp:effectExtent l="0" t="0" r="5715" b="5715"/>
                  <wp:docPr id="134" name="图片 134" descr="南雄年鉴 2011_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南雄年鉴 2011_0074"/>
                          <pic:cNvPicPr>
                            <a:picLocks noChangeAspect="1"/>
                          </pic:cNvPicPr>
                        </pic:nvPicPr>
                        <pic:blipFill>
                          <a:blip r:embed="rId88" cstate="print"/>
                          <a:stretch>
                            <a:fillRect/>
                          </a:stretch>
                        </pic:blipFill>
                        <pic:spPr>
                          <a:xfrm>
                            <a:off x="0" y="0"/>
                            <a:ext cx="6185535" cy="4280535"/>
                          </a:xfrm>
                          <a:prstGeom prst="rect">
                            <a:avLst/>
                          </a:prstGeom>
                        </pic:spPr>
                      </pic:pic>
                    </a:graphicData>
                  </a:graphic>
                </wp:inline>
              </w:drawing>
            </w:r>
          </w:p>
        </w:tc>
      </w:tr>
      <w:tr w14:paraId="71E8C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D141D7D">
            <w:pPr>
              <w:ind w:firstLine="420"/>
              <w:rPr>
                <w:rFonts w:ascii="宋体" w:hAnsi="宋体"/>
              </w:rPr>
            </w:pPr>
            <w:r>
              <w:rPr>
                <w:rFonts w:hint="eastAsia" w:ascii="宋体" w:hAnsi="宋体" w:cs="HiddenHorzOCR"/>
                <w:kern w:val="0"/>
                <w:szCs w:val="21"/>
              </w:rPr>
              <w:t>山城晨运</w:t>
            </w:r>
          </w:p>
        </w:tc>
      </w:tr>
    </w:tbl>
    <w:p w14:paraId="6541A0C8">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895E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0CDB361E">
            <w:pPr>
              <w:ind w:firstLine="0" w:firstLineChars="0"/>
              <w:jc w:val="center"/>
              <w:rPr>
                <w:rFonts w:ascii="宋体" w:hAnsi="宋体"/>
              </w:rPr>
            </w:pPr>
            <w:r>
              <w:rPr>
                <w:rFonts w:hint="eastAsia" w:ascii="宋体" w:hAnsi="宋体"/>
              </w:rPr>
              <w:drawing>
                <wp:inline distT="0" distB="0" distL="114300" distR="114300">
                  <wp:extent cx="6181725" cy="4171950"/>
                  <wp:effectExtent l="0" t="0" r="9525" b="0"/>
                  <wp:docPr id="133" name="图片 133" descr="南雄年鉴 2011_0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南雄年鉴 2011_0075"/>
                          <pic:cNvPicPr>
                            <a:picLocks noChangeAspect="1"/>
                          </pic:cNvPicPr>
                        </pic:nvPicPr>
                        <pic:blipFill>
                          <a:blip r:embed="rId89" cstate="print"/>
                          <a:stretch>
                            <a:fillRect/>
                          </a:stretch>
                        </pic:blipFill>
                        <pic:spPr>
                          <a:xfrm>
                            <a:off x="0" y="0"/>
                            <a:ext cx="6181725" cy="4171950"/>
                          </a:xfrm>
                          <a:prstGeom prst="rect">
                            <a:avLst/>
                          </a:prstGeom>
                        </pic:spPr>
                      </pic:pic>
                    </a:graphicData>
                  </a:graphic>
                </wp:inline>
              </w:drawing>
            </w:r>
          </w:p>
        </w:tc>
      </w:tr>
      <w:tr w14:paraId="3A65BF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D909044">
            <w:pPr>
              <w:ind w:firstLine="420"/>
              <w:rPr>
                <w:rFonts w:ascii="宋体" w:hAnsi="宋体"/>
              </w:rPr>
            </w:pPr>
            <w:r>
              <w:rPr>
                <w:rFonts w:hint="eastAsia" w:ascii="宋体" w:hAnsi="宋体" w:cs="HiddenHorzOCR"/>
                <w:kern w:val="0"/>
                <w:szCs w:val="21"/>
              </w:rPr>
              <w:t>百</w:t>
            </w:r>
            <w:r>
              <w:rPr>
                <w:rFonts w:hint="eastAsia" w:ascii="宋体" w:hAnsi="宋体" w:cs="宋体"/>
                <w:kern w:val="0"/>
                <w:szCs w:val="21"/>
              </w:rPr>
              <w:t>顺罗汉</w:t>
            </w:r>
            <w:r>
              <w:rPr>
                <w:rFonts w:hint="eastAsia" w:ascii="宋体" w:hAnsi="宋体" w:cs="MS Gothic"/>
                <w:kern w:val="0"/>
                <w:szCs w:val="21"/>
              </w:rPr>
              <w:t>果（照片</w:t>
            </w:r>
            <w:r>
              <w:rPr>
                <w:rFonts w:hint="eastAsia" w:ascii="宋体" w:hAnsi="宋体" w:cs="宋体"/>
                <w:kern w:val="0"/>
                <w:szCs w:val="21"/>
              </w:rPr>
              <w:t>选</w:t>
            </w:r>
            <w:r>
              <w:rPr>
                <w:rFonts w:hint="eastAsia" w:ascii="宋体" w:hAnsi="宋体" w:cs="MS Gothic"/>
                <w:kern w:val="0"/>
                <w:szCs w:val="21"/>
              </w:rPr>
              <w:t>自南雄政府网）</w:t>
            </w:r>
          </w:p>
        </w:tc>
      </w:tr>
    </w:tbl>
    <w:p w14:paraId="59D288DB">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B1B8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2A510335">
            <w:pPr>
              <w:ind w:firstLine="0" w:firstLineChars="0"/>
              <w:jc w:val="center"/>
              <w:rPr>
                <w:rFonts w:ascii="宋体" w:hAnsi="宋体"/>
              </w:rPr>
            </w:pPr>
            <w:r>
              <w:rPr>
                <w:rFonts w:hint="eastAsia" w:ascii="宋体" w:hAnsi="宋体"/>
              </w:rPr>
              <w:drawing>
                <wp:inline distT="0" distB="0" distL="114300" distR="114300">
                  <wp:extent cx="5186045" cy="8486140"/>
                  <wp:effectExtent l="0" t="0" r="14605" b="10160"/>
                  <wp:docPr id="132" name="图片 132" descr="南雄年鉴 2011_0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南雄年鉴 2011_0076"/>
                          <pic:cNvPicPr>
                            <a:picLocks noChangeAspect="1"/>
                          </pic:cNvPicPr>
                        </pic:nvPicPr>
                        <pic:blipFill>
                          <a:blip r:embed="rId90" cstate="print"/>
                          <a:stretch>
                            <a:fillRect/>
                          </a:stretch>
                        </pic:blipFill>
                        <pic:spPr>
                          <a:xfrm>
                            <a:off x="0" y="0"/>
                            <a:ext cx="5186209" cy="8486027"/>
                          </a:xfrm>
                          <a:prstGeom prst="rect">
                            <a:avLst/>
                          </a:prstGeom>
                        </pic:spPr>
                      </pic:pic>
                    </a:graphicData>
                  </a:graphic>
                </wp:inline>
              </w:drawing>
            </w:r>
          </w:p>
        </w:tc>
      </w:tr>
      <w:tr w14:paraId="0AACA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6A78EFD">
            <w:pPr>
              <w:ind w:firstLine="420"/>
              <w:rPr>
                <w:rFonts w:ascii="宋体" w:hAnsi="宋体"/>
              </w:rPr>
            </w:pPr>
            <w:r>
              <w:rPr>
                <w:rFonts w:hint="eastAsia" w:ascii="宋体" w:hAnsi="宋体" w:cs="HiddenHorzOCR"/>
                <w:kern w:val="0"/>
                <w:szCs w:val="21"/>
              </w:rPr>
              <w:t>坪田</w:t>
            </w:r>
            <w:r>
              <w:rPr>
                <w:rFonts w:hint="eastAsia" w:ascii="宋体" w:hAnsi="宋体" w:cs="宋体"/>
                <w:kern w:val="0"/>
                <w:szCs w:val="21"/>
              </w:rPr>
              <w:t>银</w:t>
            </w:r>
            <w:r>
              <w:rPr>
                <w:rFonts w:hint="eastAsia" w:ascii="宋体" w:hAnsi="宋体" w:cs="MS Gothic"/>
                <w:kern w:val="0"/>
                <w:szCs w:val="21"/>
              </w:rPr>
              <w:t>杏染秋</w:t>
            </w:r>
          </w:p>
        </w:tc>
      </w:tr>
    </w:tbl>
    <w:p w14:paraId="4BAAE538">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6A70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03AAFFAE">
            <w:pPr>
              <w:ind w:firstLine="0" w:firstLineChars="0"/>
              <w:jc w:val="center"/>
              <w:rPr>
                <w:rFonts w:ascii="宋体" w:hAnsi="宋体"/>
              </w:rPr>
            </w:pPr>
            <w:r>
              <w:rPr>
                <w:rFonts w:hint="eastAsia" w:ascii="宋体" w:hAnsi="宋体"/>
              </w:rPr>
              <w:drawing>
                <wp:inline distT="0" distB="0" distL="114300" distR="114300">
                  <wp:extent cx="6181725" cy="4080510"/>
                  <wp:effectExtent l="0" t="0" r="9525" b="15240"/>
                  <wp:docPr id="131" name="图片 131" descr="南雄年鉴 2011_0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南雄年鉴 2011_0077"/>
                          <pic:cNvPicPr>
                            <a:picLocks noChangeAspect="1"/>
                          </pic:cNvPicPr>
                        </pic:nvPicPr>
                        <pic:blipFill>
                          <a:blip r:embed="rId91" cstate="print"/>
                          <a:stretch>
                            <a:fillRect/>
                          </a:stretch>
                        </pic:blipFill>
                        <pic:spPr>
                          <a:xfrm>
                            <a:off x="0" y="0"/>
                            <a:ext cx="6181725" cy="4080510"/>
                          </a:xfrm>
                          <a:prstGeom prst="rect">
                            <a:avLst/>
                          </a:prstGeom>
                        </pic:spPr>
                      </pic:pic>
                    </a:graphicData>
                  </a:graphic>
                </wp:inline>
              </w:drawing>
            </w:r>
          </w:p>
        </w:tc>
      </w:tr>
      <w:tr w14:paraId="1946F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486B699">
            <w:pPr>
              <w:ind w:firstLine="420"/>
              <w:rPr>
                <w:rFonts w:ascii="宋体" w:hAnsi="宋体"/>
              </w:rPr>
            </w:pPr>
            <w:r>
              <w:rPr>
                <w:rFonts w:hint="eastAsia" w:ascii="宋体" w:hAnsi="宋体" w:cs="HiddenHorzOCR"/>
                <w:kern w:val="0"/>
                <w:szCs w:val="21"/>
              </w:rPr>
              <w:t>南雄腊</w:t>
            </w:r>
            <w:r>
              <w:rPr>
                <w:rFonts w:hint="eastAsia" w:ascii="宋体" w:hAnsi="宋体" w:cs="宋体"/>
                <w:kern w:val="0"/>
                <w:szCs w:val="21"/>
              </w:rPr>
              <w:t>鸭</w:t>
            </w:r>
          </w:p>
        </w:tc>
      </w:tr>
    </w:tbl>
    <w:p w14:paraId="536D0AEC">
      <w:pPr>
        <w:ind w:firstLine="420"/>
        <w:rPr>
          <w:rFonts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2FA7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28259789">
            <w:pPr>
              <w:ind w:firstLine="0" w:firstLineChars="0"/>
              <w:jc w:val="center"/>
              <w:rPr>
                <w:rFonts w:ascii="宋体" w:hAnsi="宋体"/>
              </w:rPr>
            </w:pPr>
            <w:r>
              <w:rPr>
                <w:rFonts w:hint="eastAsia" w:ascii="宋体" w:hAnsi="宋体"/>
              </w:rPr>
              <w:drawing>
                <wp:inline distT="0" distB="0" distL="114300" distR="114300">
                  <wp:extent cx="6187440" cy="4223385"/>
                  <wp:effectExtent l="0" t="0" r="3810" b="5715"/>
                  <wp:docPr id="129" name="图片 129" descr="南雄年鉴 2011_0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南雄年鉴 2011_0078"/>
                          <pic:cNvPicPr>
                            <a:picLocks noChangeAspect="1"/>
                          </pic:cNvPicPr>
                        </pic:nvPicPr>
                        <pic:blipFill>
                          <a:blip r:embed="rId92" cstate="print"/>
                          <a:stretch>
                            <a:fillRect/>
                          </a:stretch>
                        </pic:blipFill>
                        <pic:spPr>
                          <a:xfrm>
                            <a:off x="0" y="0"/>
                            <a:ext cx="6187440" cy="4223385"/>
                          </a:xfrm>
                          <a:prstGeom prst="rect">
                            <a:avLst/>
                          </a:prstGeom>
                        </pic:spPr>
                      </pic:pic>
                    </a:graphicData>
                  </a:graphic>
                </wp:inline>
              </w:drawing>
            </w:r>
          </w:p>
        </w:tc>
      </w:tr>
      <w:tr w14:paraId="20E48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63452D4">
            <w:pPr>
              <w:ind w:firstLine="420"/>
              <w:rPr>
                <w:rFonts w:ascii="宋体" w:hAnsi="宋体"/>
              </w:rPr>
            </w:pPr>
            <w:r>
              <w:rPr>
                <w:rFonts w:hint="eastAsia" w:ascii="宋体" w:hAnsi="宋体" w:cs="HiddenHorzOCR"/>
                <w:kern w:val="0"/>
                <w:szCs w:val="21"/>
              </w:rPr>
              <w:t>珠</w:t>
            </w:r>
            <w:r>
              <w:rPr>
                <w:rFonts w:ascii="宋体" w:hAnsi="宋体" w:cs="宋体"/>
                <w:kern w:val="0"/>
                <w:szCs w:val="21"/>
              </w:rPr>
              <w:t>玑</w:t>
            </w:r>
            <w:r>
              <w:rPr>
                <w:rFonts w:hint="eastAsia" w:ascii="宋体" w:hAnsi="宋体" w:cs="HiddenHorzOCR"/>
                <w:kern w:val="0"/>
                <w:szCs w:val="21"/>
              </w:rPr>
              <w:t>九十九</w:t>
            </w:r>
            <w:r>
              <w:rPr>
                <w:rFonts w:hint="eastAsia" w:ascii="宋体" w:hAnsi="宋体" w:cs="宋体"/>
                <w:kern w:val="0"/>
                <w:szCs w:val="21"/>
              </w:rPr>
              <w:t>节长龙</w:t>
            </w:r>
          </w:p>
        </w:tc>
      </w:tr>
    </w:tbl>
    <w:p w14:paraId="410AF1E2">
      <w:pPr>
        <w:pStyle w:val="3"/>
      </w:pPr>
      <w:r>
        <w:t>广东省南雄市烟草专卖局</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D74C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2ABB16E5">
            <w:pPr>
              <w:ind w:firstLine="0" w:firstLineChars="0"/>
              <w:jc w:val="center"/>
              <w:rPr>
                <w:rFonts w:ascii="宋体" w:hAnsi="宋体"/>
              </w:rPr>
            </w:pPr>
            <w:r>
              <w:rPr>
                <w:rFonts w:ascii="宋体" w:hAnsi="宋体"/>
              </w:rPr>
              <w:drawing>
                <wp:inline distT="0" distB="0" distL="114300" distR="114300">
                  <wp:extent cx="5815330" cy="8061325"/>
                  <wp:effectExtent l="0" t="0" r="13970" b="15875"/>
                  <wp:docPr id="164" name="图片 2" descr="南雄年鉴 2011_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2" descr="南雄年鉴 2011_0035"/>
                          <pic:cNvPicPr>
                            <a:picLocks noChangeAspect="1"/>
                          </pic:cNvPicPr>
                        </pic:nvPicPr>
                        <pic:blipFill>
                          <a:blip r:embed="rId93"/>
                          <a:stretch>
                            <a:fillRect/>
                          </a:stretch>
                        </pic:blipFill>
                        <pic:spPr>
                          <a:xfrm>
                            <a:off x="0" y="0"/>
                            <a:ext cx="5815330" cy="8061325"/>
                          </a:xfrm>
                          <a:prstGeom prst="rect">
                            <a:avLst/>
                          </a:prstGeom>
                          <a:noFill/>
                          <a:ln>
                            <a:noFill/>
                          </a:ln>
                        </pic:spPr>
                      </pic:pic>
                    </a:graphicData>
                  </a:graphic>
                </wp:inline>
              </w:drawing>
            </w:r>
          </w:p>
        </w:tc>
      </w:tr>
    </w:tbl>
    <w:p w14:paraId="5D878701">
      <w:pPr>
        <w:pStyle w:val="3"/>
      </w:pPr>
      <w:r>
        <w:t>广东省南雄市人民武装部</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7913D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09C76557">
            <w:pPr>
              <w:ind w:firstLine="0" w:firstLineChars="0"/>
              <w:jc w:val="center"/>
              <w:rPr>
                <w:rFonts w:ascii="宋体" w:hAnsi="宋体"/>
              </w:rPr>
            </w:pPr>
            <w:r>
              <w:rPr>
                <w:rFonts w:ascii="宋体" w:hAnsi="宋体"/>
              </w:rPr>
              <w:drawing>
                <wp:inline distT="0" distB="0" distL="114300" distR="114300">
                  <wp:extent cx="5829935" cy="8083550"/>
                  <wp:effectExtent l="0" t="0" r="18415" b="12700"/>
                  <wp:docPr id="160" name="图片 3" descr="南雄年鉴 2011_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3" descr="南雄年鉴 2011_0036"/>
                          <pic:cNvPicPr>
                            <a:picLocks noChangeAspect="1"/>
                          </pic:cNvPicPr>
                        </pic:nvPicPr>
                        <pic:blipFill>
                          <a:blip r:embed="rId94"/>
                          <a:stretch>
                            <a:fillRect/>
                          </a:stretch>
                        </pic:blipFill>
                        <pic:spPr>
                          <a:xfrm>
                            <a:off x="0" y="0"/>
                            <a:ext cx="5829935" cy="8083550"/>
                          </a:xfrm>
                          <a:prstGeom prst="rect">
                            <a:avLst/>
                          </a:prstGeom>
                          <a:noFill/>
                          <a:ln>
                            <a:noFill/>
                          </a:ln>
                        </pic:spPr>
                      </pic:pic>
                    </a:graphicData>
                  </a:graphic>
                </wp:inline>
              </w:drawing>
            </w:r>
          </w:p>
        </w:tc>
      </w:tr>
    </w:tbl>
    <w:p w14:paraId="3276D5F9">
      <w:pPr>
        <w:pStyle w:val="3"/>
        <w:rPr>
          <w:rFonts w:hint="eastAsia"/>
        </w:rPr>
      </w:pPr>
      <w:r>
        <w:rPr>
          <w:rFonts w:hint="eastAsia"/>
        </w:rPr>
        <w:t>南雄市人民法院</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5E53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1EE9CB17">
            <w:pPr>
              <w:ind w:firstLine="0" w:firstLineChars="0"/>
              <w:jc w:val="center"/>
              <w:rPr>
                <w:rFonts w:ascii="宋体" w:hAnsi="宋体"/>
              </w:rPr>
            </w:pPr>
            <w:r>
              <w:rPr>
                <w:rFonts w:ascii="宋体" w:hAnsi="宋体"/>
              </w:rPr>
              <w:drawing>
                <wp:inline distT="0" distB="0" distL="114300" distR="114300">
                  <wp:extent cx="5837555" cy="8098155"/>
                  <wp:effectExtent l="0" t="0" r="10795" b="17145"/>
                  <wp:docPr id="159" name="图片 4" descr="南雄年鉴 2011_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4" descr="南雄年鉴 2011_0037"/>
                          <pic:cNvPicPr>
                            <a:picLocks noChangeAspect="1"/>
                          </pic:cNvPicPr>
                        </pic:nvPicPr>
                        <pic:blipFill>
                          <a:blip r:embed="rId95"/>
                          <a:stretch>
                            <a:fillRect/>
                          </a:stretch>
                        </pic:blipFill>
                        <pic:spPr>
                          <a:xfrm>
                            <a:off x="0" y="0"/>
                            <a:ext cx="5837555" cy="8098155"/>
                          </a:xfrm>
                          <a:prstGeom prst="rect">
                            <a:avLst/>
                          </a:prstGeom>
                          <a:noFill/>
                          <a:ln>
                            <a:noFill/>
                          </a:ln>
                        </pic:spPr>
                      </pic:pic>
                    </a:graphicData>
                  </a:graphic>
                </wp:inline>
              </w:drawing>
            </w:r>
          </w:p>
        </w:tc>
      </w:tr>
    </w:tbl>
    <w:p w14:paraId="423665AE">
      <w:pPr>
        <w:pStyle w:val="3"/>
      </w:pPr>
      <w:r>
        <w:t>南雄市地方税务局</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E9DE2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75B8C09">
            <w:pPr>
              <w:ind w:firstLine="0" w:firstLineChars="0"/>
              <w:jc w:val="center"/>
              <w:rPr>
                <w:rFonts w:ascii="宋体" w:hAnsi="宋体"/>
              </w:rPr>
            </w:pPr>
            <w:r>
              <w:rPr>
                <w:rFonts w:ascii="宋体" w:hAnsi="宋体"/>
              </w:rPr>
              <w:drawing>
                <wp:inline distT="0" distB="0" distL="114300" distR="114300">
                  <wp:extent cx="5640070" cy="7820025"/>
                  <wp:effectExtent l="0" t="0" r="17780" b="9525"/>
                  <wp:docPr id="161" name="图片 5" descr="南雄年鉴 2011_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5" descr="南雄年鉴 2011_0038"/>
                          <pic:cNvPicPr>
                            <a:picLocks noChangeAspect="1"/>
                          </pic:cNvPicPr>
                        </pic:nvPicPr>
                        <pic:blipFill>
                          <a:blip r:embed="rId96"/>
                          <a:stretch>
                            <a:fillRect/>
                          </a:stretch>
                        </pic:blipFill>
                        <pic:spPr>
                          <a:xfrm>
                            <a:off x="0" y="0"/>
                            <a:ext cx="5640070" cy="7820025"/>
                          </a:xfrm>
                          <a:prstGeom prst="rect">
                            <a:avLst/>
                          </a:prstGeom>
                          <a:noFill/>
                          <a:ln>
                            <a:noFill/>
                          </a:ln>
                        </pic:spPr>
                      </pic:pic>
                    </a:graphicData>
                  </a:graphic>
                </wp:inline>
              </w:drawing>
            </w:r>
          </w:p>
        </w:tc>
      </w:tr>
    </w:tbl>
    <w:p w14:paraId="1C0EC7EE">
      <w:pPr>
        <w:ind w:firstLine="420"/>
        <w:rPr>
          <w:rFonts w:hint="eastAsia"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4167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9962" w:type="dxa"/>
            <w:tcBorders>
              <w:top w:val="nil"/>
              <w:left w:val="nil"/>
              <w:bottom w:val="nil"/>
              <w:right w:val="nil"/>
            </w:tcBorders>
          </w:tcPr>
          <w:p w14:paraId="08A76430">
            <w:pPr>
              <w:ind w:firstLine="0" w:firstLineChars="0"/>
              <w:jc w:val="center"/>
              <w:rPr>
                <w:rFonts w:ascii="宋体" w:hAnsi="宋体"/>
              </w:rPr>
            </w:pPr>
            <w:r>
              <w:rPr>
                <w:rFonts w:ascii="宋体" w:hAnsi="宋体"/>
              </w:rPr>
              <w:drawing>
                <wp:inline distT="0" distB="0" distL="114300" distR="114300">
                  <wp:extent cx="6188710" cy="8580755"/>
                  <wp:effectExtent l="0" t="0" r="2540" b="10795"/>
                  <wp:docPr id="163" name="图片 6" descr="南雄年鉴 2011_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6" descr="南雄年鉴 2011_0039"/>
                          <pic:cNvPicPr>
                            <a:picLocks noChangeAspect="1"/>
                          </pic:cNvPicPr>
                        </pic:nvPicPr>
                        <pic:blipFill>
                          <a:blip r:embed="rId97"/>
                          <a:stretch>
                            <a:fillRect/>
                          </a:stretch>
                        </pic:blipFill>
                        <pic:spPr>
                          <a:xfrm>
                            <a:off x="0" y="0"/>
                            <a:ext cx="6188710" cy="8580755"/>
                          </a:xfrm>
                          <a:prstGeom prst="rect">
                            <a:avLst/>
                          </a:prstGeom>
                          <a:noFill/>
                          <a:ln>
                            <a:noFill/>
                          </a:ln>
                        </pic:spPr>
                      </pic:pic>
                    </a:graphicData>
                  </a:graphic>
                </wp:inline>
              </w:drawing>
            </w:r>
          </w:p>
        </w:tc>
      </w:tr>
    </w:tbl>
    <w:p w14:paraId="675F7EF6">
      <w:pPr>
        <w:pStyle w:val="3"/>
      </w:pPr>
      <w:r>
        <w:t>雄州街道办事处</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57A52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628F24F">
            <w:pPr>
              <w:ind w:firstLine="0" w:firstLineChars="0"/>
              <w:jc w:val="center"/>
              <w:rPr>
                <w:rFonts w:ascii="宋体" w:hAnsi="宋体"/>
              </w:rPr>
            </w:pPr>
            <w:r>
              <w:rPr>
                <w:rFonts w:ascii="宋体" w:hAnsi="宋体"/>
              </w:rPr>
              <w:drawing>
                <wp:inline distT="0" distB="0" distL="114300" distR="114300">
                  <wp:extent cx="5786120" cy="8032115"/>
                  <wp:effectExtent l="0" t="0" r="5080" b="6985"/>
                  <wp:docPr id="162" name="图片 7" descr="南雄年鉴 2011_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7" descr="南雄年鉴 2011_0040"/>
                          <pic:cNvPicPr>
                            <a:picLocks noChangeAspect="1"/>
                          </pic:cNvPicPr>
                        </pic:nvPicPr>
                        <pic:blipFill>
                          <a:blip r:embed="rId98"/>
                          <a:stretch>
                            <a:fillRect/>
                          </a:stretch>
                        </pic:blipFill>
                        <pic:spPr>
                          <a:xfrm>
                            <a:off x="0" y="0"/>
                            <a:ext cx="5786120" cy="8032115"/>
                          </a:xfrm>
                          <a:prstGeom prst="rect">
                            <a:avLst/>
                          </a:prstGeom>
                          <a:noFill/>
                          <a:ln>
                            <a:noFill/>
                          </a:ln>
                        </pic:spPr>
                      </pic:pic>
                    </a:graphicData>
                  </a:graphic>
                </wp:inline>
              </w:drawing>
            </w:r>
          </w:p>
        </w:tc>
      </w:tr>
    </w:tbl>
    <w:p w14:paraId="26DD6F7E">
      <w:pPr>
        <w:ind w:firstLine="420"/>
        <w:rPr>
          <w:rFonts w:hint="eastAsia"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C3D5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6A418ADE">
            <w:pPr>
              <w:ind w:firstLine="0" w:firstLineChars="0"/>
              <w:jc w:val="center"/>
              <w:rPr>
                <w:rFonts w:ascii="宋体" w:hAnsi="宋体"/>
              </w:rPr>
            </w:pPr>
            <w:r>
              <w:rPr>
                <w:rFonts w:ascii="宋体" w:hAnsi="宋体"/>
              </w:rPr>
              <w:drawing>
                <wp:inline distT="0" distB="0" distL="114300" distR="114300">
                  <wp:extent cx="6057265" cy="8390255"/>
                  <wp:effectExtent l="0" t="0" r="635" b="10795"/>
                  <wp:docPr id="38" name="图片 8" descr="南雄年鉴 2011_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8" descr="南雄年鉴 2011_0041"/>
                          <pic:cNvPicPr>
                            <a:picLocks noChangeAspect="1"/>
                          </pic:cNvPicPr>
                        </pic:nvPicPr>
                        <pic:blipFill>
                          <a:blip r:embed="rId99"/>
                          <a:stretch>
                            <a:fillRect/>
                          </a:stretch>
                        </pic:blipFill>
                        <pic:spPr>
                          <a:xfrm>
                            <a:off x="0" y="0"/>
                            <a:ext cx="6057265" cy="8390255"/>
                          </a:xfrm>
                          <a:prstGeom prst="rect">
                            <a:avLst/>
                          </a:prstGeom>
                          <a:noFill/>
                          <a:ln>
                            <a:noFill/>
                          </a:ln>
                        </pic:spPr>
                      </pic:pic>
                    </a:graphicData>
                  </a:graphic>
                </wp:inline>
              </w:drawing>
            </w:r>
          </w:p>
        </w:tc>
      </w:tr>
    </w:tbl>
    <w:p w14:paraId="5E5BEFD1">
      <w:pPr>
        <w:pStyle w:val="3"/>
      </w:pPr>
      <w:r>
        <w:t>湖口镇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17ED7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DAEAB19">
            <w:pPr>
              <w:ind w:firstLine="0" w:firstLineChars="0"/>
              <w:jc w:val="center"/>
              <w:rPr>
                <w:rFonts w:ascii="宋体" w:hAnsi="宋体"/>
              </w:rPr>
            </w:pPr>
            <w:r>
              <w:rPr>
                <w:rFonts w:ascii="宋体" w:hAnsi="宋体"/>
              </w:rPr>
              <w:drawing>
                <wp:inline distT="0" distB="0" distL="114300" distR="114300">
                  <wp:extent cx="5815330" cy="8075930"/>
                  <wp:effectExtent l="0" t="0" r="13970" b="1270"/>
                  <wp:docPr id="44" name="图片 9" descr="南雄年鉴 2011_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 descr="南雄年鉴 2011_0042"/>
                          <pic:cNvPicPr>
                            <a:picLocks noChangeAspect="1"/>
                          </pic:cNvPicPr>
                        </pic:nvPicPr>
                        <pic:blipFill>
                          <a:blip r:embed="rId100"/>
                          <a:stretch>
                            <a:fillRect/>
                          </a:stretch>
                        </pic:blipFill>
                        <pic:spPr>
                          <a:xfrm>
                            <a:off x="0" y="0"/>
                            <a:ext cx="5815330" cy="8075930"/>
                          </a:xfrm>
                          <a:prstGeom prst="rect">
                            <a:avLst/>
                          </a:prstGeom>
                          <a:noFill/>
                          <a:ln>
                            <a:noFill/>
                          </a:ln>
                        </pic:spPr>
                      </pic:pic>
                    </a:graphicData>
                  </a:graphic>
                </wp:inline>
              </w:drawing>
            </w:r>
          </w:p>
        </w:tc>
      </w:tr>
    </w:tbl>
    <w:p w14:paraId="2BC05203">
      <w:pPr>
        <w:ind w:firstLine="420"/>
        <w:rPr>
          <w:rFonts w:hint="eastAsia"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EFC55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48410F7C">
            <w:pPr>
              <w:ind w:firstLine="0" w:firstLineChars="0"/>
              <w:jc w:val="center"/>
              <w:rPr>
                <w:rFonts w:ascii="宋体" w:hAnsi="宋体"/>
              </w:rPr>
            </w:pPr>
            <w:r>
              <w:rPr>
                <w:rFonts w:ascii="宋体" w:hAnsi="宋体"/>
              </w:rPr>
              <w:drawing>
                <wp:inline distT="0" distB="0" distL="114300" distR="114300">
                  <wp:extent cx="6057265" cy="8390255"/>
                  <wp:effectExtent l="0" t="0" r="635" b="10795"/>
                  <wp:docPr id="24" name="图片 10" descr="南雄年鉴 2011_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 descr="南雄年鉴 2011_0043"/>
                          <pic:cNvPicPr>
                            <a:picLocks noChangeAspect="1"/>
                          </pic:cNvPicPr>
                        </pic:nvPicPr>
                        <pic:blipFill>
                          <a:blip r:embed="rId101"/>
                          <a:stretch>
                            <a:fillRect/>
                          </a:stretch>
                        </pic:blipFill>
                        <pic:spPr>
                          <a:xfrm>
                            <a:off x="0" y="0"/>
                            <a:ext cx="6057265" cy="8390255"/>
                          </a:xfrm>
                          <a:prstGeom prst="rect">
                            <a:avLst/>
                          </a:prstGeom>
                          <a:noFill/>
                          <a:ln>
                            <a:noFill/>
                          </a:ln>
                        </pic:spPr>
                      </pic:pic>
                    </a:graphicData>
                  </a:graphic>
                </wp:inline>
              </w:drawing>
            </w:r>
          </w:p>
        </w:tc>
      </w:tr>
    </w:tbl>
    <w:p w14:paraId="43A75B1C">
      <w:pPr>
        <w:pStyle w:val="3"/>
      </w:pPr>
      <w:r>
        <w:t>珠玑镇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984A3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865476E">
            <w:pPr>
              <w:ind w:firstLine="0" w:firstLineChars="0"/>
              <w:jc w:val="center"/>
              <w:rPr>
                <w:rFonts w:ascii="宋体" w:hAnsi="宋体"/>
              </w:rPr>
            </w:pPr>
            <w:r>
              <w:rPr>
                <w:rFonts w:ascii="宋体" w:hAnsi="宋体"/>
              </w:rPr>
              <w:drawing>
                <wp:inline distT="0" distB="0" distL="114300" distR="114300">
                  <wp:extent cx="5822950" cy="8075930"/>
                  <wp:effectExtent l="0" t="0" r="6350" b="1270"/>
                  <wp:docPr id="39" name="图片 11" descr="南雄年鉴 2011_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1" descr="南雄年鉴 2011_0044"/>
                          <pic:cNvPicPr>
                            <a:picLocks noChangeAspect="1"/>
                          </pic:cNvPicPr>
                        </pic:nvPicPr>
                        <pic:blipFill>
                          <a:blip r:embed="rId102"/>
                          <a:stretch>
                            <a:fillRect/>
                          </a:stretch>
                        </pic:blipFill>
                        <pic:spPr>
                          <a:xfrm>
                            <a:off x="0" y="0"/>
                            <a:ext cx="5822950" cy="8075930"/>
                          </a:xfrm>
                          <a:prstGeom prst="rect">
                            <a:avLst/>
                          </a:prstGeom>
                          <a:noFill/>
                          <a:ln>
                            <a:noFill/>
                          </a:ln>
                        </pic:spPr>
                      </pic:pic>
                    </a:graphicData>
                  </a:graphic>
                </wp:inline>
              </w:drawing>
            </w:r>
          </w:p>
        </w:tc>
      </w:tr>
    </w:tbl>
    <w:p w14:paraId="78530378">
      <w:pPr>
        <w:ind w:firstLine="420"/>
        <w:rPr>
          <w:rFonts w:hint="eastAsia"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42D7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14FB92B6">
            <w:pPr>
              <w:ind w:firstLine="0" w:firstLineChars="0"/>
              <w:jc w:val="center"/>
              <w:rPr>
                <w:rFonts w:ascii="宋体" w:hAnsi="宋体"/>
              </w:rPr>
            </w:pPr>
            <w:r>
              <w:rPr>
                <w:rFonts w:ascii="宋体" w:hAnsi="宋体"/>
              </w:rPr>
              <w:drawing>
                <wp:inline distT="0" distB="0" distL="114300" distR="114300">
                  <wp:extent cx="5962015" cy="8266430"/>
                  <wp:effectExtent l="0" t="0" r="635" b="1270"/>
                  <wp:docPr id="40" name="图片 12" descr="南雄年鉴 2011_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2" descr="南雄年鉴 2011_0045"/>
                          <pic:cNvPicPr>
                            <a:picLocks noChangeAspect="1"/>
                          </pic:cNvPicPr>
                        </pic:nvPicPr>
                        <pic:blipFill>
                          <a:blip r:embed="rId103"/>
                          <a:stretch>
                            <a:fillRect/>
                          </a:stretch>
                        </pic:blipFill>
                        <pic:spPr>
                          <a:xfrm>
                            <a:off x="0" y="0"/>
                            <a:ext cx="5962015" cy="8266430"/>
                          </a:xfrm>
                          <a:prstGeom prst="rect">
                            <a:avLst/>
                          </a:prstGeom>
                          <a:noFill/>
                          <a:ln>
                            <a:noFill/>
                          </a:ln>
                        </pic:spPr>
                      </pic:pic>
                    </a:graphicData>
                  </a:graphic>
                </wp:inline>
              </w:drawing>
            </w:r>
          </w:p>
        </w:tc>
      </w:tr>
    </w:tbl>
    <w:p w14:paraId="1B3DF82C">
      <w:pPr>
        <w:pStyle w:val="3"/>
      </w:pPr>
      <w:r>
        <w:t>乌迳镇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00D2D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08CD6968">
            <w:pPr>
              <w:ind w:firstLine="0" w:firstLineChars="0"/>
              <w:jc w:val="center"/>
              <w:rPr>
                <w:rFonts w:ascii="宋体" w:hAnsi="宋体"/>
              </w:rPr>
            </w:pPr>
            <w:r>
              <w:rPr>
                <w:rFonts w:ascii="宋体" w:hAnsi="宋体"/>
              </w:rPr>
              <w:drawing>
                <wp:inline distT="0" distB="0" distL="114300" distR="114300">
                  <wp:extent cx="5808345" cy="8054340"/>
                  <wp:effectExtent l="0" t="0" r="1905" b="3810"/>
                  <wp:docPr id="76" name="图片 13" descr="南雄年鉴 2011_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3" descr="南雄年鉴 2011_0046"/>
                          <pic:cNvPicPr>
                            <a:picLocks noChangeAspect="1"/>
                          </pic:cNvPicPr>
                        </pic:nvPicPr>
                        <pic:blipFill>
                          <a:blip r:embed="rId104"/>
                          <a:stretch>
                            <a:fillRect/>
                          </a:stretch>
                        </pic:blipFill>
                        <pic:spPr>
                          <a:xfrm>
                            <a:off x="0" y="0"/>
                            <a:ext cx="5808345" cy="8054340"/>
                          </a:xfrm>
                          <a:prstGeom prst="rect">
                            <a:avLst/>
                          </a:prstGeom>
                          <a:noFill/>
                          <a:ln>
                            <a:noFill/>
                          </a:ln>
                        </pic:spPr>
                      </pic:pic>
                    </a:graphicData>
                  </a:graphic>
                </wp:inline>
              </w:drawing>
            </w:r>
          </w:p>
        </w:tc>
      </w:tr>
    </w:tbl>
    <w:p w14:paraId="19D99D34">
      <w:pPr>
        <w:ind w:firstLine="420"/>
        <w:rPr>
          <w:rFonts w:hint="eastAsia"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FFA3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68B479C0">
            <w:pPr>
              <w:ind w:firstLine="0" w:firstLineChars="0"/>
              <w:jc w:val="center"/>
              <w:rPr>
                <w:rFonts w:ascii="宋体" w:hAnsi="宋体"/>
              </w:rPr>
            </w:pPr>
            <w:r>
              <w:rPr>
                <w:rFonts w:ascii="宋体" w:hAnsi="宋体"/>
              </w:rPr>
              <w:drawing>
                <wp:inline distT="0" distB="0" distL="114300" distR="114300">
                  <wp:extent cx="5962015" cy="8266430"/>
                  <wp:effectExtent l="0" t="0" r="635" b="1270"/>
                  <wp:docPr id="23" name="图片 14" descr="南雄年鉴 2011_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4" descr="南雄年鉴 2011_0047"/>
                          <pic:cNvPicPr>
                            <a:picLocks noChangeAspect="1"/>
                          </pic:cNvPicPr>
                        </pic:nvPicPr>
                        <pic:blipFill>
                          <a:blip r:embed="rId105"/>
                          <a:stretch>
                            <a:fillRect/>
                          </a:stretch>
                        </pic:blipFill>
                        <pic:spPr>
                          <a:xfrm>
                            <a:off x="0" y="0"/>
                            <a:ext cx="5962015" cy="8266430"/>
                          </a:xfrm>
                          <a:prstGeom prst="rect">
                            <a:avLst/>
                          </a:prstGeom>
                          <a:noFill/>
                          <a:ln>
                            <a:noFill/>
                          </a:ln>
                        </pic:spPr>
                      </pic:pic>
                    </a:graphicData>
                  </a:graphic>
                </wp:inline>
              </w:drawing>
            </w:r>
          </w:p>
        </w:tc>
      </w:tr>
    </w:tbl>
    <w:p w14:paraId="5E7DB359">
      <w:pPr>
        <w:pStyle w:val="3"/>
      </w:pPr>
      <w:r>
        <w:t>东莞大岭山</w:t>
      </w:r>
      <w:r>
        <w:rPr>
          <w:rFonts w:hint="eastAsia"/>
        </w:rPr>
        <w:t>（南雄）产业转移工业园</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B56E0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7F34792">
            <w:pPr>
              <w:ind w:firstLine="0" w:firstLineChars="0"/>
              <w:jc w:val="center"/>
              <w:rPr>
                <w:rFonts w:ascii="宋体" w:hAnsi="宋体"/>
              </w:rPr>
            </w:pPr>
            <w:r>
              <w:rPr>
                <w:rFonts w:ascii="宋体" w:hAnsi="宋体"/>
              </w:rPr>
              <w:drawing>
                <wp:inline distT="0" distB="0" distL="114300" distR="114300">
                  <wp:extent cx="5764530" cy="7988300"/>
                  <wp:effectExtent l="0" t="0" r="7620" b="12700"/>
                  <wp:docPr id="21" name="图片 15" descr="南雄年鉴 2011_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5" descr="南雄年鉴 2011_0048"/>
                          <pic:cNvPicPr>
                            <a:picLocks noChangeAspect="1"/>
                          </pic:cNvPicPr>
                        </pic:nvPicPr>
                        <pic:blipFill>
                          <a:blip r:embed="rId106"/>
                          <a:stretch>
                            <a:fillRect/>
                          </a:stretch>
                        </pic:blipFill>
                        <pic:spPr>
                          <a:xfrm>
                            <a:off x="0" y="0"/>
                            <a:ext cx="5764530" cy="7988300"/>
                          </a:xfrm>
                          <a:prstGeom prst="rect">
                            <a:avLst/>
                          </a:prstGeom>
                          <a:noFill/>
                          <a:ln>
                            <a:noFill/>
                          </a:ln>
                        </pic:spPr>
                      </pic:pic>
                    </a:graphicData>
                  </a:graphic>
                </wp:inline>
              </w:drawing>
            </w:r>
          </w:p>
        </w:tc>
      </w:tr>
    </w:tbl>
    <w:p w14:paraId="23C3D518">
      <w:pPr>
        <w:ind w:firstLine="420"/>
        <w:rPr>
          <w:rFonts w:hint="eastAsia"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88E6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0640313B">
            <w:pPr>
              <w:ind w:firstLine="0" w:firstLineChars="0"/>
              <w:jc w:val="center"/>
              <w:rPr>
                <w:rFonts w:ascii="宋体" w:hAnsi="宋体"/>
              </w:rPr>
            </w:pPr>
            <w:r>
              <w:rPr>
                <w:rFonts w:ascii="宋体" w:hAnsi="宋体"/>
              </w:rPr>
              <w:drawing>
                <wp:inline distT="0" distB="0" distL="114300" distR="114300">
                  <wp:extent cx="5976620" cy="8288020"/>
                  <wp:effectExtent l="0" t="0" r="5080" b="17780"/>
                  <wp:docPr id="43" name="图片 16" descr="南雄年鉴 2011_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6" descr="南雄年鉴 2011_0049"/>
                          <pic:cNvPicPr>
                            <a:picLocks noChangeAspect="1"/>
                          </pic:cNvPicPr>
                        </pic:nvPicPr>
                        <pic:blipFill>
                          <a:blip r:embed="rId107"/>
                          <a:stretch>
                            <a:fillRect/>
                          </a:stretch>
                        </pic:blipFill>
                        <pic:spPr>
                          <a:xfrm>
                            <a:off x="0" y="0"/>
                            <a:ext cx="5976620" cy="8288020"/>
                          </a:xfrm>
                          <a:prstGeom prst="rect">
                            <a:avLst/>
                          </a:prstGeom>
                          <a:noFill/>
                          <a:ln>
                            <a:noFill/>
                          </a:ln>
                        </pic:spPr>
                      </pic:pic>
                    </a:graphicData>
                  </a:graphic>
                </wp:inline>
              </w:drawing>
            </w:r>
          </w:p>
        </w:tc>
      </w:tr>
    </w:tbl>
    <w:p w14:paraId="1D891764">
      <w:pPr>
        <w:pStyle w:val="3"/>
      </w:pPr>
      <w:r>
        <w:t>南雄市工商行政管理局</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4F811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1C2B253">
            <w:pPr>
              <w:ind w:firstLine="0" w:firstLineChars="0"/>
              <w:jc w:val="center"/>
              <w:rPr>
                <w:rFonts w:ascii="宋体" w:hAnsi="宋体"/>
              </w:rPr>
            </w:pPr>
            <w:r>
              <w:rPr>
                <w:rFonts w:ascii="宋体" w:hAnsi="宋体"/>
              </w:rPr>
              <w:drawing>
                <wp:inline distT="0" distB="0" distL="114300" distR="114300">
                  <wp:extent cx="5771515" cy="8002905"/>
                  <wp:effectExtent l="0" t="0" r="635" b="17145"/>
                  <wp:docPr id="37" name="图片 17" descr="南雄年鉴 2011_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7" descr="南雄年鉴 2011_0050"/>
                          <pic:cNvPicPr>
                            <a:picLocks noChangeAspect="1"/>
                          </pic:cNvPicPr>
                        </pic:nvPicPr>
                        <pic:blipFill>
                          <a:blip r:embed="rId108"/>
                          <a:stretch>
                            <a:fillRect/>
                          </a:stretch>
                        </pic:blipFill>
                        <pic:spPr>
                          <a:xfrm>
                            <a:off x="0" y="0"/>
                            <a:ext cx="5771515" cy="8002905"/>
                          </a:xfrm>
                          <a:prstGeom prst="rect">
                            <a:avLst/>
                          </a:prstGeom>
                          <a:noFill/>
                          <a:ln>
                            <a:noFill/>
                          </a:ln>
                        </pic:spPr>
                      </pic:pic>
                    </a:graphicData>
                  </a:graphic>
                </wp:inline>
              </w:drawing>
            </w:r>
          </w:p>
        </w:tc>
      </w:tr>
    </w:tbl>
    <w:p w14:paraId="0AD3A768">
      <w:pPr>
        <w:ind w:firstLine="420"/>
        <w:rPr>
          <w:rFonts w:hint="eastAsia"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5F40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63C34B36">
            <w:pPr>
              <w:ind w:firstLine="0" w:firstLineChars="0"/>
              <w:jc w:val="center"/>
              <w:rPr>
                <w:rFonts w:ascii="宋体" w:hAnsi="宋体"/>
              </w:rPr>
            </w:pPr>
            <w:r>
              <w:rPr>
                <w:rFonts w:ascii="宋体" w:hAnsi="宋体"/>
              </w:rPr>
              <w:drawing>
                <wp:inline distT="0" distB="0" distL="114300" distR="114300">
                  <wp:extent cx="5947410" cy="8244205"/>
                  <wp:effectExtent l="0" t="0" r="15240" b="4445"/>
                  <wp:docPr id="41" name="图片 18" descr="南雄年鉴 2011_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8" descr="南雄年鉴 2011_0051"/>
                          <pic:cNvPicPr>
                            <a:picLocks noChangeAspect="1"/>
                          </pic:cNvPicPr>
                        </pic:nvPicPr>
                        <pic:blipFill>
                          <a:blip r:embed="rId109"/>
                          <a:stretch>
                            <a:fillRect/>
                          </a:stretch>
                        </pic:blipFill>
                        <pic:spPr>
                          <a:xfrm>
                            <a:off x="0" y="0"/>
                            <a:ext cx="5947410" cy="8244205"/>
                          </a:xfrm>
                          <a:prstGeom prst="rect">
                            <a:avLst/>
                          </a:prstGeom>
                          <a:noFill/>
                          <a:ln>
                            <a:noFill/>
                          </a:ln>
                        </pic:spPr>
                      </pic:pic>
                    </a:graphicData>
                  </a:graphic>
                </wp:inline>
              </w:drawing>
            </w:r>
          </w:p>
        </w:tc>
      </w:tr>
    </w:tbl>
    <w:p w14:paraId="23D21346">
      <w:pPr>
        <w:pStyle w:val="3"/>
      </w:pPr>
      <w:r>
        <w:t>广东电网韶关南雄供电局</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36B31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1D2E1F9F">
            <w:pPr>
              <w:ind w:firstLine="0" w:firstLineChars="0"/>
              <w:jc w:val="center"/>
              <w:rPr>
                <w:rFonts w:ascii="宋体" w:hAnsi="宋体"/>
              </w:rPr>
            </w:pPr>
            <w:r>
              <w:rPr>
                <w:rFonts w:ascii="宋体" w:hAnsi="宋体"/>
              </w:rPr>
              <w:drawing>
                <wp:inline distT="0" distB="0" distL="114300" distR="114300">
                  <wp:extent cx="5749925" cy="7966075"/>
                  <wp:effectExtent l="0" t="0" r="3175" b="15875"/>
                  <wp:docPr id="42" name="图片 19" descr="南雄年鉴 2011_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9" descr="南雄年鉴 2011_0052"/>
                          <pic:cNvPicPr>
                            <a:picLocks noChangeAspect="1"/>
                          </pic:cNvPicPr>
                        </pic:nvPicPr>
                        <pic:blipFill>
                          <a:blip r:embed="rId110"/>
                          <a:stretch>
                            <a:fillRect/>
                          </a:stretch>
                        </pic:blipFill>
                        <pic:spPr>
                          <a:xfrm>
                            <a:off x="0" y="0"/>
                            <a:ext cx="5749925" cy="7966075"/>
                          </a:xfrm>
                          <a:prstGeom prst="rect">
                            <a:avLst/>
                          </a:prstGeom>
                          <a:noFill/>
                          <a:ln>
                            <a:noFill/>
                          </a:ln>
                        </pic:spPr>
                      </pic:pic>
                    </a:graphicData>
                  </a:graphic>
                </wp:inline>
              </w:drawing>
            </w:r>
          </w:p>
        </w:tc>
      </w:tr>
    </w:tbl>
    <w:p w14:paraId="21D5F31C">
      <w:pPr>
        <w:ind w:firstLine="420"/>
        <w:rPr>
          <w:rFonts w:hint="eastAsia"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E2E4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6ED3669A">
            <w:pPr>
              <w:ind w:firstLine="0" w:firstLineChars="0"/>
              <w:jc w:val="center"/>
              <w:rPr>
                <w:rFonts w:ascii="宋体" w:hAnsi="宋体"/>
              </w:rPr>
            </w:pPr>
            <w:r>
              <w:rPr>
                <w:rFonts w:ascii="宋体" w:hAnsi="宋体"/>
              </w:rPr>
              <w:drawing>
                <wp:inline distT="0" distB="0" distL="114300" distR="114300">
                  <wp:extent cx="5918200" cy="8200390"/>
                  <wp:effectExtent l="0" t="0" r="6350" b="10160"/>
                  <wp:docPr id="26" name="图片 20" descr="南雄年鉴 2011_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0" descr="南雄年鉴 2011_0053"/>
                          <pic:cNvPicPr>
                            <a:picLocks noChangeAspect="1"/>
                          </pic:cNvPicPr>
                        </pic:nvPicPr>
                        <pic:blipFill>
                          <a:blip r:embed="rId111"/>
                          <a:stretch>
                            <a:fillRect/>
                          </a:stretch>
                        </pic:blipFill>
                        <pic:spPr>
                          <a:xfrm>
                            <a:off x="0" y="0"/>
                            <a:ext cx="5918200" cy="8200390"/>
                          </a:xfrm>
                          <a:prstGeom prst="rect">
                            <a:avLst/>
                          </a:prstGeom>
                          <a:noFill/>
                          <a:ln>
                            <a:noFill/>
                          </a:ln>
                        </pic:spPr>
                      </pic:pic>
                    </a:graphicData>
                  </a:graphic>
                </wp:inline>
              </w:drawing>
            </w:r>
          </w:p>
        </w:tc>
      </w:tr>
    </w:tbl>
    <w:p w14:paraId="5A99064B">
      <w:pPr>
        <w:pStyle w:val="3"/>
      </w:pPr>
      <w:r>
        <w:t>信誉燃气有限公司</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6B95A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43B404F">
            <w:pPr>
              <w:ind w:firstLine="0" w:firstLineChars="0"/>
              <w:jc w:val="center"/>
              <w:rPr>
                <w:rFonts w:ascii="宋体" w:hAnsi="宋体"/>
              </w:rPr>
            </w:pPr>
            <w:r>
              <w:rPr>
                <w:rFonts w:ascii="宋体" w:hAnsi="宋体"/>
              </w:rPr>
              <w:drawing>
                <wp:inline distT="0" distB="0" distL="114300" distR="114300">
                  <wp:extent cx="5749925" cy="7966075"/>
                  <wp:effectExtent l="0" t="0" r="3175" b="15875"/>
                  <wp:docPr id="69" name="图片 21" descr="南雄年鉴 2011_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1" descr="南雄年鉴 2011_0054"/>
                          <pic:cNvPicPr>
                            <a:picLocks noChangeAspect="1"/>
                          </pic:cNvPicPr>
                        </pic:nvPicPr>
                        <pic:blipFill>
                          <a:blip r:embed="rId112"/>
                          <a:stretch>
                            <a:fillRect/>
                          </a:stretch>
                        </pic:blipFill>
                        <pic:spPr>
                          <a:xfrm>
                            <a:off x="0" y="0"/>
                            <a:ext cx="5749925" cy="7966075"/>
                          </a:xfrm>
                          <a:prstGeom prst="rect">
                            <a:avLst/>
                          </a:prstGeom>
                          <a:noFill/>
                          <a:ln>
                            <a:noFill/>
                          </a:ln>
                        </pic:spPr>
                      </pic:pic>
                    </a:graphicData>
                  </a:graphic>
                </wp:inline>
              </w:drawing>
            </w:r>
          </w:p>
        </w:tc>
      </w:tr>
    </w:tbl>
    <w:p w14:paraId="4488EB6E">
      <w:pPr>
        <w:ind w:firstLine="420"/>
        <w:rPr>
          <w:rFonts w:hint="eastAsia"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39AA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45038805">
            <w:pPr>
              <w:ind w:firstLine="0" w:firstLineChars="0"/>
              <w:jc w:val="center"/>
              <w:rPr>
                <w:rFonts w:ascii="宋体" w:hAnsi="宋体"/>
              </w:rPr>
            </w:pPr>
            <w:r>
              <w:rPr>
                <w:rFonts w:ascii="宋体" w:hAnsi="宋体"/>
              </w:rPr>
              <w:drawing>
                <wp:inline distT="0" distB="0" distL="114300" distR="114300">
                  <wp:extent cx="5932805" cy="8221980"/>
                  <wp:effectExtent l="0" t="0" r="10795" b="7620"/>
                  <wp:docPr id="72" name="图片 22" descr="南雄年鉴 2011_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2" descr="南雄年鉴 2011_0055"/>
                          <pic:cNvPicPr>
                            <a:picLocks noChangeAspect="1"/>
                          </pic:cNvPicPr>
                        </pic:nvPicPr>
                        <pic:blipFill>
                          <a:blip r:embed="rId113"/>
                          <a:stretch>
                            <a:fillRect/>
                          </a:stretch>
                        </pic:blipFill>
                        <pic:spPr>
                          <a:xfrm>
                            <a:off x="0" y="0"/>
                            <a:ext cx="5932805" cy="8221980"/>
                          </a:xfrm>
                          <a:prstGeom prst="rect">
                            <a:avLst/>
                          </a:prstGeom>
                          <a:noFill/>
                          <a:ln>
                            <a:noFill/>
                          </a:ln>
                        </pic:spPr>
                      </pic:pic>
                    </a:graphicData>
                  </a:graphic>
                </wp:inline>
              </w:drawing>
            </w:r>
          </w:p>
        </w:tc>
      </w:tr>
    </w:tbl>
    <w:p w14:paraId="359981A9">
      <w:pPr>
        <w:pStyle w:val="3"/>
      </w:pPr>
      <w:r>
        <w:t>南雄市三拓化学工业有限公司</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9E3DC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068D9BA">
            <w:pPr>
              <w:ind w:firstLine="0" w:firstLineChars="0"/>
              <w:jc w:val="center"/>
              <w:rPr>
                <w:rFonts w:ascii="宋体" w:hAnsi="宋体"/>
              </w:rPr>
            </w:pPr>
            <w:r>
              <w:rPr>
                <w:rFonts w:ascii="宋体" w:hAnsi="宋体"/>
              </w:rPr>
              <w:drawing>
                <wp:inline distT="0" distB="0" distL="114300" distR="114300">
                  <wp:extent cx="5808345" cy="8039100"/>
                  <wp:effectExtent l="0" t="0" r="1905" b="0"/>
                  <wp:docPr id="73" name="图片 23" descr="南雄年鉴 2011_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3" descr="南雄年鉴 2011_0056"/>
                          <pic:cNvPicPr>
                            <a:picLocks noChangeAspect="1"/>
                          </pic:cNvPicPr>
                        </pic:nvPicPr>
                        <pic:blipFill>
                          <a:blip r:embed="rId114"/>
                          <a:stretch>
                            <a:fillRect/>
                          </a:stretch>
                        </pic:blipFill>
                        <pic:spPr>
                          <a:xfrm>
                            <a:off x="0" y="0"/>
                            <a:ext cx="5808345" cy="8039100"/>
                          </a:xfrm>
                          <a:prstGeom prst="rect">
                            <a:avLst/>
                          </a:prstGeom>
                          <a:noFill/>
                          <a:ln>
                            <a:noFill/>
                          </a:ln>
                        </pic:spPr>
                      </pic:pic>
                    </a:graphicData>
                  </a:graphic>
                </wp:inline>
              </w:drawing>
            </w:r>
          </w:p>
        </w:tc>
      </w:tr>
    </w:tbl>
    <w:p w14:paraId="50E7FC1D">
      <w:pPr>
        <w:pStyle w:val="3"/>
        <w:rPr>
          <w:rFonts w:hint="eastAsia"/>
        </w:rPr>
      </w:pPr>
      <w:r>
        <w:rPr>
          <w:rFonts w:hint="eastAsia"/>
        </w:rPr>
        <w:t>南雄市百顺机动车驾驶员培训学校</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C09C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9962" w:type="dxa"/>
            <w:tcBorders>
              <w:top w:val="nil"/>
              <w:left w:val="nil"/>
              <w:bottom w:val="nil"/>
              <w:right w:val="nil"/>
            </w:tcBorders>
          </w:tcPr>
          <w:p w14:paraId="3ECAA5E9">
            <w:pPr>
              <w:ind w:firstLine="0" w:firstLineChars="0"/>
              <w:jc w:val="center"/>
              <w:rPr>
                <w:rFonts w:ascii="宋体" w:hAnsi="宋体"/>
              </w:rPr>
            </w:pPr>
            <w:r>
              <w:rPr>
                <w:rFonts w:ascii="宋体" w:hAnsi="宋体"/>
              </w:rPr>
              <w:drawing>
                <wp:inline distT="0" distB="0" distL="114300" distR="114300">
                  <wp:extent cx="5749925" cy="7966075"/>
                  <wp:effectExtent l="0" t="0" r="3175" b="15875"/>
                  <wp:docPr id="25" name="图片 24" descr="南雄年鉴 2011_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descr="南雄年鉴 2011_0057"/>
                          <pic:cNvPicPr>
                            <a:picLocks noChangeAspect="1"/>
                          </pic:cNvPicPr>
                        </pic:nvPicPr>
                        <pic:blipFill>
                          <a:blip r:embed="rId115"/>
                          <a:stretch>
                            <a:fillRect/>
                          </a:stretch>
                        </pic:blipFill>
                        <pic:spPr>
                          <a:xfrm>
                            <a:off x="0" y="0"/>
                            <a:ext cx="5749925" cy="7966075"/>
                          </a:xfrm>
                          <a:prstGeom prst="rect">
                            <a:avLst/>
                          </a:prstGeom>
                          <a:noFill/>
                          <a:ln>
                            <a:noFill/>
                          </a:ln>
                        </pic:spPr>
                      </pic:pic>
                    </a:graphicData>
                  </a:graphic>
                </wp:inline>
              </w:drawing>
            </w:r>
          </w:p>
        </w:tc>
      </w:tr>
    </w:tbl>
    <w:p w14:paraId="5B8B79BD">
      <w:pPr>
        <w:pStyle w:val="3"/>
      </w:pPr>
      <w:r>
        <w:t>南雄市百顺镇大河贤电站</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CA25E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65CE352">
            <w:pPr>
              <w:ind w:firstLine="0" w:firstLineChars="0"/>
              <w:jc w:val="center"/>
              <w:rPr>
                <w:rFonts w:ascii="宋体" w:hAnsi="宋体"/>
              </w:rPr>
            </w:pPr>
            <w:r>
              <w:rPr>
                <w:rFonts w:ascii="宋体" w:hAnsi="宋体"/>
              </w:rPr>
              <w:drawing>
                <wp:inline distT="0" distB="0" distL="114300" distR="114300">
                  <wp:extent cx="5720715" cy="7929880"/>
                  <wp:effectExtent l="0" t="0" r="13335" b="13970"/>
                  <wp:docPr id="71" name="图片 25" descr="南雄年鉴 2011_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5" descr="南雄年鉴 2011_0058"/>
                          <pic:cNvPicPr>
                            <a:picLocks noChangeAspect="1"/>
                          </pic:cNvPicPr>
                        </pic:nvPicPr>
                        <pic:blipFill>
                          <a:blip r:embed="rId116"/>
                          <a:stretch>
                            <a:fillRect/>
                          </a:stretch>
                        </pic:blipFill>
                        <pic:spPr>
                          <a:xfrm>
                            <a:off x="0" y="0"/>
                            <a:ext cx="5720715" cy="7929880"/>
                          </a:xfrm>
                          <a:prstGeom prst="rect">
                            <a:avLst/>
                          </a:prstGeom>
                          <a:noFill/>
                          <a:ln>
                            <a:noFill/>
                          </a:ln>
                        </pic:spPr>
                      </pic:pic>
                    </a:graphicData>
                  </a:graphic>
                </wp:inline>
              </w:drawing>
            </w:r>
          </w:p>
        </w:tc>
      </w:tr>
    </w:tbl>
    <w:p w14:paraId="33661AD5">
      <w:pPr>
        <w:ind w:firstLine="420"/>
        <w:rPr>
          <w:rFonts w:hint="eastAsia"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FDFC2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1A964E26">
            <w:pPr>
              <w:ind w:firstLine="0" w:firstLineChars="0"/>
              <w:jc w:val="center"/>
              <w:rPr>
                <w:rFonts w:ascii="宋体" w:hAnsi="宋体"/>
              </w:rPr>
            </w:pPr>
            <w:r>
              <w:rPr>
                <w:rFonts w:ascii="宋体" w:hAnsi="宋体"/>
              </w:rPr>
              <w:drawing>
                <wp:inline distT="0" distB="0" distL="114300" distR="114300">
                  <wp:extent cx="5874385" cy="8141970"/>
                  <wp:effectExtent l="0" t="0" r="12065" b="11430"/>
                  <wp:docPr id="36" name="图片 26" descr="南雄年鉴 2011_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6" descr="南雄年鉴 2011_0059"/>
                          <pic:cNvPicPr>
                            <a:picLocks noChangeAspect="1"/>
                          </pic:cNvPicPr>
                        </pic:nvPicPr>
                        <pic:blipFill>
                          <a:blip r:embed="rId117"/>
                          <a:stretch>
                            <a:fillRect/>
                          </a:stretch>
                        </pic:blipFill>
                        <pic:spPr>
                          <a:xfrm>
                            <a:off x="0" y="0"/>
                            <a:ext cx="5874385" cy="8141970"/>
                          </a:xfrm>
                          <a:prstGeom prst="rect">
                            <a:avLst/>
                          </a:prstGeom>
                          <a:noFill/>
                          <a:ln>
                            <a:noFill/>
                          </a:ln>
                        </pic:spPr>
                      </pic:pic>
                    </a:graphicData>
                  </a:graphic>
                </wp:inline>
              </w:drawing>
            </w:r>
          </w:p>
        </w:tc>
      </w:tr>
    </w:tbl>
    <w:p w14:paraId="03050FD3">
      <w:pPr>
        <w:pStyle w:val="3"/>
      </w:pPr>
      <w:r>
        <w:t>主田镇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F4D2C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57D0F63">
            <w:pPr>
              <w:ind w:firstLine="0" w:firstLineChars="0"/>
              <w:jc w:val="center"/>
              <w:rPr>
                <w:rFonts w:ascii="宋体" w:hAnsi="宋体"/>
              </w:rPr>
            </w:pPr>
            <w:r>
              <w:rPr>
                <w:rFonts w:ascii="宋体" w:hAnsi="宋体"/>
              </w:rPr>
              <w:drawing>
                <wp:inline distT="0" distB="0" distL="114300" distR="114300">
                  <wp:extent cx="5691505" cy="7893050"/>
                  <wp:effectExtent l="0" t="0" r="4445" b="12700"/>
                  <wp:docPr id="20" name="图片 27" descr="南雄年鉴 2011_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7" descr="南雄年鉴 2011_0060"/>
                          <pic:cNvPicPr>
                            <a:picLocks noChangeAspect="1"/>
                          </pic:cNvPicPr>
                        </pic:nvPicPr>
                        <pic:blipFill>
                          <a:blip r:embed="rId118"/>
                          <a:stretch>
                            <a:fillRect/>
                          </a:stretch>
                        </pic:blipFill>
                        <pic:spPr>
                          <a:xfrm>
                            <a:off x="0" y="0"/>
                            <a:ext cx="5691505" cy="7893050"/>
                          </a:xfrm>
                          <a:prstGeom prst="rect">
                            <a:avLst/>
                          </a:prstGeom>
                          <a:noFill/>
                          <a:ln>
                            <a:noFill/>
                          </a:ln>
                        </pic:spPr>
                      </pic:pic>
                    </a:graphicData>
                  </a:graphic>
                </wp:inline>
              </w:drawing>
            </w:r>
          </w:p>
        </w:tc>
      </w:tr>
    </w:tbl>
    <w:p w14:paraId="0FEE15A9">
      <w:pPr>
        <w:ind w:firstLine="420"/>
        <w:rPr>
          <w:rFonts w:hint="eastAsia" w:ascii="宋体" w:hAnsi="宋体"/>
        </w:rPr>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E12D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6F4ECBFB">
            <w:pPr>
              <w:ind w:firstLine="0" w:firstLineChars="0"/>
              <w:jc w:val="center"/>
              <w:rPr>
                <w:rFonts w:ascii="宋体" w:hAnsi="宋体"/>
              </w:rPr>
            </w:pPr>
            <w:r>
              <w:rPr>
                <w:rFonts w:ascii="宋体" w:hAnsi="宋体"/>
              </w:rPr>
              <w:drawing>
                <wp:inline distT="0" distB="0" distL="114300" distR="114300">
                  <wp:extent cx="6188710" cy="8580755"/>
                  <wp:effectExtent l="0" t="0" r="2540" b="10795"/>
                  <wp:docPr id="45" name="图片 28" descr="南雄年鉴 2011_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8" descr="南雄年鉴 2011_0061"/>
                          <pic:cNvPicPr>
                            <a:picLocks noChangeAspect="1"/>
                          </pic:cNvPicPr>
                        </pic:nvPicPr>
                        <pic:blipFill>
                          <a:blip r:embed="rId119"/>
                          <a:stretch>
                            <a:fillRect/>
                          </a:stretch>
                        </pic:blipFill>
                        <pic:spPr>
                          <a:xfrm>
                            <a:off x="0" y="0"/>
                            <a:ext cx="6188710" cy="8580755"/>
                          </a:xfrm>
                          <a:prstGeom prst="rect">
                            <a:avLst/>
                          </a:prstGeom>
                          <a:noFill/>
                          <a:ln>
                            <a:noFill/>
                          </a:ln>
                        </pic:spPr>
                      </pic:pic>
                    </a:graphicData>
                  </a:graphic>
                </wp:inline>
              </w:drawing>
            </w:r>
          </w:p>
        </w:tc>
      </w:tr>
    </w:tbl>
    <w:p w14:paraId="541D1EAA">
      <w:pPr>
        <w:pStyle w:val="3"/>
      </w:pPr>
      <w:r>
        <w:t>百顺镇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9E7E6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10C8565B">
            <w:pPr>
              <w:ind w:firstLine="0" w:firstLineChars="0"/>
              <w:jc w:val="center"/>
              <w:rPr>
                <w:rFonts w:ascii="宋体" w:hAnsi="宋体"/>
              </w:rPr>
            </w:pPr>
            <w:r>
              <w:rPr>
                <w:rFonts w:ascii="宋体" w:hAnsi="宋体"/>
              </w:rPr>
              <w:drawing>
                <wp:inline distT="0" distB="0" distL="114300" distR="114300">
                  <wp:extent cx="5808345" cy="8054340"/>
                  <wp:effectExtent l="0" t="0" r="1905" b="3810"/>
                  <wp:docPr id="70" name="图片 29" descr="南雄年鉴 2011_0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9" descr="南雄年鉴 2011_0062"/>
                          <pic:cNvPicPr>
                            <a:picLocks noChangeAspect="1"/>
                          </pic:cNvPicPr>
                        </pic:nvPicPr>
                        <pic:blipFill>
                          <a:blip r:embed="rId120"/>
                          <a:stretch>
                            <a:fillRect/>
                          </a:stretch>
                        </pic:blipFill>
                        <pic:spPr>
                          <a:xfrm>
                            <a:off x="0" y="0"/>
                            <a:ext cx="5808345" cy="8054340"/>
                          </a:xfrm>
                          <a:prstGeom prst="rect">
                            <a:avLst/>
                          </a:prstGeom>
                          <a:noFill/>
                          <a:ln>
                            <a:noFill/>
                          </a:ln>
                        </pic:spPr>
                      </pic:pic>
                    </a:graphicData>
                  </a:graphic>
                </wp:inline>
              </w:drawing>
            </w:r>
          </w:p>
        </w:tc>
      </w:tr>
    </w:tbl>
    <w:p w14:paraId="6540E4C0">
      <w:pPr>
        <w:pStyle w:val="3"/>
        <w:rPr>
          <w:rFonts w:hint="eastAsia"/>
        </w:rPr>
      </w:pPr>
      <w:r>
        <w:rPr>
          <w:rFonts w:hint="eastAsia"/>
        </w:rPr>
        <w:t>古市镇</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CFD5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32DC0829">
            <w:pPr>
              <w:ind w:firstLine="0" w:firstLineChars="0"/>
              <w:jc w:val="center"/>
              <w:rPr>
                <w:rFonts w:ascii="宋体" w:hAnsi="宋体"/>
              </w:rPr>
            </w:pPr>
            <w:r>
              <w:rPr>
                <w:rFonts w:ascii="宋体" w:hAnsi="宋体"/>
              </w:rPr>
              <w:drawing>
                <wp:inline distT="0" distB="0" distL="114300" distR="114300">
                  <wp:extent cx="5779135" cy="8032115"/>
                  <wp:effectExtent l="0" t="0" r="12065" b="6985"/>
                  <wp:docPr id="77" name="图片 30" descr="南雄年鉴 2011_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0" descr="南雄年鉴 2011_0063"/>
                          <pic:cNvPicPr>
                            <a:picLocks noChangeAspect="1"/>
                          </pic:cNvPicPr>
                        </pic:nvPicPr>
                        <pic:blipFill>
                          <a:blip r:embed="rId121"/>
                          <a:stretch>
                            <a:fillRect/>
                          </a:stretch>
                        </pic:blipFill>
                        <pic:spPr>
                          <a:xfrm>
                            <a:off x="0" y="0"/>
                            <a:ext cx="5779135" cy="8032115"/>
                          </a:xfrm>
                          <a:prstGeom prst="rect">
                            <a:avLst/>
                          </a:prstGeom>
                          <a:noFill/>
                          <a:ln>
                            <a:noFill/>
                          </a:ln>
                        </pic:spPr>
                      </pic:pic>
                    </a:graphicData>
                  </a:graphic>
                </wp:inline>
              </w:drawing>
            </w:r>
          </w:p>
        </w:tc>
      </w:tr>
    </w:tbl>
    <w:p w14:paraId="0EB635B6">
      <w:pPr>
        <w:pStyle w:val="3"/>
      </w:pPr>
      <w:r>
        <w:t>黄坑镇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E8BD5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35A0289">
            <w:pPr>
              <w:ind w:firstLine="0" w:firstLineChars="0"/>
              <w:jc w:val="center"/>
              <w:rPr>
                <w:rFonts w:ascii="宋体" w:hAnsi="宋体"/>
              </w:rPr>
            </w:pPr>
            <w:r>
              <w:rPr>
                <w:rFonts w:ascii="宋体" w:hAnsi="宋体"/>
              </w:rPr>
              <w:drawing>
                <wp:inline distT="0" distB="0" distL="114300" distR="114300">
                  <wp:extent cx="5800725" cy="8039100"/>
                  <wp:effectExtent l="0" t="0" r="9525" b="0"/>
                  <wp:docPr id="47" name="图片 31" descr="南雄年鉴 2011_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1" descr="南雄年鉴 2011_0064"/>
                          <pic:cNvPicPr>
                            <a:picLocks noChangeAspect="1"/>
                          </pic:cNvPicPr>
                        </pic:nvPicPr>
                        <pic:blipFill>
                          <a:blip r:embed="rId122"/>
                          <a:stretch>
                            <a:fillRect/>
                          </a:stretch>
                        </pic:blipFill>
                        <pic:spPr>
                          <a:xfrm>
                            <a:off x="0" y="0"/>
                            <a:ext cx="5800725" cy="8039100"/>
                          </a:xfrm>
                          <a:prstGeom prst="rect">
                            <a:avLst/>
                          </a:prstGeom>
                          <a:noFill/>
                          <a:ln>
                            <a:noFill/>
                          </a:ln>
                        </pic:spPr>
                      </pic:pic>
                    </a:graphicData>
                  </a:graphic>
                </wp:inline>
              </w:drawing>
            </w:r>
          </w:p>
        </w:tc>
      </w:tr>
    </w:tbl>
    <w:p w14:paraId="0048A76F">
      <w:pPr>
        <w:pStyle w:val="3"/>
        <w:rPr>
          <w:rFonts w:hint="eastAsia"/>
        </w:rPr>
      </w:pPr>
      <w:r>
        <w:rPr>
          <w:rFonts w:hint="eastAsia"/>
        </w:rPr>
        <w:t>江头镇</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68B4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28005B4D">
            <w:pPr>
              <w:ind w:firstLine="0" w:firstLineChars="0"/>
              <w:jc w:val="center"/>
              <w:rPr>
                <w:rFonts w:ascii="宋体" w:hAnsi="宋体"/>
              </w:rPr>
            </w:pPr>
            <w:r>
              <w:rPr>
                <w:rFonts w:ascii="宋体" w:hAnsi="宋体"/>
              </w:rPr>
              <w:drawing>
                <wp:inline distT="0" distB="0" distL="114300" distR="114300">
                  <wp:extent cx="5749925" cy="7966075"/>
                  <wp:effectExtent l="0" t="0" r="3175" b="15875"/>
                  <wp:docPr id="74" name="图片 32" descr="南雄年鉴 2011_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2" descr="南雄年鉴 2011_0065"/>
                          <pic:cNvPicPr>
                            <a:picLocks noChangeAspect="1"/>
                          </pic:cNvPicPr>
                        </pic:nvPicPr>
                        <pic:blipFill>
                          <a:blip r:embed="rId123"/>
                          <a:stretch>
                            <a:fillRect/>
                          </a:stretch>
                        </pic:blipFill>
                        <pic:spPr>
                          <a:xfrm>
                            <a:off x="0" y="0"/>
                            <a:ext cx="5749925" cy="7966075"/>
                          </a:xfrm>
                          <a:prstGeom prst="rect">
                            <a:avLst/>
                          </a:prstGeom>
                          <a:noFill/>
                          <a:ln>
                            <a:noFill/>
                          </a:ln>
                        </pic:spPr>
                      </pic:pic>
                    </a:graphicData>
                  </a:graphic>
                </wp:inline>
              </w:drawing>
            </w:r>
          </w:p>
        </w:tc>
      </w:tr>
    </w:tbl>
    <w:p w14:paraId="25E431B0">
      <w:pPr>
        <w:pStyle w:val="3"/>
      </w:pPr>
      <w:r>
        <w:t>坪田镇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9F10E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1BEF96B7">
            <w:pPr>
              <w:ind w:firstLine="0" w:firstLineChars="0"/>
              <w:jc w:val="center"/>
              <w:rPr>
                <w:rFonts w:ascii="宋体" w:hAnsi="宋体"/>
              </w:rPr>
            </w:pPr>
            <w:r>
              <w:rPr>
                <w:rFonts w:ascii="宋体" w:hAnsi="宋体"/>
              </w:rPr>
              <w:drawing>
                <wp:inline distT="0" distB="0" distL="114300" distR="114300">
                  <wp:extent cx="5735320" cy="7959090"/>
                  <wp:effectExtent l="0" t="0" r="17780" b="3810"/>
                  <wp:docPr id="46" name="图片 33" descr="南雄年鉴 2011_0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3" descr="南雄年鉴 2011_0066"/>
                          <pic:cNvPicPr>
                            <a:picLocks noChangeAspect="1"/>
                          </pic:cNvPicPr>
                        </pic:nvPicPr>
                        <pic:blipFill>
                          <a:blip r:embed="rId124"/>
                          <a:stretch>
                            <a:fillRect/>
                          </a:stretch>
                        </pic:blipFill>
                        <pic:spPr>
                          <a:xfrm>
                            <a:off x="0" y="0"/>
                            <a:ext cx="5735320" cy="7959090"/>
                          </a:xfrm>
                          <a:prstGeom prst="rect">
                            <a:avLst/>
                          </a:prstGeom>
                          <a:noFill/>
                          <a:ln>
                            <a:noFill/>
                          </a:ln>
                        </pic:spPr>
                      </pic:pic>
                    </a:graphicData>
                  </a:graphic>
                </wp:inline>
              </w:drawing>
            </w:r>
          </w:p>
        </w:tc>
      </w:tr>
    </w:tbl>
    <w:p w14:paraId="5C3DA7C5">
      <w:pPr>
        <w:pStyle w:val="3"/>
        <w:rPr>
          <w:rFonts w:hint="eastAsia"/>
        </w:rPr>
      </w:pPr>
      <w:r>
        <w:rPr>
          <w:rFonts w:hint="eastAsia"/>
        </w:rPr>
        <w:t>南亩镇</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6399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62" w:type="dxa"/>
            <w:tcBorders>
              <w:top w:val="nil"/>
              <w:left w:val="nil"/>
              <w:bottom w:val="nil"/>
              <w:right w:val="nil"/>
            </w:tcBorders>
          </w:tcPr>
          <w:p w14:paraId="2620C4E7">
            <w:pPr>
              <w:ind w:firstLine="0" w:firstLineChars="0"/>
              <w:jc w:val="center"/>
              <w:rPr>
                <w:rFonts w:ascii="宋体" w:hAnsi="宋体"/>
              </w:rPr>
            </w:pPr>
            <w:r>
              <w:rPr>
                <w:rFonts w:ascii="宋体" w:hAnsi="宋体"/>
              </w:rPr>
              <w:drawing>
                <wp:inline distT="0" distB="0" distL="114300" distR="114300">
                  <wp:extent cx="5764530" cy="8002905"/>
                  <wp:effectExtent l="0" t="0" r="7620" b="17145"/>
                  <wp:docPr id="75" name="图片 34" descr="南雄年鉴 2011_0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4" descr="南雄年鉴 2011_0067"/>
                          <pic:cNvPicPr>
                            <a:picLocks noChangeAspect="1"/>
                          </pic:cNvPicPr>
                        </pic:nvPicPr>
                        <pic:blipFill>
                          <a:blip r:embed="rId125"/>
                          <a:stretch>
                            <a:fillRect/>
                          </a:stretch>
                        </pic:blipFill>
                        <pic:spPr>
                          <a:xfrm>
                            <a:off x="0" y="0"/>
                            <a:ext cx="5764530" cy="8002905"/>
                          </a:xfrm>
                          <a:prstGeom prst="rect">
                            <a:avLst/>
                          </a:prstGeom>
                          <a:noFill/>
                          <a:ln>
                            <a:noFill/>
                          </a:ln>
                        </pic:spPr>
                      </pic:pic>
                    </a:graphicData>
                  </a:graphic>
                </wp:inline>
              </w:drawing>
            </w:r>
          </w:p>
        </w:tc>
      </w:tr>
    </w:tbl>
    <w:p w14:paraId="20413EBE">
      <w:pPr>
        <w:pStyle w:val="3"/>
      </w:pPr>
      <w:r>
        <w:t>水口镇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FE3A7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83E2994">
            <w:pPr>
              <w:ind w:firstLine="0" w:firstLineChars="0"/>
              <w:jc w:val="center"/>
              <w:rPr>
                <w:rFonts w:ascii="宋体" w:hAnsi="宋体"/>
              </w:rPr>
            </w:pPr>
            <w:r>
              <w:rPr>
                <w:rFonts w:ascii="宋体" w:hAnsi="宋体"/>
              </w:rPr>
              <w:drawing>
                <wp:inline distT="0" distB="0" distL="114300" distR="114300">
                  <wp:extent cx="5735320" cy="7944485"/>
                  <wp:effectExtent l="0" t="0" r="17780" b="18415"/>
                  <wp:docPr id="78" name="图片 35" descr="南雄年鉴 2011_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5" descr="南雄年鉴 2011_0068"/>
                          <pic:cNvPicPr>
                            <a:picLocks noChangeAspect="1"/>
                          </pic:cNvPicPr>
                        </pic:nvPicPr>
                        <pic:blipFill>
                          <a:blip r:embed="rId126"/>
                          <a:stretch>
                            <a:fillRect/>
                          </a:stretch>
                        </pic:blipFill>
                        <pic:spPr>
                          <a:xfrm>
                            <a:off x="0" y="0"/>
                            <a:ext cx="5735320" cy="7944485"/>
                          </a:xfrm>
                          <a:prstGeom prst="rect">
                            <a:avLst/>
                          </a:prstGeom>
                          <a:noFill/>
                          <a:ln>
                            <a:noFill/>
                          </a:ln>
                        </pic:spPr>
                      </pic:pic>
                    </a:graphicData>
                  </a:graphic>
                </wp:inline>
              </w:drawing>
            </w:r>
          </w:p>
        </w:tc>
      </w:tr>
    </w:tbl>
    <w:p w14:paraId="79D5B1A6">
      <w:pPr>
        <w:pStyle w:val="2"/>
      </w:pPr>
      <w:r>
        <w:rPr>
          <w:rFonts w:hint="eastAsia"/>
        </w:rPr>
        <w:t>特辑</w:t>
      </w:r>
    </w:p>
    <w:p w14:paraId="7BF65AC9">
      <w:pPr>
        <w:pStyle w:val="3"/>
      </w:pPr>
      <w:r>
        <w:rPr>
          <w:rFonts w:hint="eastAsia"/>
        </w:rPr>
        <w:t>“十一五”工作总结</w:t>
      </w:r>
    </w:p>
    <w:p w14:paraId="1ED891C6">
      <w:pPr>
        <w:ind w:firstLine="0" w:firstLineChars="0"/>
        <w:jc w:val="center"/>
        <w:rPr>
          <w:rFonts w:ascii="宋体" w:hAnsi="宋体"/>
          <w:b/>
        </w:rPr>
      </w:pPr>
      <w:r>
        <w:rPr>
          <w:rFonts w:hint="eastAsia" w:ascii="宋体" w:hAnsi="宋体"/>
          <w:b/>
        </w:rPr>
        <w:t>中共南雄市委员会</w:t>
      </w:r>
    </w:p>
    <w:p w14:paraId="35A13475">
      <w:pPr>
        <w:ind w:firstLine="420"/>
        <w:rPr>
          <w:rFonts w:ascii="宋体" w:hAnsi="宋体"/>
        </w:rPr>
      </w:pPr>
      <w:r>
        <w:rPr>
          <w:rFonts w:hint="eastAsia" w:ascii="宋体" w:hAnsi="宋体"/>
        </w:rPr>
        <w:t>近五年来，我们坚持以邓小平理论和“三个代表”重要思想为指导，牢固树立和落实科学发展观，认真贯彻党的路线、方针、政策和省委、省政府及韶关市委、市政府的各项决策部署，以“双转移”战略实施为契机，解放思想、攻坚克难、乘势而上，大力推进产业集聚，加快转型升级，走出了一条欠发达地区科学发展的新路子，实现了经济社会各项事业全面发展、加快发展、科学发展。</w:t>
      </w:r>
    </w:p>
    <w:p w14:paraId="17B64364">
      <w:pPr>
        <w:ind w:firstLine="422"/>
        <w:rPr>
          <w:rFonts w:ascii="宋体" w:hAnsi="宋体"/>
          <w:b/>
        </w:rPr>
      </w:pPr>
      <w:r>
        <w:rPr>
          <w:rFonts w:hint="eastAsia" w:ascii="宋体" w:hAnsi="宋体"/>
          <w:b/>
        </w:rPr>
        <w:t>一、以园区建设为抓手，县域工业经济有新突破</w:t>
      </w:r>
    </w:p>
    <w:p w14:paraId="23AD510D">
      <w:pPr>
        <w:ind w:firstLine="420"/>
        <w:rPr>
          <w:rFonts w:ascii="宋体" w:hAnsi="宋体"/>
        </w:rPr>
      </w:pPr>
      <w:r>
        <w:rPr>
          <w:rFonts w:hint="eastAsia" w:ascii="宋体" w:hAnsi="宋体"/>
        </w:rPr>
        <w:t>近年来，我们以省委、省政府实施“双转移”战略为契机，以精细化工产业园建设为抓手，积极承接产业转移，加快推进县域工业经济转型升级，建立了精细化工、陶瓷建材、浆纸制造、热电能源四大特色工业体系，县域工业经济结构进一步优化，县域工业经济实力不断壮大，被评为“转型·</w:t>
      </w:r>
      <w:r>
        <w:rPr>
          <w:rFonts w:ascii="宋体" w:hAnsi="宋体"/>
        </w:rPr>
        <w:t>2010</w:t>
      </w:r>
      <w:r>
        <w:rPr>
          <w:rFonts w:hint="eastAsia" w:ascii="宋体" w:hAnsi="宋体"/>
        </w:rPr>
        <w:t>中国经济十大领军县级市”。</w:t>
      </w:r>
      <w:r>
        <w:rPr>
          <w:rFonts w:ascii="宋体" w:hAnsi="宋体"/>
        </w:rPr>
        <w:t>2010年，全市完</w:t>
      </w:r>
      <w:r>
        <w:rPr>
          <w:rFonts w:hint="eastAsia" w:ascii="宋体" w:hAnsi="宋体"/>
        </w:rPr>
        <w:t>成工业总产值</w:t>
      </w:r>
      <w:r>
        <w:rPr>
          <w:rFonts w:ascii="宋体" w:hAnsi="宋体"/>
        </w:rPr>
        <w:t>37.44亿元，比上年增长42.1%，五年年均增长27%，工业增加值9.1</w:t>
      </w:r>
      <w:r>
        <w:rPr>
          <w:rFonts w:hint="eastAsia" w:ascii="宋体" w:hAnsi="宋体"/>
        </w:rPr>
        <w:t>亿元，比“十五”期末增长</w:t>
      </w:r>
      <w:r>
        <w:rPr>
          <w:rFonts w:ascii="宋体" w:hAnsi="宋体"/>
        </w:rPr>
        <w:t>3倍。</w:t>
      </w:r>
    </w:p>
    <w:p w14:paraId="55BB9025">
      <w:pPr>
        <w:ind w:firstLine="420"/>
        <w:rPr>
          <w:rFonts w:ascii="宋体" w:hAnsi="宋体"/>
        </w:rPr>
      </w:pPr>
      <w:r>
        <w:rPr>
          <w:rFonts w:hint="eastAsia" w:ascii="宋体" w:hAnsi="宋体"/>
        </w:rPr>
        <w:t>一是精细化工产业集聚发展。</w:t>
      </w:r>
      <w:r>
        <w:rPr>
          <w:rFonts w:ascii="宋体" w:hAnsi="宋体"/>
        </w:rPr>
        <w:t>2008年，</w:t>
      </w:r>
      <w:r>
        <w:rPr>
          <w:rFonts w:hint="eastAsia" w:ascii="宋体" w:hAnsi="宋体"/>
        </w:rPr>
        <w:t>我们成功创建东莞大岭山（南雄）产业转移园；</w:t>
      </w:r>
      <w:r>
        <w:rPr>
          <w:rFonts w:ascii="宋体" w:hAnsi="宋体"/>
        </w:rPr>
        <w:t>2010年，该园区被认定为省级产业转移</w:t>
      </w:r>
      <w:r>
        <w:rPr>
          <w:rFonts w:hint="eastAsia" w:ascii="宋体" w:hAnsi="宋体"/>
        </w:rPr>
        <w:t>工业园和循环经济园，并以总分第一的成绩赢得</w:t>
      </w:r>
      <w:r>
        <w:rPr>
          <w:rFonts w:ascii="宋体" w:hAnsi="宋体"/>
        </w:rPr>
        <w:t>1亿元省专业性产业转移工业园建设竞</w:t>
      </w:r>
      <w:r>
        <w:rPr>
          <w:rFonts w:hint="eastAsia" w:ascii="宋体" w:hAnsi="宋体"/>
        </w:rPr>
        <w:t>争性扶持资金。目前，精细化工产业转移园一期实现入园企业</w:t>
      </w:r>
      <w:r>
        <w:rPr>
          <w:rFonts w:ascii="宋体" w:hAnsi="宋体"/>
        </w:rPr>
        <w:t>98家，试投产企业近30</w:t>
      </w:r>
      <w:r>
        <w:rPr>
          <w:rFonts w:hint="eastAsia" w:ascii="宋体" w:hAnsi="宋体"/>
        </w:rPr>
        <w:t>家，总投资超</w:t>
      </w:r>
      <w:r>
        <w:rPr>
          <w:rFonts w:ascii="宋体" w:hAnsi="宋体"/>
        </w:rPr>
        <w:t>43.19亿元，预计年产值达90</w:t>
      </w:r>
      <w:r>
        <w:rPr>
          <w:rFonts w:hint="eastAsia" w:ascii="宋体" w:hAnsi="宋体"/>
        </w:rPr>
        <w:t>亿元，涉及树脂、涂料、油墨、添加剂等领域。</w:t>
      </w:r>
      <w:r>
        <w:rPr>
          <w:rFonts w:ascii="宋体" w:hAnsi="宋体"/>
        </w:rPr>
        <w:t>2010年，园区完成工业总产值11.9亿</w:t>
      </w:r>
      <w:r>
        <w:rPr>
          <w:rFonts w:hint="eastAsia" w:ascii="宋体" w:hAnsi="宋体"/>
        </w:rPr>
        <w:t>元，工业增加值</w:t>
      </w:r>
      <w:r>
        <w:rPr>
          <w:rFonts w:ascii="宋体" w:hAnsi="宋体"/>
        </w:rPr>
        <w:t>2亿元。园区一期3880亩基</w:t>
      </w:r>
      <w:r>
        <w:rPr>
          <w:rFonts w:hint="eastAsia" w:ascii="宋体" w:hAnsi="宋体"/>
        </w:rPr>
        <w:t>本开发完毕，投入基础设施建设资金</w:t>
      </w:r>
      <w:r>
        <w:rPr>
          <w:rFonts w:ascii="宋体" w:hAnsi="宋体"/>
        </w:rPr>
        <w:t>6.7亿</w:t>
      </w:r>
      <w:r>
        <w:rPr>
          <w:rFonts w:hint="eastAsia" w:ascii="宋体" w:hAnsi="宋体"/>
        </w:rPr>
        <w:t>元，统一规划建设了生产、研发、物流、仓储、生活服务和产品交易等六大功能区，南雄国际会展中心、危化品仓储物流中心、中科院广州化学研究所南雄中试基地等项目正在建设，着力打造科技创新、金融服务两大平台和粤赣边贸、粤赣化工、粤赣铁路口岸三大物流体系，形成了“布局合理、功能完善”的特色产业园区。园区首期投资</w:t>
      </w:r>
      <w:r>
        <w:rPr>
          <w:rFonts w:ascii="宋体" w:hAnsi="宋体"/>
        </w:rPr>
        <w:t>6500万</w:t>
      </w:r>
      <w:r>
        <w:rPr>
          <w:rFonts w:hint="eastAsia" w:ascii="宋体" w:hAnsi="宋体"/>
        </w:rPr>
        <w:t>元的“仟邦实业”企业可望近期在新加坡上市，将成为园区首个上市企业。园区二期已完成总体规划和控制性规划，储备了一批重点项目。</w:t>
      </w:r>
    </w:p>
    <w:p w14:paraId="2A8A1E5E">
      <w:pPr>
        <w:ind w:firstLine="420"/>
        <w:rPr>
          <w:rFonts w:ascii="宋体" w:hAnsi="宋体"/>
        </w:rPr>
      </w:pPr>
      <w:r>
        <w:rPr>
          <w:rFonts w:hint="eastAsia" w:ascii="宋体" w:hAnsi="宋体"/>
        </w:rPr>
        <w:t>二是浆纸制造产业平稳发展。珠玑纸业投资</w:t>
      </w:r>
      <w:r>
        <w:rPr>
          <w:rFonts w:ascii="宋体" w:hAnsi="宋体"/>
        </w:rPr>
        <w:t>1.8亿元的技改扩产项目</w:t>
      </w:r>
      <w:r>
        <w:rPr>
          <w:rFonts w:hint="eastAsia" w:ascii="宋体" w:hAnsi="宋体"/>
        </w:rPr>
        <w:t>已</w:t>
      </w:r>
      <w:r>
        <w:rPr>
          <w:rFonts w:ascii="宋体" w:hAnsi="宋体"/>
        </w:rPr>
        <w:t>完成，</w:t>
      </w:r>
      <w:r>
        <w:rPr>
          <w:rFonts w:hint="eastAsia" w:ascii="宋体" w:hAnsi="宋体"/>
        </w:rPr>
        <w:t>已</w:t>
      </w:r>
      <w:r>
        <w:rPr>
          <w:rFonts w:ascii="宋体" w:hAnsi="宋体"/>
        </w:rPr>
        <w:t>形</w:t>
      </w:r>
      <w:r>
        <w:rPr>
          <w:rFonts w:hint="eastAsia" w:ascii="宋体" w:hAnsi="宋体"/>
        </w:rPr>
        <w:t>成纸浆年产量</w:t>
      </w:r>
      <w:r>
        <w:rPr>
          <w:rFonts w:ascii="宋体" w:hAnsi="宋体"/>
        </w:rPr>
        <w:t>6.5万吨，年产值3.3亿元的</w:t>
      </w:r>
      <w:r>
        <w:rPr>
          <w:rFonts w:hint="eastAsia" w:ascii="宋体" w:hAnsi="宋体"/>
        </w:rPr>
        <w:t>产能，</w:t>
      </w:r>
      <w:r>
        <w:rPr>
          <w:rFonts w:ascii="宋体" w:hAnsi="宋体"/>
        </w:rPr>
        <w:t>2010年年产值达1.37亿元，目前投资2</w:t>
      </w:r>
      <w:r>
        <w:rPr>
          <w:rFonts w:hint="eastAsia" w:ascii="宋体" w:hAnsi="宋体"/>
        </w:rPr>
        <w:t>亿元正在加快建设</w:t>
      </w:r>
      <w:r>
        <w:rPr>
          <w:rFonts w:ascii="宋体" w:hAnsi="宋体"/>
        </w:rPr>
        <w:t>5万吨高档特种纸生产项</w:t>
      </w:r>
      <w:r>
        <w:rPr>
          <w:rFonts w:hint="eastAsia" w:ascii="宋体" w:hAnsi="宋体"/>
        </w:rPr>
        <w:t>目，力争五年内通过技改扩产实现年产值</w:t>
      </w:r>
      <w:r>
        <w:rPr>
          <w:rFonts w:ascii="宋体" w:hAnsi="宋体"/>
        </w:rPr>
        <w:t>11</w:t>
      </w:r>
      <w:r>
        <w:rPr>
          <w:rFonts w:hint="eastAsia" w:ascii="宋体" w:hAnsi="宋体"/>
        </w:rPr>
        <w:t>亿元。绿洲公司力争五年内完成</w:t>
      </w:r>
      <w:r>
        <w:rPr>
          <w:rFonts w:ascii="宋体" w:hAnsi="宋体"/>
        </w:rPr>
        <w:t>30条全自动</w:t>
      </w:r>
      <w:r>
        <w:rPr>
          <w:rFonts w:hint="eastAsia" w:ascii="宋体" w:hAnsi="宋体"/>
        </w:rPr>
        <w:t>生产线建设，实现产能</w:t>
      </w:r>
      <w:r>
        <w:rPr>
          <w:rFonts w:ascii="宋体" w:hAnsi="宋体"/>
        </w:rPr>
        <w:t>12亿元，成为世界前10强的绿色环保餐具企业，被列为全省现代</w:t>
      </w:r>
      <w:r>
        <w:rPr>
          <w:rFonts w:hint="eastAsia" w:ascii="宋体" w:hAnsi="宋体"/>
        </w:rPr>
        <w:t>产业</w:t>
      </w:r>
      <w:r>
        <w:rPr>
          <w:rFonts w:ascii="宋体" w:hAnsi="宋体"/>
        </w:rPr>
        <w:t>500强项目之一。</w:t>
      </w:r>
    </w:p>
    <w:p w14:paraId="2369D5B3">
      <w:pPr>
        <w:ind w:firstLine="420"/>
        <w:rPr>
          <w:rFonts w:ascii="宋体" w:hAnsi="宋体"/>
        </w:rPr>
      </w:pPr>
      <w:r>
        <w:rPr>
          <w:rFonts w:hint="eastAsia" w:ascii="宋体" w:hAnsi="宋体"/>
        </w:rPr>
        <w:t>三是陶瓷建材产业迅速发展。总投资</w:t>
      </w:r>
      <w:r>
        <w:rPr>
          <w:rFonts w:ascii="宋体" w:hAnsi="宋体"/>
        </w:rPr>
        <w:t>8</w:t>
      </w:r>
      <w:r>
        <w:rPr>
          <w:rFonts w:hint="eastAsia" w:ascii="宋体" w:hAnsi="宋体"/>
        </w:rPr>
        <w:t>亿元的乐华陶瓷基地一期工程第一条生产线已投产，</w:t>
      </w:r>
      <w:r>
        <w:rPr>
          <w:rFonts w:ascii="宋体" w:hAnsi="宋体"/>
        </w:rPr>
        <w:t>2010年生产陶瓷地砖300万平方米，</w:t>
      </w:r>
      <w:r>
        <w:rPr>
          <w:rFonts w:hint="eastAsia" w:ascii="宋体" w:hAnsi="宋体"/>
        </w:rPr>
        <w:t>产值</w:t>
      </w:r>
      <w:r>
        <w:rPr>
          <w:rFonts w:ascii="宋体" w:hAnsi="宋体"/>
        </w:rPr>
        <w:t>1.5亿元；二期工程陶瓷洁具项目正在</w:t>
      </w:r>
      <w:r>
        <w:rPr>
          <w:rFonts w:hint="eastAsia" w:ascii="宋体" w:hAnsi="宋体"/>
        </w:rPr>
        <w:t>抓紧建设，全部投产后，年产值可达</w:t>
      </w:r>
      <w:r>
        <w:rPr>
          <w:rFonts w:ascii="宋体" w:hAnsi="宋体"/>
        </w:rPr>
        <w:t>15亿</w:t>
      </w:r>
      <w:r>
        <w:rPr>
          <w:rFonts w:hint="eastAsia" w:ascii="宋体" w:hAnsi="宋体"/>
        </w:rPr>
        <w:t>元。彤置富水泥基地计划投资</w:t>
      </w:r>
      <w:r>
        <w:rPr>
          <w:rFonts w:ascii="宋体" w:hAnsi="宋体"/>
        </w:rPr>
        <w:t>17亿元建设年</w:t>
      </w:r>
      <w:r>
        <w:rPr>
          <w:rFonts w:hint="eastAsia" w:ascii="宋体" w:hAnsi="宋体"/>
        </w:rPr>
        <w:t>产</w:t>
      </w:r>
      <w:r>
        <w:rPr>
          <w:rFonts w:ascii="宋体" w:hAnsi="宋体"/>
        </w:rPr>
        <w:t>200万吨新型</w:t>
      </w:r>
      <w:r>
        <w:rPr>
          <w:rFonts w:hint="eastAsia" w:ascii="宋体" w:hAnsi="宋体"/>
        </w:rPr>
        <w:t>干</w:t>
      </w:r>
      <w:r>
        <w:rPr>
          <w:rFonts w:ascii="宋体" w:hAnsi="宋体"/>
        </w:rPr>
        <w:t>法水泥熟料生产线3条，</w:t>
      </w:r>
      <w:r>
        <w:rPr>
          <w:rFonts w:hint="eastAsia" w:ascii="宋体" w:hAnsi="宋体"/>
        </w:rPr>
        <w:t>已完成投资</w:t>
      </w:r>
      <w:r>
        <w:rPr>
          <w:rFonts w:ascii="宋体" w:hAnsi="宋体"/>
        </w:rPr>
        <w:t>2.26亿元。</w:t>
      </w:r>
    </w:p>
    <w:p w14:paraId="34F0DCAE">
      <w:pPr>
        <w:ind w:firstLine="420"/>
        <w:rPr>
          <w:rFonts w:ascii="宋体" w:hAnsi="宋体"/>
        </w:rPr>
      </w:pPr>
      <w:r>
        <w:rPr>
          <w:rFonts w:hint="eastAsia" w:ascii="宋体" w:hAnsi="宋体"/>
        </w:rPr>
        <w:t>四是热电能源产业扎实推进。大力推进热电能源产业发展，加快构建现代能源产业体系。</w:t>
      </w:r>
      <w:r>
        <w:rPr>
          <w:rFonts w:ascii="宋体" w:hAnsi="宋体"/>
        </w:rPr>
        <w:t>220kV珠玑输变电工程</w:t>
      </w:r>
      <w:r>
        <w:rPr>
          <w:rFonts w:hint="eastAsia" w:ascii="宋体" w:hAnsi="宋体"/>
        </w:rPr>
        <w:t>已</w:t>
      </w:r>
      <w:r>
        <w:rPr>
          <w:rFonts w:ascii="宋体" w:hAnsi="宋体"/>
        </w:rPr>
        <w:t>竣工投产</w:t>
      </w:r>
      <w:r>
        <w:rPr>
          <w:rFonts w:hint="eastAsia" w:ascii="宋体" w:hAnsi="宋体"/>
        </w:rPr>
        <w:t>，西气东输管道工程南雄段建设稳步推进，华电热电冷联供项目等能源项目顺利推进，其中华电热电冷联供项目已上报至国家发改委能源局，计划总投资约</w:t>
      </w:r>
      <w:r>
        <w:rPr>
          <w:rFonts w:ascii="宋体" w:hAnsi="宋体"/>
        </w:rPr>
        <w:t>32亿元，规划面积600亩，规划建设4×350MW燃煤供热机组。</w:t>
      </w:r>
    </w:p>
    <w:p w14:paraId="7034EA12">
      <w:pPr>
        <w:ind w:firstLine="422"/>
        <w:rPr>
          <w:rFonts w:ascii="宋体" w:hAnsi="宋体"/>
          <w:b/>
        </w:rPr>
      </w:pPr>
      <w:r>
        <w:rPr>
          <w:rFonts w:hint="eastAsia" w:ascii="宋体" w:hAnsi="宋体"/>
          <w:b/>
        </w:rPr>
        <w:t>二、以六大基地为抓手，农业产业化有新跨越</w:t>
      </w:r>
    </w:p>
    <w:p w14:paraId="70408469">
      <w:pPr>
        <w:ind w:firstLine="420"/>
        <w:rPr>
          <w:rFonts w:ascii="宋体" w:hAnsi="宋体"/>
        </w:rPr>
      </w:pPr>
      <w:r>
        <w:rPr>
          <w:rFonts w:hint="eastAsia" w:ascii="宋体" w:hAnsi="宋体"/>
        </w:rPr>
        <w:t>主动对接《珠三角地区改革发展规划纲要》，以现代烟草农业、禽畜养殖、优质稻种植、油茶种植、中药材种植、农土特加工等六大农业产业基地建设为抓手，大力推进农业产业化、规模化，优化调整农业产业结构，建立了现代农业产业体系。</w:t>
      </w:r>
    </w:p>
    <w:p w14:paraId="2C86B454">
      <w:pPr>
        <w:ind w:firstLine="420"/>
        <w:rPr>
          <w:rFonts w:ascii="宋体" w:hAnsi="宋体"/>
        </w:rPr>
      </w:pPr>
      <w:r>
        <w:rPr>
          <w:rFonts w:hint="eastAsia" w:ascii="宋体" w:hAnsi="宋体"/>
        </w:rPr>
        <w:t>一是完善了一批农业生产基础设施。五年来，积极争取国家、省、韶关市的支持，大力推进农业综合开发、农田整治、“大禹杯”现代标准农田示范建设工程、中小型水库除险加固工程建设，累计投入资金</w:t>
      </w:r>
      <w:r>
        <w:rPr>
          <w:rFonts w:ascii="宋体" w:hAnsi="宋体"/>
        </w:rPr>
        <w:t>4亿多</w:t>
      </w:r>
      <w:r>
        <w:rPr>
          <w:rFonts w:hint="eastAsia" w:ascii="宋体" w:hAnsi="宋体"/>
        </w:rPr>
        <w:t>元，完成农综开发项目个，改造中低产田</w:t>
      </w:r>
      <w:r>
        <w:rPr>
          <w:rFonts w:ascii="宋体" w:hAnsi="宋体"/>
        </w:rPr>
        <w:t>8.92万亩，兴建机耕道路38.85公里，59宗</w:t>
      </w:r>
      <w:r>
        <w:rPr>
          <w:rFonts w:hint="eastAsia" w:ascii="宋体" w:hAnsi="宋体"/>
        </w:rPr>
        <w:t>小型水库除险加固工程等一批农田水利工程，农业防洪、抗旱能力明显提高，农业生产条件明显改善。</w:t>
      </w:r>
    </w:p>
    <w:p w14:paraId="2A8D5D61">
      <w:pPr>
        <w:ind w:firstLine="420"/>
        <w:rPr>
          <w:rFonts w:ascii="宋体" w:hAnsi="宋体"/>
        </w:rPr>
      </w:pPr>
      <w:r>
        <w:rPr>
          <w:rFonts w:hint="eastAsia" w:ascii="宋体" w:hAnsi="宋体"/>
        </w:rPr>
        <w:t>二是做强了一批农业龙头企业。以六大农业产业基地建设为载体，大力推广“公司+</w:t>
      </w:r>
      <w:r>
        <w:rPr>
          <w:rFonts w:ascii="宋体" w:hAnsi="宋体"/>
        </w:rPr>
        <w:t>基地</w:t>
      </w:r>
      <w:r>
        <w:rPr>
          <w:rFonts w:hint="eastAsia" w:ascii="宋体" w:hAnsi="宋体"/>
        </w:rPr>
        <w:t>+</w:t>
      </w:r>
      <w:r>
        <w:rPr>
          <w:rFonts w:ascii="宋体" w:hAnsi="宋体"/>
        </w:rPr>
        <w:t>农户</w:t>
      </w:r>
      <w:r>
        <w:rPr>
          <w:rFonts w:hint="eastAsia" w:ascii="宋体" w:hAnsi="宋体"/>
        </w:rPr>
        <w:t>”</w:t>
      </w:r>
      <w:r>
        <w:rPr>
          <w:rFonts w:ascii="宋体" w:hAnsi="宋体"/>
        </w:rPr>
        <w:t>的生产经营模式，形成了以</w:t>
      </w:r>
      <w:r>
        <w:rPr>
          <w:rFonts w:hint="eastAsia" w:ascii="宋体" w:hAnsi="宋体"/>
        </w:rPr>
        <w:t>烟草公司为龙头的</w:t>
      </w:r>
      <w:r>
        <w:rPr>
          <w:rFonts w:ascii="宋体" w:hAnsi="宋体"/>
        </w:rPr>
        <w:t>12万亩现代烟草农业基</w:t>
      </w:r>
      <w:r>
        <w:rPr>
          <w:rFonts w:hint="eastAsia" w:ascii="宋体" w:hAnsi="宋体"/>
        </w:rPr>
        <w:t>地、以广东华农温氏集团南雄分公司为龙头的年出栏量达</w:t>
      </w:r>
      <w:r>
        <w:rPr>
          <w:rFonts w:ascii="宋体" w:hAnsi="宋体"/>
        </w:rPr>
        <w:t>50万头生猪的畜牧生产基地、</w:t>
      </w:r>
      <w:r>
        <w:rPr>
          <w:rFonts w:hint="eastAsia" w:ascii="宋体" w:hAnsi="宋体"/>
        </w:rPr>
        <w:t>以广东金友集团为龙头的</w:t>
      </w:r>
      <w:r>
        <w:rPr>
          <w:rFonts w:ascii="宋体" w:hAnsi="宋体"/>
        </w:rPr>
        <w:t>10万亩优质米生产</w:t>
      </w:r>
      <w:r>
        <w:rPr>
          <w:rFonts w:hint="eastAsia" w:ascii="宋体" w:hAnsi="宋体"/>
        </w:rPr>
        <w:t>供应基地等，做大做强了烟草公司、金友集团等农业龙头企业。每年粮食、黄烟种植面积分别在</w:t>
      </w:r>
      <w:r>
        <w:rPr>
          <w:rFonts w:ascii="宋体" w:hAnsi="宋体"/>
        </w:rPr>
        <w:t>55万亩和11万亩以上，平均年产粮</w:t>
      </w:r>
      <w:r>
        <w:rPr>
          <w:rFonts w:hint="eastAsia" w:ascii="宋体" w:hAnsi="宋体"/>
        </w:rPr>
        <w:t>达</w:t>
      </w:r>
      <w:r>
        <w:rPr>
          <w:rFonts w:ascii="宋体" w:hAnsi="宋体"/>
        </w:rPr>
        <w:t>28万吨，商品粮达到15万吨，收购烟叶30万担以上，被确定为全国、全省双料产粮</w:t>
      </w:r>
      <w:r>
        <w:rPr>
          <w:rFonts w:hint="eastAsia" w:ascii="宋体" w:hAnsi="宋体"/>
        </w:rPr>
        <w:t>大县。</w:t>
      </w:r>
    </w:p>
    <w:p w14:paraId="4AFF1CEB">
      <w:pPr>
        <w:ind w:firstLine="420"/>
        <w:rPr>
          <w:rFonts w:ascii="宋体" w:hAnsi="宋体"/>
        </w:rPr>
      </w:pPr>
      <w:r>
        <w:rPr>
          <w:rFonts w:hint="eastAsia" w:ascii="宋体" w:hAnsi="宋体"/>
        </w:rPr>
        <w:t>三是打造了一批农土特品牌。近年来，先后制定了《关于大力发展特色农业推进农业产业化进程的实施意见》、《关于进一步加快发展农土特产业的若干意见》，大力推动全市农业龙头企业、农民专业合作社注册品牌，鼓励开展有机、无公害、绿色、地理标识等农产品认证，投入</w:t>
      </w:r>
      <w:r>
        <w:rPr>
          <w:rFonts w:ascii="宋体" w:hAnsi="宋体"/>
        </w:rPr>
        <w:t>200多万元奖励了一批农</w:t>
      </w:r>
      <w:r>
        <w:rPr>
          <w:rFonts w:hint="eastAsia" w:ascii="宋体" w:hAnsi="宋体"/>
        </w:rPr>
        <w:t>业龙头企业、农民专业合作组织等，打造了一批特色优质农土特品牌。目前，全市获得有机农产品认证</w:t>
      </w:r>
      <w:r>
        <w:rPr>
          <w:rFonts w:ascii="宋体" w:hAnsi="宋体"/>
        </w:rPr>
        <w:t>2个，绿色、无公害农产品</w:t>
      </w:r>
      <w:r>
        <w:rPr>
          <w:rFonts w:hint="eastAsia" w:ascii="宋体" w:hAnsi="宋体"/>
        </w:rPr>
        <w:t>认证</w:t>
      </w:r>
      <w:r>
        <w:rPr>
          <w:rFonts w:ascii="宋体" w:hAnsi="宋体"/>
        </w:rPr>
        <w:t>10个，其中</w:t>
      </w:r>
      <w:r>
        <w:rPr>
          <w:rFonts w:hint="eastAsia" w:ascii="宋体" w:hAnsi="宋体"/>
        </w:rPr>
        <w:t>“</w:t>
      </w:r>
      <w:r>
        <w:rPr>
          <w:rFonts w:ascii="宋体" w:hAnsi="宋体"/>
        </w:rPr>
        <w:t>南雄板鸭</w:t>
      </w:r>
      <w:r>
        <w:rPr>
          <w:rFonts w:hint="eastAsia" w:ascii="宋体" w:hAnsi="宋体"/>
        </w:rPr>
        <w:t>”</w:t>
      </w:r>
      <w:r>
        <w:rPr>
          <w:rFonts w:ascii="宋体" w:hAnsi="宋体"/>
        </w:rPr>
        <w:t>成功申报地理</w:t>
      </w:r>
      <w:r>
        <w:rPr>
          <w:rFonts w:hint="eastAsia" w:ascii="宋体" w:hAnsi="宋体"/>
        </w:rPr>
        <w:t>标识产品保护，“金友牌”有机米获得“广东省名牌产品”等荣誉。</w:t>
      </w:r>
    </w:p>
    <w:p w14:paraId="1F6B6C4A">
      <w:pPr>
        <w:ind w:firstLine="420"/>
        <w:rPr>
          <w:rFonts w:ascii="宋体" w:hAnsi="宋体"/>
        </w:rPr>
      </w:pPr>
      <w:r>
        <w:rPr>
          <w:rFonts w:hint="eastAsia" w:ascii="宋体" w:hAnsi="宋体"/>
        </w:rPr>
        <w:t>四是建设了一批社会主义新农村。启动“清洁美”和“万村绿”工程，积极开展创建生态文明村、镇活动，重点推进农村改水、改路、改厕、改灶和改造住房等工作，解决村庄环境“脏、乱、差”的问题，改善了农村生活条件。同时，扎实推进扶贫开发“规划到户、责任到人”工作，全市</w:t>
      </w:r>
      <w:r>
        <w:rPr>
          <w:rFonts w:ascii="宋体" w:hAnsi="宋体"/>
        </w:rPr>
        <w:t>45个省核定</w:t>
      </w:r>
      <w:r>
        <w:rPr>
          <w:rFonts w:hint="eastAsia" w:ascii="宋体" w:hAnsi="宋体"/>
        </w:rPr>
        <w:t>的贫困村，</w:t>
      </w:r>
      <w:r>
        <w:rPr>
          <w:rFonts w:ascii="宋体" w:hAnsi="宋体"/>
        </w:rPr>
        <w:t>4460户贫困户</w:t>
      </w:r>
      <w:r>
        <w:rPr>
          <w:rFonts w:hint="eastAsia" w:ascii="宋体" w:hAnsi="宋体"/>
        </w:rPr>
        <w:t>已</w:t>
      </w:r>
      <w:r>
        <w:rPr>
          <w:rFonts w:ascii="宋体" w:hAnsi="宋体"/>
        </w:rPr>
        <w:t>100%落实帮扶措</w:t>
      </w:r>
      <w:r>
        <w:rPr>
          <w:rFonts w:hint="eastAsia" w:ascii="宋体" w:hAnsi="宋体"/>
        </w:rPr>
        <w:t>施，有效地确保了贫困户脱贫。</w:t>
      </w:r>
    </w:p>
    <w:p w14:paraId="6E879847">
      <w:pPr>
        <w:ind w:firstLine="422"/>
        <w:rPr>
          <w:rFonts w:ascii="宋体" w:hAnsi="宋体"/>
          <w:b/>
        </w:rPr>
      </w:pPr>
      <w:r>
        <w:rPr>
          <w:rFonts w:hint="eastAsia" w:ascii="宋体" w:hAnsi="宋体"/>
          <w:b/>
        </w:rPr>
        <w:t>三、以旅游龙头为抓手，现代服务业有新发展</w:t>
      </w:r>
    </w:p>
    <w:p w14:paraId="4D66F368">
      <w:pPr>
        <w:ind w:firstLine="420"/>
        <w:rPr>
          <w:rFonts w:ascii="宋体" w:hAnsi="宋体"/>
        </w:rPr>
      </w:pPr>
      <w:r>
        <w:rPr>
          <w:rFonts w:hint="eastAsia" w:ascii="宋体" w:hAnsi="宋体"/>
        </w:rPr>
        <w:t>抓住省实施《国民旅游休闲计划》的契机，以奥威斯投资</w:t>
      </w:r>
      <w:r>
        <w:rPr>
          <w:rFonts w:ascii="宋体" w:hAnsi="宋体"/>
        </w:rPr>
        <w:t>20亿元建设奥威斯（龙华</w:t>
      </w:r>
      <w:r>
        <w:rPr>
          <w:rFonts w:hint="eastAsia" w:ascii="宋体" w:hAnsi="宋体"/>
        </w:rPr>
        <w:t>山）国际五星级温泉休闲度假中心建设为抓手，挖掘整合生态文化、珠玑文化、梅文化、恐龙文化、红色文化等旅游资源，启动了“旅游强市”创建工作，大力推进“大珠玑”旅游圈建设，高标准完成了珠玑古巷、梅关古道景区总体规划，修复改造了省委机关旧址、珠玑古巷、梅关古道、龙华山、帽子峰林场、青嶂山</w:t>
      </w:r>
      <w:r>
        <w:rPr>
          <w:rFonts w:ascii="宋体" w:hAnsi="宋体"/>
        </w:rPr>
        <w:t>-小流坑省级自然保护区、孔</w:t>
      </w:r>
      <w:r>
        <w:rPr>
          <w:rFonts w:hint="eastAsia" w:ascii="宋体" w:hAnsi="宋体"/>
        </w:rPr>
        <w:t>江国家湿地公园等一批景区，打造了珠玑文化、红色文化、恐龙文化、生态观光、温泉养生五大旅游品牌，成为粤赣边际旅游首选地。同时，全市商贸、信息、金融等行业发展迅速，与国家开发银行广东省分行签定了为精细化工园区建设和入园企业融资授信</w:t>
      </w:r>
      <w:r>
        <w:rPr>
          <w:rFonts w:ascii="宋体" w:hAnsi="宋体"/>
        </w:rPr>
        <w:t>9</w:t>
      </w:r>
      <w:r>
        <w:rPr>
          <w:rFonts w:hint="eastAsia" w:ascii="宋体" w:hAnsi="宋体"/>
        </w:rPr>
        <w:t>亿元人民币的合作协议，国家开发银行广东省分行南雄精细化工基地企业融资服务办公室、中科院广州化学研究所中试基地、南京林业大学博士后流动工作站等一批金融科技服务平台落户南雄，现代服务产业蓬勃发展。</w:t>
      </w:r>
      <w:r>
        <w:rPr>
          <w:rFonts w:ascii="宋体" w:hAnsi="宋体"/>
        </w:rPr>
        <w:t>2010年，接待游客97万人次，旅游总收入4.58亿元，分别比</w:t>
      </w:r>
      <w:r>
        <w:rPr>
          <w:rFonts w:hint="eastAsia" w:ascii="宋体" w:hAnsi="宋体"/>
        </w:rPr>
        <w:t>“</w:t>
      </w:r>
      <w:r>
        <w:rPr>
          <w:rFonts w:ascii="宋体" w:hAnsi="宋体"/>
        </w:rPr>
        <w:t>十五</w:t>
      </w:r>
      <w:r>
        <w:rPr>
          <w:rFonts w:hint="eastAsia" w:ascii="宋体" w:hAnsi="宋体"/>
        </w:rPr>
        <w:t>”</w:t>
      </w:r>
      <w:r>
        <w:rPr>
          <w:rFonts w:ascii="宋体" w:hAnsi="宋体"/>
        </w:rPr>
        <w:t>期末增长177.1%，252.3%。全社会消费品零售总额</w:t>
      </w:r>
      <w:r>
        <w:rPr>
          <w:rFonts w:hint="eastAsia" w:ascii="宋体" w:hAnsi="宋体"/>
        </w:rPr>
        <w:t>完成</w:t>
      </w:r>
      <w:r>
        <w:rPr>
          <w:rFonts w:ascii="宋体" w:hAnsi="宋体"/>
        </w:rPr>
        <w:t>24.53亿元，五年年均增长20.2%。</w:t>
      </w:r>
    </w:p>
    <w:p w14:paraId="2739AB3E">
      <w:pPr>
        <w:ind w:firstLine="422"/>
        <w:rPr>
          <w:rFonts w:ascii="宋体" w:hAnsi="宋体"/>
          <w:b/>
        </w:rPr>
      </w:pPr>
      <w:r>
        <w:rPr>
          <w:rFonts w:hint="eastAsia" w:ascii="宋体" w:hAnsi="宋体"/>
          <w:b/>
        </w:rPr>
        <w:t>四、以惠民工程为抓手，社会各项事业有新发展</w:t>
      </w:r>
    </w:p>
    <w:p w14:paraId="017D84D3">
      <w:pPr>
        <w:ind w:firstLine="420"/>
        <w:rPr>
          <w:rFonts w:ascii="宋体" w:hAnsi="宋体"/>
        </w:rPr>
      </w:pPr>
      <w:r>
        <w:rPr>
          <w:rFonts w:hint="eastAsia" w:ascii="宋体" w:hAnsi="宋体"/>
        </w:rPr>
        <w:t>五年来，我们坚持以人为本、执政为民的理念，大力推进保障性安居工程、饮水安全工程、公共文化服务、卫生教育等惠民工程的实施，促进社会各项事业全面发展、加快发展，富裕文明和谐安康粤北门户城市建设全面推进。</w:t>
      </w:r>
    </w:p>
    <w:p w14:paraId="3720C4C9">
      <w:pPr>
        <w:ind w:firstLine="420"/>
        <w:rPr>
          <w:rFonts w:ascii="宋体" w:hAnsi="宋体"/>
        </w:rPr>
      </w:pPr>
      <w:r>
        <w:rPr>
          <w:rFonts w:hint="eastAsia" w:ascii="宋体" w:hAnsi="宋体"/>
        </w:rPr>
        <w:t>一是人民生活水平进一步提高。通过建立了全民创业培训基地、招用工服务站、转移就业基地以及开通了中山市火炬开发区远程视频招工网南雄站等一系列措施，大力推进劳动力培训转移就业。</w:t>
      </w:r>
      <w:r>
        <w:rPr>
          <w:rFonts w:ascii="宋体" w:hAnsi="宋体"/>
        </w:rPr>
        <w:t>2008年以来，南雄</w:t>
      </w:r>
      <w:r>
        <w:rPr>
          <w:rFonts w:hint="eastAsia" w:ascii="宋体" w:hAnsi="宋体"/>
        </w:rPr>
        <w:t>市共开办各种农村劳动力职业技能培训班</w:t>
      </w:r>
      <w:r>
        <w:rPr>
          <w:rFonts w:ascii="宋体" w:hAnsi="宋体"/>
        </w:rPr>
        <w:t>115</w:t>
      </w:r>
      <w:r>
        <w:rPr>
          <w:rFonts w:hint="eastAsia" w:ascii="宋体" w:hAnsi="宋体"/>
        </w:rPr>
        <w:t>期，开设培训专业（工种）</w:t>
      </w:r>
      <w:r>
        <w:rPr>
          <w:rFonts w:ascii="宋体" w:hAnsi="宋体"/>
        </w:rPr>
        <w:t>40多个，培训农</w:t>
      </w:r>
      <w:r>
        <w:rPr>
          <w:rFonts w:hint="eastAsia" w:ascii="宋体" w:hAnsi="宋体"/>
        </w:rPr>
        <w:t>村劳动力</w:t>
      </w:r>
      <w:r>
        <w:rPr>
          <w:rFonts w:ascii="宋体" w:hAnsi="宋体"/>
        </w:rPr>
        <w:t>7608人，转移农村劳动力31048人，</w:t>
      </w:r>
      <w:r>
        <w:rPr>
          <w:rFonts w:hint="eastAsia" w:ascii="宋体" w:hAnsi="宋体"/>
        </w:rPr>
        <w:t>经培训实现转移就业</w:t>
      </w:r>
      <w:r>
        <w:rPr>
          <w:rFonts w:ascii="宋体" w:hAnsi="宋体"/>
        </w:rPr>
        <w:t>7500多人，就业率和获</w:t>
      </w:r>
      <w:r>
        <w:rPr>
          <w:rFonts w:hint="eastAsia" w:ascii="宋体" w:hAnsi="宋体"/>
        </w:rPr>
        <w:t>证率达到</w:t>
      </w:r>
      <w:r>
        <w:rPr>
          <w:rFonts w:ascii="宋体" w:hAnsi="宋体"/>
        </w:rPr>
        <w:t>90%以上。2010年，城镇居民人均</w:t>
      </w:r>
      <w:r>
        <w:rPr>
          <w:rFonts w:hint="eastAsia" w:ascii="宋体" w:hAnsi="宋体"/>
        </w:rPr>
        <w:t>可支配收入</w:t>
      </w:r>
      <w:r>
        <w:rPr>
          <w:rFonts w:ascii="宋体" w:hAnsi="宋体"/>
        </w:rPr>
        <w:t>11886元，比上年增长10%；农</w:t>
      </w:r>
      <w:r>
        <w:rPr>
          <w:rFonts w:hint="eastAsia" w:ascii="宋体" w:hAnsi="宋体"/>
        </w:rPr>
        <w:t>民人均纯收入</w:t>
      </w:r>
      <w:r>
        <w:rPr>
          <w:rFonts w:ascii="宋体" w:hAnsi="宋体"/>
        </w:rPr>
        <w:t>5945元，比上年增长10.9%，</w:t>
      </w:r>
      <w:r>
        <w:rPr>
          <w:rFonts w:hint="eastAsia" w:ascii="宋体" w:hAnsi="宋体"/>
        </w:rPr>
        <w:t>比“十五”末增长</w:t>
      </w:r>
      <w:r>
        <w:rPr>
          <w:rFonts w:ascii="宋体" w:hAnsi="宋体"/>
        </w:rPr>
        <w:t>77.5%。</w:t>
      </w:r>
    </w:p>
    <w:p w14:paraId="787CDEA5">
      <w:pPr>
        <w:ind w:firstLine="420"/>
        <w:rPr>
          <w:rFonts w:ascii="宋体" w:hAnsi="宋体"/>
        </w:rPr>
      </w:pPr>
      <w:r>
        <w:rPr>
          <w:rFonts w:hint="eastAsia" w:ascii="宋体" w:hAnsi="宋体"/>
        </w:rPr>
        <w:t>二是文化教育事业进一步繁荣。深入持久地开展以“学文明礼仪、建和谐家园”为主要内容的现代公民道德教育，全面实施村村通广播电视工程，公共文化服务体系建设不断完善，城乡居民的整体素质不断提升。先后获得“省卫生城市”、“省文明城市”等称号。全面实施素质教育，城乡免费义务教育全面实施，城乡教育均衡发展，全市小学适龄人口入学率</w:t>
      </w:r>
      <w:r>
        <w:rPr>
          <w:rFonts w:ascii="宋体" w:hAnsi="宋体"/>
        </w:rPr>
        <w:t>100%，初中毕业生升学率99.5%，高中阶段毛入学率90%，南雄中学</w:t>
      </w:r>
      <w:r>
        <w:rPr>
          <w:rFonts w:hint="eastAsia" w:ascii="宋体" w:hAnsi="宋体"/>
        </w:rPr>
        <w:t>、市一中被评为省国家级示范性普通高中。</w:t>
      </w:r>
    </w:p>
    <w:p w14:paraId="6F6A8EE6">
      <w:pPr>
        <w:ind w:firstLine="420"/>
        <w:rPr>
          <w:rFonts w:ascii="宋体" w:hAnsi="宋体"/>
        </w:rPr>
      </w:pPr>
      <w:r>
        <w:rPr>
          <w:rFonts w:hint="eastAsia" w:ascii="宋体" w:hAnsi="宋体"/>
        </w:rPr>
        <w:t>三是社会保障体系进一步完善。稳步推进医药卫生体制改革，大力推动养老保险、基本医疗保险和农村新型合作医疗工作，慈善事业蓬勃发展，建立健全了城乡社会救助体系，完善了城乡农村最低生活保障制度，</w:t>
      </w:r>
      <w:r>
        <w:rPr>
          <w:rFonts w:ascii="宋体" w:hAnsi="宋体"/>
        </w:rPr>
        <w:t>1.52万困难群众实现了应保尽保。社会保险</w:t>
      </w:r>
      <w:r>
        <w:rPr>
          <w:rFonts w:hint="eastAsia" w:ascii="宋体" w:hAnsi="宋体"/>
        </w:rPr>
        <w:t>覆盖面进一步扩大，全市社会养老保险参保</w:t>
      </w:r>
      <w:r>
        <w:rPr>
          <w:rFonts w:ascii="宋体" w:hAnsi="宋体"/>
        </w:rPr>
        <w:t>2.7万人，城镇职工居民医疗保险参保2.5万</w:t>
      </w:r>
      <w:r>
        <w:rPr>
          <w:rFonts w:hint="eastAsia" w:ascii="宋体" w:hAnsi="宋体"/>
        </w:rPr>
        <w:t>人，新型农村合作医疗覆盖率达到</w:t>
      </w:r>
      <w:r>
        <w:rPr>
          <w:rFonts w:ascii="宋体" w:hAnsi="宋体"/>
        </w:rPr>
        <w:t>100%。人</w:t>
      </w:r>
      <w:r>
        <w:rPr>
          <w:rFonts w:hint="eastAsia" w:ascii="宋体" w:hAnsi="宋体"/>
        </w:rPr>
        <w:t>口与计生工作稳步推进，政策生育率达到了</w:t>
      </w:r>
      <w:r>
        <w:rPr>
          <w:rFonts w:ascii="宋体" w:hAnsi="宋体"/>
        </w:rPr>
        <w:t>94.24%，人口自然增长率控制在7.5</w:t>
      </w:r>
      <w:r>
        <w:rPr>
          <w:rFonts w:hint="eastAsia" w:ascii="宋体" w:hAnsi="宋体"/>
        </w:rPr>
        <w:t>‰</w:t>
      </w:r>
      <w:r>
        <w:rPr>
          <w:rFonts w:ascii="宋体" w:hAnsi="宋体"/>
        </w:rPr>
        <w:t>以内，</w:t>
      </w:r>
      <w:r>
        <w:rPr>
          <w:rFonts w:hint="eastAsia" w:ascii="宋体" w:hAnsi="宋体"/>
        </w:rPr>
        <w:t>成功创建了省计生优质服务先进县，计划生育从二类地区升为一类地区管理。</w:t>
      </w:r>
    </w:p>
    <w:p w14:paraId="67662FB0">
      <w:pPr>
        <w:ind w:firstLine="420"/>
        <w:rPr>
          <w:rFonts w:ascii="宋体" w:hAnsi="宋体"/>
        </w:rPr>
      </w:pPr>
      <w:r>
        <w:rPr>
          <w:rFonts w:hint="eastAsia" w:ascii="宋体" w:hAnsi="宋体"/>
        </w:rPr>
        <w:t>四是城乡基础设施水平进一步提升。大力实施城市经营战略，五年投入城市改造资金约</w:t>
      </w:r>
      <w:r>
        <w:rPr>
          <w:rFonts w:ascii="宋体" w:hAnsi="宋体"/>
        </w:rPr>
        <w:t>20亿元，开发老城区近20个，规划区域200多万平方米，城市面貌焕然一新，城镇化</w:t>
      </w:r>
      <w:r>
        <w:rPr>
          <w:rFonts w:hint="eastAsia" w:ascii="宋体" w:hAnsi="宋体"/>
        </w:rPr>
        <w:t>水平由</w:t>
      </w:r>
      <w:r>
        <w:rPr>
          <w:rFonts w:ascii="宋体" w:hAnsi="宋体"/>
        </w:rPr>
        <w:t>2006年的18.5%调整为2010年的35.4%。五年投</w:t>
      </w:r>
      <w:r>
        <w:rPr>
          <w:rFonts w:hint="eastAsia" w:ascii="宋体" w:hAnsi="宋体"/>
        </w:rPr>
        <w:t>入</w:t>
      </w:r>
      <w:r>
        <w:rPr>
          <w:rFonts w:ascii="宋体" w:hAnsi="宋体"/>
        </w:rPr>
        <w:t>电网建设资金7</w:t>
      </w:r>
      <w:r>
        <w:rPr>
          <w:rFonts w:hint="eastAsia" w:ascii="宋体" w:hAnsi="宋体"/>
        </w:rPr>
        <w:t>.</w:t>
      </w:r>
      <w:r>
        <w:rPr>
          <w:rFonts w:ascii="宋体" w:hAnsi="宋体"/>
        </w:rPr>
        <w:t>8亿元，新</w:t>
      </w:r>
      <w:r>
        <w:rPr>
          <w:rFonts w:hint="eastAsia" w:ascii="宋体" w:hAnsi="宋体"/>
        </w:rPr>
        <w:t>建改造了珠玑</w:t>
      </w:r>
      <w:r>
        <w:rPr>
          <w:rFonts w:ascii="宋体" w:hAnsi="宋体"/>
        </w:rPr>
        <w:t>220KV变电站、110kV里东变</w:t>
      </w:r>
      <w:r>
        <w:rPr>
          <w:rFonts w:hint="eastAsia" w:ascii="宋体" w:hAnsi="宋体"/>
        </w:rPr>
        <w:t>电站、</w:t>
      </w:r>
      <w:r>
        <w:rPr>
          <w:rFonts w:ascii="宋体" w:hAnsi="宋体"/>
        </w:rPr>
        <w:t>110kV安澜线改造工程等一大批电力</w:t>
      </w:r>
      <w:r>
        <w:rPr>
          <w:rFonts w:hint="eastAsia" w:ascii="宋体" w:hAnsi="宋体"/>
        </w:rPr>
        <w:t>基础设施，基本完成了农村电网改造，实现了城乡同网同价。国家西气东输二线管道工程基本建成，韶赣高速公路建成通车，赣韶铁路建设顺利推进，农村公路水泥硬底化建设、农村饮水工程等一批惠民工程全面完成，城乡基础实施不断完善。</w:t>
      </w:r>
    </w:p>
    <w:p w14:paraId="55EDB300">
      <w:pPr>
        <w:ind w:firstLine="420"/>
        <w:rPr>
          <w:rFonts w:ascii="宋体" w:hAnsi="宋体"/>
        </w:rPr>
      </w:pPr>
      <w:r>
        <w:rPr>
          <w:rFonts w:hint="eastAsia" w:ascii="宋体" w:hAnsi="宋体"/>
        </w:rPr>
        <w:t>五是生态文明建设进一步加强。积极开展植树造林活动，扎实推进集体林权制度改革和“万村绿”工程，加大生态公益林、自然保护区、森林公园的管护力度，建立自然保护区</w:t>
      </w:r>
      <w:r>
        <w:rPr>
          <w:rFonts w:ascii="宋体" w:hAnsi="宋体"/>
        </w:rPr>
        <w:t>3个，全市森林覆盖率达61.8%，成</w:t>
      </w:r>
      <w:r>
        <w:rPr>
          <w:rFonts w:hint="eastAsia" w:ascii="宋体" w:hAnsi="宋体"/>
        </w:rPr>
        <w:t>功创建孔江国家湿地公园和省级林业生态县（市）。</w:t>
      </w:r>
      <w:r>
        <w:rPr>
          <w:rFonts w:ascii="宋体" w:hAnsi="宋体"/>
        </w:rPr>
        <w:t>2010年，南雄市被评为国家级可持续</w:t>
      </w:r>
      <w:r>
        <w:rPr>
          <w:rFonts w:hint="eastAsia" w:ascii="宋体" w:hAnsi="宋体"/>
        </w:rPr>
        <w:t>发展试验区，并被中央党史研究室确认为原中央苏区县。</w:t>
      </w:r>
    </w:p>
    <w:p w14:paraId="4BA3D40C">
      <w:pPr>
        <w:ind w:firstLine="422"/>
        <w:rPr>
          <w:rFonts w:ascii="宋体" w:hAnsi="宋体"/>
          <w:b/>
        </w:rPr>
      </w:pPr>
      <w:r>
        <w:rPr>
          <w:rFonts w:hint="eastAsia" w:ascii="宋体" w:hAnsi="宋体"/>
          <w:b/>
        </w:rPr>
        <w:t>五、以信访维稳为抓手，社会和谐出现新局面</w:t>
      </w:r>
    </w:p>
    <w:p w14:paraId="554A22C5">
      <w:pPr>
        <w:ind w:firstLine="420"/>
        <w:rPr>
          <w:rFonts w:ascii="宋体" w:hAnsi="宋体"/>
        </w:rPr>
      </w:pPr>
      <w:r>
        <w:rPr>
          <w:rFonts w:hint="eastAsia" w:ascii="宋体" w:hAnsi="宋体"/>
        </w:rPr>
        <w:t>五年来，我们坚持以群众工作统揽信访工作，按照“融合资源，协同作战，整体推进，综合施治”的工作思路，积极探索社会管理新思路、新办法、新措施，及时调处各类矛盾纠纷，化解了大批影响社会稳定和谐的矛盾隐患，信访总量、集体访、进京到省非正常访呈现全面下降趋势，社会保持和谐稳定。</w:t>
      </w:r>
    </w:p>
    <w:p w14:paraId="354E0E18">
      <w:pPr>
        <w:ind w:firstLine="420"/>
        <w:rPr>
          <w:rFonts w:ascii="宋体" w:hAnsi="宋体"/>
        </w:rPr>
      </w:pPr>
      <w:r>
        <w:rPr>
          <w:rFonts w:hint="eastAsia" w:ascii="宋体" w:hAnsi="宋体"/>
        </w:rPr>
        <w:t>一是构建了市镇村三级综治信访维稳工作平台。先后投入</w:t>
      </w:r>
      <w:r>
        <w:rPr>
          <w:rFonts w:ascii="宋体" w:hAnsi="宋体"/>
        </w:rPr>
        <w:t>500多万元，在18个镇</w:t>
      </w:r>
      <w:r>
        <w:rPr>
          <w:rFonts w:hint="eastAsia" w:ascii="宋体" w:hAnsi="宋体"/>
        </w:rPr>
        <w:t>（街道）、</w:t>
      </w:r>
      <w:r>
        <w:rPr>
          <w:rFonts w:ascii="宋体" w:hAnsi="宋体"/>
        </w:rPr>
        <w:t>232个村（居）委会建立了镇综治</w:t>
      </w:r>
      <w:r>
        <w:rPr>
          <w:rFonts w:hint="eastAsia" w:ascii="宋体" w:hAnsi="宋体"/>
        </w:rPr>
        <w:t>信访维稳中心、村（居）综治信访维稳工作站，形成了市、镇、村三级一体化管理平台。综治信访维稳中心在党委的统一领导下，整合林业、国土、司法、公安以及工青妇等部门资源，实行“五个统一”（即：统一受理、统一分流、统一协调、统一督办、统一归档），协同作战，整体推进，形成了矛盾综合化解、治安综合治理、社会综合管理的大综治大调解格局。</w:t>
      </w:r>
    </w:p>
    <w:p w14:paraId="3F28A4E7">
      <w:pPr>
        <w:ind w:firstLine="420"/>
        <w:rPr>
          <w:rFonts w:ascii="宋体" w:hAnsi="宋体"/>
        </w:rPr>
      </w:pPr>
      <w:r>
        <w:rPr>
          <w:rFonts w:hint="eastAsia" w:ascii="宋体" w:hAnsi="宋体"/>
        </w:rPr>
        <w:t>二是发挥了民间调解力量作用。积极动员鼓励公众参与社会事务管理，引导建立民间调解组织，切实提高公众参与自我管理能力。如，</w:t>
      </w:r>
      <w:r>
        <w:rPr>
          <w:rFonts w:ascii="宋体" w:hAnsi="宋体"/>
        </w:rPr>
        <w:t>2008年，成立了覆盖全市的民间纠</w:t>
      </w:r>
      <w:r>
        <w:rPr>
          <w:rFonts w:hint="eastAsia" w:ascii="宋体" w:hAnsi="宋体"/>
        </w:rPr>
        <w:t>纷调解中心，化解林业、农田等各类纠纷</w:t>
      </w:r>
      <w:r>
        <w:rPr>
          <w:rFonts w:ascii="宋体" w:hAnsi="宋体"/>
        </w:rPr>
        <w:t>100</w:t>
      </w:r>
      <w:r>
        <w:rPr>
          <w:rFonts w:hint="eastAsia" w:ascii="宋体" w:hAnsi="宋体"/>
        </w:rPr>
        <w:t>多起，调解率达到</w:t>
      </w:r>
      <w:r>
        <w:rPr>
          <w:rFonts w:ascii="宋体" w:hAnsi="宋体"/>
        </w:rPr>
        <w:t>100%，取得了良好的社会</w:t>
      </w:r>
      <w:r>
        <w:rPr>
          <w:rFonts w:hint="eastAsia" w:ascii="宋体" w:hAnsi="宋体"/>
        </w:rPr>
        <w:t>效果。</w:t>
      </w:r>
    </w:p>
    <w:p w14:paraId="76ECB958">
      <w:pPr>
        <w:ind w:firstLine="420"/>
        <w:rPr>
          <w:rFonts w:ascii="宋体" w:hAnsi="宋体"/>
        </w:rPr>
      </w:pPr>
      <w:r>
        <w:rPr>
          <w:rFonts w:hint="eastAsia" w:ascii="宋体" w:hAnsi="宋体"/>
        </w:rPr>
        <w:t>三是健全了网络问政工作机制。大力推进信息南雄建设，率先在韶关开发建成全市综治信访维稳管理系统，并开通了南雄“连心楼”网络论坛、韶关民声网、韶关家园网、奥一网、南方网等网络问政平台，实行市、镇、村“三级平台”信访和矛盾纠纷案件网上受理、审核、分流、督办、回访，达到了“信息共享、处置联动”的信息化水平。</w:t>
      </w:r>
      <w:r>
        <w:rPr>
          <w:rFonts w:ascii="宋体" w:hAnsi="宋体"/>
        </w:rPr>
        <w:t>2010</w:t>
      </w:r>
      <w:r>
        <w:rPr>
          <w:rFonts w:hint="eastAsia" w:ascii="宋体" w:hAnsi="宋体"/>
        </w:rPr>
        <w:t>年，网上受理信访件</w:t>
      </w:r>
      <w:r>
        <w:rPr>
          <w:rFonts w:ascii="宋体" w:hAnsi="宋体"/>
        </w:rPr>
        <w:t>112件，办结率为100%，做到了件件有落实，事事有回音。</w:t>
      </w:r>
    </w:p>
    <w:p w14:paraId="6BEBDBF8">
      <w:pPr>
        <w:ind w:firstLine="420"/>
        <w:rPr>
          <w:rFonts w:ascii="宋体" w:hAnsi="宋体"/>
        </w:rPr>
      </w:pPr>
      <w:r>
        <w:rPr>
          <w:rFonts w:hint="eastAsia" w:ascii="宋体" w:hAnsi="宋体"/>
        </w:rPr>
        <w:t>四是建立了科学评估机制。出台了《南雄市重大事项社会稳定风险评估办法》、《镇街综治信访维稳救济基金管理办法》，按照“属地管理”以及“谁主管、谁负责”的原则，对重大事项严格按照程序进行社会稳定风险评估，实施综治信访维稳救济，着力化解社会矛盾纠纷，确保重大事项的顺利实施和社会和谐稳定。</w:t>
      </w:r>
    </w:p>
    <w:p w14:paraId="20D65FF7">
      <w:pPr>
        <w:ind w:firstLine="422"/>
        <w:rPr>
          <w:rFonts w:ascii="宋体" w:hAnsi="宋体"/>
          <w:b/>
        </w:rPr>
      </w:pPr>
      <w:r>
        <w:rPr>
          <w:rFonts w:hint="eastAsia" w:ascii="宋体" w:hAnsi="宋体"/>
          <w:b/>
        </w:rPr>
        <w:t>六、以执政能力建设为抓手，党的建设有新提高</w:t>
      </w:r>
    </w:p>
    <w:p w14:paraId="253CE797">
      <w:pPr>
        <w:ind w:firstLine="420"/>
        <w:rPr>
          <w:rFonts w:ascii="宋体" w:hAnsi="宋体"/>
        </w:rPr>
      </w:pPr>
      <w:r>
        <w:rPr>
          <w:rFonts w:hint="eastAsia" w:ascii="宋体" w:hAnsi="宋体"/>
        </w:rPr>
        <w:t>我们坚持党要管党的原则，始终把党的建设摆在重要位置，不断探索和创新党建工作。先后开展了先进性教育、解放思想大学习大讨论、深入学习实践科学发展观、创先争优等主题实践活动，不断加强党员干部理想信念教育，切实加强党的建设，进一步提高了党的执政能力。</w:t>
      </w:r>
    </w:p>
    <w:p w14:paraId="315FE0D7">
      <w:pPr>
        <w:ind w:firstLine="420"/>
        <w:rPr>
          <w:rFonts w:ascii="宋体" w:hAnsi="宋体"/>
        </w:rPr>
      </w:pPr>
      <w:r>
        <w:rPr>
          <w:rFonts w:hint="eastAsia" w:ascii="宋体" w:hAnsi="宋体"/>
        </w:rPr>
        <w:t>一是切实转变了作风。在全市上下开展了“南雄富不富，关键看服务”大讨论、转变作风抓落实促发展、远离麻将拒绝赌博转变作风、履行职责加快发展年等一系列活动，推行挂“红牌”、“黑牌”制度，开展十大服务之星、十大优质服务单位评选，强化了服务意识，提高了服务水平和工作效率，形成了干事创业的浓厚发展氛围。</w:t>
      </w:r>
      <w:r>
        <w:rPr>
          <w:rFonts w:ascii="宋体" w:hAnsi="宋体"/>
        </w:rPr>
        <w:t>2010年1月14</w:t>
      </w:r>
      <w:r>
        <w:rPr>
          <w:rFonts w:hint="eastAsia" w:ascii="宋体" w:hAnsi="宋体"/>
        </w:rPr>
        <w:t>日，在粤北地区（韶关）现场会上，省委书记汪洋、省长黄华华高度评价南雄的工作，认为南雄的干部闯出了“南雄思路”、干出了“南雄速度”、体现了“南雄干劲”、打造了“南雄服务”。</w:t>
      </w:r>
    </w:p>
    <w:p w14:paraId="563A9176">
      <w:pPr>
        <w:ind w:firstLine="420"/>
        <w:rPr>
          <w:rFonts w:ascii="宋体" w:hAnsi="宋体"/>
        </w:rPr>
      </w:pPr>
      <w:r>
        <w:rPr>
          <w:rFonts w:hint="eastAsia" w:ascii="宋体" w:hAnsi="宋体"/>
        </w:rPr>
        <w:t>二是加强了各级领导班子建设。深入贯彻落实十七届四中全会精神，扎实推进马克思主义学习型政党建设，认真抓好各级领导班子建设。大力开展“走出去”、“引进来”领导干部培训战略，先后组织市四套班子等领导到中山大学、华南理工大学学习，不断提高党委</w:t>
      </w:r>
      <w:r>
        <w:rPr>
          <w:rFonts w:hint="eastAsia" w:ascii="宋体" w:hAnsi="宋体"/>
          <w:lang w:val="en-US" w:eastAsia="zh-CN"/>
        </w:rPr>
        <w:t>总</w:t>
      </w:r>
      <w:r>
        <w:rPr>
          <w:rFonts w:hint="eastAsia" w:ascii="宋体" w:hAnsi="宋体"/>
        </w:rPr>
        <w:t>揽全局、协调各方的能力，提高了驾驭市场经济和社会发展全局的能力。选拔了一批作风正、敢负责、肯干事、会干事、懂经济、善管理的干部充实到各级领导班子上来，全市领导干部精神振奋、团结奋斗、干事创业。</w:t>
      </w:r>
    </w:p>
    <w:p w14:paraId="0555894D">
      <w:pPr>
        <w:ind w:firstLine="420"/>
        <w:rPr>
          <w:rFonts w:ascii="宋体" w:hAnsi="宋体"/>
        </w:rPr>
      </w:pPr>
      <w:r>
        <w:rPr>
          <w:rFonts w:hint="eastAsia" w:ascii="宋体" w:hAnsi="宋体"/>
        </w:rPr>
        <w:t>三是加强了干部队伍建设。认真贯彻执行《党政领导干部选拔任用工作条例》，进一步深化干部人事制度改革，研究制定了《南雄市选拔任用老实人办法（试行）》等八个干部选拔任用工作配套制度，建立《民主推荐环节风险应急预案》，进一步扩大干部工作民主化，促进市委选人用人权力阳光运行，并注意提拔重用“老实人”，营造了尊敬老实人、重用老实人的良好发展氛围。</w:t>
      </w:r>
    </w:p>
    <w:p w14:paraId="261F7A1F">
      <w:pPr>
        <w:ind w:firstLine="420"/>
        <w:rPr>
          <w:rFonts w:ascii="宋体" w:hAnsi="宋体"/>
        </w:rPr>
      </w:pPr>
      <w:r>
        <w:rPr>
          <w:rFonts w:hint="eastAsia" w:ascii="宋体" w:hAnsi="宋体"/>
        </w:rPr>
        <w:t>四是加强了基层组织建设。实施固本强基工程，在农村党支部和党员中创造性地开展“双向承诺”活动，圆满完成了村（社区）“两委”换届工作，全市村党支部书记、村委会主任“一肩挑”占</w:t>
      </w:r>
      <w:r>
        <w:rPr>
          <w:rFonts w:ascii="宋体" w:hAnsi="宋体"/>
        </w:rPr>
        <w:t>95.7%，村</w:t>
      </w:r>
      <w:r>
        <w:rPr>
          <w:rFonts w:hint="eastAsia" w:ascii="宋体" w:hAnsi="宋体"/>
        </w:rPr>
        <w:t>“</w:t>
      </w:r>
      <w:r>
        <w:rPr>
          <w:rFonts w:ascii="宋体" w:hAnsi="宋体"/>
        </w:rPr>
        <w:t>两委</w:t>
      </w:r>
      <w:r>
        <w:rPr>
          <w:rFonts w:hint="eastAsia" w:ascii="宋体" w:hAnsi="宋体"/>
        </w:rPr>
        <w:t>”</w:t>
      </w:r>
      <w:r>
        <w:rPr>
          <w:rFonts w:ascii="宋体" w:hAnsi="宋体"/>
        </w:rPr>
        <w:t>成</w:t>
      </w:r>
      <w:r>
        <w:rPr>
          <w:rFonts w:hint="eastAsia" w:ascii="宋体" w:hAnsi="宋体"/>
        </w:rPr>
        <w:t>员交叉任职占</w:t>
      </w:r>
      <w:r>
        <w:rPr>
          <w:rFonts w:ascii="宋体" w:hAnsi="宋体"/>
        </w:rPr>
        <w:t>93%。完成了第二、三批</w:t>
      </w:r>
      <w:r>
        <w:rPr>
          <w:rFonts w:hint="eastAsia" w:ascii="宋体" w:hAnsi="宋体"/>
        </w:rPr>
        <w:t>“</w:t>
      </w:r>
      <w:r>
        <w:rPr>
          <w:rFonts w:ascii="宋体" w:hAnsi="宋体"/>
        </w:rPr>
        <w:t>五</w:t>
      </w:r>
      <w:r>
        <w:rPr>
          <w:rFonts w:hint="eastAsia" w:ascii="宋体" w:hAnsi="宋体"/>
        </w:rPr>
        <w:t>百干部”下基层驻农村工作，组织了第二、三批共</w:t>
      </w:r>
      <w:r>
        <w:rPr>
          <w:rFonts w:ascii="宋体" w:hAnsi="宋体"/>
        </w:rPr>
        <w:t>1064名干部进驻208个村。扎实推进</w:t>
      </w:r>
      <w:r>
        <w:rPr>
          <w:rFonts w:hint="eastAsia" w:ascii="宋体" w:hAnsi="宋体"/>
        </w:rPr>
        <w:t>南雄市农村党员干部现代远程教育工作，在全市所有镇（街道）、村（社区）建立了党员干部现代远程教育网络。</w:t>
      </w:r>
    </w:p>
    <w:p w14:paraId="3FBD548B">
      <w:pPr>
        <w:ind w:firstLine="420"/>
        <w:rPr>
          <w:rFonts w:ascii="宋体" w:hAnsi="宋体"/>
        </w:rPr>
      </w:pPr>
      <w:r>
        <w:rPr>
          <w:rFonts w:hint="eastAsia" w:ascii="宋体" w:hAnsi="宋体"/>
        </w:rPr>
        <w:t>五是加强了党风廉政建设。切实抓好党风廉政建设责任制的落实，认真贯彻《建立健全惩治和预防腐败体系</w:t>
      </w:r>
      <w:r>
        <w:rPr>
          <w:rFonts w:ascii="宋体" w:hAnsi="宋体"/>
        </w:rPr>
        <w:t>2008-2012年工作</w:t>
      </w:r>
      <w:r>
        <w:rPr>
          <w:rFonts w:hint="eastAsia" w:ascii="宋体" w:hAnsi="宋体"/>
        </w:rPr>
        <w:t>规划》精神，进一步加强惩处、制度、作风、队伍管理等四个方面建设，严格执行“四大纪律八项要求”和《廉政准则》有关规定，全力打造具有南雄特色的惩治和预防腐败体系。大力推进市委权力公开透明运行“阳光工程”试点工作，深入开展纪律教育月、“一诺千金为发展”、“树立正确的权力观，提高执行力”等活动，积极推进廉政谈话、廉政考试、警示教育、网上监察以及廉政文化公益广告等工作，在思想上筑牢全市各级领导干部拒腐防变的堤坝，加强对领导班子及领导干部行使权力的监督，增强了班子成员廉洁自律意识，自觉规范了从政行为，形成了风清气正的良好发展局面。</w:t>
      </w:r>
    </w:p>
    <w:p w14:paraId="1646B9D8">
      <w:pPr>
        <w:ind w:firstLine="420"/>
        <w:rPr>
          <w:rFonts w:ascii="宋体" w:hAnsi="宋体"/>
        </w:rPr>
      </w:pPr>
      <w:r>
        <w:rPr>
          <w:rFonts w:hint="eastAsia" w:ascii="宋体" w:hAnsi="宋体"/>
        </w:rPr>
        <w:t>五年来，我们团结和带领全市人民，坚持解放思想、开拓创新、攻坚克难，牢牢把握“双转移”战略机遇，推动了全市经济社会各项事业又好又快发展，粤北门户城市建设取得了一定的成绩。但是，对照上级的要求，对照人民群众的愿望，还有一些做的不够的地方，如经济发展步子还不够快、欠发达地区的现状还没有根本改变、人民群众生活水平还有待提高等。在今后的工作中，我们将团结和带领全市党员干部，抓住当前加快发展、跨越发展的战略机遇，深入实施“一个目标五大战略”，力争尽快实现南雄经济社会跨越发展。</w:t>
      </w:r>
    </w:p>
    <w:p w14:paraId="0714E755">
      <w:pPr>
        <w:pStyle w:val="3"/>
      </w:pPr>
      <w:r>
        <w:rPr>
          <w:rFonts w:hint="eastAsia"/>
        </w:rPr>
        <w:t>政府工作报告</w:t>
      </w:r>
    </w:p>
    <w:p w14:paraId="4A40890A">
      <w:pPr>
        <w:ind w:firstLine="420"/>
        <w:jc w:val="center"/>
        <w:rPr>
          <w:rFonts w:ascii="宋体" w:hAnsi="宋体"/>
        </w:rPr>
      </w:pPr>
      <w:r>
        <w:rPr>
          <w:rFonts w:hint="eastAsia" w:ascii="宋体" w:hAnsi="宋体"/>
        </w:rPr>
        <w:t>——</w:t>
      </w:r>
      <w:r>
        <w:rPr>
          <w:rFonts w:ascii="宋体" w:hAnsi="宋体"/>
        </w:rPr>
        <w:t>2011年1月17日在南雄市</w:t>
      </w:r>
      <w:r>
        <w:rPr>
          <w:rFonts w:hint="eastAsia" w:ascii="宋体" w:hAnsi="宋体"/>
        </w:rPr>
        <w:t>第十三届人民代表大会第六次会议上</w:t>
      </w:r>
    </w:p>
    <w:p w14:paraId="01DB1F55">
      <w:pPr>
        <w:ind w:firstLine="0" w:firstLineChars="0"/>
        <w:jc w:val="center"/>
        <w:rPr>
          <w:rFonts w:ascii="宋体" w:hAnsi="宋体"/>
          <w:b/>
        </w:rPr>
      </w:pPr>
      <w:r>
        <w:rPr>
          <w:rFonts w:hint="eastAsia" w:ascii="宋体" w:hAnsi="宋体"/>
          <w:b/>
        </w:rPr>
        <w:t>代市长刘清生</w:t>
      </w:r>
    </w:p>
    <w:p w14:paraId="6341E69D">
      <w:pPr>
        <w:ind w:firstLine="0" w:firstLineChars="0"/>
        <w:rPr>
          <w:rFonts w:ascii="宋体" w:hAnsi="宋体"/>
        </w:rPr>
      </w:pPr>
      <w:r>
        <w:rPr>
          <w:rFonts w:hint="eastAsia" w:ascii="宋体" w:hAnsi="宋体"/>
        </w:rPr>
        <w:t>各位代表：我代表市人民政府向大会作政府工作报告，请予审议，并请政协各位委员和其他列席人员提出意见。</w:t>
      </w:r>
    </w:p>
    <w:p w14:paraId="42276E43">
      <w:pPr>
        <w:ind w:firstLine="0" w:firstLineChars="0"/>
        <w:jc w:val="center"/>
        <w:rPr>
          <w:rFonts w:ascii="宋体" w:hAnsi="宋体"/>
          <w:b/>
        </w:rPr>
      </w:pPr>
      <w:r>
        <w:rPr>
          <w:rFonts w:hint="eastAsia" w:ascii="宋体" w:hAnsi="宋体"/>
          <w:b/>
        </w:rPr>
        <w:t>“十一五”时期的工作回顾</w:t>
      </w:r>
    </w:p>
    <w:p w14:paraId="0EF477C3">
      <w:pPr>
        <w:ind w:firstLine="420"/>
        <w:rPr>
          <w:rFonts w:ascii="宋体" w:hAnsi="宋体"/>
        </w:rPr>
      </w:pPr>
      <w:r>
        <w:rPr>
          <w:rFonts w:hint="eastAsia" w:ascii="宋体" w:hAnsi="宋体"/>
        </w:rPr>
        <w:t>“十一五”时期是不平凡的五年，是南雄市经济和社会发展步入快速发展轨道，并取得重大成就的五年。在中共南雄市委的正确领导下，在市人大和市政协的监督支持下，市人民政府紧密团结和依靠全市人民，坚持以邓小平理论和“三个代表”重要思想为指导，牢固树立和落实科学发展观，全面贯彻党的十七大及各次全会精神，抢抓机遇，攻坚克难，战胜了冰灾、洪涝等自然灾害，经济社会保持协调快速发展。市十三届人大五次会议确定的</w:t>
      </w:r>
      <w:r>
        <w:rPr>
          <w:rFonts w:ascii="宋体" w:hAnsi="宋体"/>
        </w:rPr>
        <w:t>2010年各项目标顺利实现，市</w:t>
      </w:r>
      <w:r>
        <w:rPr>
          <w:rFonts w:hint="eastAsia" w:ascii="宋体" w:hAnsi="宋体"/>
        </w:rPr>
        <w:t>十二届人大四次会议通过的“十一五”规划纲要各项目标圆满完成。</w:t>
      </w:r>
      <w:r>
        <w:rPr>
          <w:rFonts w:ascii="宋体" w:hAnsi="宋体"/>
        </w:rPr>
        <w:t>2010年，南雄市被</w:t>
      </w:r>
      <w:r>
        <w:rPr>
          <w:rFonts w:hint="eastAsia" w:ascii="宋体" w:hAnsi="宋体"/>
        </w:rPr>
        <w:t>列为“省财政直管试点县”，被确认为“中央苏区县”，精细化工园区被认定为“省产业转移工业园”，为南雄可持续发展奠定了良好基础。</w:t>
      </w:r>
    </w:p>
    <w:p w14:paraId="7DCB35F2">
      <w:pPr>
        <w:ind w:firstLine="422"/>
        <w:rPr>
          <w:rFonts w:ascii="宋体" w:hAnsi="宋体"/>
          <w:b/>
        </w:rPr>
      </w:pPr>
      <w:r>
        <w:rPr>
          <w:rFonts w:hint="eastAsia" w:ascii="宋体" w:hAnsi="宋体"/>
          <w:b/>
        </w:rPr>
        <w:t>一、综合经济实力迈上新台阶</w:t>
      </w:r>
    </w:p>
    <w:p w14:paraId="7B8B9155">
      <w:pPr>
        <w:ind w:firstLine="420"/>
        <w:rPr>
          <w:rFonts w:ascii="宋体" w:hAnsi="宋体"/>
        </w:rPr>
      </w:pPr>
      <w:r>
        <w:rPr>
          <w:rFonts w:ascii="宋体" w:hAnsi="宋体"/>
        </w:rPr>
        <w:t>2010年预计（下同）全市生产总值达到56.27亿元，比上年增长14.2%，五年年均增</w:t>
      </w:r>
      <w:r>
        <w:rPr>
          <w:rFonts w:hint="eastAsia" w:ascii="宋体" w:hAnsi="宋体"/>
        </w:rPr>
        <w:t>长</w:t>
      </w:r>
      <w:r>
        <w:rPr>
          <w:rFonts w:ascii="宋体" w:hAnsi="宋体"/>
        </w:rPr>
        <w:t>16.5%，人均生产总值达到13403元，比</w:t>
      </w:r>
      <w:r>
        <w:rPr>
          <w:rFonts w:hint="eastAsia" w:ascii="宋体" w:hAnsi="宋体"/>
        </w:rPr>
        <w:t>上年增长</w:t>
      </w:r>
      <w:r>
        <w:rPr>
          <w:rFonts w:ascii="宋体" w:hAnsi="宋体"/>
        </w:rPr>
        <w:t>14.1%，五年年均增长16.1%。</w:t>
      </w:r>
    </w:p>
    <w:p w14:paraId="563CBF00">
      <w:pPr>
        <w:ind w:firstLine="420"/>
        <w:rPr>
          <w:rFonts w:ascii="宋体" w:hAnsi="宋体"/>
        </w:rPr>
      </w:pPr>
      <w:r>
        <w:rPr>
          <w:rFonts w:ascii="宋体" w:hAnsi="宋体"/>
        </w:rPr>
        <w:t>2010年财政总收入达到9.35亿元，比上</w:t>
      </w:r>
      <w:r>
        <w:rPr>
          <w:rFonts w:hint="eastAsia" w:ascii="宋体" w:hAnsi="宋体"/>
        </w:rPr>
        <w:t>年增长</w:t>
      </w:r>
      <w:r>
        <w:rPr>
          <w:rFonts w:ascii="宋体" w:hAnsi="宋体"/>
        </w:rPr>
        <w:t>40.2%，五年年均增长18.6%；地方</w:t>
      </w:r>
      <w:r>
        <w:rPr>
          <w:rFonts w:hint="eastAsia" w:ascii="宋体" w:hAnsi="宋体"/>
        </w:rPr>
        <w:t>一般预算收入</w:t>
      </w:r>
      <w:r>
        <w:rPr>
          <w:rFonts w:ascii="宋体" w:hAnsi="宋体"/>
        </w:rPr>
        <w:t>2.83亿元，比上年增长25.1%，比</w:t>
      </w:r>
      <w:r>
        <w:rPr>
          <w:rFonts w:hint="eastAsia" w:ascii="宋体" w:hAnsi="宋体"/>
        </w:rPr>
        <w:t>“</w:t>
      </w:r>
      <w:r>
        <w:rPr>
          <w:rFonts w:ascii="宋体" w:hAnsi="宋体"/>
        </w:rPr>
        <w:t>十五</w:t>
      </w:r>
      <w:r>
        <w:rPr>
          <w:rFonts w:hint="eastAsia" w:ascii="宋体" w:hAnsi="宋体"/>
        </w:rPr>
        <w:t>”</w:t>
      </w:r>
      <w:r>
        <w:rPr>
          <w:rFonts w:ascii="宋体" w:hAnsi="宋体"/>
        </w:rPr>
        <w:t>期末增长2.02倍，年均</w:t>
      </w:r>
      <w:r>
        <w:rPr>
          <w:rFonts w:hint="eastAsia" w:ascii="宋体" w:hAnsi="宋体"/>
        </w:rPr>
        <w:t>增长</w:t>
      </w:r>
      <w:r>
        <w:rPr>
          <w:rFonts w:ascii="宋体" w:hAnsi="宋体"/>
        </w:rPr>
        <w:t>24.8%</w:t>
      </w:r>
      <w:r>
        <w:rPr>
          <w:rFonts w:hint="eastAsia" w:ascii="宋体" w:hAnsi="宋体"/>
        </w:rPr>
        <w:t>。</w:t>
      </w:r>
    </w:p>
    <w:p w14:paraId="3B3D36EC">
      <w:pPr>
        <w:ind w:firstLine="420"/>
        <w:rPr>
          <w:rFonts w:ascii="宋体" w:hAnsi="宋体"/>
        </w:rPr>
      </w:pPr>
      <w:r>
        <w:rPr>
          <w:rFonts w:ascii="宋体" w:hAnsi="宋体"/>
        </w:rPr>
        <w:t>2010年国税收入1.09亿元，比上年增长3.6%，五年年均增长9.3%；地税收入2.96</w:t>
      </w:r>
      <w:r>
        <w:rPr>
          <w:rFonts w:hint="eastAsia" w:ascii="宋体" w:hAnsi="宋体"/>
        </w:rPr>
        <w:t>亿元，比上年增长</w:t>
      </w:r>
      <w:r>
        <w:rPr>
          <w:rFonts w:ascii="宋体" w:hAnsi="宋体"/>
        </w:rPr>
        <w:t>24.9%，五年年均增长28.6%；2010年末金融机构人民币存款56.63</w:t>
      </w:r>
      <w:r>
        <w:rPr>
          <w:rFonts w:hint="eastAsia" w:ascii="宋体" w:hAnsi="宋体"/>
        </w:rPr>
        <w:t>亿元，比上年末增长</w:t>
      </w:r>
      <w:r>
        <w:rPr>
          <w:rFonts w:ascii="宋体" w:hAnsi="宋体"/>
        </w:rPr>
        <w:t>17%，五年年均增</w:t>
      </w:r>
      <w:r>
        <w:rPr>
          <w:rFonts w:hint="eastAsia" w:ascii="宋体" w:hAnsi="宋体"/>
        </w:rPr>
        <w:t>长</w:t>
      </w:r>
      <w:r>
        <w:rPr>
          <w:rFonts w:ascii="宋体" w:hAnsi="宋体"/>
        </w:rPr>
        <w:t>14.4%。</w:t>
      </w:r>
    </w:p>
    <w:p w14:paraId="3201BD0A">
      <w:pPr>
        <w:ind w:firstLine="422"/>
        <w:rPr>
          <w:rFonts w:ascii="宋体" w:hAnsi="宋体"/>
          <w:b/>
        </w:rPr>
      </w:pPr>
      <w:r>
        <w:rPr>
          <w:rFonts w:hint="eastAsia" w:ascii="宋体" w:hAnsi="宋体"/>
          <w:b/>
        </w:rPr>
        <w:t>二、产业结构调整取得新突破</w:t>
      </w:r>
    </w:p>
    <w:p w14:paraId="22B63288">
      <w:pPr>
        <w:ind w:firstLine="422"/>
        <w:rPr>
          <w:rFonts w:ascii="宋体" w:hAnsi="宋体"/>
        </w:rPr>
      </w:pPr>
      <w:r>
        <w:rPr>
          <w:rFonts w:hint="eastAsia" w:ascii="宋体" w:hAnsi="宋体"/>
          <w:b/>
        </w:rPr>
        <w:t>工业经济总量不断壮大。</w:t>
      </w:r>
      <w:r>
        <w:rPr>
          <w:rFonts w:ascii="宋体" w:hAnsi="宋体"/>
        </w:rPr>
        <w:t>2010年，全市</w:t>
      </w:r>
      <w:r>
        <w:rPr>
          <w:rFonts w:hint="eastAsia" w:ascii="宋体" w:hAnsi="宋体"/>
        </w:rPr>
        <w:t>完成工业总产值</w:t>
      </w:r>
      <w:r>
        <w:rPr>
          <w:rFonts w:ascii="宋体" w:hAnsi="宋体"/>
        </w:rPr>
        <w:t>42.4亿元，比上年增长36%，</w:t>
      </w:r>
      <w:r>
        <w:rPr>
          <w:rFonts w:hint="eastAsia" w:ascii="宋体" w:hAnsi="宋体"/>
        </w:rPr>
        <w:t>“</w:t>
      </w:r>
      <w:r>
        <w:rPr>
          <w:rFonts w:ascii="宋体" w:hAnsi="宋体"/>
        </w:rPr>
        <w:t>十一五</w:t>
      </w:r>
      <w:r>
        <w:rPr>
          <w:rFonts w:hint="eastAsia" w:ascii="宋体" w:hAnsi="宋体"/>
        </w:rPr>
        <w:t>”</w:t>
      </w:r>
      <w:r>
        <w:rPr>
          <w:rFonts w:ascii="宋体" w:hAnsi="宋体"/>
        </w:rPr>
        <w:t>期间年均增长27%，工业增</w:t>
      </w:r>
      <w:r>
        <w:rPr>
          <w:rFonts w:hint="eastAsia" w:ascii="宋体" w:hAnsi="宋体"/>
        </w:rPr>
        <w:t>加值</w:t>
      </w:r>
      <w:r>
        <w:rPr>
          <w:rFonts w:ascii="宋体" w:hAnsi="宋体"/>
        </w:rPr>
        <w:t>9.91亿元，比</w:t>
      </w:r>
      <w:r>
        <w:rPr>
          <w:rFonts w:hint="eastAsia" w:ascii="宋体" w:hAnsi="宋体"/>
        </w:rPr>
        <w:t>“</w:t>
      </w:r>
      <w:r>
        <w:rPr>
          <w:rFonts w:ascii="宋体" w:hAnsi="宋体"/>
        </w:rPr>
        <w:t>十五</w:t>
      </w:r>
      <w:r>
        <w:rPr>
          <w:rFonts w:hint="eastAsia" w:ascii="宋体" w:hAnsi="宋体"/>
        </w:rPr>
        <w:t>”</w:t>
      </w:r>
      <w:r>
        <w:rPr>
          <w:rFonts w:ascii="宋体" w:hAnsi="宋体"/>
        </w:rPr>
        <w:t>期末增长3倍。</w:t>
      </w:r>
      <w:r>
        <w:rPr>
          <w:rFonts w:hint="eastAsia" w:ascii="宋体" w:hAnsi="宋体"/>
        </w:rPr>
        <w:t>规模以上工业企业数量达</w:t>
      </w:r>
      <w:r>
        <w:rPr>
          <w:rFonts w:ascii="宋体" w:hAnsi="宋体"/>
        </w:rPr>
        <w:t>55家、实现增加值6.11亿元，分别比</w:t>
      </w:r>
      <w:r>
        <w:rPr>
          <w:rFonts w:hint="eastAsia" w:ascii="宋体" w:hAnsi="宋体"/>
        </w:rPr>
        <w:t>“</w:t>
      </w:r>
      <w:r>
        <w:rPr>
          <w:rFonts w:ascii="宋体" w:hAnsi="宋体"/>
        </w:rPr>
        <w:t>十五</w:t>
      </w:r>
      <w:r>
        <w:rPr>
          <w:rFonts w:hint="eastAsia" w:ascii="宋体" w:hAnsi="宋体"/>
        </w:rPr>
        <w:t>”</w:t>
      </w:r>
      <w:r>
        <w:rPr>
          <w:rFonts w:ascii="宋体" w:hAnsi="宋体"/>
        </w:rPr>
        <w:t>期末增长175%</w:t>
      </w:r>
      <w:r>
        <w:rPr>
          <w:rFonts w:hint="eastAsia" w:ascii="宋体" w:hAnsi="宋体"/>
        </w:rPr>
        <w:t>和</w:t>
      </w:r>
      <w:r>
        <w:rPr>
          <w:rFonts w:ascii="宋体" w:hAnsi="宋体"/>
        </w:rPr>
        <w:t>352.6%。</w:t>
      </w:r>
    </w:p>
    <w:p w14:paraId="64C321D3">
      <w:pPr>
        <w:ind w:firstLine="420"/>
        <w:rPr>
          <w:rFonts w:ascii="宋体" w:hAnsi="宋体"/>
        </w:rPr>
      </w:pPr>
      <w:r>
        <w:rPr>
          <w:rFonts w:hint="eastAsia" w:ascii="宋体" w:hAnsi="宋体"/>
        </w:rPr>
        <w:t>浆纸制造、陶瓷建材产业发展扎实推进。珠玑纸业造纸产能达</w:t>
      </w:r>
      <w:r>
        <w:rPr>
          <w:rFonts w:ascii="宋体" w:hAnsi="宋体"/>
        </w:rPr>
        <w:t>2.65万吨，制浆产能达</w:t>
      </w:r>
      <w:r>
        <w:rPr>
          <w:rFonts w:hint="eastAsia" w:ascii="宋体" w:hAnsi="宋体"/>
        </w:rPr>
        <w:t>到</w:t>
      </w:r>
      <w:r>
        <w:rPr>
          <w:rFonts w:ascii="宋体" w:hAnsi="宋体"/>
        </w:rPr>
        <w:t>6.5万吨，比</w:t>
      </w:r>
      <w:r>
        <w:rPr>
          <w:rFonts w:hint="eastAsia" w:ascii="宋体" w:hAnsi="宋体"/>
        </w:rPr>
        <w:t>“</w:t>
      </w:r>
      <w:r>
        <w:rPr>
          <w:rFonts w:ascii="宋体" w:hAnsi="宋体"/>
        </w:rPr>
        <w:t>十五</w:t>
      </w:r>
      <w:r>
        <w:rPr>
          <w:rFonts w:hint="eastAsia" w:ascii="宋体" w:hAnsi="宋体"/>
        </w:rPr>
        <w:t>”</w:t>
      </w:r>
      <w:r>
        <w:rPr>
          <w:rFonts w:ascii="宋体" w:hAnsi="宋体"/>
        </w:rPr>
        <w:t>期末增长2.5倍；</w:t>
      </w:r>
      <w:r>
        <w:rPr>
          <w:rFonts w:hint="eastAsia" w:ascii="宋体" w:hAnsi="宋体"/>
        </w:rPr>
        <w:t>乐华陶瓷（一期）已建成投产，产能达</w:t>
      </w:r>
      <w:r>
        <w:rPr>
          <w:rFonts w:ascii="宋体" w:hAnsi="宋体"/>
        </w:rPr>
        <w:t>300</w:t>
      </w:r>
      <w:r>
        <w:rPr>
          <w:rFonts w:hint="eastAsia" w:ascii="宋体" w:hAnsi="宋体"/>
        </w:rPr>
        <w:t>万平米；</w:t>
      </w:r>
      <w:r>
        <w:rPr>
          <w:rFonts w:ascii="宋体" w:hAnsi="宋体"/>
        </w:rPr>
        <w:t>180万吨新型干法水泥生产线正在建</w:t>
      </w:r>
      <w:r>
        <w:rPr>
          <w:rFonts w:hint="eastAsia" w:ascii="宋体" w:hAnsi="宋体"/>
        </w:rPr>
        <w:t>设之中。</w:t>
      </w:r>
    </w:p>
    <w:p w14:paraId="0B7312D4">
      <w:pPr>
        <w:ind w:firstLine="422"/>
        <w:rPr>
          <w:rFonts w:ascii="宋体" w:hAnsi="宋体"/>
        </w:rPr>
      </w:pPr>
      <w:r>
        <w:rPr>
          <w:rFonts w:hint="eastAsia" w:ascii="宋体" w:hAnsi="宋体"/>
          <w:b/>
        </w:rPr>
        <w:t>特色鲜明的精细化工产业初步形成。</w:t>
      </w:r>
      <w:r>
        <w:rPr>
          <w:rFonts w:hint="eastAsia" w:ascii="宋体" w:hAnsi="宋体"/>
        </w:rPr>
        <w:t>截至</w:t>
      </w:r>
      <w:r>
        <w:rPr>
          <w:rFonts w:ascii="宋体" w:hAnsi="宋体"/>
        </w:rPr>
        <w:t>2010年底，入驻园区（一期）的精细化工</w:t>
      </w:r>
      <w:r>
        <w:rPr>
          <w:rFonts w:hint="eastAsia" w:ascii="宋体" w:hAnsi="宋体"/>
        </w:rPr>
        <w:t>及配套企业有</w:t>
      </w:r>
      <w:r>
        <w:rPr>
          <w:rFonts w:ascii="宋体" w:hAnsi="宋体"/>
        </w:rPr>
        <w:t>96家，其中投试产企业35家，</w:t>
      </w:r>
      <w:r>
        <w:rPr>
          <w:rFonts w:hint="eastAsia" w:ascii="宋体" w:hAnsi="宋体"/>
        </w:rPr>
        <w:t>园区投产企业实现工业总产值</w:t>
      </w:r>
      <w:r>
        <w:rPr>
          <w:rFonts w:ascii="宋体" w:hAnsi="宋体"/>
        </w:rPr>
        <w:t>11.9亿元，实</w:t>
      </w:r>
      <w:r>
        <w:rPr>
          <w:rFonts w:hint="eastAsia" w:ascii="宋体" w:hAnsi="宋体"/>
        </w:rPr>
        <w:t>现了园区工业零的突破。</w:t>
      </w:r>
      <w:r>
        <w:rPr>
          <w:rFonts w:ascii="宋体" w:hAnsi="宋体"/>
        </w:rPr>
        <w:t>2010年，东莞大岭</w:t>
      </w:r>
      <w:r>
        <w:rPr>
          <w:rFonts w:hint="eastAsia" w:ascii="宋体" w:hAnsi="宋体"/>
        </w:rPr>
        <w:t>山（南雄）产业转移工业园被认定为省产业转移工业园，并在全省专业性产业转移工业园竞争性扶持资金竞标中脱颖而出，以总分第一名的成绩，获得化工材料专业方向的园区建设扶持资金</w:t>
      </w:r>
      <w:r>
        <w:rPr>
          <w:rFonts w:ascii="宋体" w:hAnsi="宋体"/>
        </w:rPr>
        <w:t>1亿元</w:t>
      </w:r>
      <w:r>
        <w:rPr>
          <w:rFonts w:hint="eastAsia" w:ascii="宋体" w:hAnsi="宋体"/>
        </w:rPr>
        <w:t>。</w:t>
      </w:r>
    </w:p>
    <w:p w14:paraId="48D9B15B">
      <w:pPr>
        <w:ind w:firstLine="422"/>
        <w:rPr>
          <w:rFonts w:hint="eastAsia" w:ascii="宋体" w:hAnsi="宋体"/>
        </w:rPr>
      </w:pPr>
      <w:r>
        <w:rPr>
          <w:rFonts w:hint="eastAsia" w:ascii="宋体" w:hAnsi="宋体"/>
          <w:b/>
        </w:rPr>
        <w:t>第三产业蓬勃发展。</w:t>
      </w:r>
      <w:r>
        <w:rPr>
          <w:rFonts w:hint="eastAsia" w:ascii="宋体" w:hAnsi="宋体"/>
        </w:rPr>
        <w:t>“万村千乡市场工程”，“家电下乡、以旧换新”政策的顺利实施，有效地拉动了内需，</w:t>
      </w:r>
      <w:r>
        <w:rPr>
          <w:rFonts w:ascii="宋体" w:hAnsi="宋体"/>
        </w:rPr>
        <w:t>2010年，全社会消</w:t>
      </w:r>
      <w:r>
        <w:rPr>
          <w:rFonts w:hint="eastAsia" w:ascii="宋体" w:hAnsi="宋体"/>
        </w:rPr>
        <w:t>费品零售总额达到</w:t>
      </w:r>
      <w:r>
        <w:rPr>
          <w:rFonts w:ascii="宋体" w:hAnsi="宋体"/>
        </w:rPr>
        <w:t>24.53亿元，比上年增长18.6%，五年年均增长20.2%。旅游业进</w:t>
      </w:r>
      <w:r>
        <w:rPr>
          <w:rFonts w:hint="eastAsia" w:ascii="宋体" w:hAnsi="宋体"/>
        </w:rPr>
        <w:t>一步发展，旅游总收入实现</w:t>
      </w:r>
      <w:r>
        <w:rPr>
          <w:rFonts w:ascii="宋体" w:hAnsi="宋体"/>
        </w:rPr>
        <w:t>4.58亿元，比上年</w:t>
      </w:r>
      <w:r>
        <w:rPr>
          <w:rFonts w:hint="eastAsia" w:ascii="宋体" w:hAnsi="宋体"/>
        </w:rPr>
        <w:t>增长</w:t>
      </w:r>
      <w:r>
        <w:rPr>
          <w:rFonts w:ascii="宋体" w:hAnsi="宋体"/>
        </w:rPr>
        <w:t>31.2%，五年年均增长28.6%。</w:t>
      </w:r>
    </w:p>
    <w:p w14:paraId="1D4C3C45">
      <w:pPr>
        <w:ind w:firstLine="422"/>
        <w:rPr>
          <w:rFonts w:ascii="宋体" w:hAnsi="宋体"/>
        </w:rPr>
      </w:pPr>
      <w:r>
        <w:rPr>
          <w:rFonts w:hint="eastAsia" w:ascii="宋体" w:hAnsi="宋体"/>
          <w:b/>
        </w:rPr>
        <w:t>民营经济发展加快。</w:t>
      </w:r>
      <w:r>
        <w:rPr>
          <w:rFonts w:ascii="宋体" w:hAnsi="宋体"/>
        </w:rPr>
        <w:t>2010年，全市共有</w:t>
      </w:r>
      <w:r>
        <w:rPr>
          <w:rFonts w:hint="eastAsia" w:ascii="宋体" w:hAnsi="宋体"/>
        </w:rPr>
        <w:t>个体工商户</w:t>
      </w:r>
      <w:r>
        <w:rPr>
          <w:rFonts w:ascii="宋体" w:hAnsi="宋体"/>
        </w:rPr>
        <w:t>7922户，私营企业621户，比上</w:t>
      </w:r>
      <w:r>
        <w:rPr>
          <w:rFonts w:hint="eastAsia" w:ascii="宋体" w:hAnsi="宋体"/>
        </w:rPr>
        <w:t>年增长</w:t>
      </w:r>
      <w:r>
        <w:rPr>
          <w:rFonts w:ascii="宋体" w:hAnsi="宋体"/>
        </w:rPr>
        <w:t>22.7%，五年年均增长20.9%；民营</w:t>
      </w:r>
      <w:r>
        <w:rPr>
          <w:rFonts w:hint="eastAsia" w:ascii="宋体" w:hAnsi="宋体"/>
        </w:rPr>
        <w:t>企业缴纳税收</w:t>
      </w:r>
      <w:r>
        <w:rPr>
          <w:rFonts w:ascii="宋体" w:hAnsi="宋体"/>
        </w:rPr>
        <w:t>6846万元，比上年增长9.4%，</w:t>
      </w:r>
      <w:r>
        <w:rPr>
          <w:rFonts w:hint="eastAsia" w:ascii="宋体" w:hAnsi="宋体"/>
        </w:rPr>
        <w:t>五年年均增长</w:t>
      </w:r>
      <w:r>
        <w:rPr>
          <w:rFonts w:ascii="宋体" w:hAnsi="宋体"/>
        </w:rPr>
        <w:t>12.8%。</w:t>
      </w:r>
    </w:p>
    <w:p w14:paraId="70FA9F8C">
      <w:pPr>
        <w:ind w:firstLine="420"/>
        <w:rPr>
          <w:rFonts w:ascii="宋体" w:hAnsi="宋体"/>
        </w:rPr>
      </w:pPr>
      <w:r>
        <w:rPr>
          <w:rFonts w:hint="eastAsia" w:ascii="宋体" w:hAnsi="宋体"/>
        </w:rPr>
        <w:t>“十一五”期间，南雄市三大产业结构比例由</w:t>
      </w:r>
      <w:r>
        <w:rPr>
          <w:rFonts w:ascii="宋体" w:hAnsi="宋体"/>
        </w:rPr>
        <w:t>2005年的42.3</w:t>
      </w:r>
      <w:r>
        <w:rPr>
          <w:rFonts w:hint="eastAsia" w:ascii="宋体" w:hAnsi="宋体"/>
        </w:rPr>
        <w:t>：</w:t>
      </w:r>
      <w:r>
        <w:rPr>
          <w:rFonts w:ascii="宋体" w:hAnsi="宋体"/>
        </w:rPr>
        <w:t>15.4</w:t>
      </w:r>
      <w:r>
        <w:rPr>
          <w:rFonts w:hint="eastAsia" w:ascii="宋体" w:hAnsi="宋体"/>
        </w:rPr>
        <w:t>：</w:t>
      </w:r>
      <w:r>
        <w:rPr>
          <w:rFonts w:ascii="宋体" w:hAnsi="宋体"/>
        </w:rPr>
        <w:t>42.3调整为2010年的28.5</w:t>
      </w:r>
      <w:r>
        <w:rPr>
          <w:rFonts w:hint="eastAsia" w:ascii="宋体" w:hAnsi="宋体"/>
        </w:rPr>
        <w:t>：</w:t>
      </w:r>
      <w:r>
        <w:rPr>
          <w:rFonts w:ascii="宋体" w:hAnsi="宋体"/>
        </w:rPr>
        <w:t>27.3</w:t>
      </w:r>
      <w:r>
        <w:rPr>
          <w:rFonts w:hint="eastAsia" w:ascii="宋体" w:hAnsi="宋体"/>
        </w:rPr>
        <w:t>：</w:t>
      </w:r>
      <w:r>
        <w:rPr>
          <w:rFonts w:ascii="宋体" w:hAnsi="宋体"/>
        </w:rPr>
        <w:t>44.2。</w:t>
      </w:r>
    </w:p>
    <w:p w14:paraId="1224A7C1">
      <w:pPr>
        <w:ind w:firstLine="422"/>
        <w:rPr>
          <w:rFonts w:ascii="宋体" w:hAnsi="宋体"/>
          <w:b/>
        </w:rPr>
      </w:pPr>
      <w:r>
        <w:rPr>
          <w:rFonts w:hint="eastAsia" w:ascii="宋体" w:hAnsi="宋体"/>
          <w:b/>
        </w:rPr>
        <w:t>三、基础设施建设实现大跨越</w:t>
      </w:r>
    </w:p>
    <w:p w14:paraId="272BBA6A">
      <w:pPr>
        <w:ind w:firstLine="422"/>
        <w:rPr>
          <w:rFonts w:ascii="宋体" w:hAnsi="宋体"/>
        </w:rPr>
      </w:pPr>
      <w:r>
        <w:rPr>
          <w:rFonts w:hint="eastAsia" w:ascii="宋体" w:hAnsi="宋体"/>
          <w:b/>
        </w:rPr>
        <w:t>交通基础设施不断升级。</w:t>
      </w:r>
      <w:r>
        <w:rPr>
          <w:rFonts w:hint="eastAsia" w:ascii="宋体" w:hAnsi="宋体"/>
        </w:rPr>
        <w:t>“十一五”期间，韶赣高速公路南雄段建成通车，韶赣铁路南雄段建设顺利推进。改建（续建）国道</w:t>
      </w:r>
      <w:r>
        <w:rPr>
          <w:rFonts w:ascii="宋体" w:hAnsi="宋体"/>
        </w:rPr>
        <w:t>G323线一级公路头塘铺至古市路段16.2公</w:t>
      </w:r>
      <w:r>
        <w:rPr>
          <w:rFonts w:hint="eastAsia" w:ascii="宋体" w:hAnsi="宋体"/>
        </w:rPr>
        <w:t>里、南雄穿城段路面</w:t>
      </w:r>
      <w:r>
        <w:rPr>
          <w:rFonts w:ascii="宋体" w:hAnsi="宋体"/>
        </w:rPr>
        <w:t>9.6公里，改造县道57.4公里，农村公路硬底化建设689</w:t>
      </w:r>
      <w:r>
        <w:rPr>
          <w:rFonts w:hint="eastAsia" w:ascii="宋体" w:hAnsi="宋体"/>
        </w:rPr>
        <w:t>.</w:t>
      </w:r>
      <w:r>
        <w:rPr>
          <w:rFonts w:ascii="宋体" w:hAnsi="宋体"/>
        </w:rPr>
        <w:t>3公里</w:t>
      </w:r>
      <w:r>
        <w:rPr>
          <w:rFonts w:hint="eastAsia" w:ascii="宋体" w:hAnsi="宋体"/>
        </w:rPr>
        <w:t>，新建河坪大桥、柴岭大桥等桥梁</w:t>
      </w:r>
      <w:r>
        <w:rPr>
          <w:rFonts w:ascii="宋体" w:hAnsi="宋体"/>
        </w:rPr>
        <w:t>17座，新建</w:t>
      </w:r>
      <w:r>
        <w:rPr>
          <w:rFonts w:hint="eastAsia" w:ascii="宋体" w:hAnsi="宋体"/>
        </w:rPr>
        <w:t>江头车站和候车亭</w:t>
      </w:r>
      <w:r>
        <w:rPr>
          <w:rFonts w:ascii="宋体" w:hAnsi="宋体"/>
        </w:rPr>
        <w:t>60多个。行政村全面通了</w:t>
      </w:r>
      <w:r>
        <w:rPr>
          <w:rFonts w:hint="eastAsia" w:ascii="宋体" w:hAnsi="宋体"/>
        </w:rPr>
        <w:t>水泥路，提前一年完成省委、省政府提出的“村村通水泥路”的目标。“十一五”期间，交通建设累计总投资</w:t>
      </w:r>
      <w:r>
        <w:rPr>
          <w:rFonts w:ascii="宋体" w:hAnsi="宋体"/>
        </w:rPr>
        <w:t>29.88亿元，目前全市</w:t>
      </w:r>
      <w:r>
        <w:rPr>
          <w:rFonts w:hint="eastAsia" w:ascii="宋体" w:hAnsi="宋体"/>
        </w:rPr>
        <w:t>公路通车里程达</w:t>
      </w:r>
      <w:r>
        <w:rPr>
          <w:rFonts w:ascii="宋体" w:hAnsi="宋体"/>
        </w:rPr>
        <w:t>2062公里。</w:t>
      </w:r>
    </w:p>
    <w:p w14:paraId="15979A64">
      <w:pPr>
        <w:ind w:firstLine="422"/>
        <w:rPr>
          <w:rFonts w:ascii="宋体" w:hAnsi="宋体"/>
        </w:rPr>
      </w:pPr>
      <w:r>
        <w:rPr>
          <w:rFonts w:hint="eastAsia" w:ascii="宋体" w:hAnsi="宋体"/>
          <w:b/>
        </w:rPr>
        <w:t>能源建设实现新发展。</w:t>
      </w:r>
      <w:r>
        <w:rPr>
          <w:rFonts w:ascii="宋体" w:hAnsi="宋体"/>
        </w:rPr>
        <w:t>2010年，国家西</w:t>
      </w:r>
      <w:r>
        <w:rPr>
          <w:rFonts w:hint="eastAsia" w:ascii="宋体" w:hAnsi="宋体"/>
        </w:rPr>
        <w:t>气东输二线管道工程基本建成。五年投入电网建设资金</w:t>
      </w:r>
      <w:r>
        <w:rPr>
          <w:rFonts w:ascii="宋体" w:hAnsi="宋体"/>
        </w:rPr>
        <w:t>7.8亿元，新建了珠玑220KV变</w:t>
      </w:r>
      <w:r>
        <w:rPr>
          <w:rFonts w:hint="eastAsia" w:ascii="宋体" w:hAnsi="宋体"/>
        </w:rPr>
        <w:t>电站等一大批电力设施，进行了大面积的农村电网改造，实现了城乡同网同价。</w:t>
      </w:r>
    </w:p>
    <w:p w14:paraId="16FCD718">
      <w:pPr>
        <w:ind w:firstLine="422"/>
        <w:rPr>
          <w:rFonts w:ascii="宋体" w:hAnsi="宋体"/>
        </w:rPr>
      </w:pPr>
      <w:r>
        <w:rPr>
          <w:rFonts w:hint="eastAsia" w:ascii="宋体" w:hAnsi="宋体"/>
          <w:b/>
        </w:rPr>
        <w:t>城乡水利防灾减灾工程全面完成。</w:t>
      </w:r>
      <w:r>
        <w:rPr>
          <w:rFonts w:ascii="宋体" w:hAnsi="宋体"/>
        </w:rPr>
        <w:t>2010</w:t>
      </w:r>
      <w:r>
        <w:rPr>
          <w:rFonts w:hint="eastAsia" w:ascii="宋体" w:hAnsi="宋体"/>
        </w:rPr>
        <w:t>年，完成了宝江水库除险加固工程建设，实施了农村饮水安全工程建设。“十一五”期间，五年共投入水利建设资金</w:t>
      </w:r>
      <w:r>
        <w:rPr>
          <w:rFonts w:ascii="宋体" w:hAnsi="宋体"/>
        </w:rPr>
        <w:t>2.45亿元，高</w:t>
      </w:r>
      <w:r>
        <w:rPr>
          <w:rFonts w:hint="eastAsia" w:ascii="宋体" w:hAnsi="宋体"/>
        </w:rPr>
        <w:t>标准完成</w:t>
      </w:r>
      <w:r>
        <w:rPr>
          <w:rFonts w:ascii="宋体" w:hAnsi="宋体"/>
        </w:rPr>
        <w:t>4宗中型水库、42宗小型水库除险</w:t>
      </w:r>
      <w:r>
        <w:rPr>
          <w:rFonts w:hint="eastAsia" w:ascii="宋体" w:hAnsi="宋体"/>
        </w:rPr>
        <w:t>加固工程建设和</w:t>
      </w:r>
      <w:r>
        <w:rPr>
          <w:rFonts w:ascii="宋体" w:hAnsi="宋体"/>
        </w:rPr>
        <w:t>27.8公里城区防洪堤建设。</w:t>
      </w:r>
    </w:p>
    <w:p w14:paraId="16770A68">
      <w:pPr>
        <w:ind w:firstLine="422"/>
        <w:rPr>
          <w:rFonts w:ascii="宋体" w:hAnsi="宋体"/>
        </w:rPr>
      </w:pPr>
      <w:r>
        <w:rPr>
          <w:rFonts w:hint="eastAsia" w:ascii="宋体" w:hAnsi="宋体"/>
          <w:b/>
        </w:rPr>
        <w:t>城市建设成效显著。</w:t>
      </w:r>
      <w:r>
        <w:rPr>
          <w:rFonts w:hint="eastAsia" w:ascii="宋体" w:hAnsi="宋体"/>
        </w:rPr>
        <w:t>五年来，投入城市建设资金</w:t>
      </w:r>
      <w:r>
        <w:rPr>
          <w:rFonts w:ascii="宋体" w:hAnsi="宋体"/>
        </w:rPr>
        <w:t>11亿元，建成了金叶大桥、金叶大</w:t>
      </w:r>
      <w:r>
        <w:rPr>
          <w:rFonts w:hint="eastAsia" w:ascii="宋体" w:hAnsi="宋体"/>
        </w:rPr>
        <w:t>道、仓前街、新马路口、高速公路城区出口道路。改造了青云西路东段、竹园路、老国道</w:t>
      </w:r>
      <w:r>
        <w:rPr>
          <w:rFonts w:ascii="宋体" w:hAnsi="宋体"/>
        </w:rPr>
        <w:t>323线穿城段，城市面貌进一步改观。</w:t>
      </w:r>
    </w:p>
    <w:p w14:paraId="0DFD148A">
      <w:pPr>
        <w:ind w:firstLine="420"/>
        <w:rPr>
          <w:rFonts w:ascii="宋体" w:hAnsi="宋体"/>
        </w:rPr>
      </w:pPr>
      <w:r>
        <w:rPr>
          <w:rFonts w:ascii="宋体" w:hAnsi="宋体"/>
        </w:rPr>
        <w:t>2010年，全市完成固定资产投资56亿</w:t>
      </w:r>
      <w:r>
        <w:rPr>
          <w:rFonts w:hint="eastAsia" w:ascii="宋体" w:hAnsi="宋体"/>
        </w:rPr>
        <w:t>元，比上年增长</w:t>
      </w:r>
      <w:r>
        <w:rPr>
          <w:rFonts w:ascii="宋体" w:hAnsi="宋体"/>
        </w:rPr>
        <w:t>30%。</w:t>
      </w:r>
      <w:r>
        <w:rPr>
          <w:rFonts w:hint="eastAsia" w:ascii="宋体" w:hAnsi="宋体"/>
        </w:rPr>
        <w:t>“</w:t>
      </w:r>
      <w:r>
        <w:rPr>
          <w:rFonts w:ascii="宋体" w:hAnsi="宋体"/>
        </w:rPr>
        <w:t>十一五</w:t>
      </w:r>
      <w:r>
        <w:rPr>
          <w:rFonts w:hint="eastAsia" w:ascii="宋体" w:hAnsi="宋体"/>
        </w:rPr>
        <w:t>”</w:t>
      </w:r>
      <w:r>
        <w:rPr>
          <w:rFonts w:ascii="宋体" w:hAnsi="宋体"/>
        </w:rPr>
        <w:t>期间，全市</w:t>
      </w:r>
      <w:r>
        <w:rPr>
          <w:rFonts w:hint="eastAsia" w:ascii="宋体" w:hAnsi="宋体"/>
        </w:rPr>
        <w:t>累计完成固定资产投资</w:t>
      </w:r>
      <w:r>
        <w:rPr>
          <w:rFonts w:ascii="宋体" w:hAnsi="宋体"/>
        </w:rPr>
        <w:t>163.58亿元，平均每</w:t>
      </w:r>
      <w:r>
        <w:rPr>
          <w:rFonts w:hint="eastAsia" w:ascii="宋体" w:hAnsi="宋体"/>
        </w:rPr>
        <w:t>年投资</w:t>
      </w:r>
      <w:r>
        <w:rPr>
          <w:rFonts w:ascii="宋体" w:hAnsi="宋体"/>
        </w:rPr>
        <w:t>30亿元以上。</w:t>
      </w:r>
    </w:p>
    <w:p w14:paraId="563C60B1">
      <w:pPr>
        <w:ind w:firstLine="422"/>
        <w:rPr>
          <w:rFonts w:ascii="宋体" w:hAnsi="宋体"/>
          <w:b/>
        </w:rPr>
      </w:pPr>
      <w:r>
        <w:rPr>
          <w:rFonts w:hint="eastAsia" w:ascii="宋体" w:hAnsi="宋体"/>
          <w:b/>
        </w:rPr>
        <w:t>四、农村经济稳步发展</w:t>
      </w:r>
    </w:p>
    <w:p w14:paraId="4F95B5BB">
      <w:pPr>
        <w:ind w:firstLine="422"/>
        <w:rPr>
          <w:rFonts w:ascii="宋体" w:hAnsi="宋体"/>
        </w:rPr>
      </w:pPr>
      <w:r>
        <w:rPr>
          <w:rFonts w:hint="eastAsia" w:ascii="宋体" w:hAnsi="宋体"/>
          <w:b/>
        </w:rPr>
        <w:t>农业综合生产能力稳步提高。</w:t>
      </w:r>
      <w:r>
        <w:rPr>
          <w:rFonts w:ascii="宋体" w:hAnsi="宋体"/>
        </w:rPr>
        <w:t>2010年粮</w:t>
      </w:r>
      <w:r>
        <w:rPr>
          <w:rFonts w:hint="eastAsia" w:ascii="宋体" w:hAnsi="宋体"/>
        </w:rPr>
        <w:t>食播种面积</w:t>
      </w:r>
      <w:r>
        <w:rPr>
          <w:rFonts w:ascii="宋体" w:hAnsi="宋体"/>
        </w:rPr>
        <w:t>56.6</w:t>
      </w:r>
      <w:r>
        <w:rPr>
          <w:rFonts w:hint="eastAsia" w:ascii="宋体" w:hAnsi="宋体"/>
        </w:rPr>
        <w:t>9</w:t>
      </w:r>
      <w:r>
        <w:rPr>
          <w:rFonts w:ascii="宋体" w:hAnsi="宋体"/>
        </w:rPr>
        <w:t>万亩，总产达23.05万吨，</w:t>
      </w:r>
      <w:r>
        <w:rPr>
          <w:rFonts w:hint="eastAsia" w:ascii="宋体" w:hAnsi="宋体"/>
        </w:rPr>
        <w:t>比上年增长</w:t>
      </w:r>
      <w:r>
        <w:rPr>
          <w:rFonts w:ascii="宋体" w:hAnsi="宋体"/>
        </w:rPr>
        <w:t>8.7%，五年年均增长5.6%。粮</w:t>
      </w:r>
      <w:r>
        <w:rPr>
          <w:rFonts w:hint="eastAsia" w:ascii="宋体" w:hAnsi="宋体"/>
        </w:rPr>
        <w:t>食产量连年递增，商品粮达到</w:t>
      </w:r>
      <w:r>
        <w:rPr>
          <w:rFonts w:ascii="宋体" w:hAnsi="宋体"/>
        </w:rPr>
        <w:t>15万吨，被国</w:t>
      </w:r>
      <w:r>
        <w:rPr>
          <w:rFonts w:hint="eastAsia" w:ascii="宋体" w:hAnsi="宋体"/>
        </w:rPr>
        <w:t>家和省确定为“产粮大县”。黄烟、花生、蔬菜、甜玉米等经济作物有了较大的发展。</w:t>
      </w:r>
      <w:r>
        <w:rPr>
          <w:rFonts w:ascii="宋体" w:hAnsi="宋体"/>
        </w:rPr>
        <w:t>2010年黄烟播种面积14.81万亩，收购总量</w:t>
      </w:r>
      <w:r>
        <w:rPr>
          <w:rFonts w:hint="eastAsia" w:ascii="宋体" w:hAnsi="宋体"/>
        </w:rPr>
        <w:t>达</w:t>
      </w:r>
      <w:r>
        <w:rPr>
          <w:rFonts w:ascii="宋体" w:hAnsi="宋体"/>
        </w:rPr>
        <w:t>30.62万担，收购金额2.34亿元。黄烟收</w:t>
      </w:r>
      <w:r>
        <w:rPr>
          <w:rFonts w:hint="eastAsia" w:ascii="宋体" w:hAnsi="宋体"/>
        </w:rPr>
        <w:t>购总量连续</w:t>
      </w:r>
      <w:r>
        <w:rPr>
          <w:rFonts w:ascii="宋体" w:hAnsi="宋体"/>
        </w:rPr>
        <w:t>4年超过30万担，收购金额五年</w:t>
      </w:r>
      <w:r>
        <w:rPr>
          <w:rFonts w:hint="eastAsia" w:ascii="宋体" w:hAnsi="宋体"/>
        </w:rPr>
        <w:t>年均增长</w:t>
      </w:r>
      <w:r>
        <w:rPr>
          <w:rFonts w:ascii="宋体" w:hAnsi="宋体"/>
        </w:rPr>
        <w:t>10.6%。</w:t>
      </w:r>
    </w:p>
    <w:p w14:paraId="12723E82">
      <w:pPr>
        <w:ind w:firstLine="422"/>
        <w:rPr>
          <w:rFonts w:ascii="宋体" w:hAnsi="宋体"/>
        </w:rPr>
      </w:pPr>
      <w:r>
        <w:rPr>
          <w:rFonts w:hint="eastAsia" w:ascii="宋体" w:hAnsi="宋体"/>
          <w:b/>
        </w:rPr>
        <w:t>农业生产条件有较大改善。</w:t>
      </w:r>
      <w:r>
        <w:rPr>
          <w:rFonts w:hint="eastAsia" w:ascii="宋体" w:hAnsi="宋体"/>
        </w:rPr>
        <w:t>农业先进实用技术和农业机械得到广泛应用，良种覆盖率达到</w:t>
      </w:r>
      <w:r>
        <w:rPr>
          <w:rFonts w:ascii="宋体" w:hAnsi="宋体"/>
        </w:rPr>
        <w:t>95%以上，农机总动力达到28.5万千</w:t>
      </w:r>
      <w:r>
        <w:rPr>
          <w:rFonts w:hint="eastAsia" w:ascii="宋体" w:hAnsi="宋体"/>
        </w:rPr>
        <w:t>瓦。五年来，加大了农田水利基础设施建设力度，完成了农业综合开发、中低产田改造、现代标准农田示范工程等项目建设，农田整治面积</w:t>
      </w:r>
      <w:r>
        <w:rPr>
          <w:rFonts w:ascii="宋体" w:hAnsi="宋体"/>
        </w:rPr>
        <w:t>6万多亩。</w:t>
      </w:r>
    </w:p>
    <w:p w14:paraId="7DCC9CAD">
      <w:pPr>
        <w:ind w:firstLine="422"/>
        <w:rPr>
          <w:rFonts w:ascii="宋体" w:hAnsi="宋体"/>
        </w:rPr>
      </w:pPr>
      <w:r>
        <w:rPr>
          <w:rFonts w:hint="eastAsia" w:ascii="宋体" w:hAnsi="宋体"/>
          <w:b/>
        </w:rPr>
        <w:t>惠农政策得到全面落实。</w:t>
      </w:r>
      <w:r>
        <w:rPr>
          <w:rFonts w:hint="eastAsia" w:ascii="宋体" w:hAnsi="宋体"/>
        </w:rPr>
        <w:t>“十一五”时期，财政用于支农的资金达</w:t>
      </w:r>
      <w:r>
        <w:rPr>
          <w:rFonts w:ascii="宋体" w:hAnsi="宋体"/>
        </w:rPr>
        <w:t>7.4亿元。林业、</w:t>
      </w:r>
      <w:r>
        <w:rPr>
          <w:rFonts w:hint="eastAsia" w:ascii="宋体" w:hAnsi="宋体"/>
        </w:rPr>
        <w:t>畜牧水产业健康发展，全市造林共计</w:t>
      </w:r>
      <w:r>
        <w:rPr>
          <w:rFonts w:ascii="宋体" w:hAnsi="宋体"/>
        </w:rPr>
        <w:t>12.18</w:t>
      </w:r>
      <w:r>
        <w:rPr>
          <w:rFonts w:hint="eastAsia" w:ascii="宋体" w:hAnsi="宋体"/>
        </w:rPr>
        <w:t>万亩，</w:t>
      </w:r>
      <w:r>
        <w:rPr>
          <w:rFonts w:ascii="宋体" w:hAnsi="宋体"/>
        </w:rPr>
        <w:t>2010年全市三元杂交猪饲养量达80万</w:t>
      </w:r>
      <w:r>
        <w:rPr>
          <w:rFonts w:hint="eastAsia" w:ascii="宋体" w:hAnsi="宋体"/>
        </w:rPr>
        <w:t>头。新农村建设稳步推进，沼气、太阳能等新能源在农村得到了有效推广和应用，新建新农村示范村</w:t>
      </w:r>
      <w:r>
        <w:rPr>
          <w:rFonts w:ascii="宋体" w:hAnsi="宋体"/>
        </w:rPr>
        <w:t>25个</w:t>
      </w:r>
      <w:r>
        <w:rPr>
          <w:rFonts w:hint="eastAsia" w:ascii="宋体" w:hAnsi="宋体"/>
        </w:rPr>
        <w:t>。</w:t>
      </w:r>
    </w:p>
    <w:p w14:paraId="1EE9DADA">
      <w:pPr>
        <w:ind w:firstLine="422"/>
        <w:rPr>
          <w:rFonts w:ascii="宋体" w:hAnsi="宋体"/>
          <w:b/>
        </w:rPr>
      </w:pPr>
      <w:r>
        <w:rPr>
          <w:rFonts w:hint="eastAsia" w:ascii="宋体" w:hAnsi="宋体"/>
          <w:b/>
        </w:rPr>
        <w:t>五、招商引资和对外贸易成效显著</w:t>
      </w:r>
    </w:p>
    <w:p w14:paraId="1802B211">
      <w:pPr>
        <w:ind w:firstLine="422"/>
        <w:rPr>
          <w:rFonts w:ascii="宋体" w:hAnsi="宋体"/>
        </w:rPr>
      </w:pPr>
      <w:r>
        <w:rPr>
          <w:rFonts w:hint="eastAsia" w:ascii="宋体" w:hAnsi="宋体"/>
          <w:b/>
        </w:rPr>
        <w:t>招商引资取得新突破。</w:t>
      </w:r>
      <w:r>
        <w:rPr>
          <w:rFonts w:ascii="宋体" w:hAnsi="宋体"/>
        </w:rPr>
        <w:t>2010年南雄市与</w:t>
      </w:r>
      <w:r>
        <w:rPr>
          <w:rFonts w:hint="eastAsia" w:ascii="宋体" w:hAnsi="宋体"/>
        </w:rPr>
        <w:t>外来客商签约</w:t>
      </w:r>
      <w:r>
        <w:rPr>
          <w:rFonts w:ascii="宋体" w:hAnsi="宋体"/>
        </w:rPr>
        <w:t>39个项目，签约投资总额17亿</w:t>
      </w:r>
      <w:r>
        <w:rPr>
          <w:rFonts w:hint="eastAsia" w:ascii="宋体" w:hAnsi="宋体"/>
        </w:rPr>
        <w:t>元；实际利用外资</w:t>
      </w:r>
      <w:r>
        <w:rPr>
          <w:rFonts w:ascii="宋体" w:hAnsi="宋体"/>
        </w:rPr>
        <w:t>1800万美元，比上年增长10%。五年累计实际利用外资5682万美元。</w:t>
      </w:r>
    </w:p>
    <w:p w14:paraId="149370CA">
      <w:pPr>
        <w:ind w:firstLine="422"/>
        <w:rPr>
          <w:rFonts w:ascii="宋体" w:hAnsi="宋体"/>
        </w:rPr>
      </w:pPr>
      <w:r>
        <w:rPr>
          <w:rFonts w:hint="eastAsia" w:ascii="宋体" w:hAnsi="宋体"/>
          <w:b/>
        </w:rPr>
        <w:t>对外贸易不断发展。</w:t>
      </w:r>
      <w:r>
        <w:rPr>
          <w:rFonts w:ascii="宋体" w:hAnsi="宋体"/>
        </w:rPr>
        <w:t>2010年全市外贸出</w:t>
      </w:r>
      <w:r>
        <w:rPr>
          <w:rFonts w:hint="eastAsia" w:ascii="宋体" w:hAnsi="宋体"/>
        </w:rPr>
        <w:t>口总额</w:t>
      </w:r>
      <w:r>
        <w:rPr>
          <w:rFonts w:ascii="宋体" w:hAnsi="宋体"/>
        </w:rPr>
        <w:t>2003万美元，比上年增长16.8%，比</w:t>
      </w:r>
      <w:r>
        <w:rPr>
          <w:rFonts w:hint="eastAsia" w:ascii="宋体" w:hAnsi="宋体"/>
        </w:rPr>
        <w:t>“十五”期末增长</w:t>
      </w:r>
      <w:r>
        <w:rPr>
          <w:rFonts w:ascii="宋体" w:hAnsi="宋体"/>
        </w:rPr>
        <w:t>2.8倍，五年年均增</w:t>
      </w:r>
      <w:r>
        <w:rPr>
          <w:rFonts w:hint="eastAsia" w:ascii="宋体" w:hAnsi="宋体"/>
        </w:rPr>
        <w:t>长</w:t>
      </w:r>
      <w:r>
        <w:rPr>
          <w:rFonts w:ascii="宋体" w:hAnsi="宋体"/>
        </w:rPr>
        <w:t>31.1%。</w:t>
      </w:r>
    </w:p>
    <w:p w14:paraId="2611B280">
      <w:pPr>
        <w:ind w:firstLine="422"/>
        <w:rPr>
          <w:rFonts w:ascii="宋体" w:hAnsi="宋体"/>
          <w:b/>
        </w:rPr>
      </w:pPr>
      <w:r>
        <w:rPr>
          <w:rFonts w:hint="eastAsia" w:ascii="宋体" w:hAnsi="宋体"/>
          <w:b/>
        </w:rPr>
        <w:t>六、社会各项事业全面进步</w:t>
      </w:r>
    </w:p>
    <w:p w14:paraId="63E546E9">
      <w:pPr>
        <w:ind w:firstLine="422"/>
        <w:rPr>
          <w:rFonts w:ascii="宋体" w:hAnsi="宋体"/>
        </w:rPr>
      </w:pPr>
      <w:r>
        <w:rPr>
          <w:rFonts w:hint="eastAsia" w:ascii="宋体" w:hAnsi="宋体"/>
          <w:b/>
        </w:rPr>
        <w:t>城乡居民收入不断提高。</w:t>
      </w:r>
      <w:r>
        <w:rPr>
          <w:rFonts w:ascii="宋体" w:hAnsi="宋体"/>
        </w:rPr>
        <w:t>2010年城镇居</w:t>
      </w:r>
      <w:r>
        <w:rPr>
          <w:rFonts w:hint="eastAsia" w:ascii="宋体" w:hAnsi="宋体"/>
        </w:rPr>
        <w:t>民人均可支配收入</w:t>
      </w:r>
      <w:r>
        <w:rPr>
          <w:rFonts w:ascii="宋体" w:hAnsi="宋体"/>
        </w:rPr>
        <w:t>11886元，比上年增长10%，五年年均增长10.1%；农民人均纯收</w:t>
      </w:r>
      <w:r>
        <w:rPr>
          <w:rFonts w:hint="eastAsia" w:ascii="宋体" w:hAnsi="宋体"/>
        </w:rPr>
        <w:t>入</w:t>
      </w:r>
      <w:r>
        <w:rPr>
          <w:rFonts w:ascii="宋体" w:hAnsi="宋体"/>
        </w:rPr>
        <w:t>5945元，比上年增长10.9%，五年年均增</w:t>
      </w:r>
      <w:r>
        <w:rPr>
          <w:rFonts w:hint="eastAsia" w:ascii="宋体" w:hAnsi="宋体"/>
        </w:rPr>
        <w:t>长</w:t>
      </w:r>
      <w:r>
        <w:rPr>
          <w:rFonts w:ascii="宋体" w:hAnsi="宋体"/>
        </w:rPr>
        <w:t>10.2%；居民储蓄存款余额达44.97亿元，</w:t>
      </w:r>
      <w:r>
        <w:rPr>
          <w:rFonts w:hint="eastAsia" w:ascii="宋体" w:hAnsi="宋体"/>
        </w:rPr>
        <w:t>比上年末增长</w:t>
      </w:r>
      <w:r>
        <w:rPr>
          <w:rFonts w:ascii="宋体" w:hAnsi="宋体"/>
        </w:rPr>
        <w:t>15.2%，五年年均增长15.6%。</w:t>
      </w:r>
    </w:p>
    <w:p w14:paraId="1449A7F3">
      <w:pPr>
        <w:ind w:firstLine="422"/>
        <w:rPr>
          <w:rFonts w:ascii="宋体" w:hAnsi="宋体"/>
        </w:rPr>
      </w:pPr>
      <w:r>
        <w:rPr>
          <w:rFonts w:hint="eastAsia" w:ascii="宋体" w:hAnsi="宋体"/>
          <w:b/>
        </w:rPr>
        <w:t>社会保障体系日益完善。</w:t>
      </w:r>
      <w:r>
        <w:rPr>
          <w:rFonts w:hint="eastAsia" w:ascii="宋体" w:hAnsi="宋体"/>
        </w:rPr>
        <w:t>五年来，投入资金</w:t>
      </w:r>
      <w:r>
        <w:rPr>
          <w:rFonts w:ascii="宋体" w:hAnsi="宋体"/>
        </w:rPr>
        <w:t>3996万元，解决了农村5.4万人饮水困</w:t>
      </w:r>
      <w:r>
        <w:rPr>
          <w:rFonts w:hint="eastAsia" w:ascii="宋体" w:hAnsi="宋体"/>
        </w:rPr>
        <w:t>难和安全问题，农村新型合作医疗覆盖面达到</w:t>
      </w:r>
      <w:r>
        <w:rPr>
          <w:rFonts w:ascii="宋体" w:hAnsi="宋体"/>
        </w:rPr>
        <w:t>100%。社会保障体系进一步完善，五年累</w:t>
      </w:r>
      <w:r>
        <w:rPr>
          <w:rFonts w:hint="eastAsia" w:ascii="宋体" w:hAnsi="宋体"/>
        </w:rPr>
        <w:t>计新增城镇就业</w:t>
      </w:r>
      <w:r>
        <w:rPr>
          <w:rFonts w:ascii="宋体" w:hAnsi="宋体"/>
        </w:rPr>
        <w:t>2.02万人，城镇登记失业率</w:t>
      </w:r>
      <w:r>
        <w:rPr>
          <w:rFonts w:hint="eastAsia" w:ascii="宋体" w:hAnsi="宋体"/>
        </w:rPr>
        <w:t>控制在</w:t>
      </w:r>
      <w:r>
        <w:rPr>
          <w:rFonts w:ascii="宋体" w:hAnsi="宋体"/>
        </w:rPr>
        <w:t>3%以内。参加城镇基本养老人数达到2.31万人，参加城镇居民基本医疗保险人数</w:t>
      </w:r>
      <w:r>
        <w:rPr>
          <w:rFonts w:hint="eastAsia" w:ascii="宋体" w:hAnsi="宋体"/>
        </w:rPr>
        <w:t>达到</w:t>
      </w:r>
      <w:r>
        <w:rPr>
          <w:rFonts w:ascii="宋体" w:hAnsi="宋体"/>
        </w:rPr>
        <w:t>2.38万人。实现了城乡</w:t>
      </w:r>
      <w:r>
        <w:rPr>
          <w:rFonts w:hint="eastAsia" w:ascii="宋体" w:hAnsi="宋体"/>
        </w:rPr>
        <w:t>“</w:t>
      </w:r>
      <w:r>
        <w:rPr>
          <w:rFonts w:ascii="宋体" w:hAnsi="宋体"/>
        </w:rPr>
        <w:t>低保</w:t>
      </w:r>
      <w:r>
        <w:rPr>
          <w:rFonts w:hint="eastAsia" w:ascii="宋体" w:hAnsi="宋体"/>
        </w:rPr>
        <w:t>”</w:t>
      </w:r>
      <w:r>
        <w:rPr>
          <w:rFonts w:ascii="宋体" w:hAnsi="宋体"/>
        </w:rPr>
        <w:t>全覆</w:t>
      </w:r>
      <w:r>
        <w:rPr>
          <w:rFonts w:hint="eastAsia" w:ascii="宋体" w:hAnsi="宋体"/>
        </w:rPr>
        <w:t>盖，对符合条件的</w:t>
      </w:r>
      <w:r>
        <w:rPr>
          <w:rFonts w:ascii="宋体" w:hAnsi="宋体"/>
        </w:rPr>
        <w:t>1.52万困难群众实现了应</w:t>
      </w:r>
      <w:r>
        <w:rPr>
          <w:rFonts w:hint="eastAsia" w:ascii="宋体" w:hAnsi="宋体"/>
        </w:rPr>
        <w:t>保尽保。社会慈善救助逐步完善，扶贫“双到”工作扎实推进。</w:t>
      </w:r>
    </w:p>
    <w:p w14:paraId="4926C570">
      <w:pPr>
        <w:ind w:firstLine="422"/>
        <w:rPr>
          <w:rFonts w:ascii="宋体" w:hAnsi="宋体"/>
        </w:rPr>
      </w:pPr>
      <w:r>
        <w:rPr>
          <w:rFonts w:hint="eastAsia" w:ascii="宋体" w:hAnsi="宋体"/>
          <w:b/>
        </w:rPr>
        <w:t>生态市建设稳步推进。</w:t>
      </w:r>
      <w:r>
        <w:rPr>
          <w:rFonts w:hint="eastAsia" w:ascii="宋体" w:hAnsi="宋体"/>
        </w:rPr>
        <w:t>“十一五”减排任务全面完成，城市园林绿地面积达到</w:t>
      </w:r>
      <w:r>
        <w:rPr>
          <w:rFonts w:ascii="宋体" w:hAnsi="宋体"/>
        </w:rPr>
        <w:t>168.22</w:t>
      </w:r>
      <w:r>
        <w:rPr>
          <w:rFonts w:hint="eastAsia" w:ascii="宋体" w:hAnsi="宋体"/>
        </w:rPr>
        <w:t>公顷。“乡村清洁美”全面铺开，新农村、新能源示范村、“万村绿”示范点建设取得实效。矿产资源保护执法监察力度加大。国家可持续发展实验区和孔江国家级湿地公园申报工作顺利推进，林业生态市创建工作已通过省的检查验收。</w:t>
      </w:r>
    </w:p>
    <w:p w14:paraId="3EF2D4A6">
      <w:pPr>
        <w:ind w:firstLine="422"/>
        <w:rPr>
          <w:rFonts w:ascii="宋体" w:hAnsi="宋体"/>
        </w:rPr>
      </w:pPr>
      <w:r>
        <w:rPr>
          <w:rFonts w:hint="eastAsia" w:ascii="宋体" w:hAnsi="宋体"/>
          <w:b/>
        </w:rPr>
        <w:t>科教文卫体等各项事业全面发展。</w:t>
      </w:r>
      <w:r>
        <w:rPr>
          <w:rFonts w:hint="eastAsia" w:ascii="宋体" w:hAnsi="宋体"/>
        </w:rPr>
        <w:t>大力实施人才强市战略，科技创新能力不断增强，五年期间获得省市表彰奖励的科技成果</w:t>
      </w:r>
      <w:r>
        <w:rPr>
          <w:rFonts w:ascii="宋体" w:hAnsi="宋体"/>
        </w:rPr>
        <w:t>15</w:t>
      </w:r>
      <w:r>
        <w:rPr>
          <w:rFonts w:hint="eastAsia" w:ascii="宋体" w:hAnsi="宋体"/>
        </w:rPr>
        <w:t>项，专利申请和授权</w:t>
      </w:r>
      <w:r>
        <w:rPr>
          <w:rFonts w:ascii="宋体" w:hAnsi="宋体"/>
        </w:rPr>
        <w:t>60多件。教育强市创建</w:t>
      </w:r>
      <w:r>
        <w:rPr>
          <w:rFonts w:hint="eastAsia" w:ascii="宋体" w:hAnsi="宋体"/>
        </w:rPr>
        <w:t>有序推进，投入经费</w:t>
      </w:r>
      <w:r>
        <w:rPr>
          <w:rFonts w:ascii="宋体" w:hAnsi="宋体"/>
        </w:rPr>
        <w:t>1.2亿元，改造学校86</w:t>
      </w:r>
      <w:r>
        <w:rPr>
          <w:rFonts w:hint="eastAsia" w:ascii="宋体" w:hAnsi="宋体"/>
        </w:rPr>
        <w:t>所，规范化学校建设日益加强；小学适龄人口入学率保持</w:t>
      </w:r>
      <w:r>
        <w:rPr>
          <w:rFonts w:ascii="宋体" w:hAnsi="宋体"/>
        </w:rPr>
        <w:t>100%，2010年高中毛入学率达</w:t>
      </w:r>
      <w:r>
        <w:rPr>
          <w:rFonts w:hint="eastAsia" w:ascii="宋体" w:hAnsi="宋体"/>
        </w:rPr>
        <w:t>到</w:t>
      </w:r>
      <w:r>
        <w:rPr>
          <w:rFonts w:ascii="宋体" w:hAnsi="宋体"/>
        </w:rPr>
        <w:t>90%；师资队伍建设全面加强，德育工作</w:t>
      </w:r>
      <w:r>
        <w:rPr>
          <w:rFonts w:hint="eastAsia" w:ascii="宋体" w:hAnsi="宋体"/>
        </w:rPr>
        <w:t>成效显著；职业教育和成人教育均取得新进步。文化事业蓬勃发展，</w:t>
      </w:r>
      <w:r>
        <w:rPr>
          <w:rFonts w:ascii="宋体" w:hAnsi="宋体"/>
        </w:rPr>
        <w:t>7项非物质文化遗</w:t>
      </w:r>
      <w:r>
        <w:rPr>
          <w:rFonts w:hint="eastAsia" w:ascii="宋体" w:hAnsi="宋体"/>
        </w:rPr>
        <w:t>产获得国家、省市认证，其中国家级</w:t>
      </w:r>
      <w:r>
        <w:rPr>
          <w:rFonts w:ascii="宋体" w:hAnsi="宋体"/>
        </w:rPr>
        <w:t>1项，省</w:t>
      </w:r>
      <w:r>
        <w:rPr>
          <w:rFonts w:hint="eastAsia" w:ascii="宋体" w:hAnsi="宋体"/>
        </w:rPr>
        <w:t>级</w:t>
      </w:r>
      <w:r>
        <w:rPr>
          <w:rFonts w:ascii="宋体" w:hAnsi="宋体"/>
        </w:rPr>
        <w:t>1项；国家级恐龙化石群自然保护区申报</w:t>
      </w:r>
      <w:r>
        <w:rPr>
          <w:rFonts w:hint="eastAsia" w:ascii="宋体" w:hAnsi="宋体"/>
        </w:rPr>
        <w:t>有序进行。群众性体育活动深入开展，“农民体育健身工程”扎实推进；竞技体育成绩显著，南雄市运动员马丽芸荣获第十六届亚运会小轮车项目比赛冠军，实现韶关市、南雄市运动员在亚运会等重大国际性体育竞赛中金牌“零”的突破，为韶关、南雄人民争得了巨大的荣誉。进一步加强了食品药品安全监管，医药卫生体制改革正在积极推进，九大基本公共卫生服务项目全面实施。人口与计划生育工作力度加大，五年来计划生育率稳步提升，出生人口性别比下降至正常水平，创“两无”工作取得新成绩，成功创建了“广东省人口与计划生育优质服务先进县（市）”。</w:t>
      </w:r>
    </w:p>
    <w:p w14:paraId="3D91E9BF">
      <w:pPr>
        <w:ind w:firstLine="422"/>
        <w:rPr>
          <w:rFonts w:ascii="宋体" w:hAnsi="宋体"/>
        </w:rPr>
      </w:pPr>
      <w:r>
        <w:rPr>
          <w:rFonts w:hint="eastAsia" w:ascii="宋体" w:hAnsi="宋体"/>
          <w:b/>
        </w:rPr>
        <w:t>依法治市和民主法制切实加强。</w:t>
      </w:r>
      <w:r>
        <w:rPr>
          <w:rFonts w:hint="eastAsia" w:ascii="宋体" w:hAnsi="宋体"/>
        </w:rPr>
        <w:t>坚持打防管控并举，治安防控能力不断提升，有效维护了北京奥运会、建国六十周年大庆、上海世博会及广州亚运会期间的社会稳定，“五五”普法工作顺利通过了省市检查验收，被评为广东省和全国法治县（市）创建先进单位。各级维稳及综治机构建立健全，应急保障能力逐步增强，安全生产形势稳定。行政审批电子监察系统进一步健全，政风行风建设成效显著，机关作风切实转变，机构改革全面铺开。依法监督、民主监督得到较好落实，五年来共办理人大代表议案</w:t>
      </w:r>
      <w:r>
        <w:rPr>
          <w:rFonts w:ascii="宋体" w:hAnsi="宋体"/>
        </w:rPr>
        <w:t>43件、建议141件，政协提案344件。与各民主党派、工</w:t>
      </w:r>
      <w:r>
        <w:rPr>
          <w:rFonts w:hint="eastAsia" w:ascii="宋体" w:hAnsi="宋体"/>
        </w:rPr>
        <w:t>商联、工会、共青团、妇联等联系加强，科学民主决策机制不断完善。</w:t>
      </w:r>
    </w:p>
    <w:p w14:paraId="44600230">
      <w:pPr>
        <w:ind w:firstLine="420"/>
        <w:rPr>
          <w:rFonts w:ascii="宋体" w:hAnsi="宋体"/>
        </w:rPr>
      </w:pPr>
      <w:r>
        <w:rPr>
          <w:rFonts w:hint="eastAsia" w:ascii="宋体" w:hAnsi="宋体"/>
        </w:rPr>
        <w:t>此外，审计、司法、物价、质监、双拥、人防、气象、保密、残联、档案、邮政、粮食、供销、妇女儿童、民族宗教等各项工作都取得了较好成绩，为全市经济社会发展做出了应有的贡献。</w:t>
      </w:r>
    </w:p>
    <w:p w14:paraId="3EAE48D4">
      <w:pPr>
        <w:ind w:firstLine="420"/>
        <w:rPr>
          <w:rFonts w:ascii="宋体" w:hAnsi="宋体"/>
        </w:rPr>
      </w:pPr>
      <w:r>
        <w:rPr>
          <w:rFonts w:hint="eastAsia" w:ascii="宋体" w:hAnsi="宋体"/>
        </w:rPr>
        <w:t>回顾五年来的工作，我们深深体会到，要走出一条符合南雄市实际的发展道路，实现经济社会跨越式发展，必须做到“六个注重”：</w:t>
      </w:r>
    </w:p>
    <w:p w14:paraId="56F00747">
      <w:pPr>
        <w:ind w:firstLine="422"/>
        <w:rPr>
          <w:rFonts w:ascii="宋体" w:hAnsi="宋体"/>
        </w:rPr>
      </w:pPr>
      <w:r>
        <w:rPr>
          <w:rFonts w:hint="eastAsia" w:ascii="宋体" w:hAnsi="宋体"/>
          <w:b/>
        </w:rPr>
        <w:t>（一）注重贯彻落实科学发展观。</w:t>
      </w:r>
      <w:r>
        <w:rPr>
          <w:rFonts w:hint="eastAsia" w:ascii="宋体" w:hAnsi="宋体"/>
        </w:rPr>
        <w:t>过去的五年，南雄发展面临着种种困难：经济总量偏小、区位偏远、交通基础相对落后，历史条件较差等等。面对存在的困难和问题，我们坚决贯彻落实科学发展观，通过强有力的措施加快南雄发展，并提出了建设粤北门户城市总体目标。大力发展县域经济，经济总量不断壮大，努力建设富裕南雄；大力发展生态产业，注重环境保护，努力营造宜居宜业的美好环境，建设生态南雄；正确处理好改革、发展与稳定的关系，积极改善民生，努力建设和谐南雄；不断改善交通条件，“两路”的建设让南雄从珠三角的边缘变成了珠三角连接长三角的“桥头堡”，劣势变成优势，经济社会实现了协调、快速、健康发展。</w:t>
      </w:r>
    </w:p>
    <w:p w14:paraId="1F071D09">
      <w:pPr>
        <w:ind w:firstLine="422"/>
        <w:rPr>
          <w:rFonts w:ascii="宋体" w:hAnsi="宋体"/>
        </w:rPr>
      </w:pPr>
      <w:r>
        <w:rPr>
          <w:rFonts w:hint="eastAsia" w:ascii="宋体" w:hAnsi="宋体"/>
          <w:b/>
        </w:rPr>
        <w:t>（二）注重优化发展环境。</w:t>
      </w:r>
      <w:r>
        <w:rPr>
          <w:rFonts w:hint="eastAsia" w:ascii="宋体" w:hAnsi="宋体"/>
        </w:rPr>
        <w:t>我们深入实施了发展工业“绿灯工程”，制定了一系列招商引资的优惠政策，简化审批手续，提高了机关办事效率，切实转变干部作风，增强了干部的服务意识。通过一系列措施，“重商、安商、亲商、富商”氛围日渐浓厚，发展软环境得到优化。</w:t>
      </w:r>
    </w:p>
    <w:p w14:paraId="0802A981">
      <w:pPr>
        <w:ind w:firstLine="422"/>
        <w:rPr>
          <w:rFonts w:ascii="宋体" w:hAnsi="宋体"/>
        </w:rPr>
      </w:pPr>
      <w:r>
        <w:rPr>
          <w:rFonts w:hint="eastAsia" w:ascii="宋体" w:hAnsi="宋体"/>
          <w:b/>
        </w:rPr>
        <w:t>（三）注重抢抓发展机遇。</w:t>
      </w:r>
      <w:r>
        <w:rPr>
          <w:rFonts w:hint="eastAsia" w:ascii="宋体" w:hAnsi="宋体"/>
        </w:rPr>
        <w:t>我们紧紧抓住全省实施“双转移”战略机遇，积极承接产业转移，加强劳动力转移培训，目前南雄市产业集聚效应初步显现，劳动力素质得到提高；紧紧抓住国家加大基础设施建设投入和广东省加快老区建设的战略机遇，以“两路”开工建设为带动，全力推进了基础设施建设，为建设粤北门户城市奠定了坚实基础。</w:t>
      </w:r>
    </w:p>
    <w:p w14:paraId="47104E5A">
      <w:pPr>
        <w:ind w:firstLine="422"/>
        <w:rPr>
          <w:rFonts w:ascii="宋体" w:hAnsi="宋体"/>
        </w:rPr>
      </w:pPr>
      <w:r>
        <w:rPr>
          <w:rFonts w:hint="eastAsia" w:ascii="宋体" w:hAnsi="宋体"/>
          <w:b/>
        </w:rPr>
        <w:t>（四）注重特色经济发展。</w:t>
      </w:r>
      <w:r>
        <w:rPr>
          <w:rFonts w:hint="eastAsia" w:ascii="宋体" w:hAnsi="宋体"/>
        </w:rPr>
        <w:t>我们紧密结合南雄实际，确立了抓产业集聚的发展思路，发展以精细化工、陶瓷建材、浆纸制造为主的工业经济，发展以优质米、良种猪、特种家禽、油茶、农土特加工为特色的现代农业产业，深入挖掘珠玑巷人文文化和红色旅游资源，大力发展特色旅游，特色经济日益显现。</w:t>
      </w:r>
    </w:p>
    <w:p w14:paraId="5FC3AEEA">
      <w:pPr>
        <w:ind w:firstLine="422"/>
        <w:rPr>
          <w:rFonts w:ascii="宋体" w:hAnsi="宋体"/>
        </w:rPr>
      </w:pPr>
      <w:r>
        <w:rPr>
          <w:rFonts w:hint="eastAsia" w:ascii="宋体" w:hAnsi="宋体"/>
          <w:b/>
        </w:rPr>
        <w:t>（五）注重保障和改善民生。</w:t>
      </w:r>
      <w:r>
        <w:rPr>
          <w:rFonts w:hint="eastAsia" w:ascii="宋体" w:hAnsi="宋体"/>
        </w:rPr>
        <w:t>五年来，我们始终坚持把改善民生作为经济社会发展的最终目的，突出民生优先，着力解决与群众切身利益相关的热点难点问题，让改革发展的成果真正惠及广大人民群众。</w:t>
      </w:r>
    </w:p>
    <w:p w14:paraId="163FFAD6">
      <w:pPr>
        <w:ind w:firstLine="422"/>
        <w:rPr>
          <w:rFonts w:ascii="宋体" w:hAnsi="宋体"/>
        </w:rPr>
      </w:pPr>
      <w:r>
        <w:rPr>
          <w:rFonts w:hint="eastAsia" w:ascii="宋体" w:hAnsi="宋体"/>
          <w:b/>
        </w:rPr>
        <w:t>（六）注重维护社会和谐稳定。</w:t>
      </w:r>
      <w:r>
        <w:rPr>
          <w:rFonts w:hint="eastAsia" w:ascii="宋体" w:hAnsi="宋体"/>
        </w:rPr>
        <w:t>稳定是发展的前提，发展首要是保稳定。一是重视抓好社会治安综合治理，严厉打击各类违法犯罪活动，全市治安形势总体稳定；二是加强了安全生产监管工作，不断提高应急能力；三是做好信访维稳工作，畅通群众诉求渠道，依法、公正、有效地处理群众诉求，密切了干群关系。</w:t>
      </w:r>
    </w:p>
    <w:p w14:paraId="4F049A59">
      <w:pPr>
        <w:ind w:firstLine="420"/>
        <w:rPr>
          <w:rFonts w:ascii="宋体" w:hAnsi="宋体"/>
        </w:rPr>
      </w:pPr>
      <w:r>
        <w:rPr>
          <w:rFonts w:hint="eastAsia" w:ascii="宋体" w:hAnsi="宋体"/>
        </w:rPr>
        <w:t>过去的五年，是南雄在逆势中奋进、转型中发展的五年，也是综合实力提升最快、城市面貌变化最大、人民群众得到实惠最多的五年。取得这些成绩极其不易，这是市委正确领导，是市人大、市政协监督支持，是包括海内外乡贤在内的社会各界人士关心帮助，是全市广大干部群众同心同德、奋力拼搏的结果。在此，我代表市人民政府，向全市人民、驻雄武警官兵，向所有参与、关心、支持南雄发展的社会各界人士、海内外乡贤致以崇高的敬意并表示衷心的感谢！</w:t>
      </w:r>
    </w:p>
    <w:p w14:paraId="7F104819">
      <w:pPr>
        <w:ind w:firstLine="420"/>
        <w:rPr>
          <w:rFonts w:ascii="宋体" w:hAnsi="宋体"/>
        </w:rPr>
      </w:pPr>
      <w:r>
        <w:rPr>
          <w:rFonts w:hint="eastAsia" w:ascii="宋体" w:hAnsi="宋体"/>
        </w:rPr>
        <w:t>各位代表，“十一五”时期的成就将载入·</w:t>
      </w:r>
      <w:r>
        <w:rPr>
          <w:rFonts w:ascii="宋体" w:hAnsi="宋体"/>
        </w:rPr>
        <w:t>10</w:t>
      </w:r>
      <w:r>
        <w:rPr>
          <w:rFonts w:hint="eastAsia" w:ascii="宋体" w:hAnsi="宋体"/>
        </w:rPr>
        <w:t>·史册。在看到成绩的同时，我们也清醒地看到，南雄市经济社会发展仍存在一些突出问题。主要是：经济基础仍然薄弱，经济总量小、财政自给率低；优化产业结构和转变发展方式仍然任重道远；园区建设仍需加快，重大项目拉动作用有待增强；资源环境约束加大，节能减排任务艰巨；区域发展仍不协调，扶贫开发压力较大；影响社会安定的因素仍然存在。这些矛盾和问题，有些需要我们在工作中尽快加以解决，更多的还需要付出长期的艰苦努力。对此，我们要始终保持清醒头脑，采取更加有力的措施，提高解决各种矛盾和问题的能力，提升做好政府工作的水平。</w:t>
      </w:r>
    </w:p>
    <w:p w14:paraId="190497DA">
      <w:pPr>
        <w:ind w:firstLine="0" w:firstLineChars="0"/>
        <w:jc w:val="center"/>
        <w:rPr>
          <w:rFonts w:ascii="宋体" w:hAnsi="宋体"/>
          <w:b/>
        </w:rPr>
      </w:pPr>
      <w:r>
        <w:rPr>
          <w:rFonts w:hint="eastAsia" w:ascii="宋体" w:hAnsi="宋体"/>
          <w:b/>
        </w:rPr>
        <w:t>“十二五”时期经济社会的奋斗目标</w:t>
      </w:r>
    </w:p>
    <w:p w14:paraId="2C06D92B">
      <w:pPr>
        <w:ind w:firstLine="420"/>
        <w:rPr>
          <w:rFonts w:ascii="宋体" w:hAnsi="宋体"/>
        </w:rPr>
      </w:pPr>
      <w:r>
        <w:rPr>
          <w:rFonts w:hint="eastAsia" w:ascii="宋体" w:hAnsi="宋体"/>
        </w:rPr>
        <w:t>“十二五”时期是南雄市加快建设富裕文明、和谐安康的粤北门户城市的关键时期，也是全面建设小康社会、实现跨越式发展的重要战略机遇时期。我们根据党的十七届五中全会精神，省委十届七次全会、韶关市委十届八次和南雄市委十一届九次全会精神，拟定出了《南雄市国民经济和社会发展第十二个五年规划纲要（草案）》提交本次大会，请各位代表一并审议。</w:t>
      </w:r>
    </w:p>
    <w:p w14:paraId="2A8F8AA9">
      <w:pPr>
        <w:ind w:firstLine="422"/>
        <w:rPr>
          <w:rFonts w:ascii="宋体" w:hAnsi="宋体"/>
        </w:rPr>
      </w:pPr>
      <w:r>
        <w:rPr>
          <w:rFonts w:hint="eastAsia" w:ascii="宋体" w:hAnsi="宋体"/>
          <w:b/>
        </w:rPr>
        <w:t>“十二五”经济社会发展的指导思想是：</w:t>
      </w:r>
      <w:r>
        <w:rPr>
          <w:rFonts w:hint="eastAsia" w:ascii="宋体" w:hAnsi="宋体"/>
        </w:rPr>
        <w:t>全面贯彻落实科学发展观，按照生态发展区的要求，擦亮“中央苏区县”、省级产业转移工业园和省财政直管试点县三块金字招牌，以深层次推进富裕文明和谐安康的粤北门户城市建设为目标，坚持以“一点两轴”（即产业转移园为点状集聚发展区，沿高速公路、铁路和省道</w:t>
      </w:r>
      <w:r>
        <w:rPr>
          <w:rFonts w:ascii="宋体" w:hAnsi="宋体"/>
        </w:rPr>
        <w:t>342为两轴）为载体，转变经济</w:t>
      </w:r>
      <w:r>
        <w:rPr>
          <w:rFonts w:hint="eastAsia" w:ascii="宋体" w:hAnsi="宋体"/>
        </w:rPr>
        <w:t>发展方式，着力抓好精细化工、陶瓷建材、浆纸制造、热电能源四大主导产业，构建现代产业体系，着力推进产业与环境协调发展、南雄年鉴经济社会与自然和谐发展，努力实现“一年开好局，三年大发展，五年新跨越”的奋斗目标，争当中央苏区县科学发展排头兵。</w:t>
      </w:r>
    </w:p>
    <w:p w14:paraId="7EC64808">
      <w:pPr>
        <w:ind w:firstLine="422"/>
        <w:rPr>
          <w:rFonts w:ascii="宋体" w:hAnsi="宋体"/>
        </w:rPr>
      </w:pPr>
      <w:r>
        <w:rPr>
          <w:rFonts w:hint="eastAsia" w:ascii="宋体" w:hAnsi="宋体"/>
          <w:b/>
        </w:rPr>
        <w:t>“</w:t>
      </w:r>
      <w:r>
        <w:rPr>
          <w:rFonts w:ascii="宋体" w:hAnsi="宋体"/>
          <w:b/>
        </w:rPr>
        <w:t>十二五</w:t>
      </w:r>
      <w:r>
        <w:rPr>
          <w:rFonts w:hint="eastAsia" w:ascii="宋体" w:hAnsi="宋体"/>
          <w:b/>
        </w:rPr>
        <w:t>”</w:t>
      </w:r>
      <w:r>
        <w:rPr>
          <w:rFonts w:ascii="宋体" w:hAnsi="宋体"/>
          <w:b/>
        </w:rPr>
        <w:t>时期经济社会发展的目标是</w:t>
      </w:r>
      <w:r>
        <w:rPr>
          <w:rFonts w:hint="eastAsia" w:ascii="宋体" w:hAnsi="宋体"/>
          <w:b/>
        </w:rPr>
        <w:t>：</w:t>
      </w:r>
      <w:r>
        <w:rPr>
          <w:rFonts w:hint="eastAsia" w:ascii="宋体" w:hAnsi="宋体"/>
        </w:rPr>
        <w:t>到</w:t>
      </w:r>
      <w:r>
        <w:rPr>
          <w:rFonts w:ascii="宋体" w:hAnsi="宋体"/>
        </w:rPr>
        <w:t>2015年，全市生产总值超过110亿元，年</w:t>
      </w:r>
      <w:r>
        <w:rPr>
          <w:rFonts w:hint="eastAsia" w:ascii="宋体" w:hAnsi="宋体"/>
        </w:rPr>
        <w:t>均增长</w:t>
      </w:r>
      <w:r>
        <w:rPr>
          <w:rFonts w:ascii="宋体" w:hAnsi="宋体"/>
        </w:rPr>
        <w:t>16%以上；人均生产总值达到30000</w:t>
      </w:r>
      <w:r>
        <w:rPr>
          <w:rFonts w:hint="eastAsia" w:ascii="宋体" w:hAnsi="宋体"/>
        </w:rPr>
        <w:t>元左右，年均增长</w:t>
      </w:r>
      <w:r>
        <w:rPr>
          <w:rFonts w:ascii="宋体" w:hAnsi="宋体"/>
        </w:rPr>
        <w:t>16%；地方财政一般预算</w:t>
      </w:r>
      <w:r>
        <w:rPr>
          <w:rFonts w:hint="eastAsia" w:ascii="宋体" w:hAnsi="宋体"/>
        </w:rPr>
        <w:t>收入达到</w:t>
      </w:r>
      <w:r>
        <w:rPr>
          <w:rFonts w:ascii="宋体" w:hAnsi="宋体"/>
        </w:rPr>
        <w:t>6.5亿元以上，年均增长18%以上。</w:t>
      </w:r>
      <w:r>
        <w:rPr>
          <w:rFonts w:hint="eastAsia" w:ascii="宋体" w:hAnsi="宋体"/>
        </w:rPr>
        <w:t>经济实力不断增强，富裕文明、和谐安康粤北门户城市初步建成，特色生态现代产业体系基本形成，自主创新能力明显增强，基本公共服务均等化水平不断提高，社会事业全面进步，城乡文明水平显著提高，民主法制进程不断加快，生态文明建设取得明显成效，可持续发展能力进一步增强，社会治安和安全生产状况进一步好转，人民生活水平进一步提高，社会更加和谐稳定。</w:t>
      </w:r>
    </w:p>
    <w:p w14:paraId="7676E8A1">
      <w:pPr>
        <w:ind w:firstLine="420"/>
        <w:rPr>
          <w:rFonts w:ascii="宋体" w:hAnsi="宋体"/>
        </w:rPr>
      </w:pPr>
      <w:r>
        <w:rPr>
          <w:rFonts w:hint="eastAsia" w:ascii="宋体" w:hAnsi="宋体"/>
        </w:rPr>
        <w:t>实现上述奋斗目标，实现经济社会又好又快发展，重点在于坚持做好六项工作：转变经济发展方式，优化调整经济结构；实施扩大内需战略，增强经济社会发展后劲；优化区域功能布局，统筹城乡协调发展；实施绿色南雄战略，推动经济社会可持续发展；继续深化改革，增强经济社会发展动力；切实保障和改善民生，推进和谐南雄建设。</w:t>
      </w:r>
    </w:p>
    <w:p w14:paraId="1F0A15C6">
      <w:pPr>
        <w:ind w:firstLine="0" w:firstLineChars="0"/>
        <w:jc w:val="center"/>
        <w:rPr>
          <w:rFonts w:ascii="宋体" w:hAnsi="宋体"/>
          <w:b/>
        </w:rPr>
      </w:pPr>
      <w:r>
        <w:rPr>
          <w:rFonts w:ascii="宋体" w:hAnsi="宋体"/>
          <w:b/>
        </w:rPr>
        <w:t>2011年工作安排</w:t>
      </w:r>
    </w:p>
    <w:p w14:paraId="1B85DF5C">
      <w:pPr>
        <w:ind w:firstLine="420"/>
        <w:rPr>
          <w:rFonts w:ascii="宋体" w:hAnsi="宋体"/>
        </w:rPr>
      </w:pPr>
      <w:r>
        <w:rPr>
          <w:rFonts w:ascii="宋体" w:hAnsi="宋体"/>
        </w:rPr>
        <w:t>2011年政府工作的指导思想是</w:t>
      </w:r>
      <w:r>
        <w:rPr>
          <w:rFonts w:hint="eastAsia" w:ascii="宋体" w:hAnsi="宋体"/>
        </w:rPr>
        <w:t>：</w:t>
      </w:r>
      <w:r>
        <w:rPr>
          <w:rFonts w:ascii="宋体" w:hAnsi="宋体"/>
        </w:rPr>
        <w:t>坚持以</w:t>
      </w:r>
      <w:r>
        <w:rPr>
          <w:rFonts w:hint="eastAsia" w:ascii="宋体" w:hAnsi="宋体"/>
        </w:rPr>
        <w:t>科学发展观统领经济社会发展全局，加快转变经济发展方式，促进产业结构调整优化，重点加快以精细化工、陶瓷建材、浆纸制造、热电能源为主导的工业经济发展，提高旅游业发展的质量和效益，加快推进重点项目建设，努力打造农业特色产业，保持县域经济平稳较快发展；加快推进城镇化，大力发展社会各项事业，切实保障和改善民生，努力构建文明和谐南雄，促进全市经济社会全面、协调、可持续发展，为“十二五”开好局、起好步。</w:t>
      </w:r>
    </w:p>
    <w:p w14:paraId="0DE8F856">
      <w:pPr>
        <w:ind w:firstLine="420"/>
        <w:rPr>
          <w:rFonts w:ascii="宋体" w:hAnsi="宋体"/>
        </w:rPr>
      </w:pPr>
      <w:r>
        <w:rPr>
          <w:rFonts w:hint="eastAsia" w:ascii="宋体" w:hAnsi="宋体"/>
        </w:rPr>
        <w:t>今年经济社会发展的主要预期目标是：地区生产总值增长</w:t>
      </w:r>
      <w:r>
        <w:rPr>
          <w:rFonts w:ascii="宋体" w:hAnsi="宋体"/>
        </w:rPr>
        <w:t>16%以上，地方一般财政</w:t>
      </w:r>
      <w:r>
        <w:rPr>
          <w:rFonts w:hint="eastAsia" w:ascii="宋体" w:hAnsi="宋体"/>
        </w:rPr>
        <w:t>预算收入增长</w:t>
      </w:r>
      <w:r>
        <w:rPr>
          <w:rFonts w:ascii="宋体" w:hAnsi="宋体"/>
        </w:rPr>
        <w:t>16%以上，固定资产投资增长15%以上，人口自然增长率控制在7.5‰</w:t>
      </w:r>
      <w:r>
        <w:rPr>
          <w:rFonts w:hint="eastAsia" w:ascii="宋体" w:hAnsi="宋体"/>
        </w:rPr>
        <w:t>以内。</w:t>
      </w:r>
    </w:p>
    <w:p w14:paraId="69050450">
      <w:pPr>
        <w:ind w:firstLine="420"/>
        <w:rPr>
          <w:rFonts w:ascii="宋体" w:hAnsi="宋体"/>
        </w:rPr>
      </w:pPr>
      <w:r>
        <w:rPr>
          <w:rFonts w:hint="eastAsia" w:ascii="宋体" w:hAnsi="宋体"/>
        </w:rPr>
        <w:t>为实现全年目标，必须做好以下九项工作：</w:t>
      </w:r>
    </w:p>
    <w:p w14:paraId="0E87FEA8">
      <w:pPr>
        <w:ind w:firstLine="422"/>
        <w:rPr>
          <w:rFonts w:ascii="宋体" w:hAnsi="宋体"/>
          <w:b/>
        </w:rPr>
      </w:pPr>
      <w:r>
        <w:rPr>
          <w:rFonts w:hint="eastAsia" w:ascii="宋体" w:hAnsi="宋体"/>
          <w:b/>
        </w:rPr>
        <w:t>一、加快发展特色产业，推动工业经济发展提质增速</w:t>
      </w:r>
    </w:p>
    <w:p w14:paraId="424AED32">
      <w:pPr>
        <w:ind w:firstLine="420"/>
        <w:rPr>
          <w:rFonts w:ascii="宋体" w:hAnsi="宋体"/>
        </w:rPr>
      </w:pPr>
      <w:r>
        <w:rPr>
          <w:rFonts w:hint="eastAsia" w:ascii="宋体" w:hAnsi="宋体"/>
        </w:rPr>
        <w:t>坚持推进精细化工、陶瓷建材、浆纸制造、热电能源四大工业集聚发展，建立现代特色工业体系，以加快精细化工园区建设为突破口，不断提升产业自主创新能力，推动产业升级，实现工业经济加速发展，力争实现工业增加值增长</w:t>
      </w:r>
      <w:r>
        <w:rPr>
          <w:rFonts w:ascii="宋体" w:hAnsi="宋体"/>
        </w:rPr>
        <w:t>35%。</w:t>
      </w:r>
    </w:p>
    <w:p w14:paraId="154B90B7">
      <w:pPr>
        <w:ind w:firstLine="422"/>
        <w:rPr>
          <w:rFonts w:ascii="宋体" w:hAnsi="宋体"/>
        </w:rPr>
      </w:pPr>
      <w:r>
        <w:rPr>
          <w:rFonts w:hint="eastAsia" w:ascii="宋体" w:hAnsi="宋体"/>
          <w:b/>
        </w:rPr>
        <w:t>——加快精细化工产业发展。</w:t>
      </w:r>
      <w:r>
        <w:rPr>
          <w:rFonts w:hint="eastAsia" w:ascii="宋体" w:hAnsi="宋体"/>
        </w:rPr>
        <w:t>一是继续完善园区一期配套建设。搞好园区基础设施建设，尽快完善道路、排污、排水等设施。加快建设精细化工产品电子交易中心，积极筹建韶赣铁路口岸南雄装卸点，完成园区省质量监督精细化工产品检验站建设；二是推动企业实现全面投产。全面落实领导挂点企业服务责任制，提高“贴身服务”意识，进一步营造优质高效的服务环境，促进园区一期落户企业年内全面投产。完善各项扶持政策，拓宽融资渠道，充分利用好国开行广东分行授信贷款，为企业搭建便捷的融资平台，促进企业不断发展壮大；三是加强园区管理。完善园区管理，促进企业实现安全生产、节能减排，鼓励企业提高自主创新能力，推动企业做优做强，使园区管理工作逐步规范化，提升园区效益；四是加快园区二期建设。做好园区二期规划，稳步推进征地拆迁工作，加快“三通一平”等基础设施建设，完成园区二期道路引线工程，着力引进大品牌、知名企业进驻二期园区，全年力争引进企业</w:t>
      </w:r>
      <w:r>
        <w:rPr>
          <w:rFonts w:ascii="宋体" w:hAnsi="宋体"/>
        </w:rPr>
        <w:t>40家</w:t>
      </w:r>
      <w:r>
        <w:rPr>
          <w:rFonts w:hint="eastAsia" w:ascii="宋体" w:hAnsi="宋体"/>
        </w:rPr>
        <w:t>。</w:t>
      </w:r>
    </w:p>
    <w:p w14:paraId="6B607237">
      <w:pPr>
        <w:ind w:firstLine="422"/>
        <w:rPr>
          <w:rFonts w:ascii="宋体" w:hAnsi="宋体"/>
        </w:rPr>
      </w:pPr>
      <w:r>
        <w:rPr>
          <w:rFonts w:hint="eastAsia" w:ascii="宋体" w:hAnsi="宋体"/>
          <w:b/>
        </w:rPr>
        <w:t>——推动陶瓷建材、浆纸制造、热电能源等三大产业快速发展。</w:t>
      </w:r>
      <w:r>
        <w:rPr>
          <w:rFonts w:hint="eastAsia" w:ascii="宋体" w:hAnsi="宋体"/>
        </w:rPr>
        <w:t>鼓励企业进行技术改造、技术创新和产业升级，推动乐华陶瓷年底前实现第二条生产线点火试产；大力推进彤置富水泥厂技改项目，力争上半年实现第一条生产线点火试产；加强协调服务，加快推进珠玑纸业</w:t>
      </w:r>
      <w:r>
        <w:rPr>
          <w:rFonts w:ascii="宋体" w:hAnsi="宋体"/>
        </w:rPr>
        <w:t>5万吨特种纸技改项目；做</w:t>
      </w:r>
      <w:r>
        <w:rPr>
          <w:rFonts w:hint="eastAsia" w:ascii="宋体" w:hAnsi="宋体"/>
        </w:rPr>
        <w:t>好绿洲公司扩产技改项目跟踪服务工作，及时解决项目建设过程中的困难和问题；做好华电热电冷联供项目的跟踪服务工作，力促项目早日动工建设。</w:t>
      </w:r>
    </w:p>
    <w:p w14:paraId="4ABA7180">
      <w:pPr>
        <w:ind w:firstLine="422"/>
        <w:rPr>
          <w:rFonts w:ascii="宋体" w:hAnsi="宋体"/>
        </w:rPr>
      </w:pPr>
      <w:r>
        <w:rPr>
          <w:rFonts w:hint="eastAsia" w:ascii="宋体" w:hAnsi="宋体"/>
          <w:b/>
        </w:rPr>
        <w:t>——加快民营经济发展。</w:t>
      </w:r>
      <w:r>
        <w:rPr>
          <w:rFonts w:hint="eastAsia" w:ascii="宋体" w:hAnsi="宋体"/>
        </w:rPr>
        <w:t>加大对民营企业的扶持力度，深入实施《关于进一步促进民营经济发展的若干意见》，重点扶持培育出创税超百万元的企业，并落实相关帮扶措施，促进企业做强做大。力争全年实现新增上规模企业</w:t>
      </w:r>
      <w:r>
        <w:rPr>
          <w:rFonts w:ascii="宋体" w:hAnsi="宋体"/>
        </w:rPr>
        <w:t>20家，促进民营经济发展上新台阶。</w:t>
      </w:r>
    </w:p>
    <w:p w14:paraId="1D0B9A4E">
      <w:pPr>
        <w:ind w:firstLine="422"/>
        <w:rPr>
          <w:rFonts w:ascii="宋体" w:hAnsi="宋体"/>
          <w:b/>
        </w:rPr>
      </w:pPr>
      <w:r>
        <w:rPr>
          <w:rFonts w:hint="eastAsia" w:ascii="宋体" w:hAnsi="宋体"/>
          <w:b/>
        </w:rPr>
        <w:t>二、提高农业发展水平，扎实推进社会主义新农村建设</w:t>
      </w:r>
    </w:p>
    <w:p w14:paraId="663D2E4C">
      <w:pPr>
        <w:ind w:firstLine="420"/>
        <w:rPr>
          <w:rFonts w:ascii="宋体" w:hAnsi="宋体"/>
        </w:rPr>
      </w:pPr>
      <w:r>
        <w:rPr>
          <w:rFonts w:hint="eastAsia" w:ascii="宋体" w:hAnsi="宋体"/>
        </w:rPr>
        <w:t>以调整和优化农业产业结构为手段，以推进生猪和五黑鸡、现代烟草、中药材、优质米、油茶、农土特加工销售等农业产业“六大基地”建设为重点，不断提高农业综合生产能力，促进农业增效、农民增收。</w:t>
      </w:r>
      <w:r>
        <w:rPr>
          <w:rFonts w:ascii="宋体" w:hAnsi="宋体"/>
        </w:rPr>
        <w:t>2011</w:t>
      </w:r>
      <w:r>
        <w:rPr>
          <w:rFonts w:hint="eastAsia" w:ascii="宋体" w:hAnsi="宋体"/>
        </w:rPr>
        <w:t>年，实现全市农业增加值增长</w:t>
      </w:r>
      <w:r>
        <w:rPr>
          <w:rFonts w:ascii="宋体" w:hAnsi="宋体"/>
        </w:rPr>
        <w:t>5%以上，农民</w:t>
      </w:r>
      <w:r>
        <w:rPr>
          <w:rFonts w:hint="eastAsia" w:ascii="宋体" w:hAnsi="宋体"/>
        </w:rPr>
        <w:t>人均纯收入增长</w:t>
      </w:r>
      <w:r>
        <w:rPr>
          <w:rFonts w:ascii="宋体" w:hAnsi="宋体"/>
        </w:rPr>
        <w:t>10%左右。</w:t>
      </w:r>
    </w:p>
    <w:p w14:paraId="7FBEC9D1">
      <w:pPr>
        <w:ind w:firstLine="422"/>
        <w:rPr>
          <w:rFonts w:ascii="宋体" w:hAnsi="宋体"/>
        </w:rPr>
      </w:pPr>
      <w:r>
        <w:rPr>
          <w:rFonts w:hint="eastAsia" w:ascii="宋体" w:hAnsi="宋体"/>
          <w:b/>
        </w:rPr>
        <w:t>——稳定粮油生产。</w:t>
      </w:r>
      <w:r>
        <w:rPr>
          <w:rFonts w:hint="eastAsia" w:ascii="宋体" w:hAnsi="宋体"/>
        </w:rPr>
        <w:t>全市水稻种植面积</w:t>
      </w:r>
      <w:r>
        <w:rPr>
          <w:rFonts w:ascii="宋体" w:hAnsi="宋体"/>
        </w:rPr>
        <w:t>47万亩以上，其中优质稻种植25万亩；花生</w:t>
      </w:r>
      <w:r>
        <w:rPr>
          <w:rFonts w:hint="eastAsia" w:ascii="宋体" w:hAnsi="宋体"/>
        </w:rPr>
        <w:t>种植</w:t>
      </w:r>
      <w:r>
        <w:rPr>
          <w:rFonts w:ascii="宋体" w:hAnsi="宋体"/>
        </w:rPr>
        <w:t>9.5万亩</w:t>
      </w:r>
      <w:r>
        <w:rPr>
          <w:rFonts w:hint="eastAsia" w:ascii="宋体" w:hAnsi="宋体"/>
        </w:rPr>
        <w:t>。</w:t>
      </w:r>
    </w:p>
    <w:p w14:paraId="0AE15A0D">
      <w:pPr>
        <w:ind w:firstLine="422"/>
        <w:rPr>
          <w:rFonts w:ascii="宋体" w:hAnsi="宋体"/>
        </w:rPr>
      </w:pPr>
      <w:r>
        <w:rPr>
          <w:rFonts w:hint="eastAsia" w:ascii="宋体" w:hAnsi="宋体"/>
          <w:b/>
        </w:rPr>
        <w:t>——提高烟叶产业发展水平。</w:t>
      </w:r>
      <w:r>
        <w:rPr>
          <w:rFonts w:hint="eastAsia" w:ascii="宋体" w:hAnsi="宋体"/>
        </w:rPr>
        <w:t>以减工降本、提质增效，促进烟农收入增加为目的，全力抓好</w:t>
      </w:r>
      <w:r>
        <w:rPr>
          <w:rFonts w:ascii="宋体" w:hAnsi="宋体"/>
        </w:rPr>
        <w:t>12万亩现代烟草农业基地建设工</w:t>
      </w:r>
      <w:r>
        <w:rPr>
          <w:rFonts w:hint="eastAsia" w:ascii="宋体" w:hAnsi="宋体"/>
        </w:rPr>
        <w:t>作，促进南雄烟叶产业的可持续发展。</w:t>
      </w:r>
      <w:r>
        <w:rPr>
          <w:rFonts w:ascii="宋体" w:hAnsi="宋体"/>
        </w:rPr>
        <w:t>2011</w:t>
      </w:r>
      <w:r>
        <w:rPr>
          <w:rFonts w:hint="eastAsia" w:ascii="宋体" w:hAnsi="宋体"/>
        </w:rPr>
        <w:t>年计划种植烟叶</w:t>
      </w:r>
      <w:r>
        <w:rPr>
          <w:rFonts w:ascii="宋体" w:hAnsi="宋体"/>
        </w:rPr>
        <w:t>12.5万亩，收购烟叶35万</w:t>
      </w:r>
      <w:r>
        <w:rPr>
          <w:rFonts w:hint="eastAsia" w:ascii="宋体" w:hAnsi="宋体"/>
        </w:rPr>
        <w:t>担，收购资金</w:t>
      </w:r>
      <w:r>
        <w:rPr>
          <w:rFonts w:ascii="宋体" w:hAnsi="宋体"/>
        </w:rPr>
        <w:t>2.8亿元以上。</w:t>
      </w:r>
    </w:p>
    <w:p w14:paraId="32DA88D1">
      <w:pPr>
        <w:ind w:firstLine="422"/>
        <w:rPr>
          <w:rFonts w:ascii="宋体" w:hAnsi="宋体"/>
        </w:rPr>
      </w:pPr>
      <w:r>
        <w:rPr>
          <w:rFonts w:hint="eastAsia" w:ascii="宋体" w:hAnsi="宋体"/>
          <w:b/>
        </w:rPr>
        <w:t>——发展现代特色农业产业。</w:t>
      </w:r>
      <w:r>
        <w:rPr>
          <w:rFonts w:hint="eastAsia" w:ascii="宋体" w:hAnsi="宋体"/>
        </w:rPr>
        <w:t>重点扶持金友集团发展壮大，加快推进</w:t>
      </w:r>
      <w:r>
        <w:rPr>
          <w:rFonts w:ascii="宋体" w:hAnsi="宋体"/>
        </w:rPr>
        <w:t>15万亩优质米</w:t>
      </w:r>
      <w:r>
        <w:rPr>
          <w:rFonts w:hint="eastAsia" w:ascii="宋体" w:hAnsi="宋体"/>
        </w:rPr>
        <w:t>生产供应基地建设；以温氏集团为龙头，打造年出栏量达</w:t>
      </w:r>
      <w:r>
        <w:rPr>
          <w:rFonts w:ascii="宋体" w:hAnsi="宋体"/>
        </w:rPr>
        <w:t>80万头生猪、100万只五黑鸡</w:t>
      </w:r>
      <w:r>
        <w:rPr>
          <w:rFonts w:hint="eastAsia" w:ascii="宋体" w:hAnsi="宋体"/>
        </w:rPr>
        <w:t>的畜牧养殖生产基地；大力推进界址、百顺等山区中药材基地建设，打造</w:t>
      </w:r>
      <w:r>
        <w:rPr>
          <w:rFonts w:ascii="宋体" w:hAnsi="宋体"/>
        </w:rPr>
        <w:t>1万亩中药材</w:t>
      </w:r>
      <w:r>
        <w:rPr>
          <w:rFonts w:hint="eastAsia" w:ascii="宋体" w:hAnsi="宋体"/>
        </w:rPr>
        <w:t>基地；以发挥山区地缘优势为主导，打造</w:t>
      </w:r>
      <w:r>
        <w:rPr>
          <w:rFonts w:ascii="宋体" w:hAnsi="宋体"/>
        </w:rPr>
        <w:t>20</w:t>
      </w:r>
      <w:r>
        <w:rPr>
          <w:rFonts w:hint="eastAsia" w:ascii="宋体" w:hAnsi="宋体"/>
        </w:rPr>
        <w:t>万亩的油茶生产基地；以政策引导为动力，打造农土特生产加工销售基地。通过农业产业“六大基地”建设，带动农业产业化、规模化发展。充分发挥农业专业合作社的作用，大力发展无公害农产品、绿色食品和有机农产品。</w:t>
      </w:r>
    </w:p>
    <w:p w14:paraId="4E4A0CB4">
      <w:pPr>
        <w:ind w:firstLine="422"/>
        <w:rPr>
          <w:rFonts w:ascii="宋体" w:hAnsi="宋体"/>
        </w:rPr>
      </w:pPr>
      <w:r>
        <w:rPr>
          <w:rFonts w:hint="eastAsia" w:ascii="宋体" w:hAnsi="宋体"/>
          <w:b/>
        </w:rPr>
        <w:t>——抓好扶贫开发“双到”工作。</w:t>
      </w:r>
      <w:r>
        <w:rPr>
          <w:rFonts w:hint="eastAsia" w:ascii="宋体" w:hAnsi="宋体"/>
        </w:rPr>
        <w:t>落实工作责任制，以产业扶贫为重点，大力发展“一镇一业、一村一品”，扎实推进扶贫开发“双到”工作。创新工作思路，注重工作实效，加强对贫困户的技术指导，提高帮扶资金的使用效益，不断改善农村生产生活基础条件，加快全市贫困户脱贫致富步伐。</w:t>
      </w:r>
    </w:p>
    <w:p w14:paraId="56DD29EF">
      <w:pPr>
        <w:ind w:firstLine="422"/>
        <w:rPr>
          <w:rFonts w:ascii="宋体" w:hAnsi="宋体"/>
        </w:rPr>
      </w:pPr>
      <w:r>
        <w:rPr>
          <w:rFonts w:hint="eastAsia" w:ascii="宋体" w:hAnsi="宋体"/>
          <w:b/>
        </w:rPr>
        <w:t>——推进新农村建设。</w:t>
      </w:r>
      <w:r>
        <w:rPr>
          <w:rFonts w:hint="eastAsia" w:ascii="宋体" w:hAnsi="宋体"/>
        </w:rPr>
        <w:t>按照“生产发展、生活宽裕、乡风文明、村容整洁、管理民主”的目标，加快推进社会主义新农村建设。抓好科技兴农工作，提高农民种养技能；加强动物防疫工作，确保南雄市区域内不出现较大的动物疫情；搞好村庄整治工作，完成</w:t>
      </w:r>
      <w:r>
        <w:rPr>
          <w:rFonts w:ascii="宋体" w:hAnsi="宋体"/>
        </w:rPr>
        <w:t>30</w:t>
      </w:r>
      <w:r>
        <w:rPr>
          <w:rFonts w:hint="eastAsia" w:ascii="宋体" w:hAnsi="宋体"/>
        </w:rPr>
        <w:t>个村的村庄整治工作；继续推进农村危房改造和农村饮水安全工程，着力解决农村“一保五难”问题，全面落实惠农强农的各项政策措施。</w:t>
      </w:r>
    </w:p>
    <w:p w14:paraId="38DAA37E">
      <w:pPr>
        <w:ind w:firstLine="422"/>
        <w:rPr>
          <w:rFonts w:ascii="宋体" w:hAnsi="宋体"/>
          <w:b/>
        </w:rPr>
      </w:pPr>
      <w:r>
        <w:rPr>
          <w:rFonts w:hint="eastAsia" w:ascii="宋体" w:hAnsi="宋体"/>
          <w:b/>
        </w:rPr>
        <w:t>三、优化服务环境，提升招商引资质量和水平</w:t>
      </w:r>
    </w:p>
    <w:p w14:paraId="627FD607">
      <w:pPr>
        <w:ind w:firstLine="422"/>
        <w:rPr>
          <w:rFonts w:hint="eastAsia" w:ascii="宋体" w:hAnsi="宋体"/>
          <w:b/>
        </w:rPr>
      </w:pPr>
      <w:r>
        <w:rPr>
          <w:rFonts w:hint="eastAsia" w:ascii="宋体" w:hAnsi="宋体"/>
          <w:b/>
        </w:rPr>
        <w:t>进一步扩大对外开放，加强服务软环境建设，大力推进招商引资工作，突出重点进行招商，实现招商引资新突破。</w:t>
      </w:r>
    </w:p>
    <w:p w14:paraId="6251D90D">
      <w:pPr>
        <w:ind w:firstLine="422"/>
        <w:rPr>
          <w:rFonts w:ascii="宋体" w:hAnsi="宋体"/>
        </w:rPr>
      </w:pPr>
      <w:r>
        <w:rPr>
          <w:rFonts w:hint="eastAsia" w:ascii="宋体" w:hAnsi="宋体"/>
          <w:b/>
        </w:rPr>
        <w:t>——突出引进品牌企业项目。</w:t>
      </w:r>
      <w:r>
        <w:rPr>
          <w:rFonts w:hint="eastAsia" w:ascii="宋体" w:hAnsi="宋体"/>
        </w:rPr>
        <w:t>重点引进效益型、环保型、科技型的企业项目，着力引进在行业中有重大影响力的国内外品牌企产业，带动产业发展，提升产业竞争力。</w:t>
      </w:r>
    </w:p>
    <w:p w14:paraId="18279EEB">
      <w:pPr>
        <w:ind w:firstLine="422"/>
        <w:rPr>
          <w:rFonts w:ascii="宋体" w:hAnsi="宋体"/>
        </w:rPr>
      </w:pPr>
      <w:r>
        <w:rPr>
          <w:rFonts w:hint="eastAsia" w:ascii="宋体" w:hAnsi="宋体"/>
          <w:b/>
        </w:rPr>
        <w:t>——围绕产业集聚进行招商。</w:t>
      </w:r>
      <w:r>
        <w:rPr>
          <w:rFonts w:hint="eastAsia" w:ascii="宋体" w:hAnsi="宋体"/>
        </w:rPr>
        <w:t>依托支柱产业，重点围绕精细化工等四大工业产业进行招商；发挥优势资源，突出生态农业、旅游休闲、农土特加工等产业招商，不断提高产业集聚度，提升产业发展水平。</w:t>
      </w:r>
    </w:p>
    <w:p w14:paraId="53B323DF">
      <w:pPr>
        <w:ind w:firstLine="422"/>
        <w:rPr>
          <w:rFonts w:ascii="宋体" w:hAnsi="宋体"/>
        </w:rPr>
      </w:pPr>
      <w:r>
        <w:rPr>
          <w:rFonts w:hint="eastAsia" w:ascii="宋体" w:hAnsi="宋体"/>
          <w:b/>
        </w:rPr>
        <w:t>——提高招商引资水平。</w:t>
      </w:r>
      <w:r>
        <w:rPr>
          <w:rFonts w:hint="eastAsia" w:ascii="宋体" w:hAnsi="宋体"/>
        </w:rPr>
        <w:t>充分利用好“中央苏区县”、省产业转移工业园两大金字招牌，加强宣传推介力度，加强对外经贸合作与交流，有针对性地开展多形式、多方位的招商活动，积极承接珠三角地区产业转移；优化服务环境，继续实施发展工业“绿灯工程”，完善招商引资优惠政策，不断提高机关办事效率，营造亲商、重商、稳商的良好招商引资氛围。</w:t>
      </w:r>
    </w:p>
    <w:p w14:paraId="05D6E72C">
      <w:pPr>
        <w:ind w:firstLine="422"/>
        <w:rPr>
          <w:rFonts w:ascii="宋体" w:hAnsi="宋体"/>
          <w:b/>
        </w:rPr>
      </w:pPr>
      <w:r>
        <w:rPr>
          <w:rFonts w:hint="eastAsia" w:ascii="宋体" w:hAnsi="宋体"/>
          <w:b/>
        </w:rPr>
        <w:t>四、大力发展特色旅游，努力建设旅游强市（县）</w:t>
      </w:r>
    </w:p>
    <w:p w14:paraId="3844395E">
      <w:pPr>
        <w:ind w:firstLine="420"/>
        <w:rPr>
          <w:rFonts w:ascii="宋体" w:hAnsi="宋体"/>
        </w:rPr>
      </w:pPr>
      <w:r>
        <w:rPr>
          <w:rFonts w:hint="eastAsia" w:ascii="宋体" w:hAnsi="宋体"/>
        </w:rPr>
        <w:t>加强旅游景区规划，完善旅游配套设施，合理开发利用旅游资源，重点打造奥威斯五星级国际休闲度假中心为龙头的五大旅游品牌，不断提升南雄市旅游发展水平。</w:t>
      </w:r>
      <w:r>
        <w:rPr>
          <w:rFonts w:ascii="宋体" w:hAnsi="宋体"/>
        </w:rPr>
        <w:t>2011年，</w:t>
      </w:r>
      <w:r>
        <w:rPr>
          <w:rFonts w:hint="eastAsia" w:ascii="宋体" w:hAnsi="宋体"/>
        </w:rPr>
        <w:t>力争实现全市旅游总收入增长</w:t>
      </w:r>
      <w:r>
        <w:rPr>
          <w:rFonts w:ascii="宋体" w:hAnsi="宋体"/>
        </w:rPr>
        <w:t>20%以上，接</w:t>
      </w:r>
      <w:r>
        <w:rPr>
          <w:rFonts w:hint="eastAsia" w:ascii="宋体" w:hAnsi="宋体"/>
        </w:rPr>
        <w:t>待游客人数增长</w:t>
      </w:r>
      <w:r>
        <w:rPr>
          <w:rFonts w:ascii="宋体" w:hAnsi="宋体"/>
        </w:rPr>
        <w:t>15%以上。</w:t>
      </w:r>
    </w:p>
    <w:p w14:paraId="483F8C2F">
      <w:pPr>
        <w:ind w:firstLine="422"/>
        <w:rPr>
          <w:rFonts w:ascii="宋体" w:hAnsi="宋体"/>
        </w:rPr>
      </w:pPr>
      <w:r>
        <w:rPr>
          <w:rFonts w:hint="eastAsia" w:ascii="宋体" w:hAnsi="宋体"/>
          <w:b/>
        </w:rPr>
        <w:t>——做好旅游规划，完善旅游基础设施。</w:t>
      </w:r>
      <w:r>
        <w:rPr>
          <w:rFonts w:hint="eastAsia" w:ascii="宋体" w:hAnsi="宋体"/>
        </w:rPr>
        <w:t>进一步完善珠玑古巷和梅岭景区旅游总体规划，进一步推进两大景区的开发建设，提升景区品位和竞争力。大力塑造南雄珠玑古巷姓氏文化，梅岭古道文化、古村落文化、梅文化和红色文化的旅游品牌形象，完善住宿、餐饮、娱乐等设施，努力将珠玑古巷和梅岭景区打造成国家</w:t>
      </w:r>
      <w:r>
        <w:rPr>
          <w:rFonts w:ascii="宋体" w:hAnsi="宋体"/>
        </w:rPr>
        <w:t>4A级旅游景区。加强旅游配</w:t>
      </w:r>
      <w:r>
        <w:rPr>
          <w:rFonts w:hint="eastAsia" w:ascii="宋体" w:hAnsi="宋体"/>
        </w:rPr>
        <w:t>套设施建设，大力发展“吃、住、行、游、购、娱”六要素相关产业，促进旅游产业健康、协调发展。</w:t>
      </w:r>
    </w:p>
    <w:p w14:paraId="35709A98">
      <w:pPr>
        <w:ind w:firstLine="422"/>
        <w:rPr>
          <w:rFonts w:ascii="宋体" w:hAnsi="宋体"/>
        </w:rPr>
      </w:pPr>
      <w:r>
        <w:rPr>
          <w:rFonts w:hint="eastAsia" w:ascii="宋体" w:hAnsi="宋体"/>
          <w:b/>
        </w:rPr>
        <w:t>——加快龙华山温泉度假中心项目建设。</w:t>
      </w:r>
      <w:r>
        <w:rPr>
          <w:rFonts w:hint="eastAsia" w:ascii="宋体" w:hAnsi="宋体"/>
        </w:rPr>
        <w:t>加强与奥威斯集团的沟通协调，进一步强化服务意识，落实领导挂点责任制，全力协调解决项目建设过程中存在的困难和问题，尽快完成征地拆迁及农户搬迁工作，争取酒店主体工程早日动工建设，确保项目顺利实施。</w:t>
      </w:r>
    </w:p>
    <w:p w14:paraId="6FAA03D6">
      <w:pPr>
        <w:ind w:firstLine="422"/>
        <w:rPr>
          <w:rFonts w:hint="eastAsia" w:ascii="宋体" w:hAnsi="宋体"/>
        </w:rPr>
      </w:pPr>
      <w:r>
        <w:rPr>
          <w:rFonts w:hint="eastAsia" w:ascii="宋体" w:hAnsi="宋体"/>
          <w:b/>
        </w:rPr>
        <w:t>——开发利用旅游资源，打造五大特色旅游品牌。</w:t>
      </w:r>
      <w:r>
        <w:rPr>
          <w:rFonts w:hint="eastAsia" w:ascii="宋体" w:hAnsi="宋体"/>
        </w:rPr>
        <w:t>以被确认为“中央苏区县”和省委机关旧址的全面修复为契机，加紧规划建设水口战役、油山三年游击战两个纪念馆，进一步完善瑶坑省委机关旧址，抢修和保护五岭地委、红军医院等红色旧址，不断挖掘和开发红色旅游资源。加快整合旅游资源，着力打造五大旅游品牌：</w:t>
      </w:r>
    </w:p>
    <w:p w14:paraId="4BBC70DA">
      <w:pPr>
        <w:ind w:firstLine="420"/>
        <w:rPr>
          <w:rFonts w:ascii="宋体" w:hAnsi="宋体"/>
        </w:rPr>
      </w:pPr>
      <w:r>
        <w:rPr>
          <w:rFonts w:hint="eastAsia" w:ascii="宋体" w:hAnsi="宋体"/>
        </w:rPr>
        <w:t>一是打造奥威斯五星级国际休闲度假中心品牌；</w:t>
      </w:r>
    </w:p>
    <w:p w14:paraId="20C7BD29">
      <w:pPr>
        <w:ind w:firstLine="420"/>
        <w:rPr>
          <w:rFonts w:ascii="宋体" w:hAnsi="宋体"/>
        </w:rPr>
      </w:pPr>
      <w:r>
        <w:rPr>
          <w:rFonts w:hint="eastAsia" w:ascii="宋体" w:hAnsi="宋体"/>
        </w:rPr>
        <w:t>二是打造珠玑古巷寻根祭祖旅游区和梅岭千年古道休闲体验区的品牌；</w:t>
      </w:r>
    </w:p>
    <w:p w14:paraId="2D80C39C">
      <w:pPr>
        <w:ind w:firstLine="420"/>
        <w:rPr>
          <w:rFonts w:ascii="宋体" w:hAnsi="宋体"/>
        </w:rPr>
      </w:pPr>
      <w:r>
        <w:rPr>
          <w:rFonts w:hint="eastAsia" w:ascii="宋体" w:hAnsi="宋体"/>
        </w:rPr>
        <w:t>三是打造青嶂山珍稀温泉品牌；四是打响有天然生态氧吧之称的帽子峰景区品牌；五是以孔江水库被评为国家湿地公园为契机，打响自然生态游品牌。进一步规范旅游市场秩序，增强旅游发展活力，提升旅游业发展水平。</w:t>
      </w:r>
    </w:p>
    <w:p w14:paraId="1CB13FF4">
      <w:pPr>
        <w:ind w:firstLine="422"/>
        <w:rPr>
          <w:rFonts w:ascii="宋体" w:hAnsi="宋体"/>
          <w:b/>
        </w:rPr>
      </w:pPr>
      <w:r>
        <w:rPr>
          <w:rFonts w:hint="eastAsia" w:ascii="宋体" w:hAnsi="宋体"/>
          <w:b/>
        </w:rPr>
        <w:t>五、加大固定资产投资力度，增强经济发展动力</w:t>
      </w:r>
    </w:p>
    <w:p w14:paraId="174842D4">
      <w:pPr>
        <w:ind w:firstLine="420"/>
        <w:rPr>
          <w:rFonts w:ascii="宋体" w:hAnsi="宋体"/>
        </w:rPr>
      </w:pPr>
      <w:r>
        <w:rPr>
          <w:rFonts w:hint="eastAsia" w:ascii="宋体" w:hAnsi="宋体"/>
        </w:rPr>
        <w:t>实施项目带动战略，扎实推进基础设施建设，继续加大固定资产投资，夯实发展基础。力争全年实现固定资产投资</w:t>
      </w:r>
      <w:r>
        <w:rPr>
          <w:rFonts w:ascii="宋体" w:hAnsi="宋体"/>
        </w:rPr>
        <w:t>64亿元，增</w:t>
      </w:r>
      <w:r>
        <w:rPr>
          <w:rFonts w:hint="eastAsia" w:ascii="宋体" w:hAnsi="宋体"/>
        </w:rPr>
        <w:t>长</w:t>
      </w:r>
      <w:r>
        <w:rPr>
          <w:rFonts w:ascii="宋体" w:hAnsi="宋体"/>
        </w:rPr>
        <w:t>15%</w:t>
      </w:r>
      <w:r>
        <w:rPr>
          <w:rFonts w:hint="eastAsia" w:ascii="宋体" w:hAnsi="宋体"/>
        </w:rPr>
        <w:t>。</w:t>
      </w:r>
    </w:p>
    <w:p w14:paraId="1245D6B0">
      <w:pPr>
        <w:ind w:firstLine="422"/>
        <w:rPr>
          <w:rFonts w:ascii="宋体" w:hAnsi="宋体"/>
        </w:rPr>
      </w:pPr>
      <w:r>
        <w:rPr>
          <w:rFonts w:hint="eastAsia" w:ascii="宋体" w:hAnsi="宋体"/>
          <w:b/>
        </w:rPr>
        <w:t>——农田水利设施建设。</w:t>
      </w:r>
      <w:r>
        <w:rPr>
          <w:rFonts w:hint="eastAsia" w:ascii="宋体" w:hAnsi="宋体"/>
        </w:rPr>
        <w:t>完成水口</w:t>
      </w:r>
      <w:r>
        <w:rPr>
          <w:rFonts w:ascii="宋体" w:hAnsi="宋体"/>
        </w:rPr>
        <w:t>0.97</w:t>
      </w:r>
      <w:r>
        <w:rPr>
          <w:rFonts w:hint="eastAsia" w:ascii="宋体" w:hAnsi="宋体"/>
        </w:rPr>
        <w:t>万亩农业综合开发，完成湖口承平基本农田保护示范区项目建设，完成乌迳、界址、主田、黄坑等镇的农田整治项目；投资</w:t>
      </w:r>
      <w:r>
        <w:rPr>
          <w:rFonts w:ascii="宋体" w:hAnsi="宋体"/>
        </w:rPr>
        <w:t>3139万</w:t>
      </w:r>
      <w:r>
        <w:rPr>
          <w:rFonts w:hint="eastAsia" w:ascii="宋体" w:hAnsi="宋体"/>
        </w:rPr>
        <w:t>元，完成</w:t>
      </w:r>
      <w:r>
        <w:rPr>
          <w:rFonts w:ascii="宋体" w:hAnsi="宋体"/>
        </w:rPr>
        <w:t>33宗农村饮水安全工程；投资790</w:t>
      </w:r>
      <w:r>
        <w:rPr>
          <w:rFonts w:hint="eastAsia" w:ascii="宋体" w:hAnsi="宋体"/>
        </w:rPr>
        <w:t>万元，完成江头镇田间工程建设；完成孔江灌区节水配套改造一期工程，做好横江灌区节水配套改造、宝江灌区头渡渡槽改建工程的前期工作。</w:t>
      </w:r>
    </w:p>
    <w:p w14:paraId="60AFDD37">
      <w:pPr>
        <w:ind w:firstLine="422"/>
        <w:rPr>
          <w:rFonts w:ascii="宋体" w:hAnsi="宋体"/>
        </w:rPr>
      </w:pPr>
      <w:r>
        <w:rPr>
          <w:rFonts w:hint="eastAsia" w:ascii="宋体" w:hAnsi="宋体"/>
          <w:b/>
        </w:rPr>
        <w:t>——电力能源设施建设。</w:t>
      </w:r>
      <w:r>
        <w:rPr>
          <w:rFonts w:hint="eastAsia" w:ascii="宋体" w:hAnsi="宋体"/>
        </w:rPr>
        <w:t>继续协调完善西气东输南雄段工程建设，加快南雄市管道燃气项目建设，做好华电热电冷联供项目跟踪服务工作，协助早日获取国家发改委能源局等部门的批准，促进项目早日动工兴建。投资</w:t>
      </w:r>
      <w:r>
        <w:rPr>
          <w:rFonts w:ascii="宋体" w:hAnsi="宋体"/>
        </w:rPr>
        <w:t>2850万元，进行电网升级改造，推进百</w:t>
      </w:r>
      <w:r>
        <w:rPr>
          <w:rFonts w:hint="eastAsia" w:ascii="宋体" w:hAnsi="宋体"/>
        </w:rPr>
        <w:t>顺、澜河、帽子峰等五个山区镇的农网接管改造工作，确保农村山区电网安全。</w:t>
      </w:r>
    </w:p>
    <w:p w14:paraId="588F7981">
      <w:pPr>
        <w:ind w:firstLine="422"/>
        <w:rPr>
          <w:rFonts w:ascii="宋体" w:hAnsi="宋体"/>
        </w:rPr>
      </w:pPr>
      <w:r>
        <w:rPr>
          <w:rFonts w:hint="eastAsia" w:ascii="宋体" w:hAnsi="宋体"/>
          <w:b/>
        </w:rPr>
        <w:t>——交通道路设施建设。</w:t>
      </w:r>
      <w:r>
        <w:rPr>
          <w:rFonts w:hint="eastAsia" w:ascii="宋体" w:hAnsi="宋体"/>
        </w:rPr>
        <w:t>加快新汽车客运站场的规划建设，抓紧做好选址、规划等前期工作。全力配合做好韶赣铁路南雄段的建设工作，完成借村至精细化工园</w:t>
      </w:r>
      <w:r>
        <w:rPr>
          <w:rFonts w:ascii="宋体" w:hAnsi="宋体"/>
        </w:rPr>
        <w:t>12公里公</w:t>
      </w:r>
      <w:r>
        <w:rPr>
          <w:rFonts w:hint="eastAsia" w:ascii="宋体" w:hAnsi="宋体"/>
        </w:rPr>
        <w:t>路工程，完成</w:t>
      </w:r>
      <w:r>
        <w:rPr>
          <w:rFonts w:ascii="宋体" w:hAnsi="宋体"/>
        </w:rPr>
        <w:t>X339线河南至主田6.2公里公</w:t>
      </w:r>
      <w:r>
        <w:rPr>
          <w:rFonts w:hint="eastAsia" w:ascii="宋体" w:hAnsi="宋体"/>
        </w:rPr>
        <w:t>路路面改造工程，完成东背岭大桥至龙华山温泉公路（奥威斯大道）工程建设，完成</w:t>
      </w:r>
      <w:r>
        <w:rPr>
          <w:rFonts w:ascii="宋体" w:hAnsi="宋体"/>
        </w:rPr>
        <w:t>60</w:t>
      </w:r>
      <w:r>
        <w:rPr>
          <w:rFonts w:hint="eastAsia" w:ascii="宋体" w:hAnsi="宋体"/>
        </w:rPr>
        <w:t>公里农村公路水泥硬底化工程。</w:t>
      </w:r>
    </w:p>
    <w:p w14:paraId="3D5FC7ED">
      <w:pPr>
        <w:ind w:firstLine="422"/>
        <w:rPr>
          <w:rFonts w:ascii="宋体" w:hAnsi="宋体"/>
          <w:b/>
        </w:rPr>
      </w:pPr>
      <w:r>
        <w:rPr>
          <w:rFonts w:hint="eastAsia" w:ascii="宋体" w:hAnsi="宋体"/>
          <w:b/>
        </w:rPr>
        <w:t>六、加快推进城镇化，不断提高城市发展水平</w:t>
      </w:r>
    </w:p>
    <w:p w14:paraId="065C2403">
      <w:pPr>
        <w:ind w:firstLine="420"/>
        <w:rPr>
          <w:rFonts w:ascii="宋体" w:hAnsi="宋体"/>
        </w:rPr>
      </w:pPr>
      <w:r>
        <w:rPr>
          <w:rFonts w:hint="eastAsia" w:ascii="宋体" w:hAnsi="宋体"/>
        </w:rPr>
        <w:t>加快城市建设，推进中心镇建设，逐步实现以城带镇、以镇带村、梯度推进、协调发展的城镇化发展新格局，促进城乡协调发展。</w:t>
      </w:r>
    </w:p>
    <w:p w14:paraId="038145BB">
      <w:pPr>
        <w:ind w:firstLine="422"/>
        <w:rPr>
          <w:rFonts w:ascii="宋体" w:hAnsi="宋体"/>
        </w:rPr>
      </w:pPr>
      <w:r>
        <w:rPr>
          <w:rFonts w:hint="eastAsia" w:ascii="宋体" w:hAnsi="宋体"/>
          <w:b/>
        </w:rPr>
        <w:t>——完善城镇规划。</w:t>
      </w:r>
      <w:r>
        <w:rPr>
          <w:rFonts w:hint="eastAsia" w:ascii="宋体" w:hAnsi="宋体"/>
        </w:rPr>
        <w:t>按照建设粤北门户城市的总体目标，以“两路”建设为契机，稳步推进城区北移东扩、西建南绿发展战略，继续做好中心城区总体规划修编工作，做好北城区</w:t>
      </w:r>
      <w:r>
        <w:rPr>
          <w:rFonts w:ascii="宋体" w:hAnsi="宋体"/>
        </w:rPr>
        <w:t>2.6平方公里等的用地控制性详细规</w:t>
      </w:r>
      <w:r>
        <w:rPr>
          <w:rFonts w:hint="eastAsia" w:ascii="宋体" w:hAnsi="宋体"/>
        </w:rPr>
        <w:t>划设计工作。完善镇村建设规划，以发展中心镇为重点，不断增强城镇对农村的辐射带动能力，逐步实现以城带镇、以镇带村、梯度推进、协调发展的城镇化发展新格局。</w:t>
      </w:r>
    </w:p>
    <w:p w14:paraId="0A2820D8">
      <w:pPr>
        <w:ind w:firstLine="422"/>
        <w:rPr>
          <w:rFonts w:ascii="宋体" w:hAnsi="宋体"/>
        </w:rPr>
      </w:pPr>
      <w:r>
        <w:rPr>
          <w:rFonts w:hint="eastAsia" w:ascii="宋体" w:hAnsi="宋体"/>
          <w:b/>
        </w:rPr>
        <w:t>——加快推进城镇建设。</w:t>
      </w:r>
      <w:r>
        <w:rPr>
          <w:rFonts w:hint="eastAsia" w:ascii="宋体" w:hAnsi="宋体"/>
        </w:rPr>
        <w:t>继续推进新城影剧院建设，做好垃圾填埋场建设。稳步推进老城改造，做好“三旧”改造工作。不断完善城区交通网络建设，改善公共基础设施。加快推进金刚小区、原玩具总厂小区建设，建设一批具有代表性的、高品位的生活小区，逐步扩大城市框架。加强房地产市场调控监管力度，促进房地产业健康发展，不断增强城市建设服务经济社会发展的作用，着力打造宜居、宜业、宜商的新城区。</w:t>
      </w:r>
    </w:p>
    <w:p w14:paraId="22A4FA74">
      <w:pPr>
        <w:ind w:firstLine="422"/>
        <w:rPr>
          <w:rFonts w:ascii="宋体" w:hAnsi="宋体"/>
        </w:rPr>
      </w:pPr>
      <w:r>
        <w:rPr>
          <w:rFonts w:hint="eastAsia" w:ascii="宋体" w:hAnsi="宋体"/>
          <w:b/>
        </w:rPr>
        <w:t>——提高城市管理水平。</w:t>
      </w:r>
      <w:r>
        <w:rPr>
          <w:rFonts w:hint="eastAsia" w:ascii="宋体" w:hAnsi="宋体"/>
        </w:rPr>
        <w:t>强化建筑市场安全监管，加大整治违章建筑的力度，着力解决城区乱搭乱建、非法占用农田建房的行为，有效引导和逐步规范城市生活小区物业管理，有效推进城市绿化、美化、净化的市场化运作，进一步提高城市管理效率和水平。完善促进农民进城就业创业、居住等政策措施，促进农村人口向城镇有序转移。</w:t>
      </w:r>
    </w:p>
    <w:p w14:paraId="2950B31F">
      <w:pPr>
        <w:ind w:firstLine="422"/>
        <w:rPr>
          <w:rFonts w:ascii="宋体" w:hAnsi="宋体"/>
          <w:b/>
        </w:rPr>
      </w:pPr>
      <w:r>
        <w:rPr>
          <w:rFonts w:hint="eastAsia" w:ascii="宋体" w:hAnsi="宋体"/>
          <w:b/>
        </w:rPr>
        <w:t>七、切实抓好财税金融工作，增强保障和服务能力</w:t>
      </w:r>
    </w:p>
    <w:p w14:paraId="1F209ACE">
      <w:pPr>
        <w:ind w:firstLine="420"/>
        <w:rPr>
          <w:rFonts w:ascii="宋体" w:hAnsi="宋体"/>
        </w:rPr>
      </w:pPr>
      <w:r>
        <w:rPr>
          <w:rFonts w:hint="eastAsia" w:ascii="宋体" w:hAnsi="宋体"/>
        </w:rPr>
        <w:t>以开源节流为重点，认真贯彻落实积极的财政政策和稳健的货币政策，多方聚财、科学理财、合理用财，强化财税金融的服务保障作用。</w:t>
      </w:r>
    </w:p>
    <w:p w14:paraId="50AEDFEE">
      <w:pPr>
        <w:ind w:firstLine="422"/>
        <w:rPr>
          <w:rFonts w:ascii="宋体" w:hAnsi="宋体"/>
        </w:rPr>
      </w:pPr>
      <w:r>
        <w:rPr>
          <w:rFonts w:hint="eastAsia" w:ascii="宋体" w:hAnsi="宋体"/>
          <w:b/>
        </w:rPr>
        <w:t>——加强财税征管，增加财政收入。</w:t>
      </w:r>
      <w:r>
        <w:rPr>
          <w:rFonts w:hint="eastAsia" w:ascii="宋体" w:hAnsi="宋体"/>
        </w:rPr>
        <w:t>进一步发挥协税护税工作领导小组的作用，健全完善征管措施，进一步推进依法治税工作，堵塞征管漏洞，防止税收流失。不断完善房地产税费一体化平台，努力培植新的税收增长点；规范税收秩序，提高税收征管效率，确保应收尽收。重点加大对工业园新兴税源和工程类建设项目产生的一次性税收的征管力度，逐步规范园区税收征管，确保园区企业税收及时、足额到位。做好项目资金申报工作，积极争取上级政策资金扶持，提高财政保障能力。</w:t>
      </w:r>
    </w:p>
    <w:p w14:paraId="42DD9AFE">
      <w:pPr>
        <w:ind w:firstLine="422"/>
        <w:rPr>
          <w:rFonts w:ascii="宋体" w:hAnsi="宋体"/>
        </w:rPr>
      </w:pPr>
      <w:r>
        <w:rPr>
          <w:rFonts w:hint="eastAsia" w:ascii="宋体" w:hAnsi="宋体"/>
          <w:b/>
        </w:rPr>
        <w:t>——优化支出结构，保障各项重点支出。</w:t>
      </w:r>
      <w:r>
        <w:rPr>
          <w:rFonts w:hint="eastAsia" w:ascii="宋体" w:hAnsi="宋体"/>
        </w:rPr>
        <w:t>按照保重点、保运转、保民生、保稳定的总体目标，着力调整优化财政支出结构，严格控制一般性行政支出、严格实行收支“两条线”管理，不断加大对公共服务方面的投入，逐步增加关系民生的社会保障支出，让全市人民共享改革发展成果。同时，强化财政专项资金的监管，确保各项资金能及时高效地发挥使用效益，维护正常的财经秩序。</w:t>
      </w:r>
    </w:p>
    <w:p w14:paraId="6ADB15E5">
      <w:pPr>
        <w:ind w:firstLine="422"/>
        <w:rPr>
          <w:rFonts w:ascii="宋体" w:hAnsi="宋体"/>
        </w:rPr>
      </w:pPr>
      <w:r>
        <w:rPr>
          <w:rFonts w:hint="eastAsia" w:ascii="宋体" w:hAnsi="宋体"/>
          <w:b/>
        </w:rPr>
        <w:t>——增强金融对经济的助推作用。</w:t>
      </w:r>
      <w:r>
        <w:rPr>
          <w:rFonts w:hint="eastAsia" w:ascii="宋体" w:hAnsi="宋体"/>
        </w:rPr>
        <w:t>不断完善信贷担保体系建设，鼓励和支持金融机构拓宽服务领域，加大有效信贷投入力度，着力提高金融服务质量和水平，为推进重点项目建设、加快中小企业发展等方面提供良好的融资服务；引导金融机构创新信贷支农方式，支持农业农村发展。</w:t>
      </w:r>
    </w:p>
    <w:p w14:paraId="1A19BD9B">
      <w:pPr>
        <w:ind w:firstLine="422"/>
        <w:rPr>
          <w:rFonts w:ascii="宋体" w:hAnsi="宋体"/>
          <w:b/>
        </w:rPr>
      </w:pPr>
      <w:r>
        <w:rPr>
          <w:rFonts w:hint="eastAsia" w:ascii="宋体" w:hAnsi="宋体"/>
          <w:b/>
        </w:rPr>
        <w:t>八、强化环境保护，促进可持续发展</w:t>
      </w:r>
    </w:p>
    <w:p w14:paraId="4827A809">
      <w:pPr>
        <w:ind w:firstLine="420"/>
        <w:rPr>
          <w:rFonts w:ascii="宋体" w:hAnsi="宋体"/>
        </w:rPr>
      </w:pPr>
      <w:r>
        <w:rPr>
          <w:rFonts w:hint="eastAsia" w:ascii="宋体" w:hAnsi="宋体"/>
        </w:rPr>
        <w:t>正确处理好发展与环保的关系，着力推进生态文明建设，努力建设生态环保型、环境友好型社会，促进经济社会和自然环境和谐发展，提高经济社会的可持续发展能力。</w:t>
      </w:r>
    </w:p>
    <w:p w14:paraId="65D119AC">
      <w:pPr>
        <w:ind w:firstLine="422"/>
        <w:rPr>
          <w:rFonts w:ascii="宋体" w:hAnsi="宋体"/>
        </w:rPr>
      </w:pPr>
      <w:r>
        <w:rPr>
          <w:rFonts w:hint="eastAsia" w:ascii="宋体" w:hAnsi="宋体"/>
          <w:b/>
        </w:rPr>
        <w:t>——加强节能减排工作。</w:t>
      </w:r>
      <w:r>
        <w:rPr>
          <w:rFonts w:hint="eastAsia" w:ascii="宋体" w:hAnsi="宋体"/>
        </w:rPr>
        <w:t>完善城市污水截污管网建设，提高城市污水处理能力；加快推进空气环境质量自动监测系统建设，完善工业园区污水处理设施建设。通过推动企业技术改造、提高排污处理能力，促进珠玑纸业、彤置富水泥、乐华陶瓷等重点耗能企业节能减排。落实目标责任制，采取有力节能减排措施，消减化学需氧量排放量，控制并有效降低</w:t>
      </w:r>
      <w:r>
        <w:rPr>
          <w:rFonts w:ascii="宋体" w:hAnsi="宋体"/>
        </w:rPr>
        <w:t>GDP能耗，改善环境质量。</w:t>
      </w:r>
    </w:p>
    <w:p w14:paraId="5A819FC5">
      <w:pPr>
        <w:ind w:firstLine="422"/>
        <w:rPr>
          <w:rFonts w:ascii="宋体" w:hAnsi="宋体"/>
        </w:rPr>
      </w:pPr>
      <w:r>
        <w:rPr>
          <w:rFonts w:hint="eastAsia" w:ascii="宋体" w:hAnsi="宋体"/>
          <w:b/>
        </w:rPr>
        <w:t>——推进绿色生态建设。</w:t>
      </w:r>
      <w:r>
        <w:rPr>
          <w:rFonts w:hint="eastAsia" w:ascii="宋体" w:hAnsi="宋体"/>
        </w:rPr>
        <w:t>进一步加大林业执法力度，规范竹木加工市场秩序，全面完成集体林权制度改革。积极推进高速公路、铁路、国道等公共道路段的造林绿化，继续实施林分改造和“万村绿”工程，全年完成造林面积</w:t>
      </w:r>
      <w:r>
        <w:rPr>
          <w:rFonts w:ascii="宋体" w:hAnsi="宋体"/>
        </w:rPr>
        <w:t>2.1万亩。加快推进孔江国家级湿</w:t>
      </w:r>
      <w:r>
        <w:rPr>
          <w:rFonts w:hint="eastAsia" w:ascii="宋体" w:hAnsi="宋体"/>
        </w:rPr>
        <w:t>地公园建设，加大生态公益林、自然保护区、森林公园的管护力度；加强水土保持，保护南雄生态环境。强化护林防火和森林资源保护，逐步提高森林覆盖率。</w:t>
      </w:r>
    </w:p>
    <w:p w14:paraId="0D8EC5A7">
      <w:pPr>
        <w:ind w:firstLine="422"/>
        <w:rPr>
          <w:rFonts w:ascii="宋体" w:hAnsi="宋体"/>
        </w:rPr>
      </w:pPr>
      <w:r>
        <w:rPr>
          <w:rFonts w:hint="eastAsia" w:ascii="宋体" w:hAnsi="宋体"/>
          <w:b/>
        </w:rPr>
        <w:t>——加强资源的综合开发和利用。</w:t>
      </w:r>
      <w:r>
        <w:rPr>
          <w:rFonts w:hint="eastAsia" w:ascii="宋体" w:hAnsi="宋体"/>
        </w:rPr>
        <w:t>盘活土地资源，保障发展用地需求。以保障发展用地和保护耕地红线为重点，充分用好新一轮土地利用总体规划修编成果，完善用地规划和土地储备。加大耕地开垦力度，确保耕地占补平衡，严守耕地红线；加大执法力度，严厉打击土地和矿产方面的违法行为，整治农村违法占用耕地建房；完善恐龙化石自然保护区建设，积极开展国家级恐龙化石自然保护区的申报工作。</w:t>
      </w:r>
    </w:p>
    <w:p w14:paraId="6EA1594A">
      <w:pPr>
        <w:ind w:firstLine="422"/>
        <w:rPr>
          <w:rFonts w:ascii="宋体" w:hAnsi="宋体"/>
          <w:b/>
        </w:rPr>
      </w:pPr>
      <w:r>
        <w:rPr>
          <w:rFonts w:hint="eastAsia" w:ascii="宋体" w:hAnsi="宋体"/>
          <w:b/>
        </w:rPr>
        <w:t>九、改善人民生活，推动和谐南雄建设</w:t>
      </w:r>
    </w:p>
    <w:p w14:paraId="6876A295">
      <w:pPr>
        <w:ind w:firstLine="422"/>
        <w:rPr>
          <w:rFonts w:ascii="宋体" w:hAnsi="宋体"/>
        </w:rPr>
      </w:pPr>
      <w:r>
        <w:rPr>
          <w:rFonts w:hint="eastAsia" w:ascii="宋体" w:hAnsi="宋体"/>
          <w:b/>
        </w:rPr>
        <w:t>——改善群众生产生活条件。</w:t>
      </w:r>
      <w:r>
        <w:rPr>
          <w:rFonts w:hint="eastAsia" w:ascii="宋体" w:hAnsi="宋体"/>
        </w:rPr>
        <w:t>为改善人民群众的生产生活条件，市政府打算在</w:t>
      </w:r>
      <w:r>
        <w:rPr>
          <w:rFonts w:ascii="宋体" w:hAnsi="宋体"/>
        </w:rPr>
        <w:t>2011</w:t>
      </w:r>
      <w:r>
        <w:rPr>
          <w:rFonts w:hint="eastAsia" w:ascii="宋体" w:hAnsi="宋体"/>
        </w:rPr>
        <w:t>年继续办好以下九件实事：（</w:t>
      </w:r>
      <w:r>
        <w:rPr>
          <w:rFonts w:ascii="宋体" w:hAnsi="宋体"/>
        </w:rPr>
        <w:t>1）完成借村至</w:t>
      </w:r>
      <w:r>
        <w:rPr>
          <w:rFonts w:hint="eastAsia" w:ascii="宋体" w:hAnsi="宋体"/>
        </w:rPr>
        <w:t>精细化工园公路工程；（</w:t>
      </w:r>
      <w:r>
        <w:rPr>
          <w:rFonts w:ascii="宋体" w:hAnsi="宋体"/>
        </w:rPr>
        <w:t>2）完成60公里农村</w:t>
      </w:r>
      <w:r>
        <w:rPr>
          <w:rFonts w:hint="eastAsia" w:ascii="宋体" w:hAnsi="宋体"/>
        </w:rPr>
        <w:t>公路硬底化工程；（</w:t>
      </w:r>
      <w:r>
        <w:rPr>
          <w:rFonts w:ascii="宋体" w:hAnsi="宋体"/>
        </w:rPr>
        <w:t>3）启动新型农村社会养</w:t>
      </w:r>
      <w:r>
        <w:rPr>
          <w:rFonts w:hint="eastAsia" w:ascii="宋体" w:hAnsi="宋体"/>
        </w:rPr>
        <w:t>老保险；（</w:t>
      </w:r>
      <w:r>
        <w:rPr>
          <w:rFonts w:ascii="宋体" w:hAnsi="宋体"/>
        </w:rPr>
        <w:t>4）完成水口镇0.97万亩国家农业</w:t>
      </w:r>
      <w:r>
        <w:rPr>
          <w:rFonts w:hint="eastAsia" w:ascii="宋体" w:hAnsi="宋体"/>
        </w:rPr>
        <w:t>综合开发；（</w:t>
      </w:r>
      <w:r>
        <w:rPr>
          <w:rFonts w:ascii="宋体" w:hAnsi="宋体"/>
        </w:rPr>
        <w:t>5）完成3139万元农村饮水安全</w:t>
      </w:r>
      <w:r>
        <w:rPr>
          <w:rFonts w:hint="eastAsia" w:ascii="宋体" w:hAnsi="宋体"/>
        </w:rPr>
        <w:t>工程建设；（</w:t>
      </w:r>
      <w:r>
        <w:rPr>
          <w:rFonts w:ascii="宋体" w:hAnsi="宋体"/>
        </w:rPr>
        <w:t>6）完成790万元田间工程建设；</w:t>
      </w:r>
      <w:r>
        <w:rPr>
          <w:rFonts w:hint="eastAsia" w:ascii="宋体" w:hAnsi="宋体"/>
        </w:rPr>
        <w:t>（</w:t>
      </w:r>
      <w:r>
        <w:rPr>
          <w:rFonts w:ascii="宋体" w:hAnsi="宋体"/>
        </w:rPr>
        <w:t>7）完成孔江灌区一期节水配套改造工程建</w:t>
      </w:r>
      <w:r>
        <w:rPr>
          <w:rFonts w:hint="eastAsia" w:ascii="宋体" w:hAnsi="宋体"/>
        </w:rPr>
        <w:t>设；（</w:t>
      </w:r>
      <w:r>
        <w:rPr>
          <w:rFonts w:ascii="宋体" w:hAnsi="宋体"/>
        </w:rPr>
        <w:t>8）完成35套保障性住房建设；（9）完</w:t>
      </w:r>
      <w:r>
        <w:rPr>
          <w:rFonts w:hint="eastAsia" w:ascii="宋体" w:hAnsi="宋体"/>
        </w:rPr>
        <w:t>善雄州公园建设。</w:t>
      </w:r>
    </w:p>
    <w:p w14:paraId="36BD2080">
      <w:pPr>
        <w:ind w:firstLine="422"/>
        <w:rPr>
          <w:rFonts w:ascii="宋体" w:hAnsi="宋体"/>
        </w:rPr>
      </w:pPr>
      <w:r>
        <w:rPr>
          <w:rFonts w:hint="eastAsia" w:ascii="宋体" w:hAnsi="宋体"/>
          <w:b/>
        </w:rPr>
        <w:t>——加强文化建设。</w:t>
      </w:r>
      <w:r>
        <w:rPr>
          <w:rFonts w:hint="eastAsia" w:ascii="宋体" w:hAnsi="宋体"/>
        </w:rPr>
        <w:t>深入开展群众性的精神文明创建活动，为推动全国文明城市的创建工作奠定坚实的基础。扎实推进文化事业和文化产业发展。加强城乡公共文化基础设施建设，提高公共文化服务能力和水平。加强对文物和非物质文化遗产的保护和开发利用，加快打造“一个中心两个基地”（即粤赣边文化交流中心、珠玑姓氏寻根基地和恐龙文化基地）。大力推动新城影剧院和有线数字电视整体转换工程项目，培育壮大文化产业。坚持优先发展教育，以创建教育强市为途径，积极推进义务教育学校规范化建设和城乡教育均衡发展。</w:t>
      </w:r>
    </w:p>
    <w:p w14:paraId="764FA433">
      <w:pPr>
        <w:ind w:firstLine="422"/>
        <w:rPr>
          <w:rFonts w:ascii="宋体" w:hAnsi="宋体"/>
        </w:rPr>
      </w:pPr>
      <w:r>
        <w:rPr>
          <w:rFonts w:hint="eastAsia" w:ascii="宋体" w:hAnsi="宋体"/>
          <w:b/>
        </w:rPr>
        <w:t>——全面发展社会各项事业。</w:t>
      </w:r>
      <w:r>
        <w:rPr>
          <w:rFonts w:hint="eastAsia" w:ascii="宋体" w:hAnsi="宋体"/>
        </w:rPr>
        <w:t>实施人才强市战略，不断壮大人才总量，优化人才队伍结构。稳妥地推进事业单位综合配套改革，逐步完善工资收入分配制度。深化医药卫生体制改革，推进基本公共卫生服务均等化。健全公共卫生体系网络，扩大新型农村合作医疗覆盖面，缓解人民群众“看病难”、“看病贵”问题。狠抓创业和就业扶持政策的落实，确保全市就业局势基本稳定。继续扩大社会保险覆盖面，力争</w:t>
      </w:r>
      <w:r>
        <w:rPr>
          <w:rFonts w:ascii="宋体" w:hAnsi="宋体"/>
        </w:rPr>
        <w:t>2011年启动新型农村</w:t>
      </w:r>
      <w:r>
        <w:rPr>
          <w:rFonts w:hint="eastAsia" w:ascii="宋体" w:hAnsi="宋体"/>
        </w:rPr>
        <w:t>养老保险，将</w:t>
      </w:r>
      <w:r>
        <w:rPr>
          <w:rFonts w:ascii="宋体" w:hAnsi="宋体"/>
        </w:rPr>
        <w:t>60岁以上农民全部纳入保险范</w:t>
      </w:r>
      <w:r>
        <w:rPr>
          <w:rFonts w:hint="eastAsia" w:ascii="宋体" w:hAnsi="宋体"/>
        </w:rPr>
        <w:t>围，三年内实现全面覆盖，逐步建立惠及全民的社会保障网。深入实施“六五”普法规划，营造良好法治环境。加强食品药品流通领域的监管，增强突发公共卫生事件的应对能力。积极开展群众体育工作，力争完成</w:t>
      </w:r>
      <w:r>
        <w:rPr>
          <w:rFonts w:ascii="宋体" w:hAnsi="宋体"/>
        </w:rPr>
        <w:t>50</w:t>
      </w:r>
      <w:r>
        <w:rPr>
          <w:rFonts w:hint="eastAsia" w:ascii="宋体" w:hAnsi="宋体"/>
        </w:rPr>
        <w:t>个农村农民健身工程。巩固人口计生工作“创省优”成果，开展创建“全国计划生育优质服务先进县（市）”活动，稳定低生育水平，加强（免费）优生健康孕前检查工作，提高人口素质。加强科技信息、国防和人防工作，关心支持工会、共青团、妇女、儿童等事业，做好民族宗教、外事侨务、对台事务、统计、气象、档案和地方志等工作。</w:t>
      </w:r>
    </w:p>
    <w:p w14:paraId="25D1A53A">
      <w:pPr>
        <w:ind w:firstLine="422"/>
        <w:rPr>
          <w:rFonts w:ascii="宋体" w:hAnsi="宋体"/>
        </w:rPr>
      </w:pPr>
      <w:r>
        <w:rPr>
          <w:rFonts w:hint="eastAsia" w:ascii="宋体" w:hAnsi="宋体"/>
          <w:b/>
        </w:rPr>
        <w:t>——加强社会管理。</w:t>
      </w:r>
      <w:r>
        <w:rPr>
          <w:rFonts w:hint="eastAsia" w:ascii="宋体" w:hAnsi="宋体"/>
        </w:rPr>
        <w:t>全面推进社会治安防控体系建设，不断提升技术防范水平。继续保持对各类刑事犯罪的高压态势，以增强群众的安全感。着手开展铁路和高速公路护路联防工作，切实维护“两路”沿线的社会稳定。继续完善三级综治信访维稳中心（站）建设，切实提高基层综治组织调处和化解矛盾纠纷的能力。积极预防和妥善处置矛盾纠纷和群体性事件，维护社会和谐稳定。深入开展安全生产专项整治，狠抓安全生产责任制落实，防范重特大安全事故的发生，确保全市安全生产形势稳定好转。加强应急救援体系建设，提高抢险救援能力。强化劳动监察，建立和谐劳动关系。完善农村气象服务体系，推进农村防灾减灾工作。</w:t>
      </w:r>
    </w:p>
    <w:p w14:paraId="037CD344">
      <w:pPr>
        <w:ind w:firstLine="422"/>
        <w:rPr>
          <w:rFonts w:ascii="宋体" w:hAnsi="宋体"/>
        </w:rPr>
      </w:pPr>
      <w:r>
        <w:rPr>
          <w:rFonts w:hint="eastAsia" w:ascii="宋体" w:hAnsi="宋体"/>
          <w:b/>
        </w:rPr>
        <w:t>——建设人民满意政府。</w:t>
      </w:r>
      <w:r>
        <w:rPr>
          <w:rFonts w:hint="eastAsia" w:ascii="宋体" w:hAnsi="宋体"/>
        </w:rPr>
        <w:t>加强民主政治建设，坚持向人大及其常委会报告工作和向人民政协通报情况，努力办好人大代表议案和政协提案，自觉接受人大及其常委会的法律监督、人民政协的民主监督、社会舆论监督和人民群众监督。全面贯彻执行《南雄市人民政府工作规则》，认真履行政府职能。改革行政审批制度，规范行政行为，完善一站式行政服务体系，加强督查督办，提高行政效能。完善政府决策机制，推动政府决策的科学化、民主化和法制化。稳妥推进行政体制改革和事业单位机构改革，强化政府公共服务职能。切实落实党风廉政建设责任制，严格执行《廉政准则》，实施权力公开透明运行“阳光工程”，推进政府信息公开制度化。加大建设工程、土地出让、产权交易、医药购销、政府采购等领域的监察和治理力度，严肃查处违法违纪案件。加强公务员队伍管理，加强政府自身建设，全力打造勤政务实、廉洁高效的人民满意政府。</w:t>
      </w:r>
    </w:p>
    <w:p w14:paraId="331C7213">
      <w:pPr>
        <w:ind w:firstLine="420"/>
        <w:rPr>
          <w:rFonts w:ascii="宋体" w:hAnsi="宋体"/>
        </w:rPr>
      </w:pPr>
      <w:r>
        <w:rPr>
          <w:rFonts w:hint="eastAsia" w:ascii="宋体" w:hAnsi="宋体"/>
        </w:rPr>
        <w:t>各位代表！“十二五”目标已经确定，我们必须奋力拼搏，扎实推进，力争在前三年实现“生产总值（</w:t>
      </w:r>
      <w:r>
        <w:rPr>
          <w:rFonts w:ascii="宋体" w:hAnsi="宋体"/>
        </w:rPr>
        <w:t>GDP）、地方财政一般预算</w:t>
      </w:r>
      <w:r>
        <w:rPr>
          <w:rFonts w:hint="eastAsia" w:ascii="宋体" w:hAnsi="宋体"/>
        </w:rPr>
        <w:t>收入、社会事业和公共服务投入”翻番的目标，为全面实现“十二五”目标打下坚实的基础。“十二五”时期，南雄又面临着一个加快发展的重要时期，我们肩负的使命十分光荣，任务非常艰巨，前景无限美好。让我们高举邓小平理论和“三个代表”重要思想伟大旗帜，全面落实科学发展观，在中共南雄市委的坚强领导下，同心同德，奋发进取，为实施“十二五”规划开好头、起好步，为实现南雄经济社会跨越式发展，建设富裕文明、和谐安康的粤北门户城市而努力奋斗！</w:t>
      </w:r>
    </w:p>
    <w:p w14:paraId="5F5E7DAD">
      <w:pPr>
        <w:pStyle w:val="3"/>
      </w:pPr>
      <w:r>
        <w:rPr>
          <w:rFonts w:hint="eastAsia"/>
        </w:rPr>
        <w:t>南雄市申报原中央苏区县工作纪实</w:t>
      </w:r>
    </w:p>
    <w:p w14:paraId="2F943DA5">
      <w:pPr>
        <w:ind w:firstLine="422"/>
        <w:rPr>
          <w:rFonts w:ascii="宋体" w:hAnsi="宋体"/>
        </w:rPr>
      </w:pPr>
      <w:r>
        <w:rPr>
          <w:rFonts w:hint="eastAsia" w:ascii="宋体" w:hAnsi="宋体"/>
          <w:b/>
        </w:rPr>
        <w:t>申报工作的背景</w:t>
      </w:r>
      <w:r>
        <w:rPr>
          <w:rFonts w:hint="eastAsia" w:ascii="宋体" w:hAnsi="宋体"/>
        </w:rPr>
        <w:t xml:space="preserve">  </w:t>
      </w:r>
      <w:r>
        <w:rPr>
          <w:rFonts w:ascii="宋体" w:hAnsi="宋体"/>
        </w:rPr>
        <w:t>2009年5月广东省梅</w:t>
      </w:r>
      <w:r>
        <w:rPr>
          <w:rFonts w:hint="eastAsia" w:ascii="宋体" w:hAnsi="宋体"/>
        </w:rPr>
        <w:t>州市大埔县被中共中央党史研究室确认为第二次国内革命战争时期广东省唯一的中央苏区县的消息见诸于《南方日报》之后，南雄市籍在外地工作的老同志、老领导纷纷致电南雄市现任领导询问相关情况。</w:t>
      </w:r>
      <w:r>
        <w:rPr>
          <w:rFonts w:ascii="宋体" w:hAnsi="宋体"/>
        </w:rPr>
        <w:t>5月11日市</w:t>
      </w:r>
      <w:r>
        <w:rPr>
          <w:rFonts w:hint="eastAsia" w:ascii="宋体" w:hAnsi="宋体"/>
        </w:rPr>
        <w:t>委、市政府召集了市委办公室、市委宣传部、市政府办公室、市史志办公室、市老区建设促进会等有关单位参加的碰头会。</w:t>
      </w:r>
      <w:r>
        <w:rPr>
          <w:rFonts w:ascii="宋体" w:hAnsi="宋体"/>
        </w:rPr>
        <w:t>5月13日，</w:t>
      </w:r>
      <w:r>
        <w:rPr>
          <w:rFonts w:hint="eastAsia" w:ascii="宋体" w:hAnsi="宋体"/>
        </w:rPr>
        <w:t>市委、市政府召开了启动南雄市申报中央苏区县工作座谈会，会议由市委副书记颜亮主持参加会议的有市委常委陈玉英、刘宏伟、黄德群以及市委办公室、市政府办公室、市委宣传部、市财政局、市文化局、市档案局、市民政局、市史志办、市老促会、市老游击战士联谊会负责人和部分已离退休老干部参加的座谈会，此次会议决定派出考察组赴广东省梅州市大埔县学习其申报中央苏区县的做法和经验，并成立了以南雄市委书记林楚欣为组长，市委副书记、市长许志新为副组长的申报中央苏区县工作领导小组。</w:t>
      </w:r>
    </w:p>
    <w:p w14:paraId="4406D660">
      <w:pPr>
        <w:ind w:firstLine="422"/>
        <w:rPr>
          <w:rFonts w:ascii="宋体" w:hAnsi="宋体"/>
        </w:rPr>
      </w:pPr>
      <w:r>
        <w:rPr>
          <w:rFonts w:hint="eastAsia" w:ascii="宋体" w:hAnsi="宋体"/>
          <w:b/>
        </w:rPr>
        <w:t>申报工作的过程</w:t>
      </w:r>
      <w:r>
        <w:rPr>
          <w:rFonts w:hint="eastAsia" w:ascii="宋体" w:hAnsi="宋体"/>
        </w:rPr>
        <w:t xml:space="preserve">  南雄市申报原中央苏区县的工作历时一年（</w:t>
      </w:r>
      <w:r>
        <w:rPr>
          <w:rFonts w:ascii="宋体" w:hAnsi="宋体"/>
        </w:rPr>
        <w:t>2009年5月11日至2010年5月6日），申报过程由四个阶段</w:t>
      </w:r>
      <w:r>
        <w:rPr>
          <w:rFonts w:hint="eastAsia" w:ascii="宋体" w:hAnsi="宋体"/>
        </w:rPr>
        <w:t>组成。</w:t>
      </w:r>
    </w:p>
    <w:p w14:paraId="2E62DF33">
      <w:pPr>
        <w:ind w:firstLine="420"/>
        <w:rPr>
          <w:rFonts w:ascii="宋体" w:hAnsi="宋体"/>
        </w:rPr>
      </w:pPr>
      <w:r>
        <w:rPr>
          <w:rFonts w:ascii="宋体" w:hAnsi="宋体"/>
        </w:rPr>
        <w:t>1、申报工作的准备阶段。2009年5月14</w:t>
      </w:r>
      <w:r>
        <w:rPr>
          <w:rFonts w:hint="eastAsia" w:ascii="宋体" w:hAnsi="宋体"/>
        </w:rPr>
        <w:t>日，由南雄市委办、市政府办、市史志办、市老促会、市民政局相关人员组成的考察组赴广东省梅州市大埔县，学习申报中央苏区县的做法和经验，</w:t>
      </w:r>
      <w:r>
        <w:rPr>
          <w:rFonts w:ascii="宋体" w:hAnsi="宋体"/>
        </w:rPr>
        <w:t>5月15日考察组又分成</w:t>
      </w:r>
      <w:r>
        <w:rPr>
          <w:rFonts w:hint="eastAsia" w:ascii="宋体" w:hAnsi="宋体"/>
        </w:rPr>
        <w:t>二个小组分别向广东省委党史研究室和广东省老区建设促进会汇报南雄市启动申报中央苏区县的工作，考察组回来后及时地以口头和书面的形式向市领导汇报了大埔县申报中央苏区县的做法和申报程序。之后市委决定由市委办、市史志办、市老促会组织有关人员做好申报中央苏区县的各项工作，在实际申报工作中由市委办的朱定球，市史志办的陈景泰、李君祥，市老促会的朱雄组成工作小组，具体负责申报各项工作。</w:t>
      </w:r>
    </w:p>
    <w:p w14:paraId="74A1E3F1">
      <w:pPr>
        <w:ind w:firstLine="420"/>
        <w:rPr>
          <w:rFonts w:ascii="宋体" w:hAnsi="宋体"/>
        </w:rPr>
      </w:pPr>
      <w:r>
        <w:rPr>
          <w:rFonts w:ascii="宋体" w:hAnsi="宋体"/>
        </w:rPr>
        <w:t>2、申报资料的收集阶段。从2009年5月18日至2010年1月18日止，历时8个月为</w:t>
      </w:r>
      <w:r>
        <w:rPr>
          <w:rFonts w:hint="eastAsia" w:ascii="宋体" w:hAnsi="宋体"/>
        </w:rPr>
        <w:t>资料的收集阶段，整个阶段先收集南雄市外的资料，后收集南雄市内的资料，由于南雄市现存有关土地革命战争时期的资料很少，仅存的资料远远达不到申报工作的要求，经过工作小组研究决定，从曾经是中共南雄县委上级的江西省属下的赣西南特委所在地（今江西省赣州市和吉安市）所辖相关县的党史、档案部门收集资料，工作组成员陈景泰、李君祥、朱雄</w:t>
      </w:r>
      <w:r>
        <w:rPr>
          <w:rFonts w:ascii="宋体" w:hAnsi="宋体"/>
        </w:rPr>
        <w:t>3人先后到江西省赣州市党史</w:t>
      </w:r>
      <w:r>
        <w:rPr>
          <w:rFonts w:hint="eastAsia" w:ascii="宋体" w:hAnsi="宋体"/>
        </w:rPr>
        <w:t>办公室二十次，江西省委党史研究室和江西省档案局一次，赣州市寻邬县党史办公室一次，赣州市大余县党史办公室二次，赣州市信丰县党史办公室五次，赣州市南康市党史办公室二次，赣州市上犹县党史办一次，吉安市党史办公室一次，广东省民政厅一次，广东省档案馆一次，广州起义纪念馆一次、广州农民运动讲习所一次，广东省委党史研究五次，广东省老区建设办公室三次，韶关市档案局二次，南雄市档案局八次，博物馆五次，调查走访了革命老前辈及老同志数十人次，期间召开各镇党委书记、副书记会议各一次，要求各镇充分发掘土地革命战争时期的革命历史文物和文献资料，经过大家的共同努力，从各地党史档案部门浩瀚的资料库中查阅了五千多万字的档案材料，从中浓缩出</w:t>
      </w:r>
      <w:r>
        <w:rPr>
          <w:rFonts w:ascii="宋体" w:hAnsi="宋体"/>
        </w:rPr>
        <w:t>50多万字的相关资料，最后整理出30多</w:t>
      </w:r>
      <w:r>
        <w:rPr>
          <w:rFonts w:hint="eastAsia" w:ascii="宋体" w:hAnsi="宋体"/>
        </w:rPr>
        <w:t>万字的论证资料，这些资料分为五个类型。一是革命历史文献资料，它包括《中央给广东省委的信》（</w:t>
      </w:r>
      <w:r>
        <w:rPr>
          <w:rFonts w:ascii="宋体" w:hAnsi="宋体"/>
        </w:rPr>
        <w:t>1928年5月31日），《行委通</w:t>
      </w:r>
      <w:r>
        <w:rPr>
          <w:rFonts w:hint="eastAsia" w:ascii="宋体" w:hAnsi="宋体"/>
        </w:rPr>
        <w:t>告第一号——西河各县第一次代表大会决议案的精神与行委成立》（</w:t>
      </w:r>
      <w:r>
        <w:rPr>
          <w:rFonts w:ascii="宋体" w:hAnsi="宋体"/>
        </w:rPr>
        <w:t>1930年4月9日于龙</w:t>
      </w:r>
      <w:r>
        <w:rPr>
          <w:rFonts w:hint="eastAsia" w:ascii="宋体" w:hAnsi="宋体"/>
        </w:rPr>
        <w:t>回）、《中共赣西南特委刘士奇给中央的综合报告》（</w:t>
      </w:r>
      <w:r>
        <w:rPr>
          <w:rFonts w:ascii="宋体" w:hAnsi="宋体"/>
        </w:rPr>
        <w:t>1930年10月7日）等十三份珍贵的</w:t>
      </w:r>
      <w:r>
        <w:rPr>
          <w:rFonts w:hint="eastAsia" w:ascii="宋体" w:hAnsi="宋体"/>
        </w:rPr>
        <w:t>资料，二是革命历史文物资料，它包括土地革命战争时间中共南雄县委封条、布告、公告、宣传标语及中央人民政府南方老革命根据地慰问团在南雄革命老区慰问时颁发的锦旗等文物。三是党史界关于南雄属于中央苏区管辖范围的研究论述资料。四是老革命老同志的证明材料，如原全国人大常委会副委员长陈丕显、老红军罗贵波、曾昭慈、刘建华、肖锋的回忆材料。五是土地革命战争时期的《广州民国日报》和香港《循环日报》等资料。收集资料是艰苦的，历经春夏秋冬、严寒酷署、时间跨度大、涉足范围广、行驶里程远。史志办主任陈景泰亲自驾车四万多公里，既当指挥员又当战斗员，最后因工作压力大，身体出现了二型糖尿病。市史志办副主任李君祥在江西省南昌收集资料时因工作劳累诊为肾绞痛入住南昌市人民医院，仍坚持资料的搜集工作，后又整理资料时因劳累病倒入住南雄市人民医院。市老促会理事长朱雄七十多岁高龄，与工作组跑完全程申报工作，因前列腺病痛，不得不到南雄市中医院就医手术一个多月，已退休的原党史办主任钟祥胜七十多岁积极参与资料收集工作，在资料收集完后不幸中风病倒入住医院二个多月。市委办副主任朱定球多次利用夜晚和休息时间送材料到广州。史志办副主任谢平参与了申报后期相关工作。史志办股长刘球凤不畏艰辛打印申报材料</w:t>
      </w:r>
      <w:r>
        <w:rPr>
          <w:rFonts w:ascii="宋体" w:hAnsi="宋体"/>
        </w:rPr>
        <w:t>20多万字。</w:t>
      </w:r>
    </w:p>
    <w:p w14:paraId="6B503942">
      <w:pPr>
        <w:ind w:firstLine="420"/>
        <w:rPr>
          <w:rFonts w:ascii="宋体" w:hAnsi="宋体"/>
        </w:rPr>
      </w:pPr>
      <w:r>
        <w:rPr>
          <w:rFonts w:ascii="宋体" w:hAnsi="宋体"/>
        </w:rPr>
        <w:t>3、申报资料的整理和论证阶段。在资料</w:t>
      </w:r>
      <w:r>
        <w:rPr>
          <w:rFonts w:hint="eastAsia" w:ascii="宋体" w:hAnsi="宋体"/>
        </w:rPr>
        <w:t>收集工作完成之后，根据中央党史研究室的要求及参照广东省梅州市大埔县的经验做法，进行了艰难的资料整理和撰写考证报告的工作，将收集的材料按党组织系统、苏维埃政权系统、武装斗争系统及按革命文献、革命文物、老同志证明材料、国民党及香港报刊报导等方面分类，四易其稿并专门补充材料，这一阶段完成了南雄市向广东省委党史研究室、广东省老区建设办公室、申报中央苏区县的请示，完成了向中共中央党史研究室上送的请示和考证报告与附件资料汇编。</w:t>
      </w:r>
    </w:p>
    <w:p w14:paraId="1A0EC6F9">
      <w:pPr>
        <w:ind w:firstLine="420"/>
        <w:rPr>
          <w:rFonts w:ascii="宋体" w:hAnsi="宋体"/>
        </w:rPr>
      </w:pPr>
      <w:r>
        <w:rPr>
          <w:rFonts w:ascii="宋体" w:hAnsi="宋体"/>
        </w:rPr>
        <w:t>4、申报材料的上送审批阶段。在完成资</w:t>
      </w:r>
      <w:r>
        <w:rPr>
          <w:rFonts w:hint="eastAsia" w:ascii="宋体" w:hAnsi="宋体"/>
        </w:rPr>
        <w:t>料的整理、撰写论证报告和材料汇编成册及有关向上级的请示后，陈景泰、李君祥、朱雄三人先后在市委书记林楚欣、市委副书颜亮的带领下四次上北京中央党史研究室、汇报请示申报工作，并听取有关专家的指导意见，期间历尽艰辛，有一次因飞机晚点，在首都机场从当天下午的三点钟滞留到第二天凌晨的二点多点，为了把申报工作搞好，有一天四次进入省政府大院办理有关手续。整个中报工作完成后，陈景泰、李君祥、朱雄等三人体重都下降了十多斤。</w:t>
      </w:r>
    </w:p>
    <w:p w14:paraId="1F23857A">
      <w:pPr>
        <w:ind w:firstLine="422"/>
        <w:rPr>
          <w:rFonts w:ascii="宋体" w:hAnsi="宋体"/>
        </w:rPr>
      </w:pPr>
      <w:r>
        <w:rPr>
          <w:rFonts w:hint="eastAsia" w:ascii="宋体" w:hAnsi="宋体"/>
          <w:b/>
        </w:rPr>
        <w:t>隆重庆祝南雄市为中央苏区县</w:t>
      </w:r>
      <w:r>
        <w:rPr>
          <w:rFonts w:hint="eastAsia" w:ascii="宋体" w:hAnsi="宋体"/>
        </w:rPr>
        <w:t xml:space="preserve">  经过历时一年的艰苦工作，</w:t>
      </w:r>
      <w:r>
        <w:rPr>
          <w:rFonts w:ascii="宋体" w:hAnsi="宋体"/>
        </w:rPr>
        <w:t>2010年5月6日，中共</w:t>
      </w:r>
      <w:r>
        <w:rPr>
          <w:rFonts w:hint="eastAsia" w:ascii="宋体" w:hAnsi="宋体"/>
        </w:rPr>
        <w:t>中央党史研究室以中史厅（</w:t>
      </w:r>
      <w:r>
        <w:rPr>
          <w:rFonts w:ascii="宋体" w:hAnsi="宋体"/>
        </w:rPr>
        <w:t>2010）12号文件</w:t>
      </w:r>
      <w:r>
        <w:rPr>
          <w:rFonts w:hint="eastAsia" w:ascii="宋体" w:hAnsi="宋体"/>
        </w:rPr>
        <w:t>确认南雄县（现南雄市）为土地革命战争时期中央苏区范围，南雄市于</w:t>
      </w:r>
      <w:r>
        <w:rPr>
          <w:rFonts w:ascii="宋体" w:hAnsi="宋体"/>
        </w:rPr>
        <w:t>2010年6月29日</w:t>
      </w:r>
      <w:r>
        <w:rPr>
          <w:rFonts w:hint="eastAsia" w:ascii="宋体" w:hAnsi="宋体"/>
        </w:rPr>
        <w:t>召开了隆重的庆祝大会，这一成果的取得，告慰了南雄的革命烈士，确立了南雄在土地革命战争时期的历史功绩和地位。也为南雄市在今后的经济和社会发展中争取国家和广东省的大力扶持打下了坚实基础。中央苏区县成为南雄市的一块金字招牌。</w:t>
      </w:r>
    </w:p>
    <w:p w14:paraId="34C503A5">
      <w:pPr>
        <w:ind w:firstLine="422"/>
        <w:jc w:val="right"/>
        <w:rPr>
          <w:rFonts w:ascii="宋体" w:hAnsi="宋体"/>
          <w:b/>
        </w:rPr>
      </w:pPr>
      <w:r>
        <w:rPr>
          <w:rFonts w:hint="eastAsia" w:ascii="宋体" w:hAnsi="宋体"/>
          <w:b/>
        </w:rPr>
        <w:t>（陈景泰）</w:t>
      </w:r>
    </w:p>
    <w:p w14:paraId="2BFADA09">
      <w:pPr>
        <w:pStyle w:val="3"/>
      </w:pPr>
      <w:r>
        <w:rPr>
          <w:rFonts w:hint="eastAsia"/>
        </w:rPr>
        <w:t>精细化工上规模  产业集聚促发展</w:t>
      </w:r>
    </w:p>
    <w:p w14:paraId="7ED2315A">
      <w:pPr>
        <w:ind w:firstLine="420"/>
        <w:rPr>
          <w:rFonts w:ascii="宋体" w:hAnsi="宋体"/>
        </w:rPr>
      </w:pPr>
      <w:r>
        <w:rPr>
          <w:rFonts w:hint="eastAsia" w:ascii="宋体" w:hAnsi="宋体"/>
        </w:rPr>
        <w:t>东莞大岭山（南雄）产业转移工业园诞生于中共中央政治局委员、广东省委书记汪洋</w:t>
      </w:r>
      <w:r>
        <w:rPr>
          <w:rFonts w:ascii="宋体" w:hAnsi="宋体"/>
        </w:rPr>
        <w:t>2008年4月在韶关提出</w:t>
      </w:r>
      <w:r>
        <w:rPr>
          <w:rFonts w:hint="eastAsia" w:ascii="宋体" w:hAnsi="宋体"/>
        </w:rPr>
        <w:t>“</w:t>
      </w:r>
      <w:r>
        <w:rPr>
          <w:rFonts w:ascii="宋体" w:hAnsi="宋体"/>
        </w:rPr>
        <w:t>产业集聚</w:t>
      </w:r>
      <w:r>
        <w:rPr>
          <w:rFonts w:hint="eastAsia" w:ascii="宋体" w:hAnsi="宋体"/>
        </w:rPr>
        <w:t>”</w:t>
      </w:r>
      <w:r>
        <w:rPr>
          <w:rFonts w:ascii="宋体" w:hAnsi="宋体"/>
        </w:rPr>
        <w:t>的课</w:t>
      </w:r>
      <w:r>
        <w:rPr>
          <w:rFonts w:hint="eastAsia" w:ascii="宋体" w:hAnsi="宋体"/>
        </w:rPr>
        <w:t>题之后，快速发展于</w:t>
      </w:r>
      <w:r>
        <w:rPr>
          <w:rFonts w:ascii="宋体" w:hAnsi="宋体"/>
        </w:rPr>
        <w:t>2009年1月汪洋书记考</w:t>
      </w:r>
      <w:r>
        <w:rPr>
          <w:rFonts w:hint="eastAsia" w:ascii="宋体" w:hAnsi="宋体"/>
        </w:rPr>
        <w:t>察园区以来。在</w:t>
      </w:r>
      <w:r>
        <w:rPr>
          <w:rFonts w:ascii="宋体" w:hAnsi="宋体"/>
        </w:rPr>
        <w:t>2010年1月韶关召开的</w:t>
      </w:r>
      <w:r>
        <w:rPr>
          <w:rFonts w:hint="eastAsia" w:ascii="宋体" w:hAnsi="宋体"/>
        </w:rPr>
        <w:t>“</w:t>
      </w:r>
      <w:r>
        <w:rPr>
          <w:rFonts w:ascii="宋体" w:hAnsi="宋体"/>
        </w:rPr>
        <w:t>双</w:t>
      </w:r>
      <w:r>
        <w:rPr>
          <w:rFonts w:hint="eastAsia" w:ascii="宋体" w:hAnsi="宋体"/>
        </w:rPr>
        <w:t>转移”粤北地区现场会上，汪洋书记以“思路决定出路，干劲决定后劲”对“南雄模式”进行精辟总结，认为南雄园区的发展成为欠发达地区县市探索产业集聚的一张名片。园区的发展壮大自始至终得到省、市各级领导的充分肯定，以及相关部门的大力支持，先后被认定为广东省化工涂料研发中心、广东省产业转移工业园。当前，南雄全市上下一心、奋力拼搏，着力打造全省乃至全国模范园区，带动地方经济实现跨越发展。</w:t>
      </w:r>
    </w:p>
    <w:p w14:paraId="08126148">
      <w:pPr>
        <w:ind w:firstLine="422"/>
        <w:rPr>
          <w:rFonts w:ascii="宋体" w:hAnsi="宋体"/>
          <w:b/>
        </w:rPr>
      </w:pPr>
      <w:r>
        <w:rPr>
          <w:rFonts w:hint="eastAsia" w:ascii="宋体" w:hAnsi="宋体"/>
          <w:b/>
        </w:rPr>
        <w:t>一、超前规划，建设特色园区。</w:t>
      </w:r>
    </w:p>
    <w:p w14:paraId="4CC37ED9">
      <w:pPr>
        <w:ind w:firstLine="420"/>
        <w:rPr>
          <w:rFonts w:ascii="宋体" w:hAnsi="宋体"/>
        </w:rPr>
      </w:pPr>
      <w:r>
        <w:rPr>
          <w:rFonts w:ascii="宋体" w:hAnsi="宋体"/>
        </w:rPr>
        <w:t>2008年，南雄科学研判发展形势，充分</w:t>
      </w:r>
      <w:r>
        <w:rPr>
          <w:rFonts w:hint="eastAsia" w:ascii="宋体" w:hAnsi="宋体"/>
        </w:rPr>
        <w:t>认识发展的大好机遇，认为随着韶赣高速公路、韶赣铁路的开工建设，南雄将具有“承接珠三角、对接长三角”的区位优势，成为珠三角企业进入内地市场的桥头堡。通过深入调查研究、集思广益，形成了“突出产业特色、形成专业园区、培育产业集群”的共识，确立了以内销为主、技术含量高、用地少、产业关联度大的精细化工产业作为主攻方向的思路。按照“资源整合、集中发展、环境优化”的要求，南雄市高起点做好精细化工产业园的规划建设。按照产业发展、公用设施、物流输送、环保安全、管理服务等五个“一体化”的规划理念，整合有限的土地资源，统一规划设置生产、研发、物流、仓储、生活服务和产品交易等六大功能区，着力打造科技创新、金融服务两大平台和加快建设粤赣化工、粤赣铁路口岸等三大物流体系，形成“布局合理、功能完善”的特色产业园区，增强了园区的发展活力和发展后劲。</w:t>
      </w:r>
      <w:r>
        <w:rPr>
          <w:rFonts w:ascii="宋体" w:hAnsi="宋体"/>
        </w:rPr>
        <w:t>2010年3月，南雄精细化工园被认定为</w:t>
      </w:r>
      <w:r>
        <w:rPr>
          <w:rFonts w:hint="eastAsia" w:ascii="宋体" w:hAnsi="宋体"/>
        </w:rPr>
        <w:t>“省产业转移工业园”；同年</w:t>
      </w:r>
      <w:r>
        <w:rPr>
          <w:rFonts w:ascii="宋体" w:hAnsi="宋体"/>
        </w:rPr>
        <w:t>11月，在广东省</w:t>
      </w:r>
      <w:r>
        <w:rPr>
          <w:rFonts w:hint="eastAsia" w:ascii="宋体" w:hAnsi="宋体"/>
        </w:rPr>
        <w:t>专业性产业转移工业园建设竞争性扶持资金评审会上，以总分第一名的成绩赢得</w:t>
      </w:r>
      <w:r>
        <w:rPr>
          <w:rFonts w:ascii="宋体" w:hAnsi="宋体"/>
        </w:rPr>
        <w:t>1亿元</w:t>
      </w:r>
      <w:r>
        <w:rPr>
          <w:rFonts w:hint="eastAsia" w:ascii="宋体" w:hAnsi="宋体"/>
        </w:rPr>
        <w:t>产业扶持资金。</w:t>
      </w:r>
    </w:p>
    <w:p w14:paraId="2CF89D71">
      <w:pPr>
        <w:ind w:firstLine="422"/>
        <w:rPr>
          <w:rFonts w:ascii="宋体" w:hAnsi="宋体"/>
          <w:b/>
        </w:rPr>
      </w:pPr>
      <w:r>
        <w:rPr>
          <w:rFonts w:hint="eastAsia" w:ascii="宋体" w:hAnsi="宋体"/>
          <w:b/>
        </w:rPr>
        <w:t>二、创新招商，加快产业集聚。</w:t>
      </w:r>
    </w:p>
    <w:p w14:paraId="7B0EA141">
      <w:pPr>
        <w:ind w:firstLine="420"/>
        <w:rPr>
          <w:rFonts w:ascii="宋体" w:hAnsi="宋体"/>
        </w:rPr>
      </w:pPr>
      <w:r>
        <w:rPr>
          <w:rFonts w:hint="eastAsia" w:ascii="宋体" w:hAnsi="宋体"/>
        </w:rPr>
        <w:t>一是开展行业招商。通过与省化工行业协会合作，克服了地方政府和企业在精细化工行业信息不足的问题，并通过该协会的行业信息优势开展招商活动，有针对性地向精细化工企业进行专业性招商，提高招商引资效率。二是实行以商招商。南雄市采取政府与企业合作的方式，引进广东金泰源投资有限公司，积极开展委托招商。与该公司达成共建精细化工园区的合作协议，由金泰源公司以精细化工产业特别是涂料、树脂、松香制品为主开展产业招商。这一市场化招商模式使地方资源和市场资源有机结合起来，拓宽招商视野和门路。三是主攻大品牌、大项目招商。在基本完成一期园区招商引资任务的基础上，以二期园区建设为平台，以强化产业集聚为目标，主攻大品牌、大项目的招商引资，完善园区产业配套，延伸产业链条，提高园区竞争力、影响力。近两年，南雄市成功引进康绿宝（南雄）科技园、阳普医疗、仟邦实业、大桥化工、梁氏伟明、西顿化工、英超实业等大品牌、大项目。四是建立市招商引资工作领导小组联席会议制度。成立由市党政一把手挂帅，以市经贸信局、财政局、外经贸局等十几个部门为成员单位的招商引资工作领导小组，每月召开一次联席会议，重点解决招商引资遇到的问题，快速高效地处理招商引资工作中遇到的问题，实现投资额在</w:t>
      </w:r>
      <w:r>
        <w:rPr>
          <w:rFonts w:ascii="宋体" w:hAnsi="宋体"/>
        </w:rPr>
        <w:t>1000万元以下的项目，3天内办好审批</w:t>
      </w:r>
      <w:r>
        <w:rPr>
          <w:rFonts w:hint="eastAsia" w:ascii="宋体" w:hAnsi="宋体"/>
        </w:rPr>
        <w:t>手续；投资额在</w:t>
      </w:r>
      <w:r>
        <w:rPr>
          <w:rFonts w:ascii="宋体" w:hAnsi="宋体"/>
        </w:rPr>
        <w:t>1000万元以上（含1000万</w:t>
      </w:r>
      <w:r>
        <w:rPr>
          <w:rFonts w:hint="eastAsia" w:ascii="宋体" w:hAnsi="宋体"/>
        </w:rPr>
        <w:t>元）的项目，</w:t>
      </w:r>
      <w:r>
        <w:rPr>
          <w:rFonts w:ascii="宋体" w:hAnsi="宋体"/>
        </w:rPr>
        <w:t>7天办好相关手续</w:t>
      </w:r>
      <w:r>
        <w:rPr>
          <w:rFonts w:hint="eastAsia" w:ascii="宋体" w:hAnsi="宋体"/>
        </w:rPr>
        <w:t>。</w:t>
      </w:r>
    </w:p>
    <w:p w14:paraId="7EF48474">
      <w:pPr>
        <w:ind w:firstLine="422"/>
        <w:rPr>
          <w:rFonts w:ascii="宋体" w:hAnsi="宋体"/>
          <w:b/>
        </w:rPr>
      </w:pPr>
      <w:r>
        <w:rPr>
          <w:rFonts w:hint="eastAsia" w:ascii="宋体" w:hAnsi="宋体"/>
          <w:b/>
        </w:rPr>
        <w:t>三、突破难题，拓宽融资渠道。</w:t>
      </w:r>
    </w:p>
    <w:p w14:paraId="1D4F2B70">
      <w:pPr>
        <w:ind w:firstLine="420"/>
        <w:rPr>
          <w:rFonts w:ascii="宋体" w:hAnsi="宋体"/>
        </w:rPr>
      </w:pPr>
      <w:r>
        <w:rPr>
          <w:rFonts w:hint="eastAsia" w:ascii="宋体" w:hAnsi="宋体"/>
        </w:rPr>
        <w:t>为解决园区建设资金不足的困难。南雄市解放思想，创新融资方式。一是加强政企合作，引进战略投资者。以政企合作的方式引进广东金泰源投资有限公司，利用金泰源公司的企业资源优势，以精细化工产业特别是以涂料、树脂、松香制品为主开展产业招商。二是建立“四位一体”的融资平台。市大力推进政银企合作，与国家开发银行广东省分行签定为精细化工园区建设和入园企业融资授信</w:t>
      </w:r>
      <w:r>
        <w:rPr>
          <w:rFonts w:ascii="宋体" w:hAnsi="宋体"/>
        </w:rPr>
        <w:t>9亿元人民币的合作协议，并在园</w:t>
      </w:r>
      <w:r>
        <w:rPr>
          <w:rFonts w:hint="eastAsia" w:ascii="宋体" w:hAnsi="宋体"/>
        </w:rPr>
        <w:t>区设立金融服务办公室，成立政策性的南雄市雄健担保有限公司，形成政府、银行、企业、社会中介四位一体的融资新机制和模式，为基地基础设施建设和入园企业信贷提供融资平台和有力的金融支持。目前，园区通过国开行广东分行授信贷款</w:t>
      </w:r>
      <w:r>
        <w:rPr>
          <w:rFonts w:ascii="宋体" w:hAnsi="宋体"/>
        </w:rPr>
        <w:t>8个亿，</w:t>
      </w:r>
      <w:r>
        <w:rPr>
          <w:rFonts w:hint="eastAsia" w:ascii="宋体" w:hAnsi="宋体"/>
        </w:rPr>
        <w:t>已</w:t>
      </w:r>
      <w:r>
        <w:rPr>
          <w:rFonts w:ascii="宋体" w:hAnsi="宋体"/>
        </w:rPr>
        <w:t>经到位</w:t>
      </w:r>
      <w:r>
        <w:rPr>
          <w:rFonts w:hint="eastAsia" w:ascii="宋体" w:hAnsi="宋体"/>
        </w:rPr>
        <w:t>资金</w:t>
      </w:r>
      <w:r>
        <w:rPr>
          <w:rFonts w:ascii="宋体" w:hAnsi="宋体"/>
        </w:rPr>
        <w:t>3个多亿，用于基础建设8.3个亿，</w:t>
      </w:r>
      <w:r>
        <w:rPr>
          <w:rFonts w:hint="eastAsia" w:ascii="宋体" w:hAnsi="宋体"/>
        </w:rPr>
        <w:t>已</w:t>
      </w:r>
      <w:r>
        <w:rPr>
          <w:rFonts w:ascii="宋体" w:hAnsi="宋体"/>
        </w:rPr>
        <w:t>为33家企业签订融资担保协议，融资金额达到9810万元，其中2010年为12家企业提供担</w:t>
      </w:r>
      <w:r>
        <w:rPr>
          <w:rFonts w:hint="eastAsia" w:ascii="宋体" w:hAnsi="宋体"/>
        </w:rPr>
        <w:t>保额</w:t>
      </w:r>
      <w:r>
        <w:rPr>
          <w:rFonts w:ascii="宋体" w:hAnsi="宋体"/>
        </w:rPr>
        <w:t>3500万元。</w:t>
      </w:r>
    </w:p>
    <w:p w14:paraId="3D295792">
      <w:pPr>
        <w:ind w:firstLine="422"/>
        <w:rPr>
          <w:rFonts w:ascii="宋体" w:hAnsi="宋体"/>
          <w:b/>
        </w:rPr>
      </w:pPr>
      <w:r>
        <w:rPr>
          <w:rFonts w:hint="eastAsia" w:ascii="宋体" w:hAnsi="宋体"/>
          <w:b/>
        </w:rPr>
        <w:t>四、提升服务，优化投资环境。</w:t>
      </w:r>
    </w:p>
    <w:p w14:paraId="4CC41499">
      <w:pPr>
        <w:ind w:firstLine="420"/>
        <w:rPr>
          <w:rFonts w:ascii="宋体" w:hAnsi="宋体"/>
        </w:rPr>
      </w:pPr>
      <w:r>
        <w:rPr>
          <w:rFonts w:hint="eastAsia" w:ascii="宋体" w:hAnsi="宋体"/>
        </w:rPr>
        <w:t>为营造服务优、效率高的投资环境，南雄市不断创新服务模式，提升服务质量，使产业园区成为投资者干事创业的热土。一是打造专业型干部队伍。市先后组织百名领导干部到中山大学、华南理工大学等高等院校进行精细化工产业专业知识和企业管理知识培训，有效提升领导干部服务精细化工企业的水平。二是建立招商引资重点项目市领导和有关责任单位挂点联系制度。要求挂点市领导和责任单位从项目的签约到动工到投产实行全方位跟踪服务，及时解决企业生产经营中遇到的问题，帮助企业加快发展。三是成立投资服务中心。从经信、国土、工商、建设、环保等职能部门抽调人员到投资服务中心集中办公，为投资者提供咨询服务、统筹协调、审批管理、核准登记和注册发证等“一站式”服务。四是成立南雄市精细化工基地管理处（正科级事业单位），配备管理处班子成员和工作人员。并成立投资企业招用工服务站，为园区企业提供招用工服务。园区还通过提拔重用老实人、开展“十大服务之星”和“十大优质服务单位”、“履职先进单位”、“履职标兵”评选等活动，增强各级领导干部履行职责、加快发展的信心，在全市上下形成一种浓郁的你追我赶、干事创业氛围。</w:t>
      </w:r>
    </w:p>
    <w:p w14:paraId="06C45334">
      <w:pPr>
        <w:ind w:firstLine="422"/>
        <w:rPr>
          <w:rFonts w:ascii="宋体" w:hAnsi="宋体"/>
          <w:b/>
        </w:rPr>
      </w:pPr>
      <w:r>
        <w:rPr>
          <w:rFonts w:hint="eastAsia" w:ascii="宋体" w:hAnsi="宋体"/>
          <w:b/>
        </w:rPr>
        <w:t>五、巧借外力，推动产业升级。</w:t>
      </w:r>
    </w:p>
    <w:p w14:paraId="43978B5D">
      <w:pPr>
        <w:ind w:firstLine="420"/>
        <w:rPr>
          <w:rFonts w:ascii="宋体" w:hAnsi="宋体"/>
        </w:rPr>
      </w:pPr>
      <w:r>
        <w:rPr>
          <w:rFonts w:hint="eastAsia" w:ascii="宋体" w:hAnsi="宋体"/>
        </w:rPr>
        <w:t>为确保精细化工产业园快速健康可持续发展，南雄市与中山大学化学与化学工程学院、广州合成材料研究院、中科院广州化工研究院、南京林业大学、广东工业大学等科研院校合作，为园区的规划建设、企业引进、高新技术和新产品研发、成熟技术或科技成果的转化应用等方面提供有力的技术支持。中国科学院广州化学研究所在园区建设“两个平台”（精细化工新产品及相关公共支撑技术研发平台、公共检测咨询平台）和“三个基地”（精细化工新产品和新技术公共中试孵化基地、化学化工领域高端专业人才培训和输送基地和科研成果转化基地），南京林业大学还在园区设立博士后流动工作站，推动产学研合作，加快园区产业升级，提升精细化工园区的综合竞争能力。</w:t>
      </w:r>
    </w:p>
    <w:p w14:paraId="44FAD730">
      <w:pPr>
        <w:ind w:firstLine="422"/>
        <w:rPr>
          <w:rFonts w:ascii="宋体" w:hAnsi="宋体"/>
          <w:b/>
        </w:rPr>
      </w:pPr>
      <w:r>
        <w:rPr>
          <w:rFonts w:hint="eastAsia" w:ascii="宋体" w:hAnsi="宋体"/>
          <w:b/>
        </w:rPr>
        <w:t>六、创新培训，提升劳动力素质。</w:t>
      </w:r>
    </w:p>
    <w:p w14:paraId="5579E837">
      <w:pPr>
        <w:ind w:firstLine="420"/>
        <w:rPr>
          <w:rFonts w:ascii="宋体" w:hAnsi="宋体"/>
        </w:rPr>
      </w:pPr>
      <w:r>
        <w:rPr>
          <w:rFonts w:hint="eastAsia" w:ascii="宋体" w:hAnsi="宋体"/>
        </w:rPr>
        <w:t>坚持“贴近市场、贴近岗位、贴近劳动者”和“以培训促就业”的原则，创新培训方式。南雄中等职业学校与广东理工职业技术学校合作，专门开设精细化工专业班，先后培训三期共</w:t>
      </w:r>
      <w:r>
        <w:rPr>
          <w:rFonts w:ascii="宋体" w:hAnsi="宋体"/>
        </w:rPr>
        <w:t>160多人，满足了园区对技术</w:t>
      </w:r>
      <w:r>
        <w:rPr>
          <w:rFonts w:hint="eastAsia" w:ascii="宋体" w:hAnsi="宋体"/>
        </w:rPr>
        <w:t>和人才的需求，为园区健康发展注入活力。</w:t>
      </w:r>
    </w:p>
    <w:p w14:paraId="4BB59ECA">
      <w:pPr>
        <w:ind w:firstLine="422"/>
        <w:rPr>
          <w:rFonts w:ascii="宋体" w:hAnsi="宋体"/>
          <w:b/>
        </w:rPr>
      </w:pPr>
      <w:r>
        <w:rPr>
          <w:rFonts w:hint="eastAsia" w:ascii="宋体" w:hAnsi="宋体"/>
          <w:b/>
        </w:rPr>
        <w:t>七、展望征途，再创佳绩。</w:t>
      </w:r>
    </w:p>
    <w:p w14:paraId="5BD5BC74">
      <w:pPr>
        <w:ind w:firstLine="420"/>
        <w:rPr>
          <w:rFonts w:ascii="宋体" w:hAnsi="宋体"/>
        </w:rPr>
      </w:pPr>
      <w:r>
        <w:rPr>
          <w:rFonts w:hint="eastAsia" w:ascii="宋体" w:hAnsi="宋体"/>
        </w:rPr>
        <w:t>成绩凝结汗水，成功启迪未来。经过南雄全市上下一年多的真抓实干，精细化工产业已初显成效。截至</w:t>
      </w:r>
      <w:r>
        <w:rPr>
          <w:rFonts w:ascii="宋体" w:hAnsi="宋体"/>
        </w:rPr>
        <w:t>2010年底，一期3800亩</w:t>
      </w:r>
      <w:r>
        <w:rPr>
          <w:rFonts w:hint="eastAsia" w:ascii="宋体" w:hAnsi="宋体"/>
        </w:rPr>
        <w:t>土地已基本完成招商，入园的精细化工及配套企业有</w:t>
      </w:r>
      <w:r>
        <w:rPr>
          <w:rFonts w:ascii="宋体" w:hAnsi="宋体"/>
        </w:rPr>
        <w:t>96家，协议投资总额达37.45亿元，</w:t>
      </w:r>
      <w:r>
        <w:rPr>
          <w:rFonts w:hint="eastAsia" w:ascii="宋体" w:hAnsi="宋体"/>
        </w:rPr>
        <w:t>已投产企业</w:t>
      </w:r>
      <w:r>
        <w:rPr>
          <w:rFonts w:ascii="宋体" w:hAnsi="宋体"/>
        </w:rPr>
        <w:t>21家，产值达11.66亿元。园区</w:t>
      </w:r>
      <w:r>
        <w:rPr>
          <w:rFonts w:hint="eastAsia" w:ascii="宋体" w:hAnsi="宋体"/>
        </w:rPr>
        <w:t>产业集聚成为拉动南雄市经济快速增长的强大引擎。站在全省“双转移”的历史节点上，南雄市将依托韶赣高速公路、韶赣铁路和</w:t>
      </w:r>
      <w:r>
        <w:rPr>
          <w:rFonts w:ascii="宋体" w:hAnsi="宋体"/>
        </w:rPr>
        <w:t>S342线组成的立体交通网络，突出集聚发展</w:t>
      </w:r>
      <w:r>
        <w:rPr>
          <w:rFonts w:hint="eastAsia" w:ascii="宋体" w:hAnsi="宋体"/>
        </w:rPr>
        <w:t>特色，逐步把产业转移工业园建设成为华南地区功能最齐全、配套最完善、最具活力的精细化工特色专业园区。</w:t>
      </w:r>
    </w:p>
    <w:p w14:paraId="2D7C2ED2">
      <w:pPr>
        <w:ind w:firstLine="422"/>
        <w:jc w:val="right"/>
        <w:rPr>
          <w:rFonts w:ascii="宋体" w:hAnsi="宋体"/>
          <w:b/>
        </w:rPr>
      </w:pPr>
      <w:r>
        <w:rPr>
          <w:rFonts w:hint="eastAsia" w:ascii="宋体" w:hAnsi="宋体"/>
          <w:b/>
        </w:rPr>
        <w:t>（叶红大）</w:t>
      </w:r>
    </w:p>
    <w:p w14:paraId="573E9861">
      <w:pPr>
        <w:pStyle w:val="3"/>
      </w:pPr>
      <w:r>
        <w:rPr>
          <w:rFonts w:hint="eastAsia"/>
        </w:rPr>
        <w:t>“十一五”主要工作成就</w:t>
      </w:r>
    </w:p>
    <w:p w14:paraId="49EA5BFF">
      <w:pPr>
        <w:ind w:firstLine="420"/>
        <w:rPr>
          <w:rFonts w:ascii="宋体" w:hAnsi="宋体"/>
        </w:rPr>
      </w:pPr>
      <w:r>
        <w:rPr>
          <w:rFonts w:hint="eastAsia" w:ascii="宋体" w:hAnsi="宋体"/>
        </w:rPr>
        <w:t>“十一五”时期是不平凡的五年。五年来，南雄市坚持以科学发展观统领全局，因地制宜转变发展思路，突出“抓集聚、促产业”发展共识，抢抓“双转移”战略机遇，发挥山区环境容量大的特色和优势，创建了粤北首个精细化工基地，初步形成了精细化工、陶瓷建材、浆纸制造、热电能源四大特色工业产业齐头并进的发展格局，创出了南雄干劲、南雄速度，打造了南雄服务和南雄模式，全市经济社会持续实现了又好又快发展，较好地完成了“十一五”规划确定的主要目标和任务。</w:t>
      </w:r>
    </w:p>
    <w:p w14:paraId="3C8DAF16">
      <w:pPr>
        <w:ind w:firstLine="420"/>
        <w:rPr>
          <w:rFonts w:ascii="宋体" w:hAnsi="宋体"/>
        </w:rPr>
      </w:pPr>
      <w:r>
        <w:rPr>
          <w:rFonts w:hint="eastAsia" w:ascii="宋体" w:hAnsi="宋体"/>
        </w:rPr>
        <w:t>一是县域经济上了新台阶。</w:t>
      </w:r>
      <w:r>
        <w:rPr>
          <w:rFonts w:ascii="宋体" w:hAnsi="宋体"/>
        </w:rPr>
        <w:t>2010年，完</w:t>
      </w:r>
      <w:r>
        <w:rPr>
          <w:rFonts w:hint="eastAsia" w:ascii="宋体" w:hAnsi="宋体"/>
        </w:rPr>
        <w:t>成地区生产总值</w:t>
      </w:r>
      <w:r>
        <w:rPr>
          <w:rFonts w:ascii="宋体" w:hAnsi="宋体"/>
        </w:rPr>
        <w:t>60.26亿元，五年年均增长18.2%；完成工业总产值44.32亿元；实现工</w:t>
      </w:r>
      <w:r>
        <w:rPr>
          <w:rFonts w:hint="eastAsia" w:ascii="宋体" w:hAnsi="宋体"/>
        </w:rPr>
        <w:t>业增加值</w:t>
      </w:r>
      <w:r>
        <w:rPr>
          <w:rFonts w:ascii="宋体" w:hAnsi="宋体"/>
        </w:rPr>
        <w:t>11.54亿元，比</w:t>
      </w:r>
      <w:r>
        <w:rPr>
          <w:rFonts w:hint="eastAsia" w:ascii="宋体" w:hAnsi="宋体"/>
        </w:rPr>
        <w:t>“</w:t>
      </w:r>
      <w:r>
        <w:rPr>
          <w:rFonts w:ascii="宋体" w:hAnsi="宋体"/>
        </w:rPr>
        <w:t>十五</w:t>
      </w:r>
      <w:r>
        <w:rPr>
          <w:rFonts w:hint="eastAsia" w:ascii="宋体" w:hAnsi="宋体"/>
        </w:rPr>
        <w:t>”</w:t>
      </w:r>
      <w:r>
        <w:rPr>
          <w:rFonts w:ascii="宋体" w:hAnsi="宋体"/>
        </w:rPr>
        <w:t>期末增长</w:t>
      </w:r>
      <w:r>
        <w:rPr>
          <w:rFonts w:hint="eastAsia" w:ascii="宋体" w:hAnsi="宋体"/>
        </w:rPr>
        <w:t>近</w:t>
      </w:r>
      <w:r>
        <w:rPr>
          <w:rFonts w:ascii="宋体" w:hAnsi="宋体"/>
        </w:rPr>
        <w:t>4倍；完成固定资产投资58.03亿元，五年</w:t>
      </w:r>
      <w:r>
        <w:rPr>
          <w:rFonts w:hint="eastAsia" w:ascii="宋体" w:hAnsi="宋体"/>
        </w:rPr>
        <w:t>年均增长</w:t>
      </w:r>
      <w:r>
        <w:rPr>
          <w:rFonts w:ascii="宋体" w:hAnsi="宋体"/>
        </w:rPr>
        <w:t>40%以上；地方财政一般预算收入2.83亿元，五年年均增长24.8%。2009年，</w:t>
      </w:r>
      <w:r>
        <w:rPr>
          <w:rFonts w:hint="eastAsia" w:ascii="宋体" w:hAnsi="宋体"/>
        </w:rPr>
        <w:t>南雄市财政综合增长率排名跃升至第</w:t>
      </w:r>
      <w:r>
        <w:rPr>
          <w:rFonts w:ascii="宋体" w:hAnsi="宋体"/>
        </w:rPr>
        <w:t>4名。</w:t>
      </w:r>
      <w:r>
        <w:rPr>
          <w:rFonts w:hint="eastAsia" w:ascii="宋体" w:hAnsi="宋体"/>
        </w:rPr>
        <w:t>地区生产总值、工业增加值、固定资产投资、地方财政一般预算收入等主要经济指标发展速度连续三年超过国家、省、韶关市平均发展水平。</w:t>
      </w:r>
    </w:p>
    <w:p w14:paraId="576AA5B7">
      <w:pPr>
        <w:ind w:firstLine="420"/>
        <w:rPr>
          <w:rFonts w:ascii="宋体" w:hAnsi="宋体"/>
        </w:rPr>
      </w:pPr>
      <w:r>
        <w:rPr>
          <w:rFonts w:hint="eastAsia" w:ascii="宋体" w:hAnsi="宋体"/>
        </w:rPr>
        <w:t>二是经济结构逐步优化。工业对经济发展的贡献逐年加大，五年新增规模以上工业企业</w:t>
      </w:r>
      <w:r>
        <w:rPr>
          <w:rFonts w:ascii="宋体" w:hAnsi="宋体"/>
        </w:rPr>
        <w:t>39家，规模以上工业完成总产值27亿</w:t>
      </w:r>
      <w:r>
        <w:rPr>
          <w:rFonts w:hint="eastAsia" w:ascii="宋体" w:hAnsi="宋体"/>
        </w:rPr>
        <w:t>元，比</w:t>
      </w:r>
      <w:r>
        <w:rPr>
          <w:rFonts w:ascii="宋体" w:hAnsi="宋体"/>
        </w:rPr>
        <w:t>2</w:t>
      </w:r>
      <w:r>
        <w:rPr>
          <w:rFonts w:hint="eastAsia" w:ascii="宋体" w:hAnsi="宋体"/>
        </w:rPr>
        <w:t>0</w:t>
      </w:r>
      <w:r>
        <w:rPr>
          <w:rFonts w:ascii="宋体" w:hAnsi="宋体"/>
        </w:rPr>
        <w:t>05年增加22.49亿元。2010年底</w:t>
      </w:r>
      <w:r>
        <w:rPr>
          <w:rFonts w:hint="eastAsia" w:ascii="宋体" w:hAnsi="宋体"/>
        </w:rPr>
        <w:t>止，东莞大岭山（南雄）产业转移工业园的精细化工及配套企业有</w:t>
      </w:r>
      <w:r>
        <w:rPr>
          <w:rFonts w:ascii="宋体" w:hAnsi="宋体"/>
        </w:rPr>
        <w:t>96家，其中投试产企</w:t>
      </w:r>
      <w:r>
        <w:rPr>
          <w:rFonts w:hint="eastAsia" w:ascii="宋体" w:hAnsi="宋体"/>
        </w:rPr>
        <w:t>业</w:t>
      </w:r>
      <w:r>
        <w:rPr>
          <w:rFonts w:ascii="宋体" w:hAnsi="宋体"/>
        </w:rPr>
        <w:t>35家，园区投产企业完成工业总产值11.9</w:t>
      </w:r>
      <w:r>
        <w:rPr>
          <w:rFonts w:hint="eastAsia" w:ascii="宋体" w:hAnsi="宋体"/>
        </w:rPr>
        <w:t>亿元，实现工业增加值</w:t>
      </w:r>
      <w:r>
        <w:rPr>
          <w:rFonts w:ascii="宋体" w:hAnsi="宋体"/>
        </w:rPr>
        <w:t>2亿元，特色鲜明的</w:t>
      </w:r>
      <w:r>
        <w:rPr>
          <w:rFonts w:hint="eastAsia" w:ascii="宋体" w:hAnsi="宋体"/>
        </w:rPr>
        <w:t>精细化工产业初步形成，产业转移园已成为推动南雄市经济快速发展的最主要引擎。珠玑纸业造纸产能达</w:t>
      </w:r>
      <w:r>
        <w:rPr>
          <w:rFonts w:ascii="宋体" w:hAnsi="宋体"/>
        </w:rPr>
        <w:t>2.65万吨，制浆产能达到6.5万吨，比</w:t>
      </w:r>
      <w:r>
        <w:rPr>
          <w:rFonts w:hint="eastAsia" w:ascii="宋体" w:hAnsi="宋体"/>
        </w:rPr>
        <w:t>“</w:t>
      </w:r>
      <w:r>
        <w:rPr>
          <w:rFonts w:ascii="宋体" w:hAnsi="宋体"/>
        </w:rPr>
        <w:t>十五</w:t>
      </w:r>
      <w:r>
        <w:rPr>
          <w:rFonts w:hint="eastAsia" w:ascii="宋体" w:hAnsi="宋体"/>
        </w:rPr>
        <w:t>”</w:t>
      </w:r>
      <w:r>
        <w:rPr>
          <w:rFonts w:ascii="宋体" w:hAnsi="宋体"/>
        </w:rPr>
        <w:t>期末增长2.5倍；乐华</w:t>
      </w:r>
      <w:r>
        <w:rPr>
          <w:rFonts w:hint="eastAsia" w:ascii="宋体" w:hAnsi="宋体"/>
        </w:rPr>
        <w:t>陶瓷（一期）已建成投产，产能达</w:t>
      </w:r>
      <w:r>
        <w:rPr>
          <w:rFonts w:ascii="宋体" w:hAnsi="宋体"/>
        </w:rPr>
        <w:t>300万平</w:t>
      </w:r>
      <w:r>
        <w:rPr>
          <w:rFonts w:hint="eastAsia" w:ascii="宋体" w:hAnsi="宋体"/>
        </w:rPr>
        <w:t>米。三次产业的比重由</w:t>
      </w:r>
      <w:r>
        <w:rPr>
          <w:rFonts w:ascii="宋体" w:hAnsi="宋体"/>
        </w:rPr>
        <w:t>2006年初的39</w:t>
      </w:r>
      <w:r>
        <w:rPr>
          <w:rFonts w:hint="eastAsia" w:ascii="宋体" w:hAnsi="宋体"/>
        </w:rPr>
        <w:t>.</w:t>
      </w:r>
      <w:r>
        <w:rPr>
          <w:rFonts w:ascii="宋体" w:hAnsi="宋体"/>
        </w:rPr>
        <w:t>1</w:t>
      </w:r>
      <w:r>
        <w:rPr>
          <w:rFonts w:hint="eastAsia" w:ascii="宋体" w:hAnsi="宋体"/>
        </w:rPr>
        <w:t>：</w:t>
      </w:r>
      <w:r>
        <w:rPr>
          <w:rFonts w:ascii="宋体" w:hAnsi="宋体"/>
        </w:rPr>
        <w:t>17</w:t>
      </w:r>
      <w:r>
        <w:rPr>
          <w:rFonts w:hint="eastAsia" w:ascii="宋体" w:hAnsi="宋体"/>
        </w:rPr>
        <w:t>：</w:t>
      </w:r>
      <w:r>
        <w:rPr>
          <w:rFonts w:ascii="宋体" w:hAnsi="宋体"/>
        </w:rPr>
        <w:t>43.9调整为2010年的27.2</w:t>
      </w:r>
      <w:r>
        <w:rPr>
          <w:rFonts w:hint="eastAsia" w:ascii="宋体" w:hAnsi="宋体"/>
        </w:rPr>
        <w:t>：</w:t>
      </w:r>
      <w:r>
        <w:rPr>
          <w:rFonts w:ascii="宋体" w:hAnsi="宋体"/>
        </w:rPr>
        <w:t>28.4</w:t>
      </w:r>
      <w:r>
        <w:rPr>
          <w:rFonts w:hint="eastAsia" w:ascii="宋体" w:hAnsi="宋体"/>
        </w:rPr>
        <w:t>：</w:t>
      </w:r>
      <w:r>
        <w:rPr>
          <w:rFonts w:ascii="宋体" w:hAnsi="宋体"/>
        </w:rPr>
        <w:t>44.4。城镇化稳步推进，城镇化水平由2006</w:t>
      </w:r>
      <w:r>
        <w:rPr>
          <w:rFonts w:hint="eastAsia" w:ascii="宋体" w:hAnsi="宋体"/>
        </w:rPr>
        <w:t>年的</w:t>
      </w:r>
      <w:r>
        <w:rPr>
          <w:rFonts w:ascii="宋体" w:hAnsi="宋体"/>
        </w:rPr>
        <w:t>18.5%调整为2010年的35.4%。</w:t>
      </w:r>
    </w:p>
    <w:p w14:paraId="646DFD71">
      <w:pPr>
        <w:ind w:firstLine="420"/>
        <w:rPr>
          <w:rFonts w:ascii="宋体" w:hAnsi="宋体"/>
        </w:rPr>
      </w:pPr>
      <w:r>
        <w:rPr>
          <w:rFonts w:hint="eastAsia" w:ascii="宋体" w:hAnsi="宋体"/>
        </w:rPr>
        <w:t>三是基础设施进一步完善。通过城市经营战略，五年投入城市改造资金约</w:t>
      </w:r>
      <w:r>
        <w:rPr>
          <w:rFonts w:ascii="宋体" w:hAnsi="宋体"/>
        </w:rPr>
        <w:t>10亿元，</w:t>
      </w:r>
      <w:r>
        <w:rPr>
          <w:rFonts w:hint="eastAsia" w:ascii="宋体" w:hAnsi="宋体"/>
        </w:rPr>
        <w:t>城市面貌焕然一新。交通基础设施不断升级，五年新增公路里程</w:t>
      </w:r>
      <w:r>
        <w:rPr>
          <w:rFonts w:ascii="宋体" w:hAnsi="宋体"/>
        </w:rPr>
        <w:t>2055.7公里，到2010年底</w:t>
      </w:r>
      <w:r>
        <w:rPr>
          <w:rFonts w:hint="eastAsia" w:ascii="宋体" w:hAnsi="宋体"/>
        </w:rPr>
        <w:t>止，全市公路通车里程</w:t>
      </w:r>
      <w:r>
        <w:rPr>
          <w:rFonts w:ascii="宋体" w:hAnsi="宋体"/>
        </w:rPr>
        <w:t>2062.43公里，每平方</w:t>
      </w:r>
      <w:r>
        <w:rPr>
          <w:rFonts w:hint="eastAsia" w:ascii="宋体" w:hAnsi="宋体"/>
        </w:rPr>
        <w:t>公里通车里程由</w:t>
      </w:r>
      <w:r>
        <w:rPr>
          <w:rFonts w:ascii="宋体" w:hAnsi="宋体"/>
        </w:rPr>
        <w:t>2006年0.884公里，增加到2010年0.887公里。韶赣高速公路建成通车，</w:t>
      </w:r>
      <w:r>
        <w:rPr>
          <w:rFonts w:hint="eastAsia" w:ascii="宋体" w:hAnsi="宋体"/>
        </w:rPr>
        <w:t>赣韶铁路建设顺利推进，国道</w:t>
      </w:r>
      <w:r>
        <w:rPr>
          <w:rFonts w:ascii="宋体" w:hAnsi="宋体"/>
        </w:rPr>
        <w:t>323线完成了57公里路面改造，南雄作为广东通向泛珠三</w:t>
      </w:r>
      <w:r>
        <w:rPr>
          <w:rFonts w:hint="eastAsia" w:ascii="宋体" w:hAnsi="宋体"/>
        </w:rPr>
        <w:t>角腹地的桥头堡作用日益明显。五年投入电网建设资金</w:t>
      </w:r>
      <w:r>
        <w:rPr>
          <w:rFonts w:ascii="宋体" w:hAnsi="宋体"/>
        </w:rPr>
        <w:t>7.8亿元，新建了珠玑220KV变</w:t>
      </w:r>
      <w:r>
        <w:rPr>
          <w:rFonts w:hint="eastAsia" w:ascii="宋体" w:hAnsi="宋体"/>
        </w:rPr>
        <w:t>电站一大批电力设施，城乡电网改造稳步推进，实现了城乡同网同价。国家西气东输二线管道工程基本建成，南雄支线正在规划设计。城乡水利防灾减灾工程有效推进，五年共投入水利建设资金</w:t>
      </w:r>
      <w:r>
        <w:rPr>
          <w:rFonts w:ascii="宋体" w:hAnsi="宋体"/>
        </w:rPr>
        <w:t>2.45亿元，高标准完成4宗中型水库、42宗小型水库除险加固工程</w:t>
      </w:r>
      <w:r>
        <w:rPr>
          <w:rFonts w:hint="eastAsia" w:ascii="宋体" w:hAnsi="宋体"/>
        </w:rPr>
        <w:t>建设和</w:t>
      </w:r>
      <w:r>
        <w:rPr>
          <w:rFonts w:ascii="宋体" w:hAnsi="宋体"/>
        </w:rPr>
        <w:t>27.8公里城区防洪堤建设。</w:t>
      </w:r>
      <w:r>
        <w:rPr>
          <w:rFonts w:hint="eastAsia" w:ascii="宋体" w:hAnsi="宋体"/>
        </w:rPr>
        <w:t>“</w:t>
      </w:r>
      <w:r>
        <w:rPr>
          <w:rFonts w:ascii="宋体" w:hAnsi="宋体"/>
        </w:rPr>
        <w:t>十一五</w:t>
      </w:r>
      <w:r>
        <w:rPr>
          <w:rFonts w:hint="eastAsia" w:ascii="宋体" w:hAnsi="宋体"/>
        </w:rPr>
        <w:t>”期间，全市累计完成固定资产投资</w:t>
      </w:r>
      <w:r>
        <w:rPr>
          <w:rFonts w:ascii="宋体" w:hAnsi="宋体"/>
        </w:rPr>
        <w:t>163.8亿</w:t>
      </w:r>
      <w:r>
        <w:rPr>
          <w:rFonts w:hint="eastAsia" w:ascii="宋体" w:hAnsi="宋体"/>
        </w:rPr>
        <w:t>元，五年年均完成投资</w:t>
      </w:r>
      <w:r>
        <w:rPr>
          <w:rFonts w:ascii="宋体" w:hAnsi="宋体"/>
        </w:rPr>
        <w:t>30亿元以上。</w:t>
      </w:r>
    </w:p>
    <w:p w14:paraId="7992826B">
      <w:pPr>
        <w:ind w:firstLine="420"/>
        <w:rPr>
          <w:rFonts w:ascii="宋体" w:hAnsi="宋体"/>
        </w:rPr>
      </w:pPr>
      <w:r>
        <w:rPr>
          <w:rFonts w:hint="eastAsia" w:ascii="宋体" w:hAnsi="宋体"/>
        </w:rPr>
        <w:t>四是社会事业有了快速发展。城乡居民收入不断提高，</w:t>
      </w:r>
      <w:r>
        <w:rPr>
          <w:rFonts w:ascii="宋体" w:hAnsi="宋体"/>
        </w:rPr>
        <w:t>2010年城镇居民人均可支配</w:t>
      </w:r>
      <w:r>
        <w:rPr>
          <w:rFonts w:hint="eastAsia" w:ascii="宋体" w:hAnsi="宋体"/>
        </w:rPr>
        <w:t>收入</w:t>
      </w:r>
      <w:r>
        <w:rPr>
          <w:rFonts w:ascii="宋体" w:hAnsi="宋体"/>
        </w:rPr>
        <w:t>11886元，五年年均增长10.1%；农民</w:t>
      </w:r>
      <w:r>
        <w:rPr>
          <w:rFonts w:hint="eastAsia" w:ascii="宋体" w:hAnsi="宋体"/>
        </w:rPr>
        <w:t>人均纯收入</w:t>
      </w:r>
      <w:r>
        <w:rPr>
          <w:rFonts w:ascii="宋体" w:hAnsi="宋体"/>
        </w:rPr>
        <w:t>5956元，五年年均增长10.2%；</w:t>
      </w:r>
      <w:r>
        <w:rPr>
          <w:rFonts w:hint="eastAsia" w:ascii="宋体" w:hAnsi="宋体"/>
        </w:rPr>
        <w:t>居民储蓄存款余额达4</w:t>
      </w:r>
      <w:r>
        <w:rPr>
          <w:rFonts w:ascii="宋体" w:hAnsi="宋体"/>
        </w:rPr>
        <w:t>4.89亿元，五年年均</w:t>
      </w:r>
      <w:r>
        <w:rPr>
          <w:rFonts w:hint="eastAsia" w:ascii="宋体" w:hAnsi="宋体"/>
        </w:rPr>
        <w:t>增长</w:t>
      </w:r>
      <w:r>
        <w:rPr>
          <w:rFonts w:ascii="宋体" w:hAnsi="宋体"/>
        </w:rPr>
        <w:t>15.6%。社会保障体系日益完善，农村</w:t>
      </w:r>
      <w:r>
        <w:rPr>
          <w:rFonts w:hint="eastAsia" w:ascii="宋体" w:hAnsi="宋体"/>
        </w:rPr>
        <w:t>新型合作医疗覆盖面达到</w:t>
      </w:r>
      <w:r>
        <w:rPr>
          <w:rFonts w:ascii="宋体" w:hAnsi="宋体"/>
        </w:rPr>
        <w:t>100%；五年累计新</w:t>
      </w:r>
      <w:r>
        <w:rPr>
          <w:rFonts w:hint="eastAsia" w:ascii="宋体" w:hAnsi="宋体"/>
        </w:rPr>
        <w:t>增城镇就业</w:t>
      </w:r>
      <w:r>
        <w:rPr>
          <w:rFonts w:ascii="宋体" w:hAnsi="宋体"/>
        </w:rPr>
        <w:t>2.02万人，城镇登记失业率控制</w:t>
      </w:r>
      <w:r>
        <w:rPr>
          <w:rFonts w:hint="eastAsia" w:ascii="宋体" w:hAnsi="宋体"/>
        </w:rPr>
        <w:t>在</w:t>
      </w:r>
      <w:r>
        <w:rPr>
          <w:rFonts w:ascii="宋体" w:hAnsi="宋体"/>
        </w:rPr>
        <w:t>3%以内；参加城镇基本养老人数达到2.31</w:t>
      </w:r>
      <w:r>
        <w:rPr>
          <w:rFonts w:hint="eastAsia" w:ascii="宋体" w:hAnsi="宋体"/>
        </w:rPr>
        <w:t>万人，参加城镇居民基本医疗保险人数达到</w:t>
      </w:r>
      <w:r>
        <w:rPr>
          <w:rFonts w:ascii="宋体" w:hAnsi="宋体"/>
        </w:rPr>
        <w:t>2.38万人；实现了城乡</w:t>
      </w:r>
      <w:r>
        <w:rPr>
          <w:rFonts w:hint="eastAsia" w:ascii="宋体" w:hAnsi="宋体"/>
        </w:rPr>
        <w:t>“</w:t>
      </w:r>
      <w:r>
        <w:rPr>
          <w:rFonts w:ascii="宋体" w:hAnsi="宋体"/>
        </w:rPr>
        <w:t>低保</w:t>
      </w:r>
      <w:r>
        <w:rPr>
          <w:rFonts w:hint="eastAsia" w:ascii="宋体" w:hAnsi="宋体"/>
        </w:rPr>
        <w:t>”</w:t>
      </w:r>
      <w:r>
        <w:rPr>
          <w:rFonts w:ascii="宋体" w:hAnsi="宋体"/>
        </w:rPr>
        <w:t>全覆盖，对</w:t>
      </w:r>
      <w:r>
        <w:rPr>
          <w:rFonts w:hint="eastAsia" w:ascii="宋体" w:hAnsi="宋体"/>
        </w:rPr>
        <w:t>符合条件</w:t>
      </w:r>
      <w:r>
        <w:rPr>
          <w:rFonts w:ascii="宋体" w:hAnsi="宋体"/>
        </w:rPr>
        <w:t>1.52万名困难群众实现了应保尽</w:t>
      </w:r>
      <w:r>
        <w:rPr>
          <w:rFonts w:hint="eastAsia" w:ascii="宋体" w:hAnsi="宋体"/>
        </w:rPr>
        <w:t>保；五年投入资金</w:t>
      </w:r>
      <w:r>
        <w:rPr>
          <w:rFonts w:ascii="宋体" w:hAnsi="宋体"/>
        </w:rPr>
        <w:t>3996万元，解决了农村5.4万人饮水困难和安全问题。教育事业进</w:t>
      </w:r>
      <w:r>
        <w:rPr>
          <w:rFonts w:hint="eastAsia" w:ascii="宋体" w:hAnsi="宋体"/>
        </w:rPr>
        <w:t>一步发展，城乡免费义务教育全面实施，高中阶段毛入学率达</w:t>
      </w:r>
      <w:r>
        <w:rPr>
          <w:rFonts w:ascii="宋体" w:hAnsi="宋体"/>
        </w:rPr>
        <w:t>90%。文化事业日益繁荣，</w:t>
      </w:r>
      <w:r>
        <w:rPr>
          <w:rFonts w:hint="eastAsia" w:ascii="宋体" w:hAnsi="宋体"/>
        </w:rPr>
        <w:t>群众文化活动丰富多彩。人口自然增长率控制在</w:t>
      </w:r>
      <w:r>
        <w:rPr>
          <w:rFonts w:ascii="宋体" w:hAnsi="宋体"/>
        </w:rPr>
        <w:t>7.5</w:t>
      </w:r>
      <w:r>
        <w:rPr>
          <w:rFonts w:hint="eastAsia" w:ascii="宋体" w:hAnsi="宋体"/>
        </w:rPr>
        <w:t>‰</w:t>
      </w:r>
      <w:r>
        <w:rPr>
          <w:rFonts w:ascii="宋体" w:hAnsi="宋体"/>
        </w:rPr>
        <w:t>以内，被评为省计生优质服务先进</w:t>
      </w:r>
      <w:r>
        <w:rPr>
          <w:rFonts w:hint="eastAsia" w:ascii="宋体" w:hAnsi="宋体"/>
        </w:rPr>
        <w:t>县。生态市建设稳步推进，城市园林绿地面积达到</w:t>
      </w:r>
      <w:r>
        <w:rPr>
          <w:rFonts w:ascii="宋体" w:hAnsi="宋体"/>
        </w:rPr>
        <w:t>168.22公顷，孔江湿地公园晋升为国</w:t>
      </w:r>
      <w:r>
        <w:rPr>
          <w:rFonts w:hint="eastAsia" w:ascii="宋体" w:hAnsi="宋体"/>
        </w:rPr>
        <w:t>家级湿地公园。</w:t>
      </w:r>
    </w:p>
    <w:p w14:paraId="6890FBBA">
      <w:pPr>
        <w:ind w:firstLine="420"/>
        <w:rPr>
          <w:rFonts w:ascii="宋体" w:hAnsi="宋体"/>
        </w:rPr>
      </w:pPr>
      <w:r>
        <w:rPr>
          <w:rFonts w:hint="eastAsia" w:ascii="宋体" w:hAnsi="宋体"/>
        </w:rPr>
        <w:t>过去的五年，是南雄在逆势中奋进、转型中发展的五年，也是综合实力提升最快、城市面貌变化最大、人民群众得到实惠最多的五年。</w:t>
      </w:r>
    </w:p>
    <w:p w14:paraId="2BBBD099">
      <w:pPr>
        <w:ind w:firstLine="420"/>
        <w:rPr>
          <w:rFonts w:ascii="宋体" w:hAnsi="宋体"/>
        </w:rPr>
      </w:pPr>
      <w:r>
        <w:rPr>
          <w:rFonts w:hint="eastAsia" w:ascii="宋体" w:hAnsi="宋体"/>
        </w:rPr>
        <w:t>五年来，南雄市先后荣获转型·</w:t>
      </w:r>
      <w:r>
        <w:rPr>
          <w:rFonts w:ascii="宋体" w:hAnsi="宋体"/>
        </w:rPr>
        <w:t>2010中</w:t>
      </w:r>
      <w:r>
        <w:rPr>
          <w:rFonts w:hint="eastAsia" w:ascii="宋体" w:hAnsi="宋体"/>
        </w:rPr>
        <w:t>国经济十大领军县级市、国家可持续发展实验区等一系列荣誉称号，成功创建广东省文明城市、广东省历史文化名城，被中央党史研究室确认为原中央苏区县，省政府列为财政省直管试点县之一，同时，产业转移工业园列为省级产业转移工业园，成为粤北山区探索科学发展的典范。</w:t>
      </w:r>
    </w:p>
    <w:p w14:paraId="25710308">
      <w:pPr>
        <w:pStyle w:val="2"/>
      </w:pPr>
      <w:r>
        <w:rPr>
          <w:rFonts w:hint="eastAsia"/>
        </w:rPr>
        <w:t>大事记</w:t>
      </w:r>
    </w:p>
    <w:p w14:paraId="7D9E87B3">
      <w:pPr>
        <w:pStyle w:val="3"/>
      </w:pPr>
      <w:r>
        <w:rPr>
          <w:rFonts w:hint="eastAsia"/>
        </w:rPr>
        <w:t>2003年大事记</w:t>
      </w:r>
    </w:p>
    <w:p w14:paraId="3C00CDFB">
      <w:pPr>
        <w:ind w:firstLine="422"/>
        <w:rPr>
          <w:rFonts w:ascii="宋体" w:hAnsi="宋体"/>
        </w:rPr>
      </w:pPr>
      <w:r>
        <w:rPr>
          <w:rFonts w:ascii="宋体" w:hAnsi="宋体"/>
          <w:b/>
        </w:rPr>
        <w:t>1月3日</w:t>
      </w:r>
      <w:r>
        <w:rPr>
          <w:rFonts w:hint="eastAsia" w:ascii="宋体" w:hAnsi="宋体"/>
          <w:b/>
        </w:rPr>
        <w:t xml:space="preserve">  </w:t>
      </w:r>
      <w:r>
        <w:rPr>
          <w:rFonts w:ascii="宋体" w:hAnsi="宋体"/>
        </w:rPr>
        <w:t>省文化厅对乌迳、邓坊两镇文</w:t>
      </w:r>
      <w:r>
        <w:rPr>
          <w:rFonts w:hint="eastAsia" w:ascii="宋体" w:hAnsi="宋体"/>
        </w:rPr>
        <w:t>化楼进行检查验收。至此，全市</w:t>
      </w:r>
      <w:r>
        <w:rPr>
          <w:rFonts w:ascii="宋体" w:hAnsi="宋体"/>
        </w:rPr>
        <w:t>20个镇的文</w:t>
      </w:r>
      <w:r>
        <w:rPr>
          <w:rFonts w:hint="eastAsia" w:ascii="宋体" w:hAnsi="宋体"/>
        </w:rPr>
        <w:t>化楼都通过了省文化厅检查验收，完成了</w:t>
      </w:r>
      <w:r>
        <w:rPr>
          <w:rFonts w:ascii="宋体" w:hAnsi="宋体"/>
        </w:rPr>
        <w:t>1998年省人大一号议案提出山区每镇一文化</w:t>
      </w:r>
      <w:r>
        <w:rPr>
          <w:rFonts w:hint="eastAsia" w:ascii="宋体" w:hAnsi="宋体"/>
        </w:rPr>
        <w:t>楼的任务。</w:t>
      </w:r>
    </w:p>
    <w:p w14:paraId="26ABE1C9">
      <w:pPr>
        <w:ind w:firstLine="422"/>
        <w:rPr>
          <w:rFonts w:ascii="宋体" w:hAnsi="宋体"/>
        </w:rPr>
      </w:pPr>
      <w:r>
        <w:rPr>
          <w:rFonts w:ascii="宋体" w:hAnsi="宋体"/>
          <w:b/>
        </w:rPr>
        <w:t>1月20日</w:t>
      </w:r>
      <w:r>
        <w:rPr>
          <w:rFonts w:hint="eastAsia" w:ascii="宋体" w:hAnsi="宋体"/>
          <w:b/>
        </w:rPr>
        <w:t xml:space="preserve">  </w:t>
      </w:r>
      <w:r>
        <w:rPr>
          <w:rFonts w:ascii="宋体" w:hAnsi="宋体"/>
        </w:rPr>
        <w:t>南雄市珠玑纸业有限公司成</w:t>
      </w:r>
      <w:r>
        <w:rPr>
          <w:rFonts w:hint="eastAsia" w:ascii="宋体" w:hAnsi="宋体"/>
        </w:rPr>
        <w:t>立。该公司是原南雄造纸总厂与中国信达资产管理公司、中国华融资产管理公司以债转股方式组建的股份制公司。公司总资产</w:t>
      </w:r>
      <w:r>
        <w:rPr>
          <w:rFonts w:ascii="宋体" w:hAnsi="宋体"/>
        </w:rPr>
        <w:t>10139</w:t>
      </w:r>
      <w:r>
        <w:rPr>
          <w:rFonts w:hint="eastAsia" w:ascii="宋体" w:hAnsi="宋体"/>
        </w:rPr>
        <w:t>万元，有员工</w:t>
      </w:r>
      <w:r>
        <w:rPr>
          <w:rFonts w:ascii="宋体" w:hAnsi="宋体"/>
        </w:rPr>
        <w:t>300多人，年生产能力2.5</w:t>
      </w:r>
      <w:r>
        <w:rPr>
          <w:rFonts w:hint="eastAsia" w:ascii="宋体" w:hAnsi="宋体"/>
        </w:rPr>
        <w:t>万吨。</w:t>
      </w:r>
    </w:p>
    <w:p w14:paraId="5C1A81B5">
      <w:pPr>
        <w:ind w:firstLine="422"/>
        <w:rPr>
          <w:rFonts w:ascii="宋体" w:hAnsi="宋体"/>
        </w:rPr>
      </w:pPr>
      <w:r>
        <w:rPr>
          <w:rFonts w:ascii="宋体" w:hAnsi="宋体"/>
          <w:b/>
        </w:rPr>
        <w:t>2月17日</w:t>
      </w:r>
      <w:r>
        <w:rPr>
          <w:rFonts w:hint="eastAsia" w:ascii="宋体" w:hAnsi="宋体"/>
          <w:b/>
        </w:rPr>
        <w:t xml:space="preserve">  </w:t>
      </w:r>
      <w:r>
        <w:rPr>
          <w:rFonts w:ascii="宋体" w:hAnsi="宋体"/>
        </w:rPr>
        <w:t>南雄中学举行</w:t>
      </w:r>
      <w:r>
        <w:rPr>
          <w:rFonts w:hint="eastAsia" w:ascii="宋体" w:hAnsi="宋体"/>
        </w:rPr>
        <w:t>“</w:t>
      </w:r>
      <w:r>
        <w:rPr>
          <w:rFonts w:ascii="宋体" w:hAnsi="宋体"/>
        </w:rPr>
        <w:t>广东省一级</w:t>
      </w:r>
      <w:r>
        <w:rPr>
          <w:rFonts w:hint="eastAsia" w:ascii="宋体" w:hAnsi="宋体"/>
        </w:rPr>
        <w:t>学校”挂牌仪式。</w:t>
      </w:r>
    </w:p>
    <w:p w14:paraId="398B8B80">
      <w:pPr>
        <w:ind w:firstLine="422"/>
        <w:rPr>
          <w:rFonts w:ascii="宋体" w:hAnsi="宋体"/>
        </w:rPr>
      </w:pPr>
      <w:r>
        <w:rPr>
          <w:rFonts w:ascii="宋体" w:hAnsi="宋体"/>
          <w:b/>
        </w:rPr>
        <w:t>3月4日至6日</w:t>
      </w:r>
      <w:r>
        <w:rPr>
          <w:rFonts w:hint="eastAsia" w:ascii="宋体" w:hAnsi="宋体"/>
          <w:b/>
        </w:rPr>
        <w:t xml:space="preserve">  </w:t>
      </w:r>
      <w:r>
        <w:rPr>
          <w:rFonts w:ascii="宋体" w:hAnsi="宋体"/>
        </w:rPr>
        <w:t>中共南雄市第十次代表</w:t>
      </w:r>
      <w:r>
        <w:rPr>
          <w:rFonts w:hint="eastAsia" w:ascii="宋体" w:hAnsi="宋体"/>
        </w:rPr>
        <w:t>大会召开。大会选举产生第十届市委员会和纪律检查委员会，何为星为市委书记，许志新为纪检会书记。</w:t>
      </w:r>
    </w:p>
    <w:p w14:paraId="6930BFD0">
      <w:pPr>
        <w:ind w:firstLine="422"/>
        <w:rPr>
          <w:rFonts w:ascii="宋体" w:hAnsi="宋体"/>
        </w:rPr>
      </w:pPr>
      <w:r>
        <w:rPr>
          <w:rFonts w:ascii="宋体" w:hAnsi="宋体"/>
          <w:b/>
        </w:rPr>
        <w:t>3月10日至13日</w:t>
      </w:r>
      <w:r>
        <w:rPr>
          <w:rFonts w:hint="eastAsia" w:ascii="宋体" w:hAnsi="宋体"/>
          <w:b/>
        </w:rPr>
        <w:t xml:space="preserve">  </w:t>
      </w:r>
      <w:r>
        <w:rPr>
          <w:rFonts w:ascii="宋体" w:hAnsi="宋体"/>
        </w:rPr>
        <w:t>政协南雄市第七届委</w:t>
      </w:r>
      <w:r>
        <w:rPr>
          <w:rFonts w:hint="eastAsia" w:ascii="宋体" w:hAnsi="宋体"/>
        </w:rPr>
        <w:t>员会第一次会议召开，选举产生第七届政协常委会，主席曾昭佑。</w:t>
      </w:r>
    </w:p>
    <w:p w14:paraId="2803FA40">
      <w:pPr>
        <w:ind w:firstLine="422"/>
        <w:rPr>
          <w:rFonts w:ascii="宋体" w:hAnsi="宋体"/>
        </w:rPr>
      </w:pPr>
      <w:r>
        <w:rPr>
          <w:rFonts w:ascii="宋体" w:hAnsi="宋体"/>
          <w:b/>
        </w:rPr>
        <w:t>3月10日至14日</w:t>
      </w:r>
      <w:r>
        <w:rPr>
          <w:rFonts w:hint="eastAsia" w:ascii="宋体" w:hAnsi="宋体"/>
          <w:b/>
        </w:rPr>
        <w:t xml:space="preserve">  </w:t>
      </w:r>
      <w:r>
        <w:rPr>
          <w:rFonts w:ascii="宋体" w:hAnsi="宋体"/>
        </w:rPr>
        <w:t>南雄市第十二届人民</w:t>
      </w:r>
      <w:r>
        <w:rPr>
          <w:rFonts w:hint="eastAsia" w:ascii="宋体" w:hAnsi="宋体"/>
        </w:rPr>
        <w:t>代表大会第一次会议召开。大会选举产生第十二届人大常委会，主任何为星。选举市长、副市长，市长林楚欣。</w:t>
      </w:r>
    </w:p>
    <w:p w14:paraId="25D6D331">
      <w:pPr>
        <w:ind w:firstLine="422"/>
        <w:rPr>
          <w:rFonts w:ascii="宋体" w:hAnsi="宋体"/>
        </w:rPr>
      </w:pPr>
      <w:r>
        <w:rPr>
          <w:rFonts w:ascii="宋体" w:hAnsi="宋体"/>
          <w:b/>
        </w:rPr>
        <w:t>4月3日</w:t>
      </w:r>
      <w:r>
        <w:rPr>
          <w:rFonts w:hint="eastAsia" w:ascii="宋体" w:hAnsi="宋体"/>
          <w:b/>
        </w:rPr>
        <w:t xml:space="preserve">  </w:t>
      </w:r>
      <w:r>
        <w:rPr>
          <w:rFonts w:ascii="宋体" w:hAnsi="宋体"/>
        </w:rPr>
        <w:t>市妇幼保健院妇产科被全国妇</w:t>
      </w:r>
      <w:r>
        <w:rPr>
          <w:rFonts w:hint="eastAsia" w:ascii="宋体" w:hAnsi="宋体"/>
        </w:rPr>
        <w:t>联评为“巾帼文明示范岗”。</w:t>
      </w:r>
    </w:p>
    <w:p w14:paraId="1CF2034B">
      <w:pPr>
        <w:ind w:firstLine="422"/>
        <w:rPr>
          <w:rFonts w:ascii="宋体" w:hAnsi="宋体"/>
        </w:rPr>
      </w:pPr>
      <w:r>
        <w:rPr>
          <w:rFonts w:ascii="宋体" w:hAnsi="宋体"/>
          <w:b/>
        </w:rPr>
        <w:t>4月12日20时至13日中午</w:t>
      </w:r>
      <w:r>
        <w:rPr>
          <w:rFonts w:hint="eastAsia" w:ascii="宋体" w:hAnsi="宋体"/>
          <w:b/>
        </w:rPr>
        <w:t xml:space="preserve">  </w:t>
      </w:r>
      <w:r>
        <w:rPr>
          <w:rFonts w:ascii="宋体" w:hAnsi="宋体"/>
        </w:rPr>
        <w:t>受强对流</w:t>
      </w:r>
      <w:r>
        <w:rPr>
          <w:rFonts w:hint="eastAsia" w:ascii="宋体" w:hAnsi="宋体"/>
        </w:rPr>
        <w:t>天气影响，南雄出现</w:t>
      </w:r>
      <w:r>
        <w:rPr>
          <w:rFonts w:ascii="宋体" w:hAnsi="宋体"/>
        </w:rPr>
        <w:t>8级</w:t>
      </w:r>
      <w:r>
        <w:rPr>
          <w:rFonts w:hint="eastAsia" w:ascii="宋体" w:hAnsi="宋体"/>
        </w:rPr>
        <w:t>~</w:t>
      </w:r>
      <w:r>
        <w:rPr>
          <w:rFonts w:ascii="宋体" w:hAnsi="宋体"/>
        </w:rPr>
        <w:t>10级强风，暴雨</w:t>
      </w:r>
      <w:r>
        <w:rPr>
          <w:rFonts w:hint="eastAsia" w:ascii="宋体" w:hAnsi="宋体"/>
        </w:rPr>
        <w:t>达</w:t>
      </w:r>
      <w:r>
        <w:rPr>
          <w:rFonts w:ascii="宋体" w:hAnsi="宋体"/>
        </w:rPr>
        <w:t>120毫米，冰雹直径0.8厘米。倒塌房屋814间，受灾人口13万人，直接经济损失1.2</w:t>
      </w:r>
      <w:r>
        <w:rPr>
          <w:rFonts w:hint="eastAsia" w:ascii="宋体" w:hAnsi="宋体"/>
        </w:rPr>
        <w:t>亿元。</w:t>
      </w:r>
    </w:p>
    <w:p w14:paraId="12EBB4B7">
      <w:pPr>
        <w:ind w:firstLine="422"/>
        <w:rPr>
          <w:rFonts w:ascii="宋体" w:hAnsi="宋体"/>
        </w:rPr>
      </w:pPr>
      <w:r>
        <w:rPr>
          <w:rFonts w:ascii="宋体" w:hAnsi="宋体"/>
          <w:b/>
        </w:rPr>
        <w:t>4月29日</w:t>
      </w:r>
      <w:r>
        <w:rPr>
          <w:rFonts w:hint="eastAsia" w:ascii="宋体" w:hAnsi="宋体"/>
          <w:b/>
        </w:rPr>
        <w:t xml:space="preserve">  </w:t>
      </w:r>
      <w:r>
        <w:rPr>
          <w:rFonts w:ascii="宋体" w:hAnsi="宋体"/>
        </w:rPr>
        <w:t>三影塔广场建设奠基动工</w:t>
      </w:r>
      <w:r>
        <w:rPr>
          <w:rFonts w:hint="eastAsia" w:ascii="宋体" w:hAnsi="宋体"/>
        </w:rPr>
        <w:t>。该广场占地</w:t>
      </w:r>
      <w:r>
        <w:rPr>
          <w:rFonts w:ascii="宋体" w:hAnsi="宋体"/>
        </w:rPr>
        <w:t>4.5万平方米，为南雄市区博览</w:t>
      </w:r>
      <w:r>
        <w:rPr>
          <w:rFonts w:hint="eastAsia" w:ascii="宋体" w:hAnsi="宋体"/>
        </w:rPr>
        <w:t>观光、文化娱乐、休闲购物之开放性群众广场。</w:t>
      </w:r>
      <w:r>
        <w:rPr>
          <w:rFonts w:ascii="宋体" w:hAnsi="宋体"/>
        </w:rPr>
        <w:t>2004年冬落成。</w:t>
      </w:r>
    </w:p>
    <w:p w14:paraId="2BFACDCB">
      <w:pPr>
        <w:ind w:firstLine="422"/>
        <w:rPr>
          <w:rFonts w:ascii="宋体" w:hAnsi="宋体"/>
        </w:rPr>
      </w:pPr>
      <w:r>
        <w:rPr>
          <w:rFonts w:ascii="宋体" w:hAnsi="宋体"/>
          <w:b/>
        </w:rPr>
        <w:t>6月9日</w:t>
      </w:r>
      <w:r>
        <w:rPr>
          <w:rFonts w:hint="eastAsia" w:ascii="宋体" w:hAnsi="宋体"/>
          <w:b/>
        </w:rPr>
        <w:t xml:space="preserve">  </w:t>
      </w:r>
      <w:r>
        <w:rPr>
          <w:rFonts w:ascii="宋体" w:hAnsi="宋体"/>
        </w:rPr>
        <w:t>南雄第二期农村电网建设与改</w:t>
      </w:r>
      <w:r>
        <w:rPr>
          <w:rFonts w:hint="eastAsia" w:ascii="宋体" w:hAnsi="宋体"/>
        </w:rPr>
        <w:t>造工程完成。该工程从</w:t>
      </w:r>
      <w:r>
        <w:rPr>
          <w:rFonts w:ascii="宋体" w:hAnsi="宋体"/>
        </w:rPr>
        <w:t>2002年10月动工，投</w:t>
      </w:r>
      <w:r>
        <w:rPr>
          <w:rFonts w:hint="eastAsia" w:ascii="宋体" w:hAnsi="宋体"/>
        </w:rPr>
        <w:t>资</w:t>
      </w:r>
      <w:r>
        <w:rPr>
          <w:rFonts w:ascii="宋体" w:hAnsi="宋体"/>
        </w:rPr>
        <w:t>4107万元。</w:t>
      </w:r>
    </w:p>
    <w:p w14:paraId="3C14DBD1">
      <w:pPr>
        <w:ind w:firstLine="422"/>
        <w:rPr>
          <w:rFonts w:ascii="宋体" w:hAnsi="宋体"/>
        </w:rPr>
      </w:pPr>
      <w:r>
        <w:rPr>
          <w:rFonts w:ascii="宋体" w:hAnsi="宋体"/>
          <w:b/>
        </w:rPr>
        <w:t>7月7日</w:t>
      </w:r>
      <w:r>
        <w:rPr>
          <w:rFonts w:hint="eastAsia" w:ascii="宋体" w:hAnsi="宋体"/>
          <w:b/>
        </w:rPr>
        <w:t xml:space="preserve">  </w:t>
      </w:r>
      <w:r>
        <w:rPr>
          <w:rFonts w:ascii="宋体" w:hAnsi="宋体"/>
        </w:rPr>
        <w:t>20支农村税费改革工作队经</w:t>
      </w:r>
      <w:r>
        <w:rPr>
          <w:rFonts w:hint="eastAsia" w:ascii="宋体" w:hAnsi="宋体"/>
        </w:rPr>
        <w:t>培训后分赴各镇开展农村税费改革工作，至</w:t>
      </w:r>
      <w:r>
        <w:rPr>
          <w:rFonts w:ascii="宋体" w:hAnsi="宋体"/>
        </w:rPr>
        <w:t>11月结</w:t>
      </w:r>
      <w:r>
        <w:rPr>
          <w:rFonts w:hint="eastAsia" w:ascii="宋体" w:hAnsi="宋体"/>
        </w:rPr>
        <w:t>束</w:t>
      </w:r>
      <w:r>
        <w:rPr>
          <w:rFonts w:ascii="宋体" w:hAnsi="宋体"/>
        </w:rPr>
        <w:t>，全面取消镇和村一切统筹费，农</w:t>
      </w:r>
      <w:r>
        <w:rPr>
          <w:rFonts w:hint="eastAsia" w:ascii="宋体" w:hAnsi="宋体"/>
        </w:rPr>
        <w:t>业税减半征收。</w:t>
      </w:r>
      <w:r>
        <w:rPr>
          <w:rFonts w:ascii="宋体" w:hAnsi="宋体"/>
        </w:rPr>
        <w:t>2005年全面免征农业税。</w:t>
      </w:r>
    </w:p>
    <w:p w14:paraId="756A912E">
      <w:pPr>
        <w:ind w:firstLine="422"/>
        <w:rPr>
          <w:rFonts w:ascii="宋体" w:hAnsi="宋体"/>
        </w:rPr>
      </w:pPr>
      <w:r>
        <w:rPr>
          <w:rFonts w:ascii="宋体" w:hAnsi="宋体"/>
          <w:b/>
        </w:rPr>
        <w:t>7月</w:t>
      </w:r>
      <w:r>
        <w:rPr>
          <w:rFonts w:hint="eastAsia" w:ascii="宋体" w:hAnsi="宋体"/>
          <w:b/>
        </w:rPr>
        <w:t xml:space="preserve">  </w:t>
      </w:r>
      <w:r>
        <w:rPr>
          <w:rFonts w:ascii="宋体" w:hAnsi="宋体"/>
        </w:rPr>
        <w:t>旱。6月下旬以来，持续50多天</w:t>
      </w:r>
      <w:r>
        <w:rPr>
          <w:rFonts w:hint="eastAsia" w:ascii="宋体" w:hAnsi="宋体"/>
        </w:rPr>
        <w:t>高温，降雨仅</w:t>
      </w:r>
      <w:r>
        <w:rPr>
          <w:rFonts w:ascii="宋体" w:hAnsi="宋体"/>
        </w:rPr>
        <w:t>40毫米。全市受旱面积4000公</w:t>
      </w:r>
      <w:r>
        <w:rPr>
          <w:rFonts w:hint="eastAsia" w:ascii="宋体" w:hAnsi="宋体"/>
        </w:rPr>
        <w:t>顷。</w:t>
      </w:r>
    </w:p>
    <w:p w14:paraId="35EBA36A">
      <w:pPr>
        <w:ind w:firstLine="422"/>
        <w:rPr>
          <w:rFonts w:ascii="宋体" w:hAnsi="宋体"/>
        </w:rPr>
      </w:pPr>
      <w:r>
        <w:rPr>
          <w:rFonts w:ascii="宋体" w:hAnsi="宋体"/>
          <w:b/>
        </w:rPr>
        <w:t>8月</w:t>
      </w:r>
      <w:r>
        <w:rPr>
          <w:rFonts w:hint="eastAsia" w:ascii="宋体" w:hAnsi="宋体"/>
          <w:b/>
        </w:rPr>
        <w:t xml:space="preserve">  </w:t>
      </w:r>
      <w:r>
        <w:rPr>
          <w:rFonts w:ascii="宋体" w:hAnsi="宋体"/>
        </w:rPr>
        <w:t>古城墙修复1800米，重现宋城</w:t>
      </w:r>
      <w:r>
        <w:rPr>
          <w:rFonts w:hint="eastAsia" w:ascii="宋体" w:hAnsi="宋体"/>
        </w:rPr>
        <w:t>古貌。</w:t>
      </w:r>
    </w:p>
    <w:p w14:paraId="39C2E90F">
      <w:pPr>
        <w:ind w:firstLine="422"/>
        <w:rPr>
          <w:rFonts w:ascii="宋体" w:hAnsi="宋体"/>
        </w:rPr>
      </w:pPr>
      <w:r>
        <w:rPr>
          <w:rFonts w:ascii="宋体" w:hAnsi="宋体"/>
          <w:b/>
        </w:rPr>
        <w:t>9月</w:t>
      </w:r>
      <w:r>
        <w:rPr>
          <w:rFonts w:hint="eastAsia" w:ascii="宋体" w:hAnsi="宋体"/>
          <w:b/>
        </w:rPr>
        <w:t xml:space="preserve">  </w:t>
      </w:r>
      <w:r>
        <w:rPr>
          <w:rFonts w:ascii="宋体" w:hAnsi="宋体"/>
        </w:rPr>
        <w:t>经7年努力，全市221个村委会实</w:t>
      </w:r>
      <w:r>
        <w:rPr>
          <w:rFonts w:hint="eastAsia" w:ascii="宋体" w:hAnsi="宋体"/>
        </w:rPr>
        <w:t>现办公楼房化。</w:t>
      </w:r>
    </w:p>
    <w:p w14:paraId="3B5D66B2">
      <w:pPr>
        <w:ind w:firstLine="422"/>
        <w:rPr>
          <w:rFonts w:ascii="宋体" w:hAnsi="宋体"/>
        </w:rPr>
      </w:pPr>
      <w:r>
        <w:rPr>
          <w:rFonts w:ascii="宋体" w:hAnsi="宋体"/>
          <w:b/>
        </w:rPr>
        <w:t>10月18日</w:t>
      </w:r>
      <w:r>
        <w:rPr>
          <w:rFonts w:hint="eastAsia" w:ascii="宋体" w:hAnsi="宋体"/>
          <w:b/>
        </w:rPr>
        <w:t xml:space="preserve">  </w:t>
      </w:r>
      <w:r>
        <w:rPr>
          <w:rFonts w:ascii="宋体" w:hAnsi="宋体"/>
        </w:rPr>
        <w:t>国道323线南雄大桥、省道342线分水坳至南雄段以及河南桥修葺3项工</w:t>
      </w:r>
      <w:r>
        <w:rPr>
          <w:rFonts w:hint="eastAsia" w:ascii="宋体" w:hAnsi="宋体"/>
        </w:rPr>
        <w:t>程竣工通车。</w:t>
      </w:r>
    </w:p>
    <w:p w14:paraId="52866350">
      <w:pPr>
        <w:ind w:firstLine="422"/>
        <w:rPr>
          <w:rFonts w:ascii="宋体" w:hAnsi="宋体"/>
        </w:rPr>
      </w:pPr>
      <w:r>
        <w:rPr>
          <w:rFonts w:ascii="宋体" w:hAnsi="宋体"/>
          <w:b/>
        </w:rPr>
        <w:t>10月21日</w:t>
      </w:r>
      <w:r>
        <w:rPr>
          <w:rFonts w:hint="eastAsia" w:ascii="宋体" w:hAnsi="宋体"/>
          <w:b/>
        </w:rPr>
        <w:t xml:space="preserve">  </w:t>
      </w:r>
      <w:r>
        <w:rPr>
          <w:rFonts w:ascii="宋体" w:hAnsi="宋体"/>
        </w:rPr>
        <w:t>珠玑巷后裔联谊会第三届理</w:t>
      </w:r>
      <w:r>
        <w:rPr>
          <w:rFonts w:hint="eastAsia" w:ascii="宋体" w:hAnsi="宋体"/>
        </w:rPr>
        <w:t>事会暨经贸洽谈会召开，来自海内外嘉宾</w:t>
      </w:r>
      <w:r>
        <w:rPr>
          <w:rFonts w:ascii="宋体" w:hAnsi="宋体"/>
        </w:rPr>
        <w:t>600</w:t>
      </w:r>
      <w:r>
        <w:rPr>
          <w:rFonts w:hint="eastAsia" w:ascii="宋体" w:hAnsi="宋体"/>
        </w:rPr>
        <w:t>多名。黎子流再次当选为联谊会会长。在经贸活动中，落成、奠基、签约项目共有</w:t>
      </w:r>
      <w:r>
        <w:rPr>
          <w:rFonts w:ascii="宋体" w:hAnsi="宋体"/>
        </w:rPr>
        <w:t>30多</w:t>
      </w:r>
      <w:r>
        <w:rPr>
          <w:rFonts w:hint="eastAsia" w:ascii="宋体" w:hAnsi="宋体"/>
        </w:rPr>
        <w:t>个，总金额</w:t>
      </w:r>
      <w:r>
        <w:rPr>
          <w:rFonts w:ascii="宋体" w:hAnsi="宋体"/>
        </w:rPr>
        <w:t>18亿元。</w:t>
      </w:r>
    </w:p>
    <w:p w14:paraId="2157C364">
      <w:pPr>
        <w:pStyle w:val="3"/>
      </w:pPr>
      <w:r>
        <w:rPr>
          <w:rFonts w:hint="eastAsia"/>
        </w:rPr>
        <w:t>2004年大事记</w:t>
      </w:r>
    </w:p>
    <w:p w14:paraId="78157F29">
      <w:pPr>
        <w:ind w:firstLine="422"/>
        <w:rPr>
          <w:rFonts w:ascii="宋体" w:hAnsi="宋体"/>
        </w:rPr>
      </w:pPr>
      <w:r>
        <w:rPr>
          <w:rFonts w:ascii="宋体" w:hAnsi="宋体"/>
          <w:b/>
        </w:rPr>
        <w:t>2月12日</w:t>
      </w:r>
      <w:r>
        <w:rPr>
          <w:rFonts w:hint="eastAsia" w:ascii="宋体" w:hAnsi="宋体"/>
          <w:b/>
        </w:rPr>
        <w:t xml:space="preserve">  </w:t>
      </w:r>
      <w:r>
        <w:rPr>
          <w:rFonts w:ascii="宋体" w:hAnsi="宋体"/>
        </w:rPr>
        <w:t>中华人民共和国农业部发布</w:t>
      </w:r>
      <w:r>
        <w:rPr>
          <w:rFonts w:hint="eastAsia" w:ascii="宋体" w:hAnsi="宋体"/>
        </w:rPr>
        <w:t>南雄市黄坑镇许村李德军鸡场发生疑似高致病性禽流感疫情的消息。市政府发布封锁令，有关部门组织力量前往疫区开展封锁防治工作。</w:t>
      </w:r>
      <w:r>
        <w:rPr>
          <w:rFonts w:ascii="宋体" w:hAnsi="宋体"/>
        </w:rPr>
        <w:t>3月5日，经省验收解封。</w:t>
      </w:r>
    </w:p>
    <w:p w14:paraId="46D0C3FF">
      <w:pPr>
        <w:ind w:firstLine="422"/>
        <w:rPr>
          <w:rFonts w:ascii="宋体" w:hAnsi="宋体"/>
        </w:rPr>
      </w:pPr>
      <w:r>
        <w:rPr>
          <w:rFonts w:ascii="宋体" w:hAnsi="宋体"/>
          <w:b/>
        </w:rPr>
        <w:t>2月18日</w:t>
      </w:r>
      <w:r>
        <w:rPr>
          <w:rFonts w:hint="eastAsia" w:ascii="宋体" w:hAnsi="宋体"/>
          <w:b/>
        </w:rPr>
        <w:t xml:space="preserve">  </w:t>
      </w:r>
      <w:r>
        <w:rPr>
          <w:rFonts w:ascii="宋体" w:hAnsi="宋体"/>
        </w:rPr>
        <w:t>市政府召开林地林权换发证</w:t>
      </w:r>
      <w:r>
        <w:rPr>
          <w:rFonts w:hint="eastAsia" w:ascii="宋体" w:hAnsi="宋体"/>
        </w:rPr>
        <w:t>工作会议，从市直机关抽调</w:t>
      </w:r>
      <w:r>
        <w:rPr>
          <w:rFonts w:ascii="宋体" w:hAnsi="宋体"/>
        </w:rPr>
        <w:t>300余人，组成18个工作队、92个工作组，投入换发林地权</w:t>
      </w:r>
      <w:r>
        <w:rPr>
          <w:rFonts w:hint="eastAsia" w:ascii="宋体" w:hAnsi="宋体"/>
        </w:rPr>
        <w:t>证工作，同年</w:t>
      </w:r>
      <w:r>
        <w:rPr>
          <w:rFonts w:ascii="宋体" w:hAnsi="宋体"/>
        </w:rPr>
        <w:t>6月底完成。</w:t>
      </w:r>
    </w:p>
    <w:p w14:paraId="46A4BC45">
      <w:pPr>
        <w:ind w:firstLine="422"/>
        <w:rPr>
          <w:rFonts w:ascii="宋体" w:hAnsi="宋体"/>
        </w:rPr>
      </w:pPr>
      <w:r>
        <w:rPr>
          <w:rFonts w:ascii="宋体" w:hAnsi="宋体"/>
          <w:b/>
        </w:rPr>
        <w:t>3月9日</w:t>
      </w:r>
      <w:r>
        <w:rPr>
          <w:rFonts w:hint="eastAsia" w:ascii="宋体" w:hAnsi="宋体"/>
          <w:b/>
        </w:rPr>
        <w:t xml:space="preserve">  </w:t>
      </w:r>
      <w:r>
        <w:rPr>
          <w:rFonts w:ascii="宋体" w:hAnsi="宋体"/>
        </w:rPr>
        <w:t>香港竹林明堂有限公司董事长</w:t>
      </w:r>
      <w:r>
        <w:rPr>
          <w:rFonts w:hint="eastAsia" w:ascii="宋体" w:hAnsi="宋体"/>
        </w:rPr>
        <w:t>苏东霖先生捐资</w:t>
      </w:r>
      <w:r>
        <w:rPr>
          <w:rFonts w:ascii="宋体" w:hAnsi="宋体"/>
        </w:rPr>
        <w:t>100万元，兴建黄坑中学苏</w:t>
      </w:r>
      <w:r>
        <w:rPr>
          <w:rFonts w:hint="eastAsia" w:ascii="宋体" w:hAnsi="宋体"/>
        </w:rPr>
        <w:t>东霖音美苑和珠玑镇苏东霖中英文幼儿园。同年</w:t>
      </w:r>
      <w:r>
        <w:rPr>
          <w:rFonts w:ascii="宋体" w:hAnsi="宋体"/>
        </w:rPr>
        <w:t>12月竣工。</w:t>
      </w:r>
    </w:p>
    <w:p w14:paraId="3F57BC1F">
      <w:pPr>
        <w:ind w:firstLine="422"/>
        <w:rPr>
          <w:rFonts w:ascii="宋体" w:hAnsi="宋体"/>
        </w:rPr>
      </w:pPr>
      <w:r>
        <w:rPr>
          <w:rFonts w:ascii="宋体" w:hAnsi="宋体"/>
          <w:b/>
        </w:rPr>
        <w:t>10月27日</w:t>
      </w:r>
      <w:r>
        <w:rPr>
          <w:rFonts w:hint="eastAsia" w:ascii="宋体" w:hAnsi="宋体"/>
          <w:b/>
        </w:rPr>
        <w:t xml:space="preserve">  </w:t>
      </w:r>
      <w:r>
        <w:rPr>
          <w:rFonts w:ascii="宋体" w:hAnsi="宋体"/>
        </w:rPr>
        <w:t>梅关、珠玑古巷、市博物</w:t>
      </w:r>
      <w:r>
        <w:rPr>
          <w:rFonts w:hint="eastAsia" w:ascii="宋体" w:hAnsi="宋体"/>
        </w:rPr>
        <w:t>馆、革命烈士陵园、油山革命游击根据地旧址、县苏维埃政府遗址、水口战役遗址、李乐天烈士纪念园地、五岭地委及粤赣湘边人民解放总队机关旧址、赣粤边红军独立师第三团团部旧址等</w:t>
      </w:r>
      <w:r>
        <w:rPr>
          <w:rFonts w:ascii="宋体" w:hAnsi="宋体"/>
        </w:rPr>
        <w:t>10处景点，被市委、市政府</w:t>
      </w:r>
      <w:r>
        <w:rPr>
          <w:rFonts w:hint="eastAsia" w:ascii="宋体" w:hAnsi="宋体"/>
        </w:rPr>
        <w:t>命名为南雄市爱国主义教育基地。</w:t>
      </w:r>
      <w:r>
        <w:rPr>
          <w:rFonts w:ascii="宋体" w:hAnsi="宋体"/>
        </w:rPr>
        <w:t>12月16日</w:t>
      </w:r>
      <w:r>
        <w:rPr>
          <w:rFonts w:hint="eastAsia" w:ascii="宋体" w:hAnsi="宋体"/>
        </w:rPr>
        <w:t>正式挂牌。</w:t>
      </w:r>
      <w:r>
        <w:rPr>
          <w:rFonts w:ascii="宋体" w:hAnsi="宋体"/>
        </w:rPr>
        <w:t>10月旱。自8月以来，累计降雨仅86</w:t>
      </w:r>
      <w:r>
        <w:rPr>
          <w:rFonts w:hint="eastAsia" w:ascii="宋体" w:hAnsi="宋体"/>
        </w:rPr>
        <w:t>毫米，比上年同期少</w:t>
      </w:r>
      <w:r>
        <w:rPr>
          <w:rFonts w:ascii="宋体" w:hAnsi="宋体"/>
        </w:rPr>
        <w:t>6成多。农作物受旱10933.33公顷。</w:t>
      </w:r>
    </w:p>
    <w:p w14:paraId="2A8D58AD">
      <w:pPr>
        <w:ind w:firstLine="422"/>
        <w:rPr>
          <w:rFonts w:ascii="宋体" w:hAnsi="宋体"/>
        </w:rPr>
      </w:pPr>
      <w:r>
        <w:rPr>
          <w:rFonts w:ascii="宋体" w:hAnsi="宋体"/>
          <w:b/>
        </w:rPr>
        <w:t>11月11日下午</w:t>
      </w:r>
      <w:r>
        <w:rPr>
          <w:rFonts w:hint="eastAsia" w:ascii="宋体" w:hAnsi="宋体"/>
          <w:b/>
        </w:rPr>
        <w:t xml:space="preserve">  </w:t>
      </w:r>
      <w:r>
        <w:rPr>
          <w:rFonts w:ascii="宋体" w:hAnsi="宋体"/>
        </w:rPr>
        <w:t>黄坑、界址、油山等镇</w:t>
      </w:r>
      <w:r>
        <w:rPr>
          <w:rFonts w:hint="eastAsia" w:ascii="宋体" w:hAnsi="宋体"/>
        </w:rPr>
        <w:t>不同程度受到龙卷风、冰雹袭击，死亡</w:t>
      </w:r>
      <w:r>
        <w:rPr>
          <w:rFonts w:ascii="宋体" w:hAnsi="宋体"/>
        </w:rPr>
        <w:t>1人，</w:t>
      </w:r>
      <w:r>
        <w:rPr>
          <w:rFonts w:hint="eastAsia" w:ascii="宋体" w:hAnsi="宋体"/>
        </w:rPr>
        <w:t>重伤</w:t>
      </w:r>
      <w:r>
        <w:rPr>
          <w:rFonts w:ascii="宋体" w:hAnsi="宋体"/>
        </w:rPr>
        <w:t>2人，倒塌房屋164间，一批农作物、牲</w:t>
      </w:r>
      <w:r>
        <w:rPr>
          <w:rFonts w:hint="eastAsia" w:ascii="宋体" w:hAnsi="宋体"/>
        </w:rPr>
        <w:t>畜、供电设备受损。</w:t>
      </w:r>
    </w:p>
    <w:p w14:paraId="793AE7E3">
      <w:pPr>
        <w:ind w:firstLine="422"/>
        <w:rPr>
          <w:rFonts w:ascii="宋体" w:hAnsi="宋体"/>
        </w:rPr>
      </w:pPr>
      <w:r>
        <w:rPr>
          <w:rFonts w:ascii="宋体" w:hAnsi="宋体"/>
          <w:b/>
        </w:rPr>
        <w:t>11月21日</w:t>
      </w:r>
      <w:r>
        <w:rPr>
          <w:rFonts w:hint="eastAsia" w:ascii="宋体" w:hAnsi="宋体"/>
          <w:b/>
        </w:rPr>
        <w:t xml:space="preserve">  </w:t>
      </w:r>
      <w:r>
        <w:rPr>
          <w:rFonts w:ascii="宋体" w:hAnsi="宋体"/>
        </w:rPr>
        <w:t>南雄第一宗国家农业综合开</w:t>
      </w:r>
      <w:r>
        <w:rPr>
          <w:rFonts w:hint="eastAsia" w:ascii="宋体" w:hAnsi="宋体"/>
        </w:rPr>
        <w:t>发土地治理项目举行开工仪式。该项目落户全安镇五岭垌，规划改造中低产田</w:t>
      </w:r>
      <w:r>
        <w:rPr>
          <w:rFonts w:ascii="宋体" w:hAnsi="宋体"/>
        </w:rPr>
        <w:t>9333.33公</w:t>
      </w:r>
      <w:r>
        <w:rPr>
          <w:rFonts w:hint="eastAsia" w:ascii="宋体" w:hAnsi="宋体"/>
        </w:rPr>
        <w:t>顷，总投资</w:t>
      </w:r>
      <w:r>
        <w:rPr>
          <w:rFonts w:ascii="宋体" w:hAnsi="宋体"/>
        </w:rPr>
        <w:t>810万元</w:t>
      </w:r>
      <w:r>
        <w:rPr>
          <w:rFonts w:hint="eastAsia" w:ascii="宋体" w:hAnsi="宋体"/>
        </w:rPr>
        <w:t>。</w:t>
      </w:r>
    </w:p>
    <w:p w14:paraId="5E152993">
      <w:pPr>
        <w:ind w:firstLine="422"/>
        <w:rPr>
          <w:rFonts w:ascii="宋体" w:hAnsi="宋体"/>
        </w:rPr>
      </w:pPr>
      <w:r>
        <w:rPr>
          <w:rFonts w:ascii="宋体" w:hAnsi="宋体"/>
          <w:b/>
        </w:rPr>
        <w:t>12月7日</w:t>
      </w:r>
      <w:r>
        <w:rPr>
          <w:rFonts w:hint="eastAsia" w:ascii="宋体" w:hAnsi="宋体"/>
          <w:b/>
        </w:rPr>
        <w:t xml:space="preserve">  </w:t>
      </w:r>
      <w:r>
        <w:rPr>
          <w:rFonts w:ascii="宋体" w:hAnsi="宋体"/>
        </w:rPr>
        <w:t>雄州大道改造工程动工。该</w:t>
      </w:r>
      <w:r>
        <w:rPr>
          <w:rFonts w:hint="eastAsia" w:ascii="宋体" w:hAnsi="宋体"/>
        </w:rPr>
        <w:t>工程东起原八一路，西至环城西路，总长</w:t>
      </w:r>
      <w:r>
        <w:rPr>
          <w:rFonts w:ascii="宋体" w:hAnsi="宋体"/>
        </w:rPr>
        <w:t>2310米，有效路宽28米，总投资4500万元</w:t>
      </w:r>
      <w:r>
        <w:rPr>
          <w:rFonts w:hint="eastAsia" w:ascii="宋体" w:hAnsi="宋体"/>
        </w:rPr>
        <w:t>。</w:t>
      </w:r>
    </w:p>
    <w:p w14:paraId="05D824C8">
      <w:pPr>
        <w:ind w:firstLine="422"/>
        <w:rPr>
          <w:rFonts w:ascii="宋体" w:hAnsi="宋体"/>
        </w:rPr>
      </w:pPr>
      <w:r>
        <w:rPr>
          <w:rFonts w:ascii="宋体" w:hAnsi="宋体"/>
          <w:b/>
        </w:rPr>
        <w:t>12月23日</w:t>
      </w:r>
      <w:r>
        <w:rPr>
          <w:rFonts w:hint="eastAsia" w:ascii="宋体" w:hAnsi="宋体"/>
          <w:b/>
        </w:rPr>
        <w:t xml:space="preserve"> </w:t>
      </w:r>
      <w:r>
        <w:rPr>
          <w:rFonts w:hint="eastAsia" w:ascii="宋体" w:hAnsi="宋体"/>
        </w:rPr>
        <w:t xml:space="preserve"> </w:t>
      </w:r>
      <w:r>
        <w:rPr>
          <w:rFonts w:ascii="宋体" w:hAnsi="宋体"/>
        </w:rPr>
        <w:t>黄坑中学王锦辉教学大楼落</w:t>
      </w:r>
      <w:r>
        <w:rPr>
          <w:rFonts w:hint="eastAsia" w:ascii="宋体" w:hAnsi="宋体"/>
        </w:rPr>
        <w:t>成启用。该大楼由王锦辉先生捐资</w:t>
      </w:r>
      <w:r>
        <w:rPr>
          <w:rFonts w:ascii="宋体" w:hAnsi="宋体"/>
        </w:rPr>
        <w:t>300多万</w:t>
      </w:r>
      <w:r>
        <w:rPr>
          <w:rFonts w:hint="eastAsia" w:ascii="宋体" w:hAnsi="宋体"/>
        </w:rPr>
        <w:t>元，总面积</w:t>
      </w:r>
      <w:r>
        <w:rPr>
          <w:rFonts w:ascii="宋体" w:hAnsi="宋体"/>
        </w:rPr>
        <w:t>5512平方米，框架7层，有42间</w:t>
      </w:r>
      <w:r>
        <w:rPr>
          <w:rFonts w:hint="eastAsia" w:ascii="宋体" w:hAnsi="宋体"/>
        </w:rPr>
        <w:t>课室和</w:t>
      </w:r>
      <w:r>
        <w:rPr>
          <w:rFonts w:ascii="宋体" w:hAnsi="宋体"/>
        </w:rPr>
        <w:t>7间办公室。</w:t>
      </w:r>
    </w:p>
    <w:p w14:paraId="4F4A1288">
      <w:pPr>
        <w:ind w:firstLine="422"/>
        <w:rPr>
          <w:rFonts w:ascii="宋体" w:hAnsi="宋体"/>
        </w:rPr>
      </w:pPr>
      <w:r>
        <w:rPr>
          <w:rFonts w:ascii="宋体" w:hAnsi="宋体"/>
          <w:b/>
        </w:rPr>
        <w:t>12月24日</w:t>
      </w:r>
      <w:r>
        <w:rPr>
          <w:rFonts w:hint="eastAsia" w:ascii="宋体" w:hAnsi="宋体"/>
          <w:b/>
        </w:rPr>
        <w:t xml:space="preserve"> </w:t>
      </w:r>
      <w:r>
        <w:rPr>
          <w:rFonts w:hint="eastAsia" w:ascii="宋体" w:hAnsi="宋体"/>
        </w:rPr>
        <w:t xml:space="preserve"> 乌</w:t>
      </w:r>
      <w:r>
        <w:rPr>
          <w:rFonts w:ascii="宋体" w:hAnsi="宋体"/>
        </w:rPr>
        <w:t>迳商贸城开业。该城占地2.3万平方米，建筑面积2.47万平方米，拥</w:t>
      </w:r>
      <w:r>
        <w:rPr>
          <w:rFonts w:hint="eastAsia" w:ascii="宋体" w:hAnsi="宋体"/>
        </w:rPr>
        <w:t>有商铺</w:t>
      </w:r>
      <w:r>
        <w:rPr>
          <w:rFonts w:ascii="宋体" w:hAnsi="宋体"/>
        </w:rPr>
        <w:t>221间和4000平方米农贸市场。投资2300万元。</w:t>
      </w:r>
    </w:p>
    <w:p w14:paraId="7659C919">
      <w:pPr>
        <w:ind w:firstLine="422"/>
        <w:rPr>
          <w:rFonts w:ascii="宋体" w:hAnsi="宋体"/>
        </w:rPr>
      </w:pPr>
      <w:r>
        <w:rPr>
          <w:rFonts w:ascii="宋体" w:hAnsi="宋体"/>
          <w:b/>
        </w:rPr>
        <w:t>12月</w:t>
      </w:r>
      <w:r>
        <w:rPr>
          <w:rFonts w:hint="eastAsia" w:ascii="宋体" w:hAnsi="宋体"/>
          <w:b/>
        </w:rPr>
        <w:t xml:space="preserve"> </w:t>
      </w:r>
      <w:r>
        <w:rPr>
          <w:rFonts w:hint="eastAsia" w:ascii="宋体" w:hAnsi="宋体"/>
        </w:rPr>
        <w:t xml:space="preserve"> </w:t>
      </w:r>
      <w:r>
        <w:rPr>
          <w:rFonts w:ascii="宋体" w:hAnsi="宋体"/>
        </w:rPr>
        <w:t>《南雄县志》被省社科联、省地</w:t>
      </w:r>
      <w:r>
        <w:rPr>
          <w:rFonts w:hint="eastAsia" w:ascii="宋体" w:hAnsi="宋体"/>
        </w:rPr>
        <w:t>方志办公室评为“广东省第一届新编地方志书一等奖”。</w:t>
      </w:r>
    </w:p>
    <w:p w14:paraId="6DB0A917">
      <w:pPr>
        <w:pStyle w:val="3"/>
      </w:pPr>
      <w:r>
        <w:rPr>
          <w:rFonts w:hint="eastAsia"/>
        </w:rPr>
        <w:t>2005年大事记</w:t>
      </w:r>
    </w:p>
    <w:p w14:paraId="4CD4C71C">
      <w:pPr>
        <w:ind w:firstLine="422"/>
        <w:rPr>
          <w:rFonts w:ascii="宋体" w:hAnsi="宋体"/>
        </w:rPr>
      </w:pPr>
      <w:r>
        <w:rPr>
          <w:rFonts w:ascii="宋体" w:hAnsi="宋体"/>
          <w:b/>
        </w:rPr>
        <w:t>1月</w:t>
      </w:r>
      <w:r>
        <w:rPr>
          <w:rFonts w:hint="eastAsia" w:ascii="宋体" w:hAnsi="宋体"/>
          <w:b/>
        </w:rPr>
        <w:t xml:space="preserve">  </w:t>
      </w:r>
      <w:r>
        <w:rPr>
          <w:rFonts w:ascii="宋体" w:hAnsi="宋体"/>
        </w:rPr>
        <w:t>根据省委关于组织</w:t>
      </w:r>
      <w:r>
        <w:rPr>
          <w:rFonts w:hint="eastAsia" w:ascii="宋体" w:hAnsi="宋体"/>
        </w:rPr>
        <w:t>“</w:t>
      </w:r>
      <w:r>
        <w:rPr>
          <w:rFonts w:ascii="宋体" w:hAnsi="宋体"/>
        </w:rPr>
        <w:t>十百千万</w:t>
      </w:r>
      <w:r>
        <w:rPr>
          <w:rFonts w:hint="eastAsia" w:ascii="宋体" w:hAnsi="宋体"/>
        </w:rPr>
        <w:t>”干部下乡基层驻农村的部署，南雄市从各单位抽调的五百名干部集中培训后于</w:t>
      </w:r>
      <w:r>
        <w:rPr>
          <w:rFonts w:ascii="宋体" w:hAnsi="宋体"/>
        </w:rPr>
        <w:t>2005年6</w:t>
      </w:r>
      <w:r>
        <w:rPr>
          <w:rFonts w:hint="eastAsia" w:ascii="宋体" w:hAnsi="宋体"/>
        </w:rPr>
        <w:t>月</w:t>
      </w:r>
      <w:r>
        <w:rPr>
          <w:rFonts w:ascii="宋体" w:hAnsi="宋体"/>
        </w:rPr>
        <w:t>4日欢送他们到挂驻点的贫困村，加基层</w:t>
      </w:r>
      <w:r>
        <w:rPr>
          <w:rFonts w:hint="eastAsia" w:ascii="宋体" w:hAnsi="宋体"/>
        </w:rPr>
        <w:t>班子建设和加快经济发展，市领导林楚欣、许红、李总路、颜亮在市政府门口为他们送行。</w:t>
      </w:r>
    </w:p>
    <w:p w14:paraId="0C200AC7">
      <w:pPr>
        <w:ind w:firstLine="422"/>
        <w:rPr>
          <w:rFonts w:ascii="宋体" w:hAnsi="宋体"/>
        </w:rPr>
      </w:pPr>
      <w:r>
        <w:rPr>
          <w:rFonts w:ascii="宋体" w:hAnsi="宋体"/>
          <w:b/>
        </w:rPr>
        <w:t>1月11日</w:t>
      </w:r>
      <w:r>
        <w:rPr>
          <w:rFonts w:hint="eastAsia" w:ascii="宋体" w:hAnsi="宋体"/>
          <w:b/>
        </w:rPr>
        <w:t xml:space="preserve">  </w:t>
      </w:r>
      <w:r>
        <w:rPr>
          <w:rFonts w:ascii="宋体" w:hAnsi="宋体"/>
        </w:rPr>
        <w:t>韶关市人民政府市长徐建华</w:t>
      </w:r>
      <w:r>
        <w:rPr>
          <w:rFonts w:hint="eastAsia" w:ascii="宋体" w:hAnsi="宋体"/>
        </w:rPr>
        <w:t>到南雄市调研污水处理厂的筹建工作。该污水处理厂占地面积</w:t>
      </w:r>
      <w:r>
        <w:rPr>
          <w:rFonts w:ascii="宋体" w:hAnsi="宋体"/>
        </w:rPr>
        <w:t>30亩，总投资2340万元，</w:t>
      </w:r>
      <w:r>
        <w:rPr>
          <w:rFonts w:hint="eastAsia" w:ascii="宋体" w:hAnsi="宋体"/>
        </w:rPr>
        <w:t>日处理污水</w:t>
      </w:r>
      <w:r>
        <w:rPr>
          <w:rFonts w:ascii="宋体" w:hAnsi="宋体"/>
        </w:rPr>
        <w:t>5万吨。</w:t>
      </w:r>
    </w:p>
    <w:p w14:paraId="057D7639">
      <w:pPr>
        <w:ind w:firstLine="422"/>
        <w:rPr>
          <w:rFonts w:ascii="宋体" w:hAnsi="宋体"/>
        </w:rPr>
      </w:pPr>
      <w:r>
        <w:rPr>
          <w:rFonts w:ascii="宋体" w:hAnsi="宋体"/>
          <w:b/>
        </w:rPr>
        <w:t>1月13日</w:t>
      </w:r>
      <w:r>
        <w:rPr>
          <w:rFonts w:hint="eastAsia" w:ascii="宋体" w:hAnsi="宋体"/>
          <w:b/>
        </w:rPr>
        <w:t xml:space="preserve">  </w:t>
      </w:r>
      <w:r>
        <w:rPr>
          <w:rFonts w:ascii="宋体" w:hAnsi="宋体"/>
        </w:rPr>
        <w:t>中国人民解放军电视宣传中</w:t>
      </w:r>
      <w:r>
        <w:rPr>
          <w:rFonts w:hint="eastAsia" w:ascii="宋体" w:hAnsi="宋体"/>
        </w:rPr>
        <w:t>心主任李文朝少将在韶关市军分区领导及南雄市人民政府代市长许建设，武装部政委丘成标、部长刘建军的陪同下，参观梅关古道、三影古塔、市博物馆和“三八”女兵班。</w:t>
      </w:r>
    </w:p>
    <w:p w14:paraId="6E9ADF1A">
      <w:pPr>
        <w:ind w:firstLine="422"/>
        <w:rPr>
          <w:rFonts w:ascii="宋体" w:hAnsi="宋体"/>
        </w:rPr>
      </w:pPr>
      <w:r>
        <w:rPr>
          <w:rFonts w:ascii="宋体" w:hAnsi="宋体"/>
          <w:b/>
        </w:rPr>
        <w:t>1月18日上午</w:t>
      </w:r>
      <w:r>
        <w:rPr>
          <w:rFonts w:hint="eastAsia" w:ascii="宋体" w:hAnsi="宋体"/>
          <w:b/>
        </w:rPr>
        <w:t xml:space="preserve">  </w:t>
      </w:r>
      <w:r>
        <w:rPr>
          <w:rFonts w:ascii="宋体" w:hAnsi="宋体"/>
        </w:rPr>
        <w:t>南雄市举行仪式，市委</w:t>
      </w:r>
      <w:r>
        <w:rPr>
          <w:rFonts w:hint="eastAsia" w:ascii="宋体" w:hAnsi="宋体"/>
        </w:rPr>
        <w:t>书记林楚欣、代市长许建设为“广东省文化先进市”牌匾揭幕，四套班子领导出席仪式。</w:t>
      </w:r>
    </w:p>
    <w:p w14:paraId="1B03EAF8">
      <w:pPr>
        <w:ind w:firstLine="422"/>
        <w:rPr>
          <w:rFonts w:ascii="宋体" w:hAnsi="宋体"/>
        </w:rPr>
      </w:pPr>
      <w:r>
        <w:rPr>
          <w:rFonts w:ascii="宋体" w:hAnsi="宋体"/>
          <w:b/>
        </w:rPr>
        <w:t>1月23日上午</w:t>
      </w:r>
      <w:r>
        <w:rPr>
          <w:rFonts w:hint="eastAsia" w:ascii="宋体" w:hAnsi="宋体"/>
          <w:b/>
        </w:rPr>
        <w:t xml:space="preserve">  </w:t>
      </w:r>
      <w:r>
        <w:rPr>
          <w:rFonts w:ascii="宋体" w:hAnsi="宋体"/>
        </w:rPr>
        <w:t>南雄市领导许建设、曾</w:t>
      </w:r>
      <w:r>
        <w:rPr>
          <w:rFonts w:hint="eastAsia" w:ascii="宋体" w:hAnsi="宋体"/>
        </w:rPr>
        <w:t>昭佑等专程拜访全国政协副主席、广东南雄珠玑巷后裔联谊会名誉会长马万祺，汇报南雄发展情况，对马万祺支持南雄发展表示感谢，马万祺也对广东南雄珠玑巷联谊会的工作提出建议。</w:t>
      </w:r>
    </w:p>
    <w:p w14:paraId="718F1046">
      <w:pPr>
        <w:ind w:firstLine="422"/>
        <w:rPr>
          <w:rFonts w:ascii="宋体" w:hAnsi="宋体"/>
        </w:rPr>
      </w:pPr>
      <w:r>
        <w:rPr>
          <w:rFonts w:ascii="宋体" w:hAnsi="宋体"/>
          <w:b/>
        </w:rPr>
        <w:t>2月25日至28日</w:t>
      </w:r>
      <w:r>
        <w:rPr>
          <w:rFonts w:hint="eastAsia" w:ascii="宋体" w:hAnsi="宋体"/>
          <w:b/>
        </w:rPr>
        <w:t xml:space="preserve">  </w:t>
      </w:r>
      <w:r>
        <w:rPr>
          <w:rFonts w:ascii="宋体" w:hAnsi="宋体"/>
        </w:rPr>
        <w:t>南雄市政协第七届三</w:t>
      </w:r>
      <w:r>
        <w:rPr>
          <w:rFonts w:hint="eastAsia" w:ascii="宋体" w:hAnsi="宋体"/>
        </w:rPr>
        <w:t>次会议在迎宾馆一号会议室召开。这次大会应到政协委员</w:t>
      </w:r>
      <w:r>
        <w:rPr>
          <w:rFonts w:ascii="宋体" w:hAnsi="宋体"/>
        </w:rPr>
        <w:t>201人，实到188人，符合法定</w:t>
      </w:r>
      <w:r>
        <w:rPr>
          <w:rFonts w:hint="eastAsia" w:ascii="宋体" w:hAnsi="宋体"/>
        </w:rPr>
        <w:t>人数。韶关政协副主席黄应龙到会祝贺，南雄市政协主席曾昭佑向大会报告工作。南雄市政协副主席刘卫东作南雄政协七届二次会议以来提案工作报告，大会选举何光明为南雄市政协第七届委员会常务委员。</w:t>
      </w:r>
    </w:p>
    <w:p w14:paraId="3EA49AC2">
      <w:pPr>
        <w:ind w:firstLine="422"/>
        <w:rPr>
          <w:rFonts w:ascii="宋体" w:hAnsi="宋体"/>
        </w:rPr>
      </w:pPr>
      <w:r>
        <w:rPr>
          <w:rFonts w:ascii="宋体" w:hAnsi="宋体"/>
          <w:b/>
        </w:rPr>
        <w:t>2月27日至3月1日</w:t>
      </w:r>
      <w:r>
        <w:rPr>
          <w:rFonts w:hint="eastAsia" w:ascii="宋体" w:hAnsi="宋体"/>
          <w:b/>
        </w:rPr>
        <w:t xml:space="preserve">  </w:t>
      </w:r>
      <w:r>
        <w:rPr>
          <w:rFonts w:ascii="宋体" w:hAnsi="宋体"/>
        </w:rPr>
        <w:t>南雄市第十二届</w:t>
      </w:r>
      <w:r>
        <w:rPr>
          <w:rFonts w:hint="eastAsia" w:ascii="宋体" w:hAnsi="宋体"/>
        </w:rPr>
        <w:t>人民代表大会第三次会议在大会堂召开，韶关市人大常委会副主任赖龙福到会祝贺，大会听取了南雄市人民政府工作报告；南雄市</w:t>
      </w:r>
      <w:r>
        <w:rPr>
          <w:rFonts w:ascii="宋体" w:hAnsi="宋体"/>
        </w:rPr>
        <w:t>2004年国民经济和社会发展计划执行情况与2005年计划草案报告；南雄市2004年预算执</w:t>
      </w:r>
      <w:r>
        <w:rPr>
          <w:rFonts w:hint="eastAsia" w:ascii="宋体" w:hAnsi="宋体"/>
        </w:rPr>
        <w:t>行情况和</w:t>
      </w:r>
      <w:r>
        <w:rPr>
          <w:rFonts w:ascii="宋体" w:hAnsi="宋体"/>
        </w:rPr>
        <w:t>2005年财政预算草案的报告；南雄</w:t>
      </w:r>
      <w:r>
        <w:rPr>
          <w:rFonts w:hint="eastAsia" w:ascii="宋体" w:hAnsi="宋体"/>
        </w:rPr>
        <w:t>市人大常委员工作报告；南雄市人民法院工作报告；南雄市人民检察院工作报告。大会选举林楚欣为南雄市第十二届人民代表大会常务委员会主任，许建设为南雄市人民政府市长，李荣生为南雄市人民法院院长，栾怀持为南雄市人民检察院检察长。</w:t>
      </w:r>
    </w:p>
    <w:p w14:paraId="4031A7C1">
      <w:pPr>
        <w:ind w:firstLine="422"/>
        <w:rPr>
          <w:rFonts w:ascii="宋体" w:hAnsi="宋体"/>
        </w:rPr>
      </w:pPr>
      <w:r>
        <w:rPr>
          <w:rFonts w:ascii="宋体" w:hAnsi="宋体"/>
          <w:b/>
        </w:rPr>
        <w:t>3月25日</w:t>
      </w:r>
      <w:r>
        <w:rPr>
          <w:rFonts w:hint="eastAsia" w:ascii="宋体" w:hAnsi="宋体"/>
          <w:b/>
        </w:rPr>
        <w:t xml:space="preserve"> </w:t>
      </w:r>
      <w:r>
        <w:rPr>
          <w:rFonts w:hint="eastAsia" w:ascii="宋体" w:hAnsi="宋体"/>
        </w:rPr>
        <w:t xml:space="preserve"> </w:t>
      </w:r>
      <w:r>
        <w:rPr>
          <w:rFonts w:ascii="宋体" w:hAnsi="宋体"/>
        </w:rPr>
        <w:t>南雄市建设恐龙化石群省级</w:t>
      </w:r>
      <w:r>
        <w:rPr>
          <w:rFonts w:hint="eastAsia" w:ascii="宋体" w:hAnsi="宋体"/>
        </w:rPr>
        <w:t>自然保护区项目由广东省地质环境研究所、广东省自然保护区办公室、中山大学的专家进行考察评审。</w:t>
      </w:r>
    </w:p>
    <w:p w14:paraId="389F402E">
      <w:pPr>
        <w:ind w:firstLine="422"/>
        <w:rPr>
          <w:rFonts w:ascii="宋体" w:hAnsi="宋体"/>
        </w:rPr>
      </w:pPr>
      <w:r>
        <w:rPr>
          <w:rFonts w:ascii="宋体" w:hAnsi="宋体"/>
          <w:b/>
        </w:rPr>
        <w:t>5月10日</w:t>
      </w:r>
      <w:r>
        <w:rPr>
          <w:rFonts w:hint="eastAsia" w:ascii="宋体" w:hAnsi="宋体"/>
          <w:b/>
        </w:rPr>
        <w:t xml:space="preserve">  </w:t>
      </w:r>
      <w:r>
        <w:rPr>
          <w:rFonts w:ascii="宋体" w:hAnsi="宋体"/>
        </w:rPr>
        <w:t>湖北长江大学地球科学院的</w:t>
      </w:r>
      <w:r>
        <w:rPr>
          <w:rFonts w:hint="eastAsia" w:ascii="宋体" w:hAnsi="宋体"/>
        </w:rPr>
        <w:t>李伟同教授与两名加拿大古生物研究专家进行考察南雄红层及恐龙保护遗址，探寻恐龙灭绝之谜。</w:t>
      </w:r>
    </w:p>
    <w:p w14:paraId="14396EB3">
      <w:pPr>
        <w:ind w:firstLine="422"/>
        <w:rPr>
          <w:rFonts w:ascii="宋体" w:hAnsi="宋体"/>
        </w:rPr>
      </w:pPr>
      <w:r>
        <w:rPr>
          <w:rFonts w:ascii="宋体" w:hAnsi="宋体"/>
          <w:b/>
        </w:rPr>
        <w:t>6月22日</w:t>
      </w:r>
      <w:r>
        <w:rPr>
          <w:rFonts w:hint="eastAsia" w:ascii="宋体" w:hAnsi="宋体"/>
          <w:b/>
        </w:rPr>
        <w:t xml:space="preserve">  </w:t>
      </w:r>
      <w:r>
        <w:rPr>
          <w:rFonts w:ascii="宋体" w:hAnsi="宋体"/>
        </w:rPr>
        <w:t>下午广东省爱国卫生运动委</w:t>
      </w:r>
      <w:r>
        <w:rPr>
          <w:rFonts w:hint="eastAsia" w:ascii="宋体" w:hAnsi="宋体"/>
        </w:rPr>
        <w:t>员会主任许应凡，韶关市副市长丘隆基到珠玑镇，将印有“广东省卫生村”的牌匾送到珠玑古巷新村，该村成为韶关市第一个省级卫</w:t>
      </w:r>
      <w:r>
        <w:rPr>
          <w:rFonts w:ascii="宋体" w:hAnsi="宋体"/>
        </w:rPr>
        <w:t>生村。</w:t>
      </w:r>
    </w:p>
    <w:p w14:paraId="4BB79AF8">
      <w:pPr>
        <w:ind w:firstLine="422"/>
        <w:rPr>
          <w:rFonts w:ascii="宋体" w:hAnsi="宋体"/>
        </w:rPr>
      </w:pPr>
      <w:r>
        <w:rPr>
          <w:rFonts w:ascii="宋体" w:hAnsi="宋体"/>
          <w:b/>
        </w:rPr>
        <w:t>7月</w:t>
      </w:r>
      <w:r>
        <w:rPr>
          <w:rFonts w:hint="eastAsia" w:ascii="宋体" w:hAnsi="宋体"/>
          <w:b/>
        </w:rPr>
        <w:t xml:space="preserve">  </w:t>
      </w:r>
      <w:r>
        <w:rPr>
          <w:rFonts w:ascii="宋体" w:hAnsi="宋体"/>
        </w:rPr>
        <w:t>由《中国国家地理》杂志与广东</w:t>
      </w:r>
      <w:r>
        <w:rPr>
          <w:rFonts w:hint="eastAsia" w:ascii="宋体" w:hAnsi="宋体"/>
        </w:rPr>
        <w:t>《南方都市报》共同举办的“寻找广东最美的地方”评选活动揭晓，南雄市珠玑古巷被授予“广东省最美的街区”奖项。</w:t>
      </w:r>
    </w:p>
    <w:p w14:paraId="3D42A6B6">
      <w:pPr>
        <w:ind w:firstLine="422"/>
        <w:rPr>
          <w:rFonts w:ascii="宋体" w:hAnsi="宋体"/>
        </w:rPr>
      </w:pPr>
      <w:r>
        <w:rPr>
          <w:rFonts w:ascii="宋体" w:hAnsi="宋体"/>
          <w:b/>
        </w:rPr>
        <w:t>7月26日上午</w:t>
      </w:r>
      <w:r>
        <w:rPr>
          <w:rFonts w:hint="eastAsia" w:ascii="宋体" w:hAnsi="宋体"/>
          <w:b/>
        </w:rPr>
        <w:t xml:space="preserve"> </w:t>
      </w:r>
      <w:r>
        <w:rPr>
          <w:rFonts w:hint="eastAsia" w:ascii="宋体" w:hAnsi="宋体"/>
        </w:rPr>
        <w:t xml:space="preserve"> </w:t>
      </w:r>
      <w:r>
        <w:rPr>
          <w:rFonts w:ascii="宋体" w:hAnsi="宋体"/>
        </w:rPr>
        <w:t>南雄市在南雄大会堂举</w:t>
      </w:r>
      <w:r>
        <w:rPr>
          <w:rFonts w:hint="eastAsia" w:ascii="宋体" w:hAnsi="宋体"/>
        </w:rPr>
        <w:t>行“东莞大岭山镇与南雄市共建产业转移园签约仪式”。参加签约仪式的领导有韶关市委副书记华培强、副市长兰茵、东莞市大岭山镇党委书记黎惠勤、南雄市四套班子领导以及市直单位和各镇负责人。</w:t>
      </w:r>
    </w:p>
    <w:p w14:paraId="6B3C7891">
      <w:pPr>
        <w:ind w:firstLine="422"/>
        <w:rPr>
          <w:rFonts w:ascii="宋体" w:hAnsi="宋体"/>
        </w:rPr>
      </w:pPr>
      <w:r>
        <w:rPr>
          <w:rFonts w:ascii="宋体" w:hAnsi="宋体"/>
          <w:b/>
        </w:rPr>
        <w:t>8月30日</w:t>
      </w:r>
      <w:r>
        <w:rPr>
          <w:rFonts w:hint="eastAsia" w:ascii="宋体" w:hAnsi="宋体"/>
          <w:b/>
        </w:rPr>
        <w:t xml:space="preserve"> </w:t>
      </w:r>
      <w:r>
        <w:rPr>
          <w:rFonts w:hint="eastAsia" w:ascii="宋体" w:hAnsi="宋体"/>
        </w:rPr>
        <w:t xml:space="preserve"> </w:t>
      </w:r>
      <w:r>
        <w:rPr>
          <w:rFonts w:ascii="宋体" w:hAnsi="宋体"/>
        </w:rPr>
        <w:t>南雄市举行纪念抗日战争胜</w:t>
      </w:r>
      <w:r>
        <w:rPr>
          <w:rFonts w:hint="eastAsia" w:ascii="宋体" w:hAnsi="宋体"/>
        </w:rPr>
        <w:t>利</w:t>
      </w:r>
      <w:r>
        <w:rPr>
          <w:rFonts w:ascii="宋体" w:hAnsi="宋体"/>
        </w:rPr>
        <w:t>60周年座谈会。该市四套班子领导，市人</w:t>
      </w:r>
      <w:r>
        <w:rPr>
          <w:rFonts w:hint="eastAsia" w:ascii="宋体" w:hAnsi="宋体"/>
        </w:rPr>
        <w:t>民武装部的领导与参加过抗日战争的老战士代表，参加过解放战争的老游击战士及社会各界人士近百人参加座谈会。市委副书记许红为抗日战争老战士佩带纪念章，并向他们表示崇高的敬意和问候。</w:t>
      </w:r>
    </w:p>
    <w:p w14:paraId="10946037">
      <w:pPr>
        <w:ind w:firstLine="422"/>
        <w:rPr>
          <w:rFonts w:ascii="宋体" w:hAnsi="宋体"/>
        </w:rPr>
      </w:pPr>
      <w:r>
        <w:rPr>
          <w:rFonts w:ascii="宋体" w:hAnsi="宋体"/>
          <w:b/>
        </w:rPr>
        <w:t>8月31日</w:t>
      </w:r>
      <w:r>
        <w:rPr>
          <w:rFonts w:hint="eastAsia" w:ascii="宋体" w:hAnsi="宋体"/>
          <w:b/>
        </w:rPr>
        <w:t xml:space="preserve">  </w:t>
      </w:r>
      <w:r>
        <w:rPr>
          <w:rFonts w:ascii="宋体" w:hAnsi="宋体"/>
        </w:rPr>
        <w:t>中国共产党南雄市雄州街道</w:t>
      </w:r>
      <w:r>
        <w:rPr>
          <w:rFonts w:hint="eastAsia" w:ascii="宋体" w:hAnsi="宋体"/>
        </w:rPr>
        <w:t>工作委员会、南雄市人民代表大会雄州街道工作委员会、南雄市雄州街道办事处正式挂牌成立。</w:t>
      </w:r>
    </w:p>
    <w:p w14:paraId="6C6C65B5">
      <w:pPr>
        <w:ind w:firstLine="422"/>
        <w:rPr>
          <w:rFonts w:ascii="宋体" w:hAnsi="宋体"/>
        </w:rPr>
      </w:pPr>
      <w:r>
        <w:rPr>
          <w:rFonts w:ascii="宋体" w:hAnsi="宋体"/>
          <w:b/>
        </w:rPr>
        <w:t>9月6日</w:t>
      </w:r>
      <w:r>
        <w:rPr>
          <w:rFonts w:hint="eastAsia" w:ascii="宋体" w:hAnsi="宋体"/>
          <w:b/>
        </w:rPr>
        <w:t xml:space="preserve">  </w:t>
      </w:r>
      <w:r>
        <w:rPr>
          <w:rFonts w:ascii="宋体" w:hAnsi="宋体"/>
        </w:rPr>
        <w:t>中共中央政治局委员、广东省</w:t>
      </w:r>
      <w:r>
        <w:rPr>
          <w:rFonts w:hint="eastAsia" w:ascii="宋体" w:hAnsi="宋体"/>
        </w:rPr>
        <w:t>委书记张德江和广东省委常委秘书长肖志恒，广东省人大常委员副主任陈坚，广东省政协副主席、九三学社广东省主委姚志彬一起，在韶关市委书记、市人大常委会主任覃卫东，市长徐建华及南雄市委书记、市人大常委会主任林楚欣的陪同下，先后考察梅关古道、珠玑古巷等旅游景点，了解该市经济社会特别是旅游产业的发展情况，张德江还在梅岭接见了正在执勤的梅岭三八女民兵班的女兵们。</w:t>
      </w:r>
    </w:p>
    <w:p w14:paraId="092A6AD0">
      <w:pPr>
        <w:ind w:firstLine="422"/>
        <w:rPr>
          <w:rFonts w:ascii="宋体" w:hAnsi="宋体"/>
        </w:rPr>
      </w:pPr>
      <w:r>
        <w:rPr>
          <w:rFonts w:ascii="宋体" w:hAnsi="宋体"/>
          <w:b/>
        </w:rPr>
        <w:t>10月3日</w:t>
      </w:r>
      <w:r>
        <w:rPr>
          <w:rFonts w:hint="eastAsia" w:ascii="宋体" w:hAnsi="宋体"/>
          <w:b/>
        </w:rPr>
        <w:t xml:space="preserve">  </w:t>
      </w:r>
      <w:r>
        <w:rPr>
          <w:rFonts w:ascii="宋体" w:hAnsi="宋体"/>
        </w:rPr>
        <w:t>南雄市委副书记何万飞接待</w:t>
      </w:r>
      <w:r>
        <w:rPr>
          <w:rFonts w:hint="eastAsia" w:ascii="宋体" w:hAnsi="宋体"/>
        </w:rPr>
        <w:t>南雄籍的中国人民解放军空军英雄李贤风大校，李贤风参与</w:t>
      </w:r>
      <w:r>
        <w:rPr>
          <w:rFonts w:ascii="宋体" w:hAnsi="宋体"/>
        </w:rPr>
        <w:t>1964年10月16日我国成功</w:t>
      </w:r>
      <w:r>
        <w:rPr>
          <w:rFonts w:hint="eastAsia" w:ascii="宋体" w:hAnsi="宋体"/>
        </w:rPr>
        <w:t>爆炸的原子弹试验，并荣获个人一等功。</w:t>
      </w:r>
    </w:p>
    <w:p w14:paraId="4164BFA8">
      <w:pPr>
        <w:ind w:firstLine="422"/>
        <w:rPr>
          <w:rFonts w:ascii="宋体" w:hAnsi="宋体"/>
        </w:rPr>
      </w:pPr>
      <w:r>
        <w:rPr>
          <w:rFonts w:ascii="宋体" w:hAnsi="宋体"/>
          <w:b/>
        </w:rPr>
        <w:t>10月13日上午</w:t>
      </w:r>
      <w:r>
        <w:rPr>
          <w:rFonts w:hint="eastAsia" w:ascii="宋体" w:hAnsi="宋体"/>
          <w:b/>
        </w:rPr>
        <w:t xml:space="preserve">  </w:t>
      </w:r>
      <w:r>
        <w:rPr>
          <w:rFonts w:ascii="宋体" w:hAnsi="宋体"/>
        </w:rPr>
        <w:t>大雄禅寺千菩萨殿举行</w:t>
      </w:r>
      <w:r>
        <w:rPr>
          <w:rFonts w:hint="eastAsia" w:ascii="宋体" w:hAnsi="宋体"/>
        </w:rPr>
        <w:t>奠基典礼，南雄市领导肖芬先、刘发雄、衷玉华、中国佛教协会咨询委员会副主席、广东佛教协会副会长、中国当代著名高僧本焕大和尚一起为该殿培土奠基。典礼结束后举行了本焕大和尚九十九岁荣寿会，南雄市领导林楚欣、许建设、曾昭佑等在家的四套班子领导应邀出席宴会。</w:t>
      </w:r>
    </w:p>
    <w:p w14:paraId="7A7DB15F">
      <w:pPr>
        <w:ind w:firstLine="422"/>
        <w:rPr>
          <w:rFonts w:ascii="宋体" w:hAnsi="宋体"/>
        </w:rPr>
      </w:pPr>
      <w:r>
        <w:rPr>
          <w:rFonts w:ascii="宋体" w:hAnsi="宋体"/>
          <w:b/>
        </w:rPr>
        <w:t>10月20日</w:t>
      </w:r>
      <w:r>
        <w:rPr>
          <w:rFonts w:hint="eastAsia" w:ascii="宋体" w:hAnsi="宋体"/>
          <w:b/>
        </w:rPr>
        <w:t xml:space="preserve">  </w:t>
      </w:r>
      <w:r>
        <w:rPr>
          <w:rFonts w:ascii="宋体" w:hAnsi="宋体"/>
        </w:rPr>
        <w:t>广东省人大常委会副主任李</w:t>
      </w:r>
      <w:r>
        <w:rPr>
          <w:rFonts w:hint="eastAsia" w:ascii="宋体" w:hAnsi="宋体"/>
        </w:rPr>
        <w:t>延维在韶关市人大常委会副主任余喜山及南雄市人大常委会常务副主任欧阳效元、常务副市长李总路陪同下，分别视察珠玑古巷、梅关古道的建设工作。</w:t>
      </w:r>
    </w:p>
    <w:p w14:paraId="32993C0D">
      <w:pPr>
        <w:ind w:firstLine="422"/>
        <w:rPr>
          <w:rFonts w:ascii="宋体" w:hAnsi="宋体"/>
        </w:rPr>
      </w:pPr>
      <w:r>
        <w:rPr>
          <w:rFonts w:ascii="宋体" w:hAnsi="宋体"/>
          <w:b/>
        </w:rPr>
        <w:t>11月24日</w:t>
      </w:r>
      <w:r>
        <w:rPr>
          <w:rFonts w:hint="eastAsia" w:ascii="宋体" w:hAnsi="宋体"/>
          <w:b/>
        </w:rPr>
        <w:t xml:space="preserve"> </w:t>
      </w:r>
      <w:r>
        <w:rPr>
          <w:rFonts w:hint="eastAsia" w:ascii="宋体" w:hAnsi="宋体"/>
        </w:rPr>
        <w:t xml:space="preserve"> </w:t>
      </w:r>
      <w:r>
        <w:rPr>
          <w:rFonts w:ascii="宋体" w:hAnsi="宋体"/>
        </w:rPr>
        <w:t>广东省军区政委蔡多文少</w:t>
      </w:r>
      <w:r>
        <w:rPr>
          <w:rFonts w:hint="eastAsia" w:ascii="宋体" w:hAnsi="宋体"/>
        </w:rPr>
        <w:t>将，在韶关市军分区司令员、周少锋、韶关市军分区政委石福、南雄市委书记、市人大常委会主任林楚欣、市委常委、市人民武装部部长刘建军、副市长王荣光的陪同下、检查该市的征兵及武器装备管理工作，随后蔡多文少将还专程来到梅岭“三八女民兵班”检查工作。</w:t>
      </w:r>
    </w:p>
    <w:p w14:paraId="53E00220">
      <w:pPr>
        <w:ind w:firstLine="422"/>
        <w:rPr>
          <w:rFonts w:ascii="宋体" w:hAnsi="宋体"/>
        </w:rPr>
      </w:pPr>
      <w:r>
        <w:rPr>
          <w:rFonts w:ascii="宋体" w:hAnsi="宋体"/>
          <w:b/>
        </w:rPr>
        <w:t>11月27日</w:t>
      </w:r>
      <w:r>
        <w:rPr>
          <w:rFonts w:hint="eastAsia" w:ascii="宋体" w:hAnsi="宋体"/>
          <w:b/>
        </w:rPr>
        <w:t xml:space="preserve">  </w:t>
      </w:r>
      <w:r>
        <w:rPr>
          <w:rFonts w:ascii="宋体" w:hAnsi="宋体"/>
        </w:rPr>
        <w:t>香港热心人士陈经伦先生的</w:t>
      </w:r>
      <w:r>
        <w:rPr>
          <w:rFonts w:hint="eastAsia" w:ascii="宋体" w:hAnsi="宋体"/>
        </w:rPr>
        <w:t>委托人张冠荣先生到南雄市澜河中学将</w:t>
      </w:r>
      <w:r>
        <w:rPr>
          <w:rFonts w:ascii="宋体" w:hAnsi="宋体"/>
        </w:rPr>
        <w:t>150</w:t>
      </w:r>
      <w:r>
        <w:rPr>
          <w:rFonts w:hint="eastAsia" w:ascii="宋体" w:hAnsi="宋体"/>
        </w:rPr>
        <w:t>万元港币送到该校，建设澜河陈经伦学校。</w:t>
      </w:r>
    </w:p>
    <w:p w14:paraId="5B97CDE2">
      <w:pPr>
        <w:ind w:firstLine="422"/>
        <w:rPr>
          <w:rFonts w:ascii="宋体" w:hAnsi="宋体"/>
        </w:rPr>
      </w:pPr>
      <w:r>
        <w:rPr>
          <w:rFonts w:ascii="宋体" w:hAnsi="宋体"/>
          <w:b/>
        </w:rPr>
        <w:t>12月6日</w:t>
      </w:r>
      <w:r>
        <w:rPr>
          <w:rFonts w:hint="eastAsia" w:ascii="宋体" w:hAnsi="宋体"/>
          <w:b/>
        </w:rPr>
        <w:t xml:space="preserve">  </w:t>
      </w:r>
      <w:r>
        <w:rPr>
          <w:rFonts w:ascii="宋体" w:hAnsi="宋体"/>
        </w:rPr>
        <w:t>南雄市财政局国库支付中心</w:t>
      </w:r>
      <w:r>
        <w:rPr>
          <w:rFonts w:hint="eastAsia" w:ascii="宋体" w:hAnsi="宋体"/>
        </w:rPr>
        <w:t>和公共资产管理中心正式挂牌，该市领导林楚欣、许建设、曾昭佑、欧阳效元、李总路、赖向阳、王荣光、韶关市财政局领导与财政局全体人员一起出席挂牌仪式。</w:t>
      </w:r>
    </w:p>
    <w:p w14:paraId="5F5CD883">
      <w:pPr>
        <w:ind w:firstLine="422"/>
        <w:rPr>
          <w:rFonts w:ascii="宋体" w:hAnsi="宋体"/>
        </w:rPr>
      </w:pPr>
      <w:r>
        <w:rPr>
          <w:rFonts w:ascii="宋体" w:hAnsi="宋体"/>
          <w:b/>
        </w:rPr>
        <w:t>12月8日至9日</w:t>
      </w:r>
      <w:r>
        <w:rPr>
          <w:rFonts w:hint="eastAsia" w:ascii="宋体" w:hAnsi="宋体"/>
          <w:b/>
        </w:rPr>
        <w:t xml:space="preserve">  </w:t>
      </w:r>
      <w:r>
        <w:rPr>
          <w:rFonts w:ascii="宋体" w:hAnsi="宋体"/>
        </w:rPr>
        <w:t>中国共产党南雄市委</w:t>
      </w:r>
      <w:r>
        <w:rPr>
          <w:rFonts w:hint="eastAsia" w:ascii="宋体" w:hAnsi="宋体"/>
        </w:rPr>
        <w:t>员会第十届五次全体会议，在该市迎宾馆召开，该市委委员、市委候补委员参加会议，市直副科级以上单位负责人列席会议。这次会议总结该市第十个五年规划期间工作，审议《中国共产党南雄市委员会关于制定全市国民经济和社会发展第十一个五年规定的建议》。</w:t>
      </w:r>
    </w:p>
    <w:p w14:paraId="34B14C7B">
      <w:pPr>
        <w:ind w:firstLine="422"/>
        <w:rPr>
          <w:rFonts w:ascii="宋体" w:hAnsi="宋体"/>
        </w:rPr>
      </w:pPr>
      <w:r>
        <w:rPr>
          <w:rFonts w:ascii="宋体" w:hAnsi="宋体"/>
          <w:b/>
        </w:rPr>
        <w:t>12月28日</w:t>
      </w:r>
      <w:r>
        <w:rPr>
          <w:rFonts w:hint="eastAsia" w:ascii="宋体" w:hAnsi="宋体"/>
          <w:b/>
        </w:rPr>
        <w:t xml:space="preserve">  </w:t>
      </w:r>
      <w:r>
        <w:rPr>
          <w:rFonts w:ascii="宋体" w:hAnsi="宋体"/>
        </w:rPr>
        <w:t>广东省人民政府参事室参</w:t>
      </w:r>
      <w:r>
        <w:rPr>
          <w:rFonts w:hint="eastAsia" w:ascii="宋体" w:hAnsi="宋体"/>
        </w:rPr>
        <w:t>事、广东珠江文化研究会会长黄伟宗，在南雄市乌迳镇新田村古村落、水城、古码头考察时发现古代乌迳是连接同北的重要通道，届是古代海陆丝绸之路交接点之一。</w:t>
      </w:r>
    </w:p>
    <w:p w14:paraId="2701F803">
      <w:pPr>
        <w:pStyle w:val="3"/>
      </w:pPr>
      <w:r>
        <w:rPr>
          <w:rFonts w:hint="eastAsia"/>
        </w:rPr>
        <w:t>2006年大事记</w:t>
      </w:r>
    </w:p>
    <w:p w14:paraId="16A86398">
      <w:pPr>
        <w:ind w:firstLine="422"/>
        <w:rPr>
          <w:rFonts w:ascii="宋体" w:hAnsi="宋体"/>
        </w:rPr>
      </w:pPr>
      <w:r>
        <w:rPr>
          <w:rFonts w:ascii="宋体" w:hAnsi="宋体"/>
          <w:b/>
        </w:rPr>
        <w:t>4月27日</w:t>
      </w:r>
      <w:r>
        <w:rPr>
          <w:rFonts w:hint="eastAsia" w:ascii="宋体" w:hAnsi="宋体"/>
          <w:b/>
        </w:rPr>
        <w:t xml:space="preserve">  </w:t>
      </w:r>
      <w:r>
        <w:rPr>
          <w:rFonts w:ascii="宋体" w:hAnsi="宋体"/>
        </w:rPr>
        <w:t>江西省委书记孟建柱到南雄</w:t>
      </w:r>
      <w:r>
        <w:rPr>
          <w:rFonts w:hint="eastAsia" w:ascii="宋体" w:hAnsi="宋体"/>
        </w:rPr>
        <w:t>考察城市建设并到梅关古道参观。</w:t>
      </w:r>
    </w:p>
    <w:p w14:paraId="0613C9FD">
      <w:pPr>
        <w:ind w:firstLine="422"/>
        <w:rPr>
          <w:rFonts w:ascii="宋体" w:hAnsi="宋体"/>
        </w:rPr>
      </w:pPr>
      <w:r>
        <w:rPr>
          <w:rFonts w:ascii="宋体" w:hAnsi="宋体"/>
          <w:b/>
        </w:rPr>
        <w:t>7月31日</w:t>
      </w:r>
      <w:r>
        <w:rPr>
          <w:rFonts w:hint="eastAsia" w:ascii="宋体" w:hAnsi="宋体"/>
          <w:b/>
        </w:rPr>
        <w:t xml:space="preserve">  </w:t>
      </w:r>
      <w:r>
        <w:rPr>
          <w:rFonts w:ascii="宋体" w:hAnsi="宋体"/>
        </w:rPr>
        <w:t>市区金叶大桥竣工通车。金</w:t>
      </w:r>
      <w:r>
        <w:rPr>
          <w:rFonts w:hint="eastAsia" w:ascii="宋体" w:hAnsi="宋体"/>
        </w:rPr>
        <w:t>叶大桥</w:t>
      </w:r>
      <w:r>
        <w:rPr>
          <w:rFonts w:ascii="宋体" w:hAnsi="宋体"/>
        </w:rPr>
        <w:t>2005年3月动工兴建，桥长126.5米，</w:t>
      </w:r>
      <w:r>
        <w:rPr>
          <w:rFonts w:hint="eastAsia" w:ascii="宋体" w:hAnsi="宋体"/>
        </w:rPr>
        <w:t>桥面宽</w:t>
      </w:r>
      <w:r>
        <w:rPr>
          <w:rFonts w:ascii="宋体" w:hAnsi="宋体"/>
        </w:rPr>
        <w:t>25米，其中人行道宽3米，总投资790万元，大桥设计汽车荷载等级为公路I</w:t>
      </w:r>
      <w:r>
        <w:rPr>
          <w:rFonts w:hint="eastAsia" w:ascii="宋体" w:hAnsi="宋体"/>
        </w:rPr>
        <w:t>级，设计抗洪能力为百年一遇。</w:t>
      </w:r>
    </w:p>
    <w:p w14:paraId="2E67ECA6">
      <w:pPr>
        <w:ind w:firstLine="422"/>
        <w:rPr>
          <w:rFonts w:ascii="宋体" w:hAnsi="宋体"/>
        </w:rPr>
      </w:pPr>
      <w:r>
        <w:rPr>
          <w:rFonts w:ascii="宋体" w:hAnsi="宋体"/>
          <w:b/>
        </w:rPr>
        <w:t>8月6日</w:t>
      </w:r>
      <w:r>
        <w:rPr>
          <w:rFonts w:hint="eastAsia" w:ascii="宋体" w:hAnsi="宋体"/>
          <w:b/>
        </w:rPr>
        <w:t xml:space="preserve">  </w:t>
      </w:r>
      <w:r>
        <w:rPr>
          <w:rFonts w:ascii="宋体" w:hAnsi="宋体"/>
        </w:rPr>
        <w:t>广东省政协主席陈绍基在韶关</w:t>
      </w:r>
      <w:r>
        <w:rPr>
          <w:rFonts w:hint="eastAsia" w:ascii="宋体" w:hAnsi="宋体"/>
        </w:rPr>
        <w:t>市委常委叶树养的陪同下到南雄考察外资企业——金马公司。</w:t>
      </w:r>
    </w:p>
    <w:p w14:paraId="0099DCEA">
      <w:pPr>
        <w:ind w:firstLine="422"/>
        <w:rPr>
          <w:rFonts w:ascii="宋体" w:hAnsi="宋体"/>
        </w:rPr>
      </w:pPr>
      <w:r>
        <w:rPr>
          <w:rFonts w:ascii="宋体" w:hAnsi="宋体"/>
          <w:b/>
        </w:rPr>
        <w:t>11月21日至23日</w:t>
      </w:r>
      <w:r>
        <w:rPr>
          <w:rFonts w:hint="eastAsia" w:ascii="宋体" w:hAnsi="宋体"/>
          <w:b/>
        </w:rPr>
        <w:t xml:space="preserve"> </w:t>
      </w:r>
      <w:r>
        <w:rPr>
          <w:rFonts w:hint="eastAsia" w:ascii="宋体" w:hAnsi="宋体"/>
        </w:rPr>
        <w:t xml:space="preserve"> </w:t>
      </w:r>
      <w:r>
        <w:rPr>
          <w:rFonts w:ascii="宋体" w:hAnsi="宋体"/>
        </w:rPr>
        <w:t>中共南雄第十一次</w:t>
      </w:r>
      <w:r>
        <w:rPr>
          <w:rFonts w:hint="eastAsia" w:ascii="宋体" w:hAnsi="宋体"/>
        </w:rPr>
        <w:t>代表大会在市区举行，韶关市委常委、宣传部长李萍到会祝贺。林楚欣代表南雄市委作工作报告：报告回顾十届市委四年所做的工作，明确提出今后五年的奋斗目标。市纪委报告以书面形式提交大会审议。大会产生了第十一届市委委员</w:t>
      </w:r>
      <w:r>
        <w:rPr>
          <w:rFonts w:ascii="宋体" w:hAnsi="宋体"/>
        </w:rPr>
        <w:t>49名，候补委员9名，纪</w:t>
      </w:r>
      <w:r>
        <w:rPr>
          <w:rFonts w:hint="eastAsia" w:ascii="宋体" w:hAnsi="宋体"/>
        </w:rPr>
        <w:t>委委员</w:t>
      </w:r>
      <w:r>
        <w:rPr>
          <w:rFonts w:ascii="宋体" w:hAnsi="宋体"/>
        </w:rPr>
        <w:t>21名，出席韶关市第十次党代表大会</w:t>
      </w:r>
      <w:r>
        <w:rPr>
          <w:rFonts w:hint="eastAsia" w:ascii="宋体" w:hAnsi="宋体"/>
        </w:rPr>
        <w:t>代表</w:t>
      </w:r>
      <w:r>
        <w:rPr>
          <w:rFonts w:ascii="宋体" w:hAnsi="宋体"/>
        </w:rPr>
        <w:t>39名。23日，中共南雄市第十出委员会</w:t>
      </w:r>
      <w:r>
        <w:rPr>
          <w:rFonts w:hint="eastAsia" w:ascii="宋体" w:hAnsi="宋体"/>
        </w:rPr>
        <w:t>第一次全体会议选举市委常委：林楚欣、许建设、许志新、罗勇新、颜亮、赖向阳、刘建军、曾凤保、王荣光、陈玉英、刘宏伟。林楚欣为书记，许建设、许志新为副书记。</w:t>
      </w:r>
      <w:r>
        <w:rPr>
          <w:rFonts w:ascii="宋体" w:hAnsi="宋体"/>
        </w:rPr>
        <w:t>23日，中共南雄市纪律检查委员会召开第</w:t>
      </w:r>
      <w:r>
        <w:rPr>
          <w:rFonts w:hint="eastAsia" w:ascii="宋体" w:hAnsi="宋体"/>
        </w:rPr>
        <w:t>一次全体会议，会议选举罗勇新为纪委书记，张达明、何文忠为副书记。</w:t>
      </w:r>
      <w:r>
        <w:rPr>
          <w:rFonts w:ascii="宋体" w:hAnsi="宋体"/>
        </w:rPr>
        <w:t>23日大会闭幕。</w:t>
      </w:r>
    </w:p>
    <w:p w14:paraId="7E655D2F">
      <w:pPr>
        <w:ind w:firstLine="422"/>
        <w:rPr>
          <w:rFonts w:ascii="宋体" w:hAnsi="宋体"/>
        </w:rPr>
      </w:pPr>
      <w:r>
        <w:rPr>
          <w:rFonts w:ascii="宋体" w:hAnsi="宋体"/>
          <w:b/>
        </w:rPr>
        <w:t>12月4日至6日</w:t>
      </w:r>
      <w:r>
        <w:rPr>
          <w:rFonts w:hint="eastAsia" w:ascii="宋体" w:hAnsi="宋体"/>
          <w:b/>
        </w:rPr>
        <w:t xml:space="preserve">  </w:t>
      </w:r>
      <w:r>
        <w:rPr>
          <w:rFonts w:ascii="宋体" w:hAnsi="宋体"/>
        </w:rPr>
        <w:t>政协南雄市第八届委</w:t>
      </w:r>
      <w:r>
        <w:rPr>
          <w:rFonts w:hint="eastAsia" w:ascii="宋体" w:hAnsi="宋体"/>
        </w:rPr>
        <w:t>员会第一次会议在人民大会堂举行，韶关市政协副主席赵志发到会祝贺，钟道海受政协南雄第七届常务委员会的委托，向大会作工作报告。大会选举政协八届委员会主席：何万飞，副主席：钟道海、刘发雄、赖华焜、衷玉华、刘卫忠、周济辉；委员</w:t>
      </w:r>
      <w:r>
        <w:rPr>
          <w:rFonts w:ascii="宋体" w:hAnsi="宋体"/>
        </w:rPr>
        <w:t>24名。会议</w:t>
      </w:r>
      <w:r>
        <w:rPr>
          <w:rFonts w:hint="eastAsia" w:ascii="宋体" w:hAnsi="宋体"/>
        </w:rPr>
        <w:t>听取《市政协第七届委员会常务委员会提案情况的报告》。出席市政协八届一次会议的全体委员列席市十三届人大一次会议第一次全体会议，听取《政府工作报告》。会议表彰政协七届四次会议以来的优秀提案。本次会议应到委员</w:t>
      </w:r>
      <w:r>
        <w:rPr>
          <w:rFonts w:ascii="宋体" w:hAnsi="宋体"/>
        </w:rPr>
        <w:t>19</w:t>
      </w:r>
      <w:r>
        <w:rPr>
          <w:rFonts w:hint="eastAsia" w:ascii="宋体" w:hAnsi="宋体"/>
        </w:rPr>
        <w:t>4</w:t>
      </w:r>
      <w:r>
        <w:rPr>
          <w:rFonts w:ascii="宋体" w:hAnsi="宋体"/>
        </w:rPr>
        <w:t>名，实到委员179名。</w:t>
      </w:r>
    </w:p>
    <w:p w14:paraId="45BC0D67">
      <w:pPr>
        <w:ind w:firstLine="422"/>
        <w:rPr>
          <w:rFonts w:ascii="宋体" w:hAnsi="宋体"/>
        </w:rPr>
      </w:pPr>
      <w:r>
        <w:rPr>
          <w:rFonts w:ascii="宋体" w:hAnsi="宋体"/>
          <w:b/>
        </w:rPr>
        <w:t>12月2日</w:t>
      </w:r>
      <w:r>
        <w:rPr>
          <w:rFonts w:hint="eastAsia" w:ascii="宋体" w:hAnsi="宋体"/>
          <w:b/>
        </w:rPr>
        <w:t xml:space="preserve">  </w:t>
      </w:r>
      <w:r>
        <w:rPr>
          <w:rFonts w:ascii="宋体" w:hAnsi="宋体"/>
        </w:rPr>
        <w:t>龙华山温泉被广东国际旅游</w:t>
      </w:r>
      <w:r>
        <w:rPr>
          <w:rFonts w:hint="eastAsia" w:ascii="宋体" w:hAnsi="宋体"/>
        </w:rPr>
        <w:t>文化节组委会评为“广东最佳养生温泉”。</w:t>
      </w:r>
    </w:p>
    <w:p w14:paraId="2D0D9B30">
      <w:pPr>
        <w:ind w:firstLine="422"/>
        <w:rPr>
          <w:rFonts w:ascii="宋体" w:hAnsi="宋体"/>
        </w:rPr>
      </w:pPr>
      <w:r>
        <w:rPr>
          <w:rFonts w:ascii="宋体" w:hAnsi="宋体"/>
          <w:b/>
        </w:rPr>
        <w:t>12月5日至8日</w:t>
      </w:r>
      <w:r>
        <w:rPr>
          <w:rFonts w:hint="eastAsia" w:ascii="宋体" w:hAnsi="宋体"/>
          <w:b/>
        </w:rPr>
        <w:t xml:space="preserve">  </w:t>
      </w:r>
      <w:r>
        <w:rPr>
          <w:rFonts w:ascii="宋体" w:hAnsi="宋体"/>
        </w:rPr>
        <w:t>南雄市第十三届人民</w:t>
      </w:r>
      <w:r>
        <w:rPr>
          <w:rFonts w:hint="eastAsia" w:ascii="宋体" w:hAnsi="宋体"/>
        </w:rPr>
        <w:t>代表大会一次会议在南雄人民大会堂举行，大会应到代表</w:t>
      </w:r>
      <w:r>
        <w:rPr>
          <w:rFonts w:ascii="宋体" w:hAnsi="宋体"/>
        </w:rPr>
        <w:t>207名，实到代表205名。韶关</w:t>
      </w:r>
      <w:r>
        <w:rPr>
          <w:rFonts w:hint="eastAsia" w:ascii="宋体" w:hAnsi="宋体"/>
        </w:rPr>
        <w:t>市人大常委会副主任顾世群到会祝贺，大会由大会主席团主持。市长许建设代表市人民政府向大会作政府工作报告。大会听取审议《人大常委会工作报告》、《市人民法院工作报告》、《市人民检察院工作报告》。选举十三届人大常委会委员</w:t>
      </w:r>
      <w:r>
        <w:rPr>
          <w:rFonts w:ascii="宋体" w:hAnsi="宋体"/>
        </w:rPr>
        <w:t>19名，林楚欣任常委会主</w:t>
      </w:r>
      <w:r>
        <w:rPr>
          <w:rFonts w:hint="eastAsia" w:ascii="宋体" w:hAnsi="宋体"/>
        </w:rPr>
        <w:t>任，肖芬先、李总路、涂运发、李冰、陈培兰、张宗财任常委会副主任。选举许建设为南雄市人民政府市长，王荣光、何人平、童铁丁、罗战勇、卜小燕、何光明为南雄市人民政府副市长。</w:t>
      </w:r>
    </w:p>
    <w:p w14:paraId="02F8F726">
      <w:pPr>
        <w:pStyle w:val="3"/>
      </w:pPr>
      <w:r>
        <w:rPr>
          <w:rFonts w:hint="eastAsia"/>
        </w:rPr>
        <w:t>2007年大事记</w:t>
      </w:r>
    </w:p>
    <w:p w14:paraId="1AEC4001">
      <w:pPr>
        <w:ind w:firstLine="422"/>
        <w:rPr>
          <w:rFonts w:ascii="宋体" w:hAnsi="宋体"/>
        </w:rPr>
      </w:pPr>
      <w:r>
        <w:rPr>
          <w:rFonts w:ascii="宋体" w:hAnsi="宋体"/>
          <w:b/>
        </w:rPr>
        <w:t>1月15日</w:t>
      </w:r>
      <w:r>
        <w:rPr>
          <w:rFonts w:hint="eastAsia" w:ascii="宋体" w:hAnsi="宋体"/>
          <w:b/>
        </w:rPr>
        <w:t xml:space="preserve"> </w:t>
      </w:r>
      <w:r>
        <w:rPr>
          <w:rFonts w:hint="eastAsia" w:ascii="宋体" w:hAnsi="宋体"/>
        </w:rPr>
        <w:t xml:space="preserve"> </w:t>
      </w:r>
      <w:r>
        <w:rPr>
          <w:rFonts w:ascii="宋体" w:hAnsi="宋体"/>
        </w:rPr>
        <w:t>南雄市荣获</w:t>
      </w:r>
      <w:r>
        <w:rPr>
          <w:rFonts w:hint="eastAsia" w:ascii="宋体" w:hAnsi="宋体"/>
        </w:rPr>
        <w:t>“</w:t>
      </w:r>
      <w:r>
        <w:rPr>
          <w:rFonts w:ascii="宋体" w:hAnsi="宋体"/>
        </w:rPr>
        <w:t>中国文化旅游</w:t>
      </w:r>
      <w:r>
        <w:rPr>
          <w:rFonts w:hint="eastAsia" w:ascii="宋体" w:hAnsi="宋体"/>
        </w:rPr>
        <w:t>大县”称号。</w:t>
      </w:r>
    </w:p>
    <w:p w14:paraId="0C5D9D7A">
      <w:pPr>
        <w:ind w:firstLine="422"/>
        <w:rPr>
          <w:rFonts w:ascii="宋体" w:hAnsi="宋体"/>
        </w:rPr>
      </w:pPr>
      <w:r>
        <w:rPr>
          <w:rFonts w:ascii="宋体" w:hAnsi="宋体"/>
          <w:b/>
        </w:rPr>
        <w:t>1月20日</w:t>
      </w:r>
      <w:r>
        <w:rPr>
          <w:rFonts w:hint="eastAsia" w:ascii="宋体" w:hAnsi="宋体"/>
          <w:b/>
        </w:rPr>
        <w:t xml:space="preserve">  </w:t>
      </w:r>
      <w:r>
        <w:rPr>
          <w:rFonts w:ascii="宋体" w:hAnsi="宋体"/>
        </w:rPr>
        <w:t>南雄（广州）商业协会在</w:t>
      </w:r>
      <w:r>
        <w:rPr>
          <w:rFonts w:hint="eastAsia" w:ascii="宋体" w:hAnsi="宋体"/>
        </w:rPr>
        <w:t>广东大厦国际会议厅隆重举行成立大会。市委书记、市人大常委会主任林楚欣代表南雄市委、政府向南雄（广州）商会赠送纪念品、分别为南雄（广州）商会会长、名誉会长、秘书长理事授牌。</w:t>
      </w:r>
    </w:p>
    <w:p w14:paraId="46B97D2B">
      <w:pPr>
        <w:ind w:firstLine="422"/>
        <w:rPr>
          <w:rFonts w:ascii="宋体" w:hAnsi="宋体"/>
        </w:rPr>
      </w:pPr>
      <w:r>
        <w:rPr>
          <w:rFonts w:ascii="宋体" w:hAnsi="宋体"/>
          <w:b/>
        </w:rPr>
        <w:t>3月12日</w:t>
      </w:r>
      <w:r>
        <w:rPr>
          <w:rFonts w:hint="eastAsia" w:ascii="宋体" w:hAnsi="宋体"/>
          <w:b/>
        </w:rPr>
        <w:t xml:space="preserve">  </w:t>
      </w:r>
      <w:r>
        <w:rPr>
          <w:rFonts w:ascii="宋体" w:hAnsi="宋体"/>
        </w:rPr>
        <w:t>南雄市一中被北京奥组委、</w:t>
      </w:r>
      <w:r>
        <w:rPr>
          <w:rFonts w:hint="eastAsia" w:ascii="宋体" w:hAnsi="宋体"/>
        </w:rPr>
        <w:t>教育部命名“北京</w:t>
      </w:r>
      <w:r>
        <w:rPr>
          <w:rFonts w:ascii="宋体" w:hAnsi="宋体"/>
        </w:rPr>
        <w:t>2008奥林匹克教育示范学</w:t>
      </w:r>
      <w:r>
        <w:rPr>
          <w:rFonts w:hint="eastAsia" w:ascii="宋体" w:hAnsi="宋体"/>
        </w:rPr>
        <w:t>校”。</w:t>
      </w:r>
    </w:p>
    <w:p w14:paraId="75F7E68C">
      <w:pPr>
        <w:ind w:firstLine="422"/>
        <w:rPr>
          <w:rFonts w:ascii="宋体" w:hAnsi="宋体"/>
        </w:rPr>
      </w:pPr>
      <w:r>
        <w:rPr>
          <w:rFonts w:ascii="宋体" w:hAnsi="宋体"/>
          <w:b/>
        </w:rPr>
        <w:t>3月28日</w:t>
      </w:r>
      <w:r>
        <w:rPr>
          <w:rFonts w:hint="eastAsia" w:ascii="宋体" w:hAnsi="宋体"/>
          <w:b/>
        </w:rPr>
        <w:t xml:space="preserve">  </w:t>
      </w:r>
      <w:r>
        <w:rPr>
          <w:rFonts w:ascii="宋体" w:hAnsi="宋体"/>
        </w:rPr>
        <w:t>南雄市第十三届人大常委会</w:t>
      </w:r>
      <w:r>
        <w:rPr>
          <w:rFonts w:hint="eastAsia" w:ascii="宋体" w:hAnsi="宋体"/>
        </w:rPr>
        <w:t>召开第三次会议，任命许志新为南雄市人民政府副市长、代理市长。接受许建设辞去南雄市人民政府市长职务的请示。</w:t>
      </w:r>
    </w:p>
    <w:p w14:paraId="6930D7CF">
      <w:pPr>
        <w:ind w:firstLine="422"/>
        <w:rPr>
          <w:rFonts w:ascii="宋体" w:hAnsi="宋体"/>
        </w:rPr>
      </w:pPr>
      <w:r>
        <w:rPr>
          <w:rFonts w:ascii="宋体" w:hAnsi="宋体"/>
          <w:b/>
        </w:rPr>
        <w:t>4月13日</w:t>
      </w:r>
      <w:r>
        <w:rPr>
          <w:rFonts w:hint="eastAsia" w:ascii="宋体" w:hAnsi="宋体"/>
          <w:b/>
        </w:rPr>
        <w:t xml:space="preserve">  </w:t>
      </w:r>
      <w:r>
        <w:rPr>
          <w:rFonts w:ascii="宋体" w:hAnsi="宋体"/>
        </w:rPr>
        <w:t>南雄市机关幼儿园隆重举行</w:t>
      </w:r>
      <w:r>
        <w:rPr>
          <w:rFonts w:hint="eastAsia" w:ascii="宋体" w:hAnsi="宋体"/>
        </w:rPr>
        <w:t>“全国巾帼文明岗挂牌仪式”这是机关幼儿园继荣获广东省“巾帼文明岗”之后获得的又一殊荣。</w:t>
      </w:r>
    </w:p>
    <w:p w14:paraId="74B108B2">
      <w:pPr>
        <w:ind w:firstLine="422"/>
        <w:rPr>
          <w:rFonts w:ascii="宋体" w:hAnsi="宋体"/>
        </w:rPr>
      </w:pPr>
      <w:r>
        <w:rPr>
          <w:rFonts w:ascii="宋体" w:hAnsi="宋体"/>
          <w:b/>
        </w:rPr>
        <w:t>4月24日至25日</w:t>
      </w:r>
      <w:r>
        <w:rPr>
          <w:rFonts w:hint="eastAsia" w:ascii="宋体" w:hAnsi="宋体"/>
          <w:b/>
        </w:rPr>
        <w:t xml:space="preserve">  </w:t>
      </w:r>
      <w:r>
        <w:rPr>
          <w:rFonts w:ascii="宋体" w:hAnsi="宋体"/>
        </w:rPr>
        <w:t>南雄市召开南雄市</w:t>
      </w:r>
      <w:r>
        <w:rPr>
          <w:rFonts w:hint="eastAsia" w:ascii="宋体" w:hAnsi="宋体"/>
        </w:rPr>
        <w:t>十三届人大二次会议，许志新同志当选南雄市人民政府市长。市委书记、市人大常委会主任林楚欣依次为新当选的是十三届人大常委会委员及市长颁发当选证书。</w:t>
      </w:r>
    </w:p>
    <w:p w14:paraId="5C804813">
      <w:pPr>
        <w:ind w:firstLine="422"/>
        <w:rPr>
          <w:rFonts w:ascii="宋体" w:hAnsi="宋体"/>
        </w:rPr>
      </w:pPr>
      <w:r>
        <w:rPr>
          <w:rFonts w:ascii="宋体" w:hAnsi="宋体"/>
          <w:b/>
        </w:rPr>
        <w:t>4月25日</w:t>
      </w:r>
      <w:r>
        <w:rPr>
          <w:rFonts w:hint="eastAsia" w:ascii="宋体" w:hAnsi="宋体"/>
          <w:b/>
        </w:rPr>
        <w:t xml:space="preserve">  </w:t>
      </w:r>
      <w:r>
        <w:rPr>
          <w:rFonts w:ascii="宋体" w:hAnsi="宋体"/>
        </w:rPr>
        <w:t>副省长雷于蓝率省财政</w:t>
      </w:r>
      <w:r>
        <w:rPr>
          <w:rFonts w:hint="eastAsia" w:ascii="宋体" w:hAnsi="宋体"/>
        </w:rPr>
        <w:t>、卫生、文化等部门的负责人在韶关市长郑振涛、副市长兰茵的陪同下，到南雄市调研基层医疗、卫生和文化事业的发展工作，让农村群众看病有保障。</w:t>
      </w:r>
    </w:p>
    <w:p w14:paraId="3A154A4B">
      <w:pPr>
        <w:ind w:firstLine="422"/>
        <w:rPr>
          <w:rFonts w:ascii="宋体" w:hAnsi="宋体"/>
        </w:rPr>
      </w:pPr>
      <w:r>
        <w:rPr>
          <w:rFonts w:ascii="宋体" w:hAnsi="宋体"/>
          <w:b/>
        </w:rPr>
        <w:t>5月22日至25日</w:t>
      </w:r>
      <w:r>
        <w:rPr>
          <w:rFonts w:hint="eastAsia" w:ascii="宋体" w:hAnsi="宋体"/>
          <w:b/>
        </w:rPr>
        <w:t xml:space="preserve">  </w:t>
      </w:r>
      <w:r>
        <w:rPr>
          <w:rFonts w:ascii="宋体" w:hAnsi="宋体"/>
        </w:rPr>
        <w:t>南雄籍运动员马丽芸</w:t>
      </w:r>
      <w:r>
        <w:rPr>
          <w:rFonts w:hint="eastAsia" w:ascii="宋体" w:hAnsi="宋体"/>
        </w:rPr>
        <w:t>代表国家队参加在泰国曼谷举行的第二届小轮车亚洲锦标赛，获女子冠军。</w:t>
      </w:r>
    </w:p>
    <w:p w14:paraId="4453690D">
      <w:pPr>
        <w:ind w:firstLine="422"/>
        <w:rPr>
          <w:rFonts w:ascii="宋体" w:hAnsi="宋体"/>
        </w:rPr>
      </w:pPr>
      <w:r>
        <w:rPr>
          <w:rFonts w:ascii="宋体" w:hAnsi="宋体"/>
          <w:b/>
        </w:rPr>
        <w:t>6月26日</w:t>
      </w:r>
      <w:r>
        <w:rPr>
          <w:rFonts w:hint="eastAsia" w:ascii="宋体" w:hAnsi="宋体"/>
          <w:b/>
        </w:rPr>
        <w:t xml:space="preserve">  </w:t>
      </w:r>
      <w:r>
        <w:rPr>
          <w:rFonts w:ascii="宋体" w:hAnsi="宋体"/>
        </w:rPr>
        <w:t>广东省老区建设促进会第七</w:t>
      </w:r>
      <w:r>
        <w:rPr>
          <w:rFonts w:hint="eastAsia" w:ascii="宋体" w:hAnsi="宋体"/>
        </w:rPr>
        <w:t>届理事会第一次理事长会议在南雄市召开，会议就老区公路建设、饮用水工程的资金问题得到解决。</w:t>
      </w:r>
    </w:p>
    <w:p w14:paraId="2F4DF206">
      <w:pPr>
        <w:ind w:firstLine="422"/>
        <w:rPr>
          <w:rFonts w:ascii="宋体" w:hAnsi="宋体"/>
        </w:rPr>
      </w:pPr>
      <w:r>
        <w:rPr>
          <w:rFonts w:ascii="宋体" w:hAnsi="宋体"/>
          <w:b/>
        </w:rPr>
        <w:t>6月28日</w:t>
      </w:r>
      <w:r>
        <w:rPr>
          <w:rFonts w:hint="eastAsia" w:ascii="宋体" w:hAnsi="宋体"/>
          <w:b/>
        </w:rPr>
        <w:t xml:space="preserve">  </w:t>
      </w:r>
      <w:r>
        <w:rPr>
          <w:rFonts w:ascii="宋体" w:hAnsi="宋体"/>
        </w:rPr>
        <w:t>南雄籍运动员马丽芸代表</w:t>
      </w:r>
      <w:r>
        <w:rPr>
          <w:rFonts w:hint="eastAsia" w:ascii="宋体" w:hAnsi="宋体"/>
        </w:rPr>
        <w:t>广东队参加在山西太原市举行</w:t>
      </w:r>
      <w:r>
        <w:rPr>
          <w:rFonts w:ascii="宋体" w:hAnsi="宋体"/>
        </w:rPr>
        <w:t>2007年全国自行</w:t>
      </w:r>
      <w:r>
        <w:rPr>
          <w:rFonts w:hint="eastAsia" w:ascii="宋体" w:hAnsi="宋体"/>
        </w:rPr>
        <w:t>车</w:t>
      </w:r>
      <w:r>
        <w:rPr>
          <w:rFonts w:ascii="宋体" w:hAnsi="宋体"/>
        </w:rPr>
        <w:t>BMX锦标赛暨全国青年锦标赛、夺女子成</w:t>
      </w:r>
      <w:r>
        <w:rPr>
          <w:rFonts w:hint="eastAsia" w:ascii="宋体" w:hAnsi="宋体"/>
        </w:rPr>
        <w:t>年组冠军。</w:t>
      </w:r>
    </w:p>
    <w:p w14:paraId="19FE8BAC">
      <w:pPr>
        <w:ind w:firstLine="422"/>
        <w:rPr>
          <w:rFonts w:ascii="宋体" w:hAnsi="宋体"/>
        </w:rPr>
      </w:pPr>
      <w:r>
        <w:rPr>
          <w:rFonts w:ascii="宋体" w:hAnsi="宋体"/>
          <w:b/>
        </w:rPr>
        <w:t>7月6日</w:t>
      </w:r>
      <w:r>
        <w:rPr>
          <w:rFonts w:hint="eastAsia" w:ascii="宋体" w:hAnsi="宋体"/>
          <w:b/>
        </w:rPr>
        <w:t xml:space="preserve">  </w:t>
      </w:r>
      <w:r>
        <w:rPr>
          <w:rFonts w:ascii="宋体" w:hAnsi="宋体"/>
        </w:rPr>
        <w:t>广东省委常委、纪委书记</w:t>
      </w:r>
      <w:r>
        <w:rPr>
          <w:rFonts w:hint="eastAsia" w:ascii="宋体" w:hAnsi="宋体"/>
        </w:rPr>
        <w:t>朱明国到南雄市检查纪检监察工作，对雄州街道推行“村账镇代记、组账村代记”工作制度，给于肯定、评价。</w:t>
      </w:r>
    </w:p>
    <w:p w14:paraId="5E2EE0A6">
      <w:pPr>
        <w:ind w:firstLine="422"/>
        <w:rPr>
          <w:rFonts w:ascii="宋体" w:hAnsi="宋体"/>
        </w:rPr>
      </w:pPr>
      <w:r>
        <w:rPr>
          <w:rFonts w:ascii="宋体" w:hAnsi="宋体"/>
          <w:b/>
        </w:rPr>
        <w:t>8月14日至15日</w:t>
      </w:r>
      <w:r>
        <w:rPr>
          <w:rFonts w:hint="eastAsia" w:ascii="宋体" w:hAnsi="宋体"/>
          <w:b/>
        </w:rPr>
        <w:t xml:space="preserve">  </w:t>
      </w:r>
      <w:r>
        <w:rPr>
          <w:rFonts w:ascii="宋体" w:hAnsi="宋体"/>
        </w:rPr>
        <w:t>广东省委副书记、政</w:t>
      </w:r>
      <w:r>
        <w:rPr>
          <w:rFonts w:hint="eastAsia" w:ascii="宋体" w:hAnsi="宋体"/>
        </w:rPr>
        <w:t>法委书记刘玉浦在南雄市调研社会治安综合治理和基层人民调解工作。对南雄市发挥基层人们调解员将社会矛盾解决在基层的做法给予了肯定。</w:t>
      </w:r>
    </w:p>
    <w:p w14:paraId="3C4C9F03">
      <w:pPr>
        <w:ind w:firstLine="422"/>
        <w:rPr>
          <w:rFonts w:ascii="宋体" w:hAnsi="宋体"/>
        </w:rPr>
      </w:pPr>
      <w:r>
        <w:rPr>
          <w:rFonts w:ascii="宋体" w:hAnsi="宋体"/>
          <w:b/>
        </w:rPr>
        <w:t>9月7日</w:t>
      </w:r>
      <w:r>
        <w:rPr>
          <w:rFonts w:hint="eastAsia" w:ascii="宋体" w:hAnsi="宋体"/>
          <w:b/>
        </w:rPr>
        <w:t xml:space="preserve">  </w:t>
      </w:r>
      <w:r>
        <w:rPr>
          <w:rFonts w:ascii="宋体" w:hAnsi="宋体"/>
        </w:rPr>
        <w:t>南雄市第十三届人大常委会召</w:t>
      </w:r>
      <w:r>
        <w:rPr>
          <w:rFonts w:hint="eastAsia" w:ascii="宋体" w:hAnsi="宋体"/>
        </w:rPr>
        <w:t>开第七次会议，丘德周当选南雄市人民政府副市长。</w:t>
      </w:r>
    </w:p>
    <w:p w14:paraId="7C15F50C">
      <w:pPr>
        <w:ind w:firstLine="420"/>
        <w:rPr>
          <w:rFonts w:ascii="宋体" w:hAnsi="宋体"/>
        </w:rPr>
      </w:pPr>
      <w:r>
        <w:rPr>
          <w:rFonts w:hint="eastAsia" w:ascii="宋体" w:hAnsi="宋体"/>
        </w:rPr>
        <w:t>南雄市青少年宫正式成立，暨青少年宫办公大楼竣工，该大楼兴建于</w:t>
      </w:r>
      <w:r>
        <w:rPr>
          <w:rFonts w:ascii="宋体" w:hAnsi="宋体"/>
        </w:rPr>
        <w:t>2005年，总投</w:t>
      </w:r>
      <w:r>
        <w:rPr>
          <w:rFonts w:hint="eastAsia" w:ascii="宋体" w:hAnsi="宋体"/>
        </w:rPr>
        <w:t>资</w:t>
      </w:r>
      <w:r>
        <w:rPr>
          <w:rFonts w:ascii="宋体" w:hAnsi="宋体"/>
        </w:rPr>
        <w:t>220万元、建筑面积2210平方米。</w:t>
      </w:r>
    </w:p>
    <w:p w14:paraId="5EE696D6">
      <w:pPr>
        <w:ind w:firstLine="422"/>
        <w:rPr>
          <w:rFonts w:ascii="宋体" w:hAnsi="宋体"/>
        </w:rPr>
      </w:pPr>
      <w:r>
        <w:rPr>
          <w:rFonts w:ascii="宋体" w:hAnsi="宋体"/>
          <w:b/>
        </w:rPr>
        <w:t>10月17日</w:t>
      </w:r>
      <w:r>
        <w:rPr>
          <w:rFonts w:hint="eastAsia" w:ascii="宋体" w:hAnsi="宋体"/>
          <w:b/>
        </w:rPr>
        <w:t xml:space="preserve">  </w:t>
      </w:r>
      <w:r>
        <w:rPr>
          <w:rFonts w:ascii="宋体" w:hAnsi="宋体"/>
        </w:rPr>
        <w:t>南雄市申报广东省可持续发</w:t>
      </w:r>
      <w:r>
        <w:rPr>
          <w:rFonts w:hint="eastAsia" w:ascii="宋体" w:hAnsi="宋体"/>
        </w:rPr>
        <w:t>展实验区通过省专家组的论证，同意推荐“广东省可持续发展实验区”。</w:t>
      </w:r>
    </w:p>
    <w:p w14:paraId="1612F8D5">
      <w:pPr>
        <w:ind w:firstLine="422"/>
        <w:rPr>
          <w:rFonts w:ascii="宋体" w:hAnsi="宋体"/>
        </w:rPr>
      </w:pPr>
      <w:r>
        <w:rPr>
          <w:rFonts w:ascii="宋体" w:hAnsi="宋体"/>
          <w:b/>
        </w:rPr>
        <w:t>11月1日</w:t>
      </w:r>
      <w:r>
        <w:rPr>
          <w:rFonts w:hint="eastAsia" w:ascii="宋体" w:hAnsi="宋体"/>
          <w:b/>
        </w:rPr>
        <w:t xml:space="preserve">  </w:t>
      </w:r>
      <w:r>
        <w:rPr>
          <w:rFonts w:ascii="宋体" w:hAnsi="宋体"/>
        </w:rPr>
        <w:t>南雄市雄州街道八一、新城</w:t>
      </w:r>
      <w:r>
        <w:rPr>
          <w:rFonts w:hint="eastAsia" w:ascii="宋体" w:hAnsi="宋体"/>
        </w:rPr>
        <w:t>两社区成为广东省首批“自治好、管理好、服务好、治安好、环境好、风尚好”的“六好”平安和谐社区。</w:t>
      </w:r>
    </w:p>
    <w:p w14:paraId="54981E4C">
      <w:pPr>
        <w:ind w:firstLine="422"/>
        <w:rPr>
          <w:rFonts w:ascii="宋体" w:hAnsi="宋体"/>
        </w:rPr>
      </w:pPr>
      <w:r>
        <w:rPr>
          <w:rFonts w:ascii="宋体" w:hAnsi="宋体"/>
          <w:b/>
        </w:rPr>
        <w:t>12月20日</w:t>
      </w:r>
      <w:r>
        <w:rPr>
          <w:rFonts w:hint="eastAsia" w:ascii="宋体" w:hAnsi="宋体"/>
          <w:b/>
        </w:rPr>
        <w:t xml:space="preserve">  </w:t>
      </w:r>
      <w:r>
        <w:rPr>
          <w:rFonts w:ascii="宋体" w:hAnsi="宋体"/>
        </w:rPr>
        <w:t>经韶关银监局批准中国邮政</w:t>
      </w:r>
      <w:r>
        <w:rPr>
          <w:rFonts w:hint="eastAsia" w:ascii="宋体" w:hAnsi="宋体"/>
        </w:rPr>
        <w:t>储蓄银行南雄支行正式挂牌成立，开始经营银行信贷业务。</w:t>
      </w:r>
    </w:p>
    <w:p w14:paraId="4A9F8187">
      <w:pPr>
        <w:pStyle w:val="3"/>
      </w:pPr>
      <w:r>
        <w:rPr>
          <w:rFonts w:hint="eastAsia"/>
        </w:rPr>
        <w:t>2008年大事记</w:t>
      </w:r>
    </w:p>
    <w:p w14:paraId="4E16626D">
      <w:pPr>
        <w:ind w:firstLine="422"/>
        <w:rPr>
          <w:rFonts w:ascii="宋体" w:hAnsi="宋体"/>
        </w:rPr>
      </w:pPr>
      <w:r>
        <w:rPr>
          <w:rFonts w:ascii="宋体" w:hAnsi="宋体"/>
          <w:b/>
        </w:rPr>
        <w:t>1月3日</w:t>
      </w:r>
      <w:r>
        <w:rPr>
          <w:rFonts w:hint="eastAsia" w:ascii="宋体" w:hAnsi="宋体"/>
          <w:b/>
        </w:rPr>
        <w:t xml:space="preserve">  </w:t>
      </w:r>
      <w:r>
        <w:rPr>
          <w:rFonts w:ascii="宋体" w:hAnsi="宋体"/>
        </w:rPr>
        <w:t>香港金满美业有限公司董事长</w:t>
      </w:r>
      <w:r>
        <w:rPr>
          <w:rFonts w:hint="eastAsia" w:ascii="宋体" w:hAnsi="宋体"/>
        </w:rPr>
        <w:t>陈经伦一起为澜河镇陈经伦学校落成暨九年一贯制学校启用仪式，并为学校挂牌。这是南雄市澜河镇的澜河中学与澜河小学合并诞生第一所九年一贯制学校。</w:t>
      </w:r>
    </w:p>
    <w:p w14:paraId="47FEE78A">
      <w:pPr>
        <w:ind w:firstLine="422"/>
        <w:rPr>
          <w:rFonts w:ascii="宋体" w:hAnsi="宋体"/>
        </w:rPr>
      </w:pPr>
      <w:r>
        <w:rPr>
          <w:rFonts w:ascii="宋体" w:hAnsi="宋体"/>
          <w:b/>
        </w:rPr>
        <w:t>1月10日</w:t>
      </w:r>
      <w:r>
        <w:rPr>
          <w:rFonts w:hint="eastAsia" w:ascii="宋体" w:hAnsi="宋体"/>
          <w:b/>
        </w:rPr>
        <w:t xml:space="preserve">  </w:t>
      </w:r>
      <w:r>
        <w:rPr>
          <w:rFonts w:ascii="宋体" w:hAnsi="宋体"/>
        </w:rPr>
        <w:t>南雄市被广东省委、省政府</w:t>
      </w:r>
      <w:r>
        <w:rPr>
          <w:rFonts w:hint="eastAsia" w:ascii="宋体" w:hAnsi="宋体"/>
        </w:rPr>
        <w:t>授予“广东省文明城市”光荣称号，成为全省</w:t>
      </w:r>
      <w:r>
        <w:rPr>
          <w:rFonts w:ascii="宋体" w:hAnsi="宋体"/>
        </w:rPr>
        <w:t>4个获此殊荣的城市之一。</w:t>
      </w:r>
    </w:p>
    <w:p w14:paraId="1B66ED43">
      <w:pPr>
        <w:ind w:firstLine="422"/>
        <w:rPr>
          <w:rFonts w:ascii="宋体" w:hAnsi="宋体"/>
        </w:rPr>
      </w:pPr>
      <w:r>
        <w:rPr>
          <w:rFonts w:ascii="宋体" w:hAnsi="宋体"/>
          <w:b/>
        </w:rPr>
        <w:t>2月5日</w:t>
      </w:r>
      <w:r>
        <w:rPr>
          <w:rFonts w:hint="eastAsia" w:ascii="宋体" w:hAnsi="宋体"/>
          <w:b/>
        </w:rPr>
        <w:t xml:space="preserve">  </w:t>
      </w:r>
      <w:r>
        <w:rPr>
          <w:rFonts w:ascii="宋体" w:hAnsi="宋体"/>
        </w:rPr>
        <w:t>受中央政治局委员、广东省委</w:t>
      </w:r>
      <w:r>
        <w:rPr>
          <w:rFonts w:hint="eastAsia" w:ascii="宋体" w:hAnsi="宋体"/>
        </w:rPr>
        <w:t>书记汪洋委托，省人大常委会主任欧广源到南雄市了解雨冰冻灾害情况，检查指导抗寒救灾工作，慰问灾区群众。自</w:t>
      </w:r>
      <w:r>
        <w:rPr>
          <w:rFonts w:ascii="宋体" w:hAnsi="宋体"/>
        </w:rPr>
        <w:t>1月25日以来，</w:t>
      </w:r>
      <w:r>
        <w:rPr>
          <w:rFonts w:hint="eastAsia" w:ascii="宋体" w:hAnsi="宋体"/>
        </w:rPr>
        <w:t>南雄市大部分地区出现</w:t>
      </w:r>
      <w:r>
        <w:rPr>
          <w:rFonts w:ascii="宋体" w:hAnsi="宋体"/>
        </w:rPr>
        <w:t>80年一遇罕见的持续</w:t>
      </w:r>
      <w:r>
        <w:rPr>
          <w:rFonts w:hint="eastAsia" w:ascii="宋体" w:hAnsi="宋体"/>
        </w:rPr>
        <w:t>低温、阴雨、冰雪恶劣天气，南雄市受灾人口</w:t>
      </w:r>
      <w:r>
        <w:rPr>
          <w:rFonts w:ascii="宋体" w:hAnsi="宋体"/>
        </w:rPr>
        <w:t>9.5万人，经济损失4.68亿元。</w:t>
      </w:r>
    </w:p>
    <w:p w14:paraId="22638A6B">
      <w:pPr>
        <w:ind w:firstLine="422"/>
        <w:rPr>
          <w:rFonts w:ascii="宋体" w:hAnsi="宋体"/>
        </w:rPr>
      </w:pPr>
      <w:r>
        <w:rPr>
          <w:rFonts w:hint="eastAsia" w:ascii="宋体" w:hAnsi="宋体"/>
          <w:b/>
        </w:rPr>
        <w:t>4</w:t>
      </w:r>
      <w:r>
        <w:rPr>
          <w:rFonts w:ascii="宋体" w:hAnsi="宋体"/>
          <w:b/>
        </w:rPr>
        <w:t>月17日</w:t>
      </w:r>
      <w:r>
        <w:rPr>
          <w:rFonts w:hint="eastAsia" w:ascii="宋体" w:hAnsi="宋体"/>
          <w:b/>
        </w:rPr>
        <w:t xml:space="preserve">  </w:t>
      </w:r>
      <w:r>
        <w:rPr>
          <w:rFonts w:ascii="宋体" w:hAnsi="宋体"/>
        </w:rPr>
        <w:t>香港热心人士梁广榕到南雄</w:t>
      </w:r>
      <w:r>
        <w:rPr>
          <w:rFonts w:hint="eastAsia" w:ascii="宋体" w:hAnsi="宋体"/>
        </w:rPr>
        <w:t>市，深入黄坑中学、南雄中学、湖口梁广榕中学和江头坪岗小学了解校舍的建设情况，捐助人民币</w:t>
      </w:r>
      <w:r>
        <w:rPr>
          <w:rFonts w:ascii="宋体" w:hAnsi="宋体"/>
        </w:rPr>
        <w:t>29.5万元支持五所学校校舍建</w:t>
      </w:r>
      <w:r>
        <w:rPr>
          <w:rFonts w:hint="eastAsia" w:ascii="宋体" w:hAnsi="宋体"/>
        </w:rPr>
        <w:t>设，支持南雄的教育事业。</w:t>
      </w:r>
    </w:p>
    <w:p w14:paraId="18E1C78D">
      <w:pPr>
        <w:ind w:firstLine="422"/>
        <w:rPr>
          <w:rFonts w:ascii="宋体" w:hAnsi="宋体"/>
        </w:rPr>
      </w:pPr>
      <w:r>
        <w:rPr>
          <w:rFonts w:ascii="宋体" w:hAnsi="宋体"/>
          <w:b/>
        </w:rPr>
        <w:t>5月6日</w:t>
      </w:r>
      <w:r>
        <w:rPr>
          <w:rFonts w:hint="eastAsia" w:ascii="宋体" w:hAnsi="宋体"/>
          <w:b/>
        </w:rPr>
        <w:t xml:space="preserve">  </w:t>
      </w:r>
      <w:r>
        <w:rPr>
          <w:rFonts w:ascii="宋体" w:hAnsi="宋体"/>
        </w:rPr>
        <w:t>广东南雄珠玑巷后裔联谊会在</w:t>
      </w:r>
      <w:r>
        <w:rPr>
          <w:rFonts w:hint="eastAsia" w:ascii="宋体" w:hAnsi="宋体"/>
        </w:rPr>
        <w:t>广州重新注册成立，各项筹备工作完成，召开会员代表大会，选举产生联谊会新一届组织机构，黎子流再次当选联谊会会长。</w:t>
      </w:r>
    </w:p>
    <w:p w14:paraId="4E44D971">
      <w:pPr>
        <w:ind w:firstLine="422"/>
        <w:rPr>
          <w:rFonts w:ascii="宋体" w:hAnsi="宋体"/>
        </w:rPr>
      </w:pPr>
      <w:r>
        <w:rPr>
          <w:rFonts w:ascii="宋体" w:hAnsi="宋体"/>
          <w:b/>
        </w:rPr>
        <w:t>5月10日</w:t>
      </w:r>
      <w:r>
        <w:rPr>
          <w:rFonts w:hint="eastAsia" w:ascii="宋体" w:hAnsi="宋体"/>
          <w:b/>
        </w:rPr>
        <w:t xml:space="preserve">  </w:t>
      </w:r>
      <w:r>
        <w:rPr>
          <w:rFonts w:ascii="宋体" w:hAnsi="宋体"/>
        </w:rPr>
        <w:t>中纪委、中宣部、文化部廉</w:t>
      </w:r>
      <w:r>
        <w:rPr>
          <w:rFonts w:hint="eastAsia" w:ascii="宋体" w:hAnsi="宋体"/>
        </w:rPr>
        <w:t>政文化建设调研组在南雄市调研时指出：南雄市廉政文化建设工作形式新颖、成效明显、各项工作走在全国各县的前列，其做法和经验值得在全国倡导。</w:t>
      </w:r>
    </w:p>
    <w:p w14:paraId="3F2DD234">
      <w:pPr>
        <w:ind w:firstLine="422"/>
        <w:rPr>
          <w:rFonts w:ascii="宋体" w:hAnsi="宋体"/>
        </w:rPr>
      </w:pPr>
      <w:r>
        <w:rPr>
          <w:rFonts w:ascii="宋体" w:hAnsi="宋体"/>
          <w:b/>
        </w:rPr>
        <w:t>5月12日</w:t>
      </w:r>
      <w:r>
        <w:rPr>
          <w:rFonts w:hint="eastAsia" w:ascii="宋体" w:hAnsi="宋体"/>
          <w:b/>
        </w:rPr>
        <w:t xml:space="preserve">  </w:t>
      </w:r>
      <w:r>
        <w:rPr>
          <w:rFonts w:ascii="宋体" w:hAnsi="宋体"/>
        </w:rPr>
        <w:t>四川省汶川县发生8.0级地</w:t>
      </w:r>
      <w:r>
        <w:rPr>
          <w:rFonts w:hint="eastAsia" w:ascii="宋体" w:hAnsi="宋体"/>
        </w:rPr>
        <w:t>震，南雄市各级政府、各界人士、筹集捐款</w:t>
      </w:r>
      <w:r>
        <w:rPr>
          <w:rFonts w:ascii="宋体" w:hAnsi="宋体"/>
        </w:rPr>
        <w:t>2315207.95元支援灾区建设。</w:t>
      </w:r>
    </w:p>
    <w:p w14:paraId="1A7A3FC4">
      <w:pPr>
        <w:ind w:firstLine="422"/>
        <w:rPr>
          <w:rFonts w:ascii="宋体" w:hAnsi="宋体"/>
        </w:rPr>
      </w:pPr>
      <w:r>
        <w:rPr>
          <w:rFonts w:ascii="宋体" w:hAnsi="宋体"/>
          <w:b/>
        </w:rPr>
        <w:t>6月23日</w:t>
      </w:r>
      <w:r>
        <w:rPr>
          <w:rFonts w:hint="eastAsia" w:ascii="宋体" w:hAnsi="宋体"/>
          <w:b/>
        </w:rPr>
        <w:t xml:space="preserve">  </w:t>
      </w:r>
      <w:r>
        <w:rPr>
          <w:rFonts w:ascii="宋体" w:hAnsi="宋体"/>
        </w:rPr>
        <w:t>走过百年历史的南雄中学，</w:t>
      </w:r>
      <w:r>
        <w:rPr>
          <w:rFonts w:hint="eastAsia" w:ascii="宋体" w:hAnsi="宋体"/>
        </w:rPr>
        <w:t>晋升广东省国家级示范普通高中。</w:t>
      </w:r>
    </w:p>
    <w:p w14:paraId="58F63D6E">
      <w:pPr>
        <w:ind w:firstLine="422"/>
        <w:rPr>
          <w:rFonts w:ascii="宋体" w:hAnsi="宋体"/>
        </w:rPr>
      </w:pPr>
      <w:r>
        <w:rPr>
          <w:rFonts w:ascii="宋体" w:hAnsi="宋体"/>
          <w:b/>
        </w:rPr>
        <w:t>8月23日</w:t>
      </w:r>
      <w:r>
        <w:rPr>
          <w:rFonts w:hint="eastAsia" w:ascii="宋体" w:hAnsi="宋体"/>
          <w:b/>
        </w:rPr>
        <w:t xml:space="preserve">  </w:t>
      </w:r>
      <w:r>
        <w:rPr>
          <w:rFonts w:ascii="宋体" w:hAnsi="宋体"/>
        </w:rPr>
        <w:t>南雄籍运动员马丽芸代表中</w:t>
      </w:r>
      <w:r>
        <w:rPr>
          <w:rFonts w:hint="eastAsia" w:ascii="宋体" w:hAnsi="宋体"/>
        </w:rPr>
        <w:t>国参加北京奥运会小轮车女子个人项目的比赛。</w:t>
      </w:r>
    </w:p>
    <w:p w14:paraId="53799A99">
      <w:pPr>
        <w:ind w:firstLine="422"/>
        <w:rPr>
          <w:rFonts w:ascii="宋体" w:hAnsi="宋体"/>
        </w:rPr>
      </w:pPr>
      <w:r>
        <w:rPr>
          <w:rFonts w:ascii="宋体" w:hAnsi="宋体"/>
          <w:b/>
        </w:rPr>
        <w:t>12月9日</w:t>
      </w:r>
      <w:r>
        <w:rPr>
          <w:rFonts w:hint="eastAsia" w:ascii="宋体" w:hAnsi="宋体"/>
          <w:b/>
        </w:rPr>
        <w:t xml:space="preserve">  </w:t>
      </w:r>
      <w:r>
        <w:rPr>
          <w:rFonts w:ascii="宋体" w:hAnsi="宋体"/>
        </w:rPr>
        <w:t>南雄市</w:t>
      </w:r>
      <w:r>
        <w:rPr>
          <w:rFonts w:hint="eastAsia" w:ascii="宋体" w:hAnsi="宋体"/>
        </w:rPr>
        <w:t>“</w:t>
      </w:r>
      <w:r>
        <w:rPr>
          <w:rFonts w:ascii="宋体" w:hAnsi="宋体"/>
        </w:rPr>
        <w:t>南雄连心楼</w:t>
      </w:r>
      <w:r>
        <w:rPr>
          <w:rFonts w:hint="eastAsia" w:ascii="宋体" w:hAnsi="宋体"/>
        </w:rPr>
        <w:t>”</w:t>
      </w:r>
      <w:r>
        <w:rPr>
          <w:rFonts w:ascii="宋体" w:hAnsi="宋体"/>
        </w:rPr>
        <w:t>网络</w:t>
      </w:r>
      <w:r>
        <w:rPr>
          <w:rFonts w:hint="eastAsia" w:ascii="宋体" w:hAnsi="宋体"/>
        </w:rPr>
        <w:t>论坛正式开楼。</w:t>
      </w:r>
    </w:p>
    <w:p w14:paraId="134E33BF">
      <w:pPr>
        <w:ind w:firstLine="422"/>
        <w:rPr>
          <w:rFonts w:ascii="宋体" w:hAnsi="宋体"/>
        </w:rPr>
      </w:pPr>
      <w:r>
        <w:rPr>
          <w:rFonts w:ascii="宋体" w:hAnsi="宋体"/>
          <w:b/>
        </w:rPr>
        <w:t>12月10日</w:t>
      </w:r>
      <w:r>
        <w:rPr>
          <w:rFonts w:hint="eastAsia" w:ascii="宋体" w:hAnsi="宋体"/>
          <w:b/>
        </w:rPr>
        <w:t xml:space="preserve">  </w:t>
      </w:r>
      <w:r>
        <w:rPr>
          <w:rFonts w:ascii="宋体" w:hAnsi="宋体"/>
        </w:rPr>
        <w:t>南雄市农村信用合作联社正</w:t>
      </w:r>
      <w:r>
        <w:rPr>
          <w:rFonts w:hint="eastAsia" w:ascii="宋体" w:hAnsi="宋体"/>
        </w:rPr>
        <w:t>式成立。</w:t>
      </w:r>
    </w:p>
    <w:p w14:paraId="14649B0B">
      <w:pPr>
        <w:ind w:firstLine="422"/>
        <w:rPr>
          <w:rFonts w:ascii="宋体" w:hAnsi="宋体"/>
        </w:rPr>
      </w:pPr>
      <w:r>
        <w:rPr>
          <w:rFonts w:ascii="宋体" w:hAnsi="宋体"/>
          <w:b/>
        </w:rPr>
        <w:t>12月14日</w:t>
      </w:r>
      <w:r>
        <w:rPr>
          <w:rFonts w:hint="eastAsia" w:ascii="宋体" w:hAnsi="宋体"/>
          <w:b/>
        </w:rPr>
        <w:t xml:space="preserve">  </w:t>
      </w:r>
      <w:r>
        <w:rPr>
          <w:rFonts w:ascii="宋体" w:hAnsi="宋体"/>
        </w:rPr>
        <w:t>南雄市一中通过广东省国家</w:t>
      </w:r>
      <w:r>
        <w:rPr>
          <w:rFonts w:hint="eastAsia" w:ascii="宋体" w:hAnsi="宋体"/>
        </w:rPr>
        <w:t>级示范性普通高验收。</w:t>
      </w:r>
    </w:p>
    <w:p w14:paraId="6E8FC926">
      <w:pPr>
        <w:ind w:firstLine="422"/>
        <w:rPr>
          <w:rFonts w:ascii="宋体" w:hAnsi="宋体"/>
        </w:rPr>
      </w:pPr>
      <w:r>
        <w:rPr>
          <w:rFonts w:ascii="宋体" w:hAnsi="宋体"/>
          <w:b/>
        </w:rPr>
        <w:t>12月15日</w:t>
      </w:r>
      <w:r>
        <w:rPr>
          <w:rFonts w:hint="eastAsia" w:ascii="宋体" w:hAnsi="宋体"/>
          <w:b/>
        </w:rPr>
        <w:t xml:space="preserve">  </w:t>
      </w:r>
      <w:r>
        <w:rPr>
          <w:rFonts w:ascii="宋体" w:hAnsi="宋体"/>
        </w:rPr>
        <w:t>南雄市公安局新办公大楼落</w:t>
      </w:r>
      <w:r>
        <w:rPr>
          <w:rFonts w:hint="eastAsia" w:ascii="宋体" w:hAnsi="宋体"/>
        </w:rPr>
        <w:t>成，投人使用，新办公楼位于雄中路</w:t>
      </w:r>
      <w:r>
        <w:rPr>
          <w:rFonts w:ascii="宋体" w:hAnsi="宋体"/>
        </w:rPr>
        <w:t>120号，</w:t>
      </w:r>
      <w:r>
        <w:rPr>
          <w:rFonts w:hint="eastAsia" w:ascii="宋体" w:hAnsi="宋体"/>
        </w:rPr>
        <w:t>占地面积</w:t>
      </w:r>
      <w:r>
        <w:rPr>
          <w:rFonts w:ascii="宋体" w:hAnsi="宋体"/>
        </w:rPr>
        <w:t>1700平方米、办公面积10080平方</w:t>
      </w:r>
      <w:r>
        <w:rPr>
          <w:rFonts w:hint="eastAsia" w:ascii="宋体" w:hAnsi="宋体"/>
        </w:rPr>
        <w:t>米，集民警办公、指挥调度、出入境户政管理于一体。该局办证厅于</w:t>
      </w:r>
      <w:r>
        <w:rPr>
          <w:rFonts w:ascii="宋体" w:hAnsi="宋体"/>
        </w:rPr>
        <w:t>11月份通过考核，</w:t>
      </w:r>
      <w:r>
        <w:rPr>
          <w:rFonts w:hint="eastAsia" w:ascii="宋体" w:hAnsi="宋体"/>
        </w:rPr>
        <w:t>荣获“省级文明窗口”称号。</w:t>
      </w:r>
    </w:p>
    <w:p w14:paraId="66AD35ED">
      <w:pPr>
        <w:ind w:firstLine="422"/>
        <w:rPr>
          <w:rFonts w:ascii="宋体" w:hAnsi="宋体"/>
        </w:rPr>
      </w:pPr>
      <w:r>
        <w:rPr>
          <w:rFonts w:ascii="宋体" w:hAnsi="宋体"/>
          <w:b/>
        </w:rPr>
        <w:t>12月28日</w:t>
      </w:r>
      <w:r>
        <w:rPr>
          <w:rFonts w:hint="eastAsia" w:ascii="宋体" w:hAnsi="宋体"/>
        </w:rPr>
        <w:t xml:space="preserve">  </w:t>
      </w:r>
      <w:r>
        <w:rPr>
          <w:rFonts w:ascii="宋体" w:hAnsi="宋体"/>
        </w:rPr>
        <w:t>南雄市举行广东南雄精细化</w:t>
      </w:r>
      <w:r>
        <w:rPr>
          <w:rFonts w:hint="eastAsia" w:ascii="宋体" w:hAnsi="宋体"/>
        </w:rPr>
        <w:t>工基地挂牌暨</w:t>
      </w:r>
      <w:r>
        <w:rPr>
          <w:rFonts w:ascii="宋体" w:hAnsi="宋体"/>
        </w:rPr>
        <w:t>2008经贸合作推介会，成功签</w:t>
      </w:r>
      <w:r>
        <w:rPr>
          <w:rFonts w:hint="eastAsia" w:ascii="宋体" w:hAnsi="宋体"/>
        </w:rPr>
        <w:t>约</w:t>
      </w:r>
      <w:r>
        <w:rPr>
          <w:rFonts w:ascii="宋体" w:hAnsi="宋体"/>
        </w:rPr>
        <w:t>24个招商项目，签约资金38.52亿元。有8个项目竣工投产，投资总额1.91亿元；20</w:t>
      </w:r>
      <w:r>
        <w:rPr>
          <w:rFonts w:hint="eastAsia" w:ascii="宋体" w:hAnsi="宋体"/>
        </w:rPr>
        <w:t>个项目破土动工，投资总额</w:t>
      </w:r>
      <w:r>
        <w:rPr>
          <w:rFonts w:ascii="宋体" w:hAnsi="宋体"/>
        </w:rPr>
        <w:t>14.66亿元。</w:t>
      </w:r>
    </w:p>
    <w:p w14:paraId="27A72478">
      <w:pPr>
        <w:pStyle w:val="3"/>
      </w:pPr>
      <w:r>
        <w:rPr>
          <w:rFonts w:hint="eastAsia"/>
        </w:rPr>
        <w:t>2009年大事记</w:t>
      </w:r>
    </w:p>
    <w:p w14:paraId="5C929772">
      <w:pPr>
        <w:ind w:firstLine="422"/>
        <w:rPr>
          <w:rFonts w:ascii="宋体" w:hAnsi="宋体"/>
        </w:rPr>
      </w:pPr>
      <w:r>
        <w:rPr>
          <w:rFonts w:ascii="宋体" w:hAnsi="宋体"/>
          <w:b/>
        </w:rPr>
        <w:t>1月14日</w:t>
      </w:r>
      <w:r>
        <w:rPr>
          <w:rFonts w:hint="eastAsia" w:ascii="宋体" w:hAnsi="宋体"/>
          <w:b/>
        </w:rPr>
        <w:t xml:space="preserve">  </w:t>
      </w:r>
      <w:r>
        <w:rPr>
          <w:rFonts w:ascii="宋体" w:hAnsi="宋体"/>
        </w:rPr>
        <w:t>韶关市镇通村公路建设管理</w:t>
      </w:r>
      <w:r>
        <w:rPr>
          <w:rFonts w:hint="eastAsia" w:ascii="宋体" w:hAnsi="宋体"/>
        </w:rPr>
        <w:t>工作会议在南雄召开。韶关市副市长邹永松，省公路局副局长苏纪开，市长许志新、副市长何人平等领导参加会议。</w:t>
      </w:r>
    </w:p>
    <w:p w14:paraId="62412768">
      <w:pPr>
        <w:ind w:firstLine="422"/>
        <w:rPr>
          <w:rFonts w:ascii="宋体" w:hAnsi="宋体"/>
        </w:rPr>
      </w:pPr>
      <w:r>
        <w:rPr>
          <w:rFonts w:ascii="宋体" w:hAnsi="宋体"/>
          <w:b/>
        </w:rPr>
        <w:t>1月15日</w:t>
      </w:r>
      <w:r>
        <w:rPr>
          <w:rFonts w:hint="eastAsia" w:ascii="宋体" w:hAnsi="宋体"/>
          <w:b/>
        </w:rPr>
        <w:t xml:space="preserve">  </w:t>
      </w:r>
      <w:r>
        <w:rPr>
          <w:rFonts w:ascii="宋体" w:hAnsi="宋体"/>
        </w:rPr>
        <w:t>中共中央政治局委员、广东</w:t>
      </w:r>
      <w:r>
        <w:rPr>
          <w:rFonts w:hint="eastAsia" w:ascii="宋体" w:hAnsi="宋体"/>
        </w:rPr>
        <w:t>省委书记汪洋，省委常委、省委秘书长徐少华，省政协副主席、省民革主委周天鸿以及省直有关部门负责人，韶关市委书记徐建华、市长郑振涛等领导到南雄调研慰问。市领导林楚欣、许志新、颜亮、陈玉英等陪同调研。</w:t>
      </w:r>
    </w:p>
    <w:p w14:paraId="36B2FFF5">
      <w:pPr>
        <w:ind w:firstLine="422"/>
        <w:rPr>
          <w:rFonts w:ascii="宋体" w:hAnsi="宋体"/>
        </w:rPr>
      </w:pPr>
      <w:r>
        <w:rPr>
          <w:rFonts w:ascii="宋体" w:hAnsi="宋体"/>
          <w:b/>
        </w:rPr>
        <w:t>1月16日</w:t>
      </w:r>
      <w:r>
        <w:rPr>
          <w:rFonts w:hint="eastAsia" w:ascii="宋体" w:hAnsi="宋体"/>
          <w:b/>
        </w:rPr>
        <w:t xml:space="preserve">  </w:t>
      </w:r>
      <w:r>
        <w:rPr>
          <w:rFonts w:ascii="宋体" w:hAnsi="宋体"/>
        </w:rPr>
        <w:t>市召开市委十一届六次全会。</w:t>
      </w:r>
      <w:r>
        <w:rPr>
          <w:rFonts w:hint="eastAsia" w:ascii="宋体" w:hAnsi="宋体"/>
        </w:rPr>
        <w:t>会议认真贯彻落实党的十七届三中全会、中央经济工作会议、中央农村工作会议、省委十届四次全会、韶关市委十届六次全会精神和省委书记汪洋在南雄调研讲话精神，号召全市进一步解放思想，坚定信心，抢抓机遇，以建设富裕文明和谐安康粤北门户城市为总抓手，着力加快精细化工、浆纸制造、陶瓷建材“三大工业产业”发展，确保今年实现生产总值增长</w:t>
      </w:r>
      <w:r>
        <w:rPr>
          <w:rFonts w:ascii="宋体" w:hAnsi="宋体"/>
        </w:rPr>
        <w:t>13%以上，地方财政一般预算</w:t>
      </w:r>
      <w:r>
        <w:rPr>
          <w:rFonts w:hint="eastAsia" w:ascii="宋体" w:hAnsi="宋体"/>
        </w:rPr>
        <w:t>收入增长</w:t>
      </w:r>
      <w:r>
        <w:rPr>
          <w:rFonts w:ascii="宋体" w:hAnsi="宋体"/>
        </w:rPr>
        <w:t>13%以上的奋斗目标。</w:t>
      </w:r>
    </w:p>
    <w:p w14:paraId="63B8335A">
      <w:pPr>
        <w:ind w:firstLine="422"/>
        <w:rPr>
          <w:rFonts w:ascii="宋体" w:hAnsi="宋体"/>
        </w:rPr>
      </w:pPr>
      <w:r>
        <w:rPr>
          <w:rFonts w:ascii="宋体" w:hAnsi="宋体"/>
          <w:b/>
        </w:rPr>
        <w:t>1月21日</w:t>
      </w:r>
      <w:r>
        <w:rPr>
          <w:rFonts w:hint="eastAsia" w:ascii="宋体" w:hAnsi="宋体"/>
          <w:b/>
        </w:rPr>
        <w:t xml:space="preserve">  </w:t>
      </w:r>
      <w:r>
        <w:rPr>
          <w:rFonts w:ascii="宋体" w:hAnsi="宋体"/>
        </w:rPr>
        <w:t>市召开党政领导班子联席会</w:t>
      </w:r>
      <w:r>
        <w:rPr>
          <w:rFonts w:hint="eastAsia" w:ascii="宋体" w:hAnsi="宋体"/>
        </w:rPr>
        <w:t>议。专门研究如何贯彻落实好中央政治局委员、广东省委书记汪洋同志在南雄调研时的讲话精神。主要围绕贯彻落实的态度、做好分片会议召开的准备、贯彻落实的措施和请求上级支持的有关事项四个方面进行研究和讨论。</w:t>
      </w:r>
    </w:p>
    <w:p w14:paraId="5E51915C">
      <w:pPr>
        <w:ind w:firstLine="422"/>
        <w:rPr>
          <w:rFonts w:ascii="宋体" w:hAnsi="宋体"/>
        </w:rPr>
      </w:pPr>
      <w:r>
        <w:rPr>
          <w:rFonts w:ascii="宋体" w:hAnsi="宋体"/>
          <w:b/>
        </w:rPr>
        <w:t>2月11至12日</w:t>
      </w:r>
      <w:r>
        <w:rPr>
          <w:rFonts w:hint="eastAsia" w:ascii="宋体" w:hAnsi="宋体"/>
          <w:b/>
        </w:rPr>
        <w:t xml:space="preserve">  </w:t>
      </w:r>
      <w:r>
        <w:rPr>
          <w:rFonts w:ascii="宋体" w:hAnsi="宋体"/>
        </w:rPr>
        <w:t>广东省委深入学习实践</w:t>
      </w:r>
      <w:r>
        <w:rPr>
          <w:rFonts w:hint="eastAsia" w:ascii="宋体" w:hAnsi="宋体"/>
        </w:rPr>
        <w:t>科学发展观活动领导小组办公室组织新华社广东分社、中央人民广播电台、南方日报、羊城晚报、广东人民广播电台、广东电视台、南方电视台、南方网等</w:t>
      </w:r>
      <w:r>
        <w:rPr>
          <w:rFonts w:ascii="宋体" w:hAnsi="宋体"/>
        </w:rPr>
        <w:t>8家中省新闻媒体及</w:t>
      </w:r>
      <w:r>
        <w:rPr>
          <w:rFonts w:hint="eastAsia" w:ascii="宋体" w:hAnsi="宋体"/>
        </w:rPr>
        <w:t>韶关日报、韶关电视台、韶关电台前来采访南雄在贯彻实施“双转移”战略中，打造精细化工基地和加强劳动力培训就业方面所取得的成功经验和先进做法。</w:t>
      </w:r>
    </w:p>
    <w:p w14:paraId="64FE938A">
      <w:pPr>
        <w:ind w:firstLine="422"/>
        <w:rPr>
          <w:rFonts w:ascii="宋体" w:hAnsi="宋体"/>
        </w:rPr>
      </w:pPr>
      <w:r>
        <w:rPr>
          <w:rFonts w:ascii="宋体" w:hAnsi="宋体"/>
          <w:b/>
        </w:rPr>
        <w:t>2月13日</w:t>
      </w:r>
      <w:r>
        <w:rPr>
          <w:rFonts w:hint="eastAsia" w:ascii="宋体" w:hAnsi="宋体"/>
          <w:b/>
        </w:rPr>
        <w:t xml:space="preserve">  </w:t>
      </w:r>
      <w:r>
        <w:rPr>
          <w:rFonts w:ascii="宋体" w:hAnsi="宋体"/>
        </w:rPr>
        <w:t>韶关市委副书记华培强在市</w:t>
      </w:r>
      <w:r>
        <w:rPr>
          <w:rFonts w:hint="eastAsia" w:ascii="宋体" w:hAnsi="宋体"/>
        </w:rPr>
        <w:t>领导许志新、颜亮、陈玉英等陪同下，深入油山镇进行调研。</w:t>
      </w:r>
    </w:p>
    <w:p w14:paraId="3B84190B">
      <w:pPr>
        <w:ind w:firstLine="422"/>
        <w:rPr>
          <w:rFonts w:ascii="宋体" w:hAnsi="宋体"/>
        </w:rPr>
      </w:pPr>
      <w:r>
        <w:rPr>
          <w:rFonts w:ascii="宋体" w:hAnsi="宋体"/>
          <w:b/>
        </w:rPr>
        <w:t>2月18日</w:t>
      </w:r>
      <w:r>
        <w:rPr>
          <w:rFonts w:hint="eastAsia" w:ascii="宋体" w:hAnsi="宋体"/>
          <w:b/>
        </w:rPr>
        <w:t xml:space="preserve">  </w:t>
      </w:r>
      <w:r>
        <w:rPr>
          <w:rFonts w:ascii="宋体" w:hAnsi="宋体"/>
        </w:rPr>
        <w:t>广东省军区副司令员倪增少</w:t>
      </w:r>
      <w:r>
        <w:rPr>
          <w:rFonts w:hint="eastAsia" w:ascii="宋体" w:hAnsi="宋体"/>
        </w:rPr>
        <w:t>将率检查组到南雄调研党管武装建设工作。韶关军分区司令员郭毅强和市领导林楚欣、单荣龙、何人平陪同调研。</w:t>
      </w:r>
    </w:p>
    <w:p w14:paraId="5CB22352">
      <w:pPr>
        <w:ind w:firstLine="422"/>
        <w:rPr>
          <w:rFonts w:ascii="宋体" w:hAnsi="宋体"/>
        </w:rPr>
      </w:pPr>
      <w:r>
        <w:rPr>
          <w:rFonts w:ascii="宋体" w:hAnsi="宋体"/>
          <w:b/>
        </w:rPr>
        <w:t>2月27日</w:t>
      </w:r>
      <w:r>
        <w:rPr>
          <w:rFonts w:hint="eastAsia" w:ascii="宋体" w:hAnsi="宋体"/>
          <w:b/>
        </w:rPr>
        <w:t xml:space="preserve">  </w:t>
      </w:r>
      <w:r>
        <w:rPr>
          <w:rFonts w:ascii="宋体" w:hAnsi="宋体"/>
        </w:rPr>
        <w:t>市举办领导干部形势教育报</w:t>
      </w:r>
      <w:r>
        <w:rPr>
          <w:rFonts w:hint="eastAsia" w:ascii="宋体" w:hAnsi="宋体"/>
        </w:rPr>
        <w:t>告会。广东省委形势教育专家宣讲团成员、中山大学教授、博士生导师李辉教授作了主题为“金融危机背景下广东如何以‘三促进一保持’为主轴，应对危机、推动科学发展”的形势教育报告。市四套班子领导参加报告会。</w:t>
      </w:r>
    </w:p>
    <w:p w14:paraId="2BC1D64F">
      <w:pPr>
        <w:ind w:firstLine="422"/>
        <w:rPr>
          <w:rFonts w:ascii="宋体" w:hAnsi="宋体"/>
        </w:rPr>
      </w:pPr>
      <w:r>
        <w:rPr>
          <w:rFonts w:ascii="宋体" w:hAnsi="宋体"/>
          <w:b/>
        </w:rPr>
        <w:t>3月1日至3日</w:t>
      </w:r>
      <w:r>
        <w:rPr>
          <w:rFonts w:hint="eastAsia" w:ascii="宋体" w:hAnsi="宋体"/>
          <w:b/>
        </w:rPr>
        <w:t xml:space="preserve">  </w:t>
      </w:r>
      <w:r>
        <w:rPr>
          <w:rFonts w:ascii="宋体" w:hAnsi="宋体"/>
        </w:rPr>
        <w:t>市召开第八届政协第四</w:t>
      </w:r>
      <w:r>
        <w:rPr>
          <w:rFonts w:hint="eastAsia" w:ascii="宋体" w:hAnsi="宋体"/>
        </w:rPr>
        <w:t>次全体会议。韶关市政协副主席贝抗胜和市委领导参加会议。</w:t>
      </w:r>
    </w:p>
    <w:p w14:paraId="024CE6D0">
      <w:pPr>
        <w:ind w:firstLine="422"/>
        <w:rPr>
          <w:rFonts w:ascii="宋体" w:hAnsi="宋体"/>
        </w:rPr>
      </w:pPr>
      <w:r>
        <w:rPr>
          <w:rFonts w:ascii="宋体" w:hAnsi="宋体"/>
          <w:b/>
        </w:rPr>
        <w:t>3月2日至4日</w:t>
      </w:r>
      <w:r>
        <w:rPr>
          <w:rFonts w:hint="eastAsia" w:ascii="宋体" w:hAnsi="宋体"/>
          <w:b/>
        </w:rPr>
        <w:t xml:space="preserve">  </w:t>
      </w:r>
      <w:r>
        <w:rPr>
          <w:rFonts w:ascii="宋体" w:hAnsi="宋体"/>
        </w:rPr>
        <w:t>市召开第十三届人民代</w:t>
      </w:r>
      <w:r>
        <w:rPr>
          <w:rFonts w:hint="eastAsia" w:ascii="宋体" w:hAnsi="宋体"/>
        </w:rPr>
        <w:t>表大会第四次全体会议。市四套班子领导参加会议。</w:t>
      </w:r>
    </w:p>
    <w:p w14:paraId="6D3607E8">
      <w:pPr>
        <w:ind w:firstLine="422"/>
        <w:rPr>
          <w:rFonts w:ascii="宋体" w:hAnsi="宋体"/>
        </w:rPr>
      </w:pPr>
      <w:r>
        <w:rPr>
          <w:rFonts w:ascii="宋体" w:hAnsi="宋体"/>
          <w:b/>
        </w:rPr>
        <w:t>3月4日</w:t>
      </w:r>
      <w:r>
        <w:rPr>
          <w:rFonts w:hint="eastAsia" w:ascii="宋体" w:hAnsi="宋体"/>
          <w:b/>
        </w:rPr>
        <w:t xml:space="preserve">  </w:t>
      </w:r>
      <w:r>
        <w:rPr>
          <w:rFonts w:ascii="宋体" w:hAnsi="宋体"/>
        </w:rPr>
        <w:t>市召开第十一届纪律检查委员</w:t>
      </w:r>
      <w:r>
        <w:rPr>
          <w:rFonts w:hint="eastAsia" w:ascii="宋体" w:hAnsi="宋体"/>
        </w:rPr>
        <w:t>会第四次全体会议。市四套班子领导出席会议。</w:t>
      </w:r>
    </w:p>
    <w:p w14:paraId="3298CF5E">
      <w:pPr>
        <w:ind w:firstLine="422"/>
        <w:rPr>
          <w:rFonts w:ascii="宋体" w:hAnsi="宋体"/>
        </w:rPr>
      </w:pPr>
      <w:r>
        <w:rPr>
          <w:rFonts w:ascii="宋体" w:hAnsi="宋体"/>
          <w:b/>
        </w:rPr>
        <w:t>3月12日</w:t>
      </w:r>
      <w:r>
        <w:rPr>
          <w:rFonts w:hint="eastAsia" w:ascii="宋体" w:hAnsi="宋体"/>
          <w:b/>
        </w:rPr>
        <w:t xml:space="preserve">  </w:t>
      </w:r>
      <w:r>
        <w:rPr>
          <w:rFonts w:ascii="宋体" w:hAnsi="宋体"/>
        </w:rPr>
        <w:t>广东省委常委、省委秘书长</w:t>
      </w:r>
      <w:r>
        <w:rPr>
          <w:rFonts w:hint="eastAsia" w:ascii="宋体" w:hAnsi="宋体"/>
        </w:rPr>
        <w:t>徐少华在韶关市委常委、市委秘书长李石保和市领导许志新、颜亮、陈玉英等陪同下，深入雄州街道瑶坑村调研省委机关办公旧址修复工作。</w:t>
      </w:r>
    </w:p>
    <w:p w14:paraId="0CFE4B0D">
      <w:pPr>
        <w:ind w:firstLine="422"/>
        <w:rPr>
          <w:rFonts w:ascii="宋体" w:hAnsi="宋体"/>
        </w:rPr>
      </w:pPr>
      <w:r>
        <w:rPr>
          <w:rFonts w:ascii="宋体" w:hAnsi="宋体"/>
          <w:b/>
        </w:rPr>
        <w:t>3月12日</w:t>
      </w:r>
      <w:r>
        <w:rPr>
          <w:rFonts w:hint="eastAsia" w:ascii="宋体" w:hAnsi="宋体"/>
          <w:b/>
        </w:rPr>
        <w:t xml:space="preserve">  </w:t>
      </w:r>
      <w:r>
        <w:rPr>
          <w:rFonts w:ascii="宋体" w:hAnsi="宋体"/>
        </w:rPr>
        <w:t>湖南省郴州市四套班子领导</w:t>
      </w:r>
      <w:r>
        <w:rPr>
          <w:rFonts w:hint="eastAsia" w:ascii="宋体" w:hAnsi="宋体"/>
        </w:rPr>
        <w:t>到南雄精细化工基地考察。韶关市政协主席邓苏夏，韶关市委常委、常务副市长陈向新，人大常委会副主任林平杰以及市许志新、何万飞、钟道海、吕道宏等领导陪同考察。</w:t>
      </w:r>
    </w:p>
    <w:p w14:paraId="451F850A">
      <w:pPr>
        <w:ind w:firstLine="422"/>
        <w:rPr>
          <w:rFonts w:ascii="宋体" w:hAnsi="宋体"/>
        </w:rPr>
      </w:pPr>
      <w:r>
        <w:rPr>
          <w:rFonts w:ascii="宋体" w:hAnsi="宋体"/>
          <w:b/>
        </w:rPr>
        <w:t>3月18日</w:t>
      </w:r>
      <w:r>
        <w:rPr>
          <w:rFonts w:hint="eastAsia" w:ascii="宋体" w:hAnsi="宋体"/>
          <w:b/>
        </w:rPr>
        <w:t xml:space="preserve">  </w:t>
      </w:r>
      <w:r>
        <w:rPr>
          <w:rFonts w:ascii="宋体" w:hAnsi="宋体"/>
        </w:rPr>
        <w:t>广东华农温氏畜牧股份有限</w:t>
      </w:r>
      <w:r>
        <w:rPr>
          <w:rFonts w:hint="eastAsia" w:ascii="宋体" w:hAnsi="宋体"/>
        </w:rPr>
        <w:t>公司最大的猪苗生产基地一南亩镇樟屋猪场正式投入运行。该基地的投产可带动周边</w:t>
      </w:r>
      <w:r>
        <w:rPr>
          <w:rFonts w:ascii="宋体" w:hAnsi="宋体"/>
        </w:rPr>
        <w:t>800</w:t>
      </w:r>
      <w:r>
        <w:rPr>
          <w:rFonts w:hint="eastAsia" w:ascii="宋体" w:hAnsi="宋体"/>
        </w:rPr>
        <w:t>多农户，年创利润可达</w:t>
      </w:r>
      <w:r>
        <w:rPr>
          <w:rFonts w:ascii="宋体" w:hAnsi="宋体"/>
        </w:rPr>
        <w:t>6000多万元，可促进</w:t>
      </w:r>
      <w:r>
        <w:rPr>
          <w:rFonts w:hint="eastAsia" w:ascii="宋体" w:hAnsi="宋体"/>
        </w:rPr>
        <w:t>农业增效、农民增收。</w:t>
      </w:r>
    </w:p>
    <w:p w14:paraId="348F73AA">
      <w:pPr>
        <w:ind w:firstLine="422"/>
        <w:rPr>
          <w:rFonts w:ascii="宋体" w:hAnsi="宋体"/>
        </w:rPr>
      </w:pPr>
      <w:r>
        <w:rPr>
          <w:rFonts w:ascii="宋体" w:hAnsi="宋体"/>
          <w:b/>
        </w:rPr>
        <w:t>3月21日</w:t>
      </w:r>
      <w:r>
        <w:rPr>
          <w:rFonts w:hint="eastAsia" w:ascii="宋体" w:hAnsi="宋体"/>
          <w:b/>
        </w:rPr>
        <w:t xml:space="preserve">  </w:t>
      </w:r>
      <w:r>
        <w:rPr>
          <w:rFonts w:ascii="宋体" w:hAnsi="宋体"/>
        </w:rPr>
        <w:t>赣州至韶关、茂名至湛江铁</w:t>
      </w:r>
      <w:r>
        <w:rPr>
          <w:rFonts w:hint="eastAsia" w:ascii="宋体" w:hAnsi="宋体"/>
        </w:rPr>
        <w:t>路建设动员大会在南雄召开。中共中央政治局委员、广东省委书记汪洋，江西省委书记苏荣，广东省委副书记、省长黄华华，江西省委副书记、省长吴新雄，铁道部副部长卢春房，广东省委常委、常务副省长黄龙云，省委常委、省委秘书长徐少华，江西省委常委、赣州市委书记潘逸阳，省委常委、常务副省长凌成兴和韶关市委书记徐建华、市长郑振涛以及南雄党政主要领导出席动员大会，广铁集团和广东、江西省有关部门负责人以及参建单位施工人员、群众代表共</w:t>
      </w:r>
      <w:r>
        <w:rPr>
          <w:rFonts w:ascii="宋体" w:hAnsi="宋体"/>
        </w:rPr>
        <w:t>1500多人</w:t>
      </w:r>
      <w:r>
        <w:rPr>
          <w:rFonts w:hint="eastAsia" w:ascii="宋体" w:hAnsi="宋体"/>
        </w:rPr>
        <w:t>参加大会。会上，举行开工奠基仪式。</w:t>
      </w:r>
    </w:p>
    <w:p w14:paraId="633D6C6F">
      <w:pPr>
        <w:ind w:firstLine="422"/>
        <w:rPr>
          <w:rFonts w:ascii="宋体" w:hAnsi="宋体"/>
        </w:rPr>
      </w:pPr>
      <w:r>
        <w:rPr>
          <w:rFonts w:ascii="宋体" w:hAnsi="宋体"/>
          <w:b/>
        </w:rPr>
        <w:t>4月8日</w:t>
      </w:r>
      <w:r>
        <w:rPr>
          <w:rFonts w:hint="eastAsia" w:ascii="宋体" w:hAnsi="宋体"/>
          <w:b/>
        </w:rPr>
        <w:t xml:space="preserve">  </w:t>
      </w:r>
      <w:r>
        <w:rPr>
          <w:rFonts w:ascii="宋体" w:hAnsi="宋体"/>
        </w:rPr>
        <w:t>市十三届人大常委会召开第19次会议，审议通过有关辞职申请和人事任</w:t>
      </w:r>
      <w:r>
        <w:rPr>
          <w:rFonts w:hint="eastAsia" w:ascii="宋体" w:hAnsi="宋体"/>
        </w:rPr>
        <w:t>免事项，任命刘发龙同志为南雄市人民政府副市长。</w:t>
      </w:r>
    </w:p>
    <w:p w14:paraId="6445F320">
      <w:pPr>
        <w:ind w:firstLine="422"/>
        <w:rPr>
          <w:rFonts w:ascii="宋体" w:hAnsi="宋体"/>
        </w:rPr>
      </w:pPr>
      <w:r>
        <w:rPr>
          <w:rFonts w:ascii="宋体" w:hAnsi="宋体"/>
          <w:b/>
        </w:rPr>
        <w:t>4月21日</w:t>
      </w:r>
      <w:r>
        <w:rPr>
          <w:rFonts w:hint="eastAsia" w:ascii="宋体" w:hAnsi="宋体"/>
          <w:b/>
        </w:rPr>
        <w:t xml:space="preserve">  </w:t>
      </w:r>
      <w:r>
        <w:rPr>
          <w:rFonts w:ascii="宋体" w:hAnsi="宋体"/>
        </w:rPr>
        <w:t>南雄市与广州市安监局、</w:t>
      </w:r>
      <w:r>
        <w:rPr>
          <w:rFonts w:hint="eastAsia" w:ascii="宋体" w:hAnsi="宋体"/>
        </w:rPr>
        <w:t>广州市化工行业协会联合举办南雄市承接广州市精细化工企业推介会。韶关市副市长陈秋彦，广州市安监局副局长方少华，广州化工行业协会常务副会长刘素燕，市领导林楚欣、许志新、颜亮、何光明及来自广州地区的</w:t>
      </w:r>
      <w:r>
        <w:rPr>
          <w:rFonts w:ascii="宋体" w:hAnsi="宋体"/>
        </w:rPr>
        <w:t>100</w:t>
      </w:r>
      <w:r>
        <w:rPr>
          <w:rFonts w:hint="eastAsia" w:ascii="宋体" w:hAnsi="宋体"/>
        </w:rPr>
        <w:t>多家化工企业客商参加会议。</w:t>
      </w:r>
    </w:p>
    <w:p w14:paraId="6A4BFA40">
      <w:pPr>
        <w:ind w:firstLine="422"/>
        <w:rPr>
          <w:rFonts w:ascii="宋体" w:hAnsi="宋体"/>
        </w:rPr>
      </w:pPr>
      <w:r>
        <w:rPr>
          <w:rFonts w:ascii="宋体" w:hAnsi="宋体"/>
          <w:b/>
        </w:rPr>
        <w:t>4月23日</w:t>
      </w:r>
      <w:r>
        <w:rPr>
          <w:rFonts w:hint="eastAsia" w:ascii="宋体" w:hAnsi="宋体"/>
          <w:b/>
        </w:rPr>
        <w:t xml:space="preserve">  </w:t>
      </w:r>
      <w:r>
        <w:rPr>
          <w:rFonts w:ascii="宋体" w:hAnsi="宋体"/>
        </w:rPr>
        <w:t>广东省劳动保障厅厅长、省</w:t>
      </w:r>
      <w:r>
        <w:rPr>
          <w:rFonts w:hint="eastAsia" w:ascii="宋体" w:hAnsi="宋体"/>
        </w:rPr>
        <w:t>劳工办主任郑朝阳率领考评组，对南雄</w:t>
      </w:r>
      <w:r>
        <w:rPr>
          <w:rFonts w:ascii="宋体" w:hAnsi="宋体"/>
        </w:rPr>
        <w:t>2008</w:t>
      </w:r>
      <w:r>
        <w:rPr>
          <w:rFonts w:hint="eastAsia" w:ascii="宋体" w:hAnsi="宋体"/>
        </w:rPr>
        <w:t>年农村劳动力培训转移就业工作进行考核评价。市长许志新汇报工作情况。</w:t>
      </w:r>
    </w:p>
    <w:p w14:paraId="41A173F5">
      <w:pPr>
        <w:ind w:firstLine="422"/>
        <w:rPr>
          <w:rFonts w:ascii="宋体" w:hAnsi="宋体"/>
        </w:rPr>
      </w:pPr>
      <w:r>
        <w:rPr>
          <w:rFonts w:ascii="宋体" w:hAnsi="宋体"/>
          <w:b/>
        </w:rPr>
        <w:t>4月28日</w:t>
      </w:r>
      <w:r>
        <w:rPr>
          <w:rFonts w:hint="eastAsia" w:ascii="宋体" w:hAnsi="宋体"/>
          <w:b/>
        </w:rPr>
        <w:t xml:space="preserve">  </w:t>
      </w:r>
      <w:r>
        <w:rPr>
          <w:rFonts w:ascii="宋体" w:hAnsi="宋体"/>
        </w:rPr>
        <w:t>韶关东北片县（市、区）现</w:t>
      </w:r>
      <w:r>
        <w:rPr>
          <w:rFonts w:hint="eastAsia" w:ascii="宋体" w:hAnsi="宋体"/>
        </w:rPr>
        <w:t>场会与会人员到南雄参观。韶关市委书记徐建华、市长郑振涛、政协主席邓苏夏、副书记林耀明，市委常委、常务副市长陈向新，市委常委、副市长张志才，市委常委、秘书长李石保，人大常委会副主任朱金雄及浈江区、南雄市、仁化县、始兴县等县（市、区）委书记、县（市、区）长参加会议。</w:t>
      </w:r>
    </w:p>
    <w:p w14:paraId="7F30362C">
      <w:pPr>
        <w:ind w:firstLine="422"/>
        <w:rPr>
          <w:rFonts w:ascii="宋体" w:hAnsi="宋体"/>
        </w:rPr>
      </w:pPr>
      <w:r>
        <w:rPr>
          <w:rFonts w:ascii="宋体" w:hAnsi="宋体"/>
          <w:b/>
        </w:rPr>
        <w:t>5月6日</w:t>
      </w:r>
      <w:r>
        <w:rPr>
          <w:rFonts w:hint="eastAsia" w:ascii="宋体" w:hAnsi="宋体"/>
          <w:b/>
        </w:rPr>
        <w:t xml:space="preserve">  </w:t>
      </w:r>
      <w:r>
        <w:rPr>
          <w:rFonts w:ascii="宋体" w:hAnsi="宋体"/>
        </w:rPr>
        <w:t>市从仲恺农业工程学院、佛山</w:t>
      </w:r>
      <w:r>
        <w:rPr>
          <w:rFonts w:hint="eastAsia" w:ascii="宋体" w:hAnsi="宋体"/>
        </w:rPr>
        <w:t>科学技术学院引进的太空茄、京彩椒紫龙等特种蔬菜试种成功，今年陆续在百顺、邓坊等山区镇、半山区镇大面积示范推广。</w:t>
      </w:r>
    </w:p>
    <w:p w14:paraId="3F64F285">
      <w:pPr>
        <w:ind w:firstLine="422"/>
        <w:rPr>
          <w:rFonts w:ascii="宋体" w:hAnsi="宋体"/>
        </w:rPr>
      </w:pPr>
      <w:r>
        <w:rPr>
          <w:rFonts w:ascii="宋体" w:hAnsi="宋体"/>
          <w:b/>
        </w:rPr>
        <w:t>5月12日</w:t>
      </w:r>
      <w:r>
        <w:rPr>
          <w:rFonts w:hint="eastAsia" w:ascii="宋体" w:hAnsi="宋体"/>
          <w:b/>
        </w:rPr>
        <w:t xml:space="preserve">  </w:t>
      </w:r>
      <w:r>
        <w:rPr>
          <w:rFonts w:ascii="宋体" w:hAnsi="宋体"/>
        </w:rPr>
        <w:t>市召开南雄市申报</w:t>
      </w:r>
      <w:r>
        <w:rPr>
          <w:rFonts w:hint="eastAsia" w:ascii="宋体" w:hAnsi="宋体"/>
        </w:rPr>
        <w:t>“</w:t>
      </w:r>
      <w:r>
        <w:rPr>
          <w:rFonts w:ascii="宋体" w:hAnsi="宋体"/>
        </w:rPr>
        <w:t>中央苏</w:t>
      </w:r>
      <w:r>
        <w:rPr>
          <w:rFonts w:hint="eastAsia" w:ascii="宋体" w:hAnsi="宋体"/>
        </w:rPr>
        <w:t>区县”筹备工作会议。筹备会上，成立由市委副书记颜亮任组长，市委常委刘宏伟，市委常委、市委办主任陈玉英任副组长的申报工作组，申报工作组划分为综合协调组、史料组、申报组、宣传报道组，筹备申报“中央苏区县”，恢复南雄作为中央苏区重要组成部分的历史地位。</w:t>
      </w:r>
    </w:p>
    <w:p w14:paraId="682C6988">
      <w:pPr>
        <w:ind w:firstLine="422"/>
        <w:rPr>
          <w:rFonts w:ascii="宋体" w:hAnsi="宋体"/>
        </w:rPr>
      </w:pPr>
      <w:r>
        <w:rPr>
          <w:rFonts w:ascii="宋体" w:hAnsi="宋体"/>
          <w:b/>
        </w:rPr>
        <w:t>5月14日</w:t>
      </w:r>
      <w:r>
        <w:rPr>
          <w:rFonts w:hint="eastAsia" w:ascii="宋体" w:hAnsi="宋体"/>
          <w:b/>
        </w:rPr>
        <w:t xml:space="preserve">  </w:t>
      </w:r>
      <w:r>
        <w:rPr>
          <w:rFonts w:ascii="宋体" w:hAnsi="宋体"/>
        </w:rPr>
        <w:t>市举行国家开发银行广东省</w:t>
      </w:r>
      <w:r>
        <w:rPr>
          <w:rFonts w:hint="eastAsia" w:ascii="宋体" w:hAnsi="宋体"/>
        </w:rPr>
        <w:t>分行南雄精细化工基地企业融资服务办公室挂牌仪式。国家开发银行广东省分行行长吴德礼和市林楚欣、许志新、何万飞、肖芬先等四套班子领导参加挂牌仪式。</w:t>
      </w:r>
    </w:p>
    <w:p w14:paraId="3D95F408">
      <w:pPr>
        <w:ind w:firstLine="422"/>
        <w:rPr>
          <w:rFonts w:ascii="宋体" w:hAnsi="宋体"/>
        </w:rPr>
      </w:pPr>
      <w:r>
        <w:rPr>
          <w:rFonts w:ascii="宋体" w:hAnsi="宋体"/>
          <w:b/>
        </w:rPr>
        <w:t>6月8日</w:t>
      </w:r>
      <w:r>
        <w:rPr>
          <w:rFonts w:hint="eastAsia" w:ascii="宋体" w:hAnsi="宋体"/>
          <w:b/>
        </w:rPr>
        <w:t xml:space="preserve">  </w:t>
      </w:r>
      <w:r>
        <w:rPr>
          <w:rFonts w:ascii="宋体" w:hAnsi="宋体"/>
        </w:rPr>
        <w:t>国家农业部规划设计研究院党</w:t>
      </w:r>
      <w:r>
        <w:rPr>
          <w:rFonts w:hint="eastAsia" w:ascii="宋体" w:hAnsi="宋体"/>
        </w:rPr>
        <w:t>委书记李伟方率领调研组到南雄调研国家扶贫开发工作情况。在实地调研和听取汇报后，调研组认为南雄市在增强农业农村经济发展能力，拓宽农村劳动力就业和创业渠道和完善农村社会保障体系等方面做了大量卓有成效的工作，南雄的工作经验为今后国家扶贫开发工作研究提供了有价值的参考依据。</w:t>
      </w:r>
    </w:p>
    <w:p w14:paraId="21714124">
      <w:pPr>
        <w:ind w:firstLine="422"/>
        <w:rPr>
          <w:rFonts w:ascii="宋体" w:hAnsi="宋体"/>
        </w:rPr>
      </w:pPr>
      <w:r>
        <w:rPr>
          <w:rFonts w:ascii="宋体" w:hAnsi="宋体"/>
          <w:b/>
        </w:rPr>
        <w:t>6月17日</w:t>
      </w:r>
      <w:r>
        <w:rPr>
          <w:rFonts w:hint="eastAsia" w:ascii="宋体" w:hAnsi="宋体"/>
          <w:b/>
        </w:rPr>
        <w:t xml:space="preserve">  </w:t>
      </w:r>
      <w:r>
        <w:rPr>
          <w:rFonts w:ascii="宋体" w:hAnsi="宋体"/>
        </w:rPr>
        <w:t>坐落在南雄市埠前街的广州</w:t>
      </w:r>
      <w:r>
        <w:rPr>
          <w:rFonts w:hint="eastAsia" w:ascii="宋体" w:hAnsi="宋体"/>
        </w:rPr>
        <w:t>会馆修缮完工。会馆建筑面积达</w:t>
      </w:r>
      <w:r>
        <w:rPr>
          <w:rFonts w:ascii="宋体" w:hAnsi="宋体"/>
        </w:rPr>
        <w:t>2086.6平方</w:t>
      </w:r>
      <w:r>
        <w:rPr>
          <w:rFonts w:hint="eastAsia" w:ascii="宋体" w:hAnsi="宋体"/>
        </w:rPr>
        <w:t>米，是一座集中原与岭南建筑风格的古典建筑，从</w:t>
      </w:r>
      <w:r>
        <w:rPr>
          <w:rFonts w:ascii="宋体" w:hAnsi="宋体"/>
        </w:rPr>
        <w:t>2000年开始，历经九年三次修</w:t>
      </w:r>
      <w:r>
        <w:rPr>
          <w:rFonts w:hint="eastAsia" w:ascii="宋体" w:hAnsi="宋体"/>
        </w:rPr>
        <w:t>缮</w:t>
      </w:r>
      <w:r>
        <w:rPr>
          <w:rFonts w:ascii="宋体" w:hAnsi="宋体"/>
        </w:rPr>
        <w:t>后的</w:t>
      </w:r>
      <w:r>
        <w:rPr>
          <w:rFonts w:hint="eastAsia" w:ascii="宋体" w:hAnsi="宋体"/>
        </w:rPr>
        <w:t>广州会馆，始建于明代中叶，至今有数百年的历史。</w:t>
      </w:r>
    </w:p>
    <w:p w14:paraId="02E63494">
      <w:pPr>
        <w:ind w:firstLine="422"/>
        <w:rPr>
          <w:rFonts w:ascii="宋体" w:hAnsi="宋体"/>
        </w:rPr>
      </w:pPr>
      <w:r>
        <w:rPr>
          <w:rFonts w:ascii="宋体" w:hAnsi="宋体"/>
          <w:b/>
        </w:rPr>
        <w:t>6月26日</w:t>
      </w:r>
      <w:r>
        <w:rPr>
          <w:rFonts w:hint="eastAsia" w:ascii="宋体" w:hAnsi="宋体"/>
          <w:b/>
        </w:rPr>
        <w:t xml:space="preserve">  </w:t>
      </w:r>
      <w:r>
        <w:rPr>
          <w:rFonts w:ascii="宋体" w:hAnsi="宋体"/>
        </w:rPr>
        <w:t>中共中央政治局委员、省委</w:t>
      </w:r>
      <w:r>
        <w:rPr>
          <w:rFonts w:hint="eastAsia" w:ascii="宋体" w:hAnsi="宋体"/>
        </w:rPr>
        <w:t>书记汪洋，省委常委、省委组织部长胡泽君，省委常委、省委秘书长徐少华，在韶关市委书记徐建华，韶关市委常委、市委秘书长李石保，以及市领导林楚欣、许志新、颜亮等领导的陪同，到省委机关旧址瑶坑村和市博物馆考察调研。</w:t>
      </w:r>
    </w:p>
    <w:p w14:paraId="41BB4E1C">
      <w:pPr>
        <w:ind w:firstLine="422"/>
        <w:rPr>
          <w:rFonts w:ascii="宋体" w:hAnsi="宋体"/>
        </w:rPr>
      </w:pPr>
      <w:r>
        <w:rPr>
          <w:rFonts w:ascii="宋体" w:hAnsi="宋体"/>
          <w:b/>
        </w:rPr>
        <w:t>7月2日</w:t>
      </w:r>
      <w:r>
        <w:rPr>
          <w:rFonts w:hint="eastAsia" w:ascii="宋体" w:hAnsi="宋体"/>
          <w:b/>
        </w:rPr>
        <w:t xml:space="preserve">  </w:t>
      </w:r>
      <w:r>
        <w:rPr>
          <w:rFonts w:ascii="宋体" w:hAnsi="宋体"/>
        </w:rPr>
        <w:t>市召开赣韶铁路及西气东输二</w:t>
      </w:r>
      <w:r>
        <w:rPr>
          <w:rFonts w:hint="eastAsia" w:ascii="宋体" w:hAnsi="宋体"/>
        </w:rPr>
        <w:t>线管道工程南雄段征（租）地拆迁工作动员大会，韶赣铁路南雄段全长约</w:t>
      </w:r>
      <w:r>
        <w:rPr>
          <w:rFonts w:ascii="宋体" w:hAnsi="宋体"/>
        </w:rPr>
        <w:t>35公里，途径</w:t>
      </w:r>
      <w:r>
        <w:rPr>
          <w:rFonts w:hint="eastAsia" w:ascii="宋体" w:hAnsi="宋体"/>
        </w:rPr>
        <w:t>珠玑、雄州、全安、古市</w:t>
      </w:r>
      <w:r>
        <w:rPr>
          <w:rFonts w:ascii="宋体" w:hAnsi="宋体"/>
        </w:rPr>
        <w:t>4个镇（街道）19</w:t>
      </w:r>
      <w:r>
        <w:rPr>
          <w:rFonts w:hint="eastAsia" w:ascii="宋体" w:hAnsi="宋体"/>
        </w:rPr>
        <w:t>个村委会，计划</w:t>
      </w:r>
      <w:r>
        <w:rPr>
          <w:rFonts w:ascii="宋体" w:hAnsi="宋体"/>
        </w:rPr>
        <w:t>2012年建成通车；赣韶铁路</w:t>
      </w:r>
      <w:r>
        <w:rPr>
          <w:rFonts w:hint="eastAsia" w:ascii="宋体" w:hAnsi="宋体"/>
        </w:rPr>
        <w:t>的开工建设，将大大缩短南雄与珠三角、长三角的距离，成为继韶赣高速公路后南雄又一个重要的交通枢纽。西气东输二线管道工程南雄段全长</w:t>
      </w:r>
      <w:r>
        <w:rPr>
          <w:rFonts w:ascii="宋体" w:hAnsi="宋体"/>
        </w:rPr>
        <w:t>60.1公里，途径油山、邓坊</w:t>
      </w:r>
      <w:r>
        <w:rPr>
          <w:rFonts w:hint="eastAsia" w:ascii="宋体" w:hAnsi="宋体"/>
        </w:rPr>
        <w:t>、湖口、珠玑、全安、古市</w:t>
      </w:r>
      <w:r>
        <w:rPr>
          <w:rFonts w:ascii="宋体" w:hAnsi="宋体"/>
        </w:rPr>
        <w:t>6个镇24个村委会，</w:t>
      </w:r>
      <w:r>
        <w:rPr>
          <w:rFonts w:hint="eastAsia" w:ascii="宋体" w:hAnsi="宋体"/>
        </w:rPr>
        <w:t>建设期为</w:t>
      </w:r>
      <w:r>
        <w:rPr>
          <w:rFonts w:ascii="宋体" w:hAnsi="宋体"/>
        </w:rPr>
        <w:t>26个月。据初步测算，赣韶铁路南</w:t>
      </w:r>
      <w:r>
        <w:rPr>
          <w:rFonts w:hint="eastAsia" w:ascii="宋体" w:hAnsi="宋体"/>
        </w:rPr>
        <w:t>雄段建设征用土地</w:t>
      </w:r>
      <w:r>
        <w:rPr>
          <w:rFonts w:ascii="宋体" w:hAnsi="宋体"/>
        </w:rPr>
        <w:t>2386.3亩，拆迁房屋3.26</w:t>
      </w:r>
      <w:r>
        <w:rPr>
          <w:rFonts w:hint="eastAsia" w:ascii="宋体" w:hAnsi="宋体"/>
        </w:rPr>
        <w:t>万平方米，涉及</w:t>
      </w:r>
      <w:r>
        <w:rPr>
          <w:rFonts w:ascii="宋体" w:hAnsi="宋体"/>
        </w:rPr>
        <w:t>4个镇（街道）19个行政村。</w:t>
      </w:r>
    </w:p>
    <w:p w14:paraId="25805977">
      <w:pPr>
        <w:ind w:firstLine="422"/>
        <w:rPr>
          <w:rFonts w:ascii="宋体" w:hAnsi="宋体"/>
        </w:rPr>
      </w:pPr>
      <w:r>
        <w:rPr>
          <w:rFonts w:ascii="宋体" w:hAnsi="宋体"/>
          <w:b/>
        </w:rPr>
        <w:t>7月2日至3日</w:t>
      </w:r>
      <w:r>
        <w:rPr>
          <w:rFonts w:hint="eastAsia" w:ascii="宋体" w:hAnsi="宋体"/>
          <w:b/>
        </w:rPr>
        <w:t xml:space="preserve">  </w:t>
      </w:r>
      <w:r>
        <w:rPr>
          <w:rFonts w:ascii="宋体" w:hAnsi="宋体"/>
        </w:rPr>
        <w:t>市遭遇特大暴雨，乌</w:t>
      </w:r>
      <w:r>
        <w:rPr>
          <w:rFonts w:hint="eastAsia" w:ascii="宋体" w:hAnsi="宋体"/>
        </w:rPr>
        <w:t>迳、油山、黄坑等镇一天降雨量达</w:t>
      </w:r>
      <w:r>
        <w:rPr>
          <w:rFonts w:ascii="宋体" w:hAnsi="宋体"/>
        </w:rPr>
        <w:t>250毫升，</w:t>
      </w:r>
      <w:r>
        <w:rPr>
          <w:rFonts w:hint="eastAsia" w:ascii="宋体" w:hAnsi="宋体"/>
        </w:rPr>
        <w:t>致使</w:t>
      </w:r>
      <w:r>
        <w:rPr>
          <w:rFonts w:ascii="宋体" w:hAnsi="宋体"/>
        </w:rPr>
        <w:t>17个镇的农作物及交通、水利、电力等</w:t>
      </w:r>
      <w:r>
        <w:rPr>
          <w:rFonts w:hint="eastAsia" w:ascii="宋体" w:hAnsi="宋体"/>
        </w:rPr>
        <w:t>设施遭到不同程度的破坏，受灾人口</w:t>
      </w:r>
      <w:r>
        <w:rPr>
          <w:rFonts w:ascii="宋体" w:hAnsi="宋体"/>
        </w:rPr>
        <w:t>6.3万</w:t>
      </w:r>
      <w:r>
        <w:rPr>
          <w:rFonts w:hint="eastAsia" w:ascii="宋体" w:hAnsi="宋体"/>
        </w:rPr>
        <w:t>人，农作物受淹面积</w:t>
      </w:r>
      <w:r>
        <w:rPr>
          <w:rFonts w:ascii="宋体" w:hAnsi="宋体"/>
        </w:rPr>
        <w:t>5.1万亩，造成直接经</w:t>
      </w:r>
      <w:r>
        <w:rPr>
          <w:rFonts w:hint="eastAsia" w:ascii="宋体" w:hAnsi="宋体"/>
        </w:rPr>
        <w:t>济损失</w:t>
      </w:r>
      <w:r>
        <w:rPr>
          <w:rFonts w:ascii="宋体" w:hAnsi="宋体"/>
        </w:rPr>
        <w:t>5800多万元。</w:t>
      </w:r>
    </w:p>
    <w:p w14:paraId="24371299">
      <w:pPr>
        <w:ind w:firstLine="422"/>
        <w:rPr>
          <w:rFonts w:ascii="宋体" w:hAnsi="宋体"/>
        </w:rPr>
      </w:pPr>
      <w:r>
        <w:rPr>
          <w:rFonts w:ascii="宋体" w:hAnsi="宋体"/>
          <w:b/>
        </w:rPr>
        <w:t>7月7日</w:t>
      </w:r>
      <w:r>
        <w:rPr>
          <w:rFonts w:hint="eastAsia" w:ascii="宋体" w:hAnsi="宋体"/>
          <w:b/>
        </w:rPr>
        <w:t xml:space="preserve">  </w:t>
      </w:r>
      <w:r>
        <w:rPr>
          <w:rFonts w:ascii="宋体" w:hAnsi="宋体"/>
        </w:rPr>
        <w:t>韶关市市委常委、副市长张志</w:t>
      </w:r>
      <w:r>
        <w:rPr>
          <w:rFonts w:hint="eastAsia" w:ascii="宋体" w:hAnsi="宋体"/>
        </w:rPr>
        <w:t>才率民政、农业、水利等相关部门负责人，许志新、罗战勇等领导陪同，深入到南雄受灾现场查看灾情，指导救灾复产工作。</w:t>
      </w:r>
    </w:p>
    <w:p w14:paraId="7EE1BDEC">
      <w:pPr>
        <w:ind w:firstLine="422"/>
        <w:rPr>
          <w:rFonts w:ascii="宋体" w:hAnsi="宋体"/>
        </w:rPr>
      </w:pPr>
      <w:r>
        <w:rPr>
          <w:rFonts w:ascii="宋体" w:hAnsi="宋体"/>
          <w:b/>
        </w:rPr>
        <w:t>7月17日</w:t>
      </w:r>
      <w:r>
        <w:rPr>
          <w:rFonts w:hint="eastAsia" w:ascii="宋体" w:hAnsi="宋体"/>
          <w:b/>
        </w:rPr>
        <w:t xml:space="preserve">  </w:t>
      </w:r>
      <w:r>
        <w:rPr>
          <w:rFonts w:ascii="宋体" w:hAnsi="宋体"/>
        </w:rPr>
        <w:t>南雄发现全国最大鸟脚类恐</w:t>
      </w:r>
      <w:r>
        <w:rPr>
          <w:rFonts w:hint="eastAsia" w:ascii="宋体" w:hAnsi="宋体"/>
        </w:rPr>
        <w:t>龙足迹，中国地质科学院地质研究所邢立达在古市镇考察研究的鸟脚类恐龙足迹，足迹约</w:t>
      </w:r>
      <w:r>
        <w:rPr>
          <w:rFonts w:ascii="宋体" w:hAnsi="宋体"/>
        </w:rPr>
        <w:t>25个，分别由7至8只恐龙留下，它们均</w:t>
      </w:r>
      <w:r>
        <w:rPr>
          <w:rFonts w:hint="eastAsia" w:ascii="宋体" w:hAnsi="宋体"/>
        </w:rPr>
        <w:t>属于鸭嘴龙。在这</w:t>
      </w:r>
      <w:r>
        <w:rPr>
          <w:rFonts w:ascii="宋体" w:hAnsi="宋体"/>
        </w:rPr>
        <w:t>25个足迹当中，最大的外</w:t>
      </w:r>
      <w:r>
        <w:rPr>
          <w:rFonts w:hint="eastAsia" w:ascii="宋体" w:hAnsi="宋体"/>
        </w:rPr>
        <w:t>径长</w:t>
      </w:r>
      <w:r>
        <w:rPr>
          <w:rFonts w:ascii="宋体" w:hAnsi="宋体"/>
        </w:rPr>
        <w:t>48厘米，宽53厘米，内径长40厘米，</w:t>
      </w:r>
      <w:r>
        <w:rPr>
          <w:rFonts w:hint="eastAsia" w:ascii="宋体" w:hAnsi="宋体"/>
        </w:rPr>
        <w:t>宽</w:t>
      </w:r>
      <w:r>
        <w:rPr>
          <w:rFonts w:ascii="宋体" w:hAnsi="宋体"/>
        </w:rPr>
        <w:t>50厘米。推测该恐龙体长能达8米，属于</w:t>
      </w:r>
      <w:r>
        <w:rPr>
          <w:rFonts w:hint="eastAsia" w:ascii="宋体" w:hAnsi="宋体"/>
        </w:rPr>
        <w:t>大型鸭嘴龙。</w:t>
      </w:r>
    </w:p>
    <w:p w14:paraId="0F848255">
      <w:pPr>
        <w:ind w:firstLine="422"/>
        <w:rPr>
          <w:rFonts w:ascii="宋体" w:hAnsi="宋体"/>
        </w:rPr>
      </w:pPr>
      <w:r>
        <w:rPr>
          <w:rFonts w:ascii="宋体" w:hAnsi="宋体"/>
          <w:b/>
        </w:rPr>
        <w:t>7月21日</w:t>
      </w:r>
      <w:r>
        <w:rPr>
          <w:rFonts w:hint="eastAsia" w:ascii="宋体" w:hAnsi="宋体"/>
          <w:b/>
        </w:rPr>
        <w:t xml:space="preserve">  </w:t>
      </w:r>
      <w:r>
        <w:rPr>
          <w:rFonts w:ascii="宋体" w:hAnsi="宋体"/>
        </w:rPr>
        <w:t>由香港慈善家王锦辉先生捐</w:t>
      </w:r>
      <w:r>
        <w:rPr>
          <w:rFonts w:hint="eastAsia" w:ascii="宋体" w:hAnsi="宋体"/>
        </w:rPr>
        <w:t>资</w:t>
      </w:r>
      <w:r>
        <w:rPr>
          <w:rFonts w:ascii="宋体" w:hAnsi="宋体"/>
        </w:rPr>
        <w:t>100万元兴建的南雄中学王锦辉综合大楼。10年来，王锦辉先生对南雄教育事业的捐助</w:t>
      </w:r>
      <w:r>
        <w:rPr>
          <w:rFonts w:hint="eastAsia" w:ascii="宋体" w:hAnsi="宋体"/>
        </w:rPr>
        <w:t>一直没有间断，共捐助黄坑中学、新城王锦辉中学等</w:t>
      </w:r>
      <w:r>
        <w:rPr>
          <w:rFonts w:ascii="宋体" w:hAnsi="宋体"/>
        </w:rPr>
        <w:t>8所学校建设，总金额587万元。</w:t>
      </w:r>
    </w:p>
    <w:p w14:paraId="0B847653">
      <w:pPr>
        <w:ind w:firstLine="422"/>
        <w:rPr>
          <w:rFonts w:ascii="宋体" w:hAnsi="宋体"/>
        </w:rPr>
      </w:pPr>
      <w:r>
        <w:rPr>
          <w:rFonts w:ascii="宋体" w:hAnsi="宋体"/>
          <w:b/>
        </w:rPr>
        <w:t>7月28日</w:t>
      </w:r>
      <w:r>
        <w:rPr>
          <w:rFonts w:hint="eastAsia" w:ascii="宋体" w:hAnsi="宋体"/>
          <w:b/>
        </w:rPr>
        <w:t xml:space="preserve">  </w:t>
      </w:r>
      <w:r>
        <w:rPr>
          <w:rFonts w:ascii="宋体" w:hAnsi="宋体"/>
        </w:rPr>
        <w:t>由中国民（私）营经济研究</w:t>
      </w:r>
      <w:r>
        <w:rPr>
          <w:rFonts w:hint="eastAsia" w:ascii="宋体" w:hAnsi="宋体"/>
        </w:rPr>
        <w:t>会、中国发展战略学研究会经济战略专业委员会、全民创业型社会研究中心联合主办的“</w:t>
      </w:r>
      <w:r>
        <w:rPr>
          <w:rFonts w:ascii="宋体" w:hAnsi="宋体"/>
        </w:rPr>
        <w:t>2009全民创业理论与实践高层论坛</w:t>
      </w:r>
      <w:r>
        <w:rPr>
          <w:rFonts w:hint="eastAsia" w:ascii="宋体" w:hAnsi="宋体"/>
        </w:rPr>
        <w:t>”</w:t>
      </w:r>
      <w:r>
        <w:rPr>
          <w:rFonts w:ascii="宋体" w:hAnsi="宋体"/>
        </w:rPr>
        <w:t>日前</w:t>
      </w:r>
      <w:r>
        <w:rPr>
          <w:rFonts w:hint="eastAsia" w:ascii="宋体" w:hAnsi="宋体"/>
        </w:rPr>
        <w:t>在北京召开，这是在全国第一次以全民创业为主题的全国性研讨会。经过这次论坛推选，南雄入选为“全国百佳全民创业示范县”。</w:t>
      </w:r>
    </w:p>
    <w:p w14:paraId="06FD2B92">
      <w:pPr>
        <w:ind w:firstLine="422"/>
        <w:rPr>
          <w:rFonts w:ascii="宋体" w:hAnsi="宋体"/>
        </w:rPr>
      </w:pPr>
      <w:r>
        <w:rPr>
          <w:rFonts w:ascii="宋体" w:hAnsi="宋体"/>
          <w:b/>
        </w:rPr>
        <w:t>7月30日</w:t>
      </w:r>
      <w:r>
        <w:rPr>
          <w:rFonts w:hint="eastAsia" w:ascii="宋体" w:hAnsi="宋体"/>
          <w:b/>
        </w:rPr>
        <w:t xml:space="preserve">  </w:t>
      </w:r>
      <w:r>
        <w:rPr>
          <w:rFonts w:ascii="宋体" w:hAnsi="宋体"/>
        </w:rPr>
        <w:t>市农村党员干部现代远程教</w:t>
      </w:r>
      <w:r>
        <w:rPr>
          <w:rFonts w:hint="eastAsia" w:ascii="宋体" w:hAnsi="宋体"/>
        </w:rPr>
        <w:t>育演播室顺利建成并正式开通运行，这是韶关市首个党员干部现代远程教育演播室，标志着市农村党员干部现代远程教育工作进入了一个新的阶段。已形成市镇村（社区）三级全覆盖的远程教育网络。</w:t>
      </w:r>
    </w:p>
    <w:p w14:paraId="46B1652B">
      <w:pPr>
        <w:ind w:firstLine="422"/>
        <w:rPr>
          <w:rFonts w:ascii="宋体" w:hAnsi="宋体"/>
        </w:rPr>
      </w:pPr>
      <w:r>
        <w:rPr>
          <w:rFonts w:ascii="宋体" w:hAnsi="宋体"/>
          <w:b/>
        </w:rPr>
        <w:t>8月5日</w:t>
      </w:r>
      <w:r>
        <w:rPr>
          <w:rFonts w:hint="eastAsia" w:ascii="宋体" w:hAnsi="宋体"/>
          <w:b/>
        </w:rPr>
        <w:t xml:space="preserve">  </w:t>
      </w:r>
      <w:r>
        <w:rPr>
          <w:rFonts w:ascii="宋体" w:hAnsi="宋体"/>
        </w:rPr>
        <w:t>中央党史研究室第一研究部副</w:t>
      </w:r>
      <w:r>
        <w:rPr>
          <w:rFonts w:hint="eastAsia" w:ascii="宋体" w:hAnsi="宋体"/>
        </w:rPr>
        <w:t>主任李蓉、省委党史研究室主任陈俊风等专家学者，在韶关市委常委、市委秘书长李石保和市领导林楚欣、颜亮、陈玉英等陪同，前往广东省委机关办公旧址雄州街道瑶坑村，察看旧址的保护、修复和规划建设情况。</w:t>
      </w:r>
    </w:p>
    <w:p w14:paraId="3FB84358">
      <w:pPr>
        <w:ind w:firstLine="422"/>
        <w:rPr>
          <w:rFonts w:ascii="宋体" w:hAnsi="宋体"/>
        </w:rPr>
      </w:pPr>
      <w:r>
        <w:rPr>
          <w:rFonts w:ascii="宋体" w:hAnsi="宋体"/>
          <w:b/>
        </w:rPr>
        <w:t>8月31日</w:t>
      </w:r>
      <w:r>
        <w:rPr>
          <w:rFonts w:hint="eastAsia" w:ascii="宋体" w:hAnsi="宋体"/>
          <w:b/>
        </w:rPr>
        <w:t xml:space="preserve">  </w:t>
      </w:r>
      <w:r>
        <w:rPr>
          <w:rFonts w:ascii="宋体" w:hAnsi="宋体"/>
        </w:rPr>
        <w:t>总投资1630万元的南雄35KV水口变电站竣工投入运行，这座变电站</w:t>
      </w:r>
      <w:r>
        <w:rPr>
          <w:rFonts w:hint="eastAsia" w:ascii="宋体" w:hAnsi="宋体"/>
        </w:rPr>
        <w:t>的投产，将为市东部地区的经济发展和新农村建设提供充足的电力保障。</w:t>
      </w:r>
    </w:p>
    <w:p w14:paraId="117BAAA7">
      <w:pPr>
        <w:ind w:firstLine="422"/>
        <w:rPr>
          <w:rFonts w:ascii="宋体" w:hAnsi="宋体"/>
        </w:rPr>
      </w:pPr>
      <w:r>
        <w:rPr>
          <w:rFonts w:ascii="宋体" w:hAnsi="宋体"/>
          <w:b/>
        </w:rPr>
        <w:t>9月17日</w:t>
      </w:r>
      <w:r>
        <w:rPr>
          <w:rFonts w:hint="eastAsia" w:ascii="宋体" w:hAnsi="宋体"/>
          <w:b/>
        </w:rPr>
        <w:t xml:space="preserve">  </w:t>
      </w:r>
      <w:r>
        <w:rPr>
          <w:rFonts w:ascii="宋体" w:hAnsi="宋体"/>
        </w:rPr>
        <w:t>国家水利部水文局局长邓坚</w:t>
      </w:r>
      <w:r>
        <w:rPr>
          <w:rFonts w:hint="eastAsia" w:ascii="宋体" w:hAnsi="宋体"/>
        </w:rPr>
        <w:t>深入南雄检查指导抗旱工作。</w:t>
      </w:r>
      <w:r>
        <w:rPr>
          <w:rFonts w:ascii="宋体" w:hAnsi="宋体"/>
        </w:rPr>
        <w:t>8月份以来</w:t>
      </w:r>
      <w:r>
        <w:rPr>
          <w:rFonts w:hint="eastAsia" w:ascii="宋体" w:hAnsi="宋体"/>
        </w:rPr>
        <w:t>，全市持续高温干旱，各镇出现不同程度的旱情，部分镇村旱情严重。经过前一时期的全力抗旱和人工降雨的缓解，目前仍有农作物受旱面积</w:t>
      </w:r>
      <w:r>
        <w:rPr>
          <w:rFonts w:ascii="宋体" w:hAnsi="宋体"/>
        </w:rPr>
        <w:t>1.6万亩，其中轻</w:t>
      </w:r>
      <w:r>
        <w:rPr>
          <w:rFonts w:hint="eastAsia" w:ascii="宋体" w:hAnsi="宋体"/>
        </w:rPr>
        <w:t>旱</w:t>
      </w:r>
      <w:r>
        <w:rPr>
          <w:rFonts w:ascii="宋体" w:hAnsi="宋体"/>
        </w:rPr>
        <w:t>1.2万亩，重旱0.4</w:t>
      </w:r>
      <w:r>
        <w:rPr>
          <w:rFonts w:hint="eastAsia" w:ascii="宋体" w:hAnsi="宋体"/>
        </w:rPr>
        <w:t>万亩。</w:t>
      </w:r>
    </w:p>
    <w:p w14:paraId="7C26B581">
      <w:pPr>
        <w:ind w:firstLine="422"/>
        <w:rPr>
          <w:rFonts w:ascii="宋体" w:hAnsi="宋体"/>
        </w:rPr>
      </w:pPr>
      <w:r>
        <w:rPr>
          <w:rFonts w:ascii="宋体" w:hAnsi="宋体"/>
          <w:b/>
        </w:rPr>
        <w:t>9月24日</w:t>
      </w:r>
      <w:r>
        <w:rPr>
          <w:rFonts w:hint="eastAsia" w:ascii="宋体" w:hAnsi="宋体"/>
          <w:b/>
        </w:rPr>
        <w:t xml:space="preserve">  </w:t>
      </w:r>
      <w:r>
        <w:rPr>
          <w:rFonts w:ascii="宋体" w:hAnsi="宋体"/>
        </w:rPr>
        <w:t>广东省副省长林木声到南雄</w:t>
      </w:r>
      <w:r>
        <w:rPr>
          <w:rFonts w:hint="eastAsia" w:ascii="宋体" w:hAnsi="宋体"/>
        </w:rPr>
        <w:t>市精细化工基地调研。韶关市副市长尚伟和市领导林楚欣、颜亮、王荣光、何光明、吕道宏等陪同调研。</w:t>
      </w:r>
    </w:p>
    <w:p w14:paraId="71E41B18">
      <w:pPr>
        <w:ind w:firstLine="422"/>
        <w:rPr>
          <w:rFonts w:ascii="宋体" w:hAnsi="宋体"/>
        </w:rPr>
      </w:pPr>
      <w:r>
        <w:rPr>
          <w:rFonts w:ascii="宋体" w:hAnsi="宋体"/>
          <w:b/>
        </w:rPr>
        <w:t>9月24日</w:t>
      </w:r>
      <w:r>
        <w:rPr>
          <w:rFonts w:hint="eastAsia" w:ascii="宋体" w:hAnsi="宋体"/>
          <w:b/>
        </w:rPr>
        <w:t xml:space="preserve">  </w:t>
      </w:r>
      <w:r>
        <w:rPr>
          <w:rFonts w:ascii="宋体" w:hAnsi="宋体"/>
        </w:rPr>
        <w:t>市举行新老干部活动中心启</w:t>
      </w:r>
      <w:r>
        <w:rPr>
          <w:rFonts w:hint="eastAsia" w:ascii="宋体" w:hAnsi="宋体"/>
        </w:rPr>
        <w:t>用仪式。总投资</w:t>
      </w:r>
      <w:r>
        <w:rPr>
          <w:rFonts w:ascii="宋体" w:hAnsi="宋体"/>
        </w:rPr>
        <w:t>375万元，建筑总面积为1400多平方米，设有阅览室、健身室、舞蹈</w:t>
      </w:r>
      <w:r>
        <w:rPr>
          <w:rFonts w:hint="eastAsia" w:ascii="宋体" w:hAnsi="宋体"/>
        </w:rPr>
        <w:t>室等</w:t>
      </w:r>
      <w:r>
        <w:rPr>
          <w:rFonts w:ascii="宋体" w:hAnsi="宋体"/>
        </w:rPr>
        <w:t>12间功能活动室，以及关工委、老游击</w:t>
      </w:r>
      <w:r>
        <w:rPr>
          <w:rFonts w:hint="eastAsia" w:ascii="宋体" w:hAnsi="宋体"/>
        </w:rPr>
        <w:t>战士联谊会和小记者站等办公室。</w:t>
      </w:r>
    </w:p>
    <w:p w14:paraId="21B81D30">
      <w:pPr>
        <w:ind w:firstLine="422"/>
        <w:rPr>
          <w:rFonts w:ascii="宋体" w:hAnsi="宋体"/>
        </w:rPr>
      </w:pPr>
      <w:r>
        <w:rPr>
          <w:rFonts w:ascii="宋体" w:hAnsi="宋体"/>
          <w:b/>
        </w:rPr>
        <w:t>9月30日</w:t>
      </w:r>
      <w:r>
        <w:rPr>
          <w:rFonts w:hint="eastAsia" w:ascii="宋体" w:hAnsi="宋体"/>
          <w:b/>
        </w:rPr>
        <w:t xml:space="preserve">  </w:t>
      </w:r>
      <w:r>
        <w:rPr>
          <w:rFonts w:ascii="宋体" w:hAnsi="宋体"/>
        </w:rPr>
        <w:t>雄州街道青年刘成在参加部</w:t>
      </w:r>
      <w:r>
        <w:rPr>
          <w:rFonts w:hint="eastAsia" w:ascii="宋体" w:hAnsi="宋体"/>
        </w:rPr>
        <w:t>队反恐演习任务中，因营救落水群众而光荣牺牲，</w:t>
      </w:r>
      <w:r>
        <w:rPr>
          <w:rFonts w:ascii="宋体" w:hAnsi="宋体"/>
        </w:rPr>
        <w:t>9月30日，在亲人及部队领导的护送</w:t>
      </w:r>
      <w:r>
        <w:rPr>
          <w:rFonts w:hint="eastAsia" w:ascii="宋体" w:hAnsi="宋体"/>
        </w:rPr>
        <w:t>下，刘成烈士的骨灰回到家乡。</w:t>
      </w:r>
    </w:p>
    <w:p w14:paraId="7BFACD0E">
      <w:pPr>
        <w:ind w:firstLine="422"/>
        <w:rPr>
          <w:rFonts w:ascii="宋体" w:hAnsi="宋体"/>
        </w:rPr>
      </w:pPr>
      <w:r>
        <w:rPr>
          <w:rFonts w:ascii="宋体" w:hAnsi="宋体"/>
          <w:b/>
        </w:rPr>
        <w:t>10月6日</w:t>
      </w:r>
      <w:r>
        <w:rPr>
          <w:rFonts w:hint="eastAsia" w:ascii="宋体" w:hAnsi="宋体"/>
          <w:b/>
        </w:rPr>
        <w:t xml:space="preserve">  </w:t>
      </w:r>
      <w:r>
        <w:rPr>
          <w:rFonts w:ascii="宋体" w:hAnsi="宋体"/>
        </w:rPr>
        <w:t>在8月份举行的首届全国盲</w:t>
      </w:r>
      <w:r>
        <w:rPr>
          <w:rFonts w:hint="eastAsia" w:ascii="宋体" w:hAnsi="宋体"/>
        </w:rPr>
        <w:t>人优秀文学作品评选活动中，市盲人作家谢经营创作的长篇励志小说《不灭的亮光》获优秀奖。此外，谢经营撰写的《老屋抒怀》一文，在中国盲人协会、中央人民广播电台、中国残疾人杂志社开展的“与祖国共同成长”征文活动中，荣获二等奖。</w:t>
      </w:r>
    </w:p>
    <w:p w14:paraId="02243CFB">
      <w:pPr>
        <w:ind w:firstLine="422"/>
        <w:rPr>
          <w:rFonts w:ascii="宋体" w:hAnsi="宋体"/>
        </w:rPr>
      </w:pPr>
      <w:r>
        <w:rPr>
          <w:rFonts w:ascii="宋体" w:hAnsi="宋体"/>
          <w:b/>
        </w:rPr>
        <w:t>10月13日</w:t>
      </w:r>
      <w:r>
        <w:rPr>
          <w:rFonts w:hint="eastAsia" w:ascii="宋体" w:hAnsi="宋体"/>
          <w:b/>
        </w:rPr>
        <w:t xml:space="preserve">  </w:t>
      </w:r>
      <w:r>
        <w:rPr>
          <w:rFonts w:ascii="宋体" w:hAnsi="宋体"/>
        </w:rPr>
        <w:t>韶关市委书记徐建华，市委</w:t>
      </w:r>
      <w:r>
        <w:rPr>
          <w:rFonts w:hint="eastAsia" w:ascii="宋体" w:hAnsi="宋体"/>
        </w:rPr>
        <w:t>常委、市委秘书长李石保，市政协副主席张秉钊等，在市领导林楚欣、颜亮、陈玉英、何光明、吕道宏等陪同下，深入市精细化工基地调研。并于当天下午在南雄召开韶关市重点项目建设调研座谈会。</w:t>
      </w:r>
    </w:p>
    <w:p w14:paraId="07536F01">
      <w:pPr>
        <w:ind w:firstLine="422"/>
        <w:rPr>
          <w:rFonts w:ascii="宋体" w:hAnsi="宋体"/>
        </w:rPr>
      </w:pPr>
      <w:r>
        <w:rPr>
          <w:rFonts w:ascii="宋体" w:hAnsi="宋体"/>
          <w:b/>
        </w:rPr>
        <w:t>10月15日</w:t>
      </w:r>
      <w:r>
        <w:rPr>
          <w:rFonts w:hint="eastAsia" w:ascii="宋体" w:hAnsi="宋体"/>
          <w:b/>
        </w:rPr>
        <w:t xml:space="preserve">  </w:t>
      </w:r>
      <w:r>
        <w:rPr>
          <w:rFonts w:ascii="宋体" w:hAnsi="宋体"/>
        </w:rPr>
        <w:t>市汽车客运站司机刘华山8</w:t>
      </w:r>
      <w:r>
        <w:rPr>
          <w:rFonts w:hint="eastAsia" w:ascii="宋体" w:hAnsi="宋体"/>
        </w:rPr>
        <w:t>月</w:t>
      </w:r>
      <w:r>
        <w:rPr>
          <w:rFonts w:ascii="宋体" w:hAnsi="宋体"/>
        </w:rPr>
        <w:t>1日驾驶一辆长途车从广州开回南雄的途</w:t>
      </w:r>
      <w:r>
        <w:rPr>
          <w:rFonts w:hint="eastAsia" w:ascii="宋体" w:hAnsi="宋体"/>
        </w:rPr>
        <w:t>中，遭遇乘客违法携带枪支事件。一名湖南籍男子随身携有一把手枪，并打伤两名乘客。在发现该男子携有枪支后，他不顾个人安危，奋力抢夺男子手上的枪，在其他乘客的协助下，他将持枪男子制服并扭送当地公安机关，避免更严重后果的发生。刘华山被中央文明办评为见义勇为好人。</w:t>
      </w:r>
    </w:p>
    <w:p w14:paraId="0505948D">
      <w:pPr>
        <w:ind w:firstLine="422"/>
        <w:rPr>
          <w:rFonts w:ascii="宋体" w:hAnsi="宋体"/>
        </w:rPr>
      </w:pPr>
      <w:r>
        <w:rPr>
          <w:rFonts w:ascii="宋体" w:hAnsi="宋体"/>
          <w:b/>
        </w:rPr>
        <w:t>10月28日</w:t>
      </w:r>
      <w:r>
        <w:rPr>
          <w:rFonts w:hint="eastAsia" w:ascii="宋体" w:hAnsi="宋体"/>
          <w:b/>
        </w:rPr>
        <w:t xml:space="preserve">  </w:t>
      </w:r>
      <w:r>
        <w:rPr>
          <w:rFonts w:ascii="宋体" w:hAnsi="宋体"/>
        </w:rPr>
        <w:t>市召开南雄市总工会第十六</w:t>
      </w:r>
      <w:r>
        <w:rPr>
          <w:rFonts w:hint="eastAsia" w:ascii="宋体" w:hAnsi="宋体"/>
        </w:rPr>
        <w:t>次代表大会。大会选举张宗财为市总工会第十六届委员会主席，朱冬平、杨小凤为副主席。</w:t>
      </w:r>
    </w:p>
    <w:p w14:paraId="2BBB3AF4">
      <w:pPr>
        <w:ind w:firstLine="422"/>
        <w:rPr>
          <w:rFonts w:ascii="宋体" w:hAnsi="宋体"/>
        </w:rPr>
      </w:pPr>
      <w:r>
        <w:rPr>
          <w:rFonts w:ascii="宋体" w:hAnsi="宋体"/>
          <w:b/>
        </w:rPr>
        <w:t>11月5日</w:t>
      </w:r>
      <w:r>
        <w:rPr>
          <w:rFonts w:hint="eastAsia" w:ascii="宋体" w:hAnsi="宋体"/>
          <w:b/>
        </w:rPr>
        <w:t xml:space="preserve">  </w:t>
      </w:r>
      <w:r>
        <w:rPr>
          <w:rFonts w:ascii="宋体" w:hAnsi="宋体"/>
        </w:rPr>
        <w:t>广东省纪委副书记梁万里率</w:t>
      </w:r>
      <w:r>
        <w:rPr>
          <w:rFonts w:hint="eastAsia" w:ascii="宋体" w:hAnsi="宋体"/>
        </w:rPr>
        <w:t>省党风廉政建设考核组到南雄考核党风廉政建设工作。韶关市委常委、纪委书记段宇飞，市领导林楚欣、许志新、何万飞、颜亮、罗勇新、肖芬先、陈玉英等陪同。</w:t>
      </w:r>
    </w:p>
    <w:p w14:paraId="3B66FD89">
      <w:pPr>
        <w:ind w:firstLine="422"/>
        <w:rPr>
          <w:rFonts w:ascii="宋体" w:hAnsi="宋体"/>
        </w:rPr>
      </w:pPr>
      <w:r>
        <w:rPr>
          <w:rFonts w:ascii="宋体" w:hAnsi="宋体"/>
          <w:b/>
        </w:rPr>
        <w:t>11月6日</w:t>
      </w:r>
      <w:r>
        <w:rPr>
          <w:rFonts w:hint="eastAsia" w:ascii="宋体" w:hAnsi="宋体"/>
          <w:b/>
        </w:rPr>
        <w:t xml:space="preserve">  </w:t>
      </w:r>
      <w:r>
        <w:rPr>
          <w:rFonts w:ascii="宋体" w:hAnsi="宋体"/>
        </w:rPr>
        <w:t>市全面铺开集体林权制度改</w:t>
      </w:r>
      <w:r>
        <w:rPr>
          <w:rFonts w:hint="eastAsia" w:ascii="宋体" w:hAnsi="宋体"/>
        </w:rPr>
        <w:t>革，改革分为四个阶段，至明年</w:t>
      </w:r>
      <w:r>
        <w:rPr>
          <w:rFonts w:ascii="宋体" w:hAnsi="宋体"/>
        </w:rPr>
        <w:t>6月底结束</w:t>
      </w:r>
      <w:r>
        <w:rPr>
          <w:rFonts w:hint="eastAsia" w:ascii="宋体" w:hAnsi="宋体"/>
        </w:rPr>
        <w:t>。改革的对象是农村集体经济组织所有的森林、林木和林地，核心是要把林木的所有权、林地的使用权和收益分配权落实到户，确立农民及承包者的经营主体地位。从而建立起“产权归属明晰、经营主体到位、责权划分明确、利益保障严格、流转规范有序、服务监管有效”的现代林业产权制度。</w:t>
      </w:r>
    </w:p>
    <w:p w14:paraId="7C1C171F">
      <w:pPr>
        <w:ind w:firstLine="422"/>
        <w:rPr>
          <w:rFonts w:ascii="宋体" w:hAnsi="宋体"/>
        </w:rPr>
      </w:pPr>
      <w:r>
        <w:rPr>
          <w:rFonts w:ascii="宋体" w:hAnsi="宋体"/>
          <w:b/>
        </w:rPr>
        <w:t>11月26日</w:t>
      </w:r>
      <w:r>
        <w:rPr>
          <w:rFonts w:hint="eastAsia" w:ascii="宋体" w:hAnsi="宋体"/>
          <w:b/>
        </w:rPr>
        <w:t xml:space="preserve">  </w:t>
      </w:r>
      <w:r>
        <w:rPr>
          <w:rFonts w:ascii="宋体" w:hAnsi="宋体"/>
        </w:rPr>
        <w:t>总投资4.13亿元的220千</w:t>
      </w:r>
      <w:r>
        <w:rPr>
          <w:rFonts w:hint="eastAsia" w:ascii="宋体" w:hAnsi="宋体"/>
        </w:rPr>
        <w:t>伏珠玑输变电工程于举行开工仪式。</w:t>
      </w:r>
      <w:r>
        <w:rPr>
          <w:rFonts w:ascii="宋体" w:hAnsi="宋体"/>
        </w:rPr>
        <w:t>220千伏</w:t>
      </w:r>
      <w:r>
        <w:rPr>
          <w:rFonts w:hint="eastAsia" w:ascii="宋体" w:hAnsi="宋体"/>
        </w:rPr>
        <w:t>输变电工程是重点工程项目，占地面积</w:t>
      </w:r>
      <w:r>
        <w:rPr>
          <w:rFonts w:ascii="宋体" w:hAnsi="宋体"/>
        </w:rPr>
        <w:t>34000</w:t>
      </w:r>
      <w:r>
        <w:rPr>
          <w:rFonts w:hint="eastAsia" w:ascii="宋体" w:hAnsi="宋体"/>
        </w:rPr>
        <w:t>平方米，工程由广东电网公司投资，韶关供电局建设，预计在</w:t>
      </w:r>
      <w:r>
        <w:rPr>
          <w:rFonts w:ascii="宋体" w:hAnsi="宋体"/>
        </w:rPr>
        <w:t>2010年12月建成投产，该</w:t>
      </w:r>
      <w:r>
        <w:rPr>
          <w:rFonts w:hint="eastAsia" w:ascii="宋体" w:hAnsi="宋体"/>
        </w:rPr>
        <w:t>变电站一期工程计划建设</w:t>
      </w:r>
      <w:r>
        <w:rPr>
          <w:rFonts w:ascii="宋体" w:hAnsi="宋体"/>
        </w:rPr>
        <w:t>1台18万伏安主变</w:t>
      </w:r>
      <w:r>
        <w:rPr>
          <w:rFonts w:hint="eastAsia" w:ascii="宋体" w:hAnsi="宋体"/>
        </w:rPr>
        <w:t>压器，最终建设规模为</w:t>
      </w:r>
      <w:r>
        <w:rPr>
          <w:rFonts w:ascii="宋体" w:hAnsi="宋体"/>
        </w:rPr>
        <w:t>3台18万千伏安主变</w:t>
      </w:r>
      <w:r>
        <w:rPr>
          <w:rFonts w:hint="eastAsia" w:ascii="宋体" w:hAnsi="宋体"/>
        </w:rPr>
        <w:t>压器。这一工程建成后，对推动南雄招商引资、城市建设，促进经济发展将发挥重大的作用。</w:t>
      </w:r>
    </w:p>
    <w:p w14:paraId="1EDBD09F">
      <w:pPr>
        <w:ind w:firstLine="422"/>
        <w:rPr>
          <w:rFonts w:ascii="宋体" w:hAnsi="宋体"/>
        </w:rPr>
      </w:pPr>
      <w:r>
        <w:rPr>
          <w:rFonts w:ascii="宋体" w:hAnsi="宋体"/>
          <w:b/>
        </w:rPr>
        <w:t>11月28日</w:t>
      </w:r>
      <w:r>
        <w:rPr>
          <w:rFonts w:hint="eastAsia" w:ascii="宋体" w:hAnsi="宋体"/>
          <w:b/>
        </w:rPr>
        <w:t xml:space="preserve">  </w:t>
      </w:r>
      <w:r>
        <w:rPr>
          <w:rFonts w:ascii="宋体" w:hAnsi="宋体"/>
        </w:rPr>
        <w:t>市体育代表团300多名运动</w:t>
      </w:r>
      <w:r>
        <w:rPr>
          <w:rFonts w:hint="eastAsia" w:ascii="宋体" w:hAnsi="宋体"/>
        </w:rPr>
        <w:t>员和教练员参加韶关市第十三届运动会，参加田径、武术、射击、举重、篮球等</w:t>
      </w:r>
      <w:r>
        <w:rPr>
          <w:rFonts w:ascii="宋体" w:hAnsi="宋体"/>
        </w:rPr>
        <w:t>14个大</w:t>
      </w:r>
      <w:r>
        <w:rPr>
          <w:rFonts w:hint="eastAsia" w:ascii="宋体" w:hAnsi="宋体"/>
        </w:rPr>
        <w:t>项</w:t>
      </w:r>
      <w:r>
        <w:rPr>
          <w:rFonts w:ascii="宋体" w:hAnsi="宋体"/>
        </w:rPr>
        <w:t>118个小项的比赛，获得金牌39.5枚，银</w:t>
      </w:r>
      <w:r>
        <w:rPr>
          <w:rFonts w:hint="eastAsia" w:ascii="宋体" w:hAnsi="宋体"/>
        </w:rPr>
        <w:t>牌</w:t>
      </w:r>
      <w:r>
        <w:rPr>
          <w:rFonts w:ascii="宋体" w:hAnsi="宋体"/>
        </w:rPr>
        <w:t>35枚，铜牌30枚，奖牌总数104.5枚，团</w:t>
      </w:r>
      <w:r>
        <w:rPr>
          <w:rFonts w:hint="eastAsia" w:ascii="宋体" w:hAnsi="宋体"/>
        </w:rPr>
        <w:t>体总分</w:t>
      </w:r>
      <w:r>
        <w:rPr>
          <w:rFonts w:ascii="宋体" w:hAnsi="宋体"/>
        </w:rPr>
        <w:t>1282分。团体总分和奖牌总数均在各</w:t>
      </w:r>
      <w:r>
        <w:rPr>
          <w:rFonts w:hint="eastAsia" w:ascii="宋体" w:hAnsi="宋体"/>
        </w:rPr>
        <w:t>代表团中位居第三。</w:t>
      </w:r>
    </w:p>
    <w:p w14:paraId="22012735">
      <w:pPr>
        <w:ind w:firstLine="422"/>
        <w:rPr>
          <w:rFonts w:ascii="宋体" w:hAnsi="宋体"/>
        </w:rPr>
      </w:pPr>
      <w:r>
        <w:rPr>
          <w:rFonts w:ascii="宋体" w:hAnsi="宋体"/>
          <w:b/>
        </w:rPr>
        <w:t>12月5日</w:t>
      </w:r>
      <w:r>
        <w:rPr>
          <w:rFonts w:hint="eastAsia" w:ascii="宋体" w:hAnsi="宋体"/>
          <w:b/>
        </w:rPr>
        <w:t xml:space="preserve">  </w:t>
      </w:r>
      <w:r>
        <w:rPr>
          <w:rFonts w:ascii="宋体" w:hAnsi="宋体"/>
        </w:rPr>
        <w:t>在香港举行的第五届东亚运</w:t>
      </w:r>
      <w:r>
        <w:rPr>
          <w:rFonts w:hint="eastAsia" w:ascii="宋体" w:hAnsi="宋体"/>
        </w:rPr>
        <w:t>动会上，南雄籍运动员马丽芸，以</w:t>
      </w:r>
      <w:r>
        <w:rPr>
          <w:rFonts w:ascii="宋体" w:hAnsi="宋体"/>
        </w:rPr>
        <w:t>35.746秒</w:t>
      </w:r>
      <w:r>
        <w:rPr>
          <w:rFonts w:hint="eastAsia" w:ascii="宋体" w:hAnsi="宋体"/>
        </w:rPr>
        <w:t>的成绩夺得小轮车精英比赛金牌。</w:t>
      </w:r>
    </w:p>
    <w:p w14:paraId="3CB788D0">
      <w:pPr>
        <w:ind w:firstLine="422"/>
        <w:rPr>
          <w:rFonts w:ascii="宋体" w:hAnsi="宋体"/>
        </w:rPr>
      </w:pPr>
      <w:r>
        <w:rPr>
          <w:rFonts w:ascii="宋体" w:hAnsi="宋体"/>
          <w:b/>
        </w:rPr>
        <w:t>12月21日</w:t>
      </w:r>
      <w:r>
        <w:rPr>
          <w:rFonts w:hint="eastAsia" w:ascii="宋体" w:hAnsi="宋体"/>
          <w:b/>
        </w:rPr>
        <w:t xml:space="preserve">  </w:t>
      </w:r>
      <w:r>
        <w:rPr>
          <w:rFonts w:ascii="宋体" w:hAnsi="宋体"/>
        </w:rPr>
        <w:t>市举行经贸洽谈会暨千年古</w:t>
      </w:r>
      <w:r>
        <w:rPr>
          <w:rFonts w:hint="eastAsia" w:ascii="宋体" w:hAnsi="宋体"/>
        </w:rPr>
        <w:t>塔庆典活动。来自全国各地关心南雄经济社会发展热心人士和客商与社会各界人士</w:t>
      </w:r>
      <w:r>
        <w:rPr>
          <w:rFonts w:ascii="宋体" w:hAnsi="宋体"/>
        </w:rPr>
        <w:t>1000</w:t>
      </w:r>
      <w:r>
        <w:rPr>
          <w:rFonts w:hint="eastAsia" w:ascii="宋体" w:hAnsi="宋体"/>
        </w:rPr>
        <w:t>多人，欢聚广场共同庆祝三影古塔千年寿诞，一起展望南雄未来的发展。期间</w:t>
      </w:r>
      <w:r>
        <w:rPr>
          <w:rFonts w:ascii="宋体" w:hAnsi="宋体"/>
        </w:rPr>
        <w:t>18个招商项</w:t>
      </w:r>
      <w:r>
        <w:rPr>
          <w:rFonts w:hint="eastAsia" w:ascii="宋体" w:hAnsi="宋体"/>
        </w:rPr>
        <w:t>目成功签约，签约资金达</w:t>
      </w:r>
      <w:r>
        <w:rPr>
          <w:rFonts w:ascii="宋体" w:hAnsi="宋体"/>
        </w:rPr>
        <w:t>50.71亿元，同时，</w:t>
      </w:r>
      <w:r>
        <w:rPr>
          <w:rFonts w:hint="eastAsia" w:ascii="宋体" w:hAnsi="宋体"/>
        </w:rPr>
        <w:t>乐华陶瓷洁具有限公司、志一精细化工等</w:t>
      </w:r>
      <w:r>
        <w:rPr>
          <w:rFonts w:ascii="宋体" w:hAnsi="宋体"/>
        </w:rPr>
        <w:t>8</w:t>
      </w:r>
      <w:r>
        <w:rPr>
          <w:rFonts w:hint="eastAsia" w:ascii="宋体" w:hAnsi="宋体"/>
        </w:rPr>
        <w:t>个项目竣工投产。</w:t>
      </w:r>
    </w:p>
    <w:p w14:paraId="10293660">
      <w:pPr>
        <w:ind w:firstLine="422"/>
        <w:rPr>
          <w:rFonts w:ascii="宋体" w:hAnsi="宋体"/>
        </w:rPr>
      </w:pPr>
      <w:r>
        <w:rPr>
          <w:rFonts w:ascii="宋体" w:hAnsi="宋体"/>
          <w:b/>
        </w:rPr>
        <w:t>12月21日</w:t>
      </w:r>
      <w:r>
        <w:rPr>
          <w:rFonts w:hint="eastAsia" w:ascii="宋体" w:hAnsi="宋体"/>
          <w:b/>
        </w:rPr>
        <w:t xml:space="preserve">  </w:t>
      </w:r>
      <w:r>
        <w:rPr>
          <w:rFonts w:ascii="宋体" w:hAnsi="宋体"/>
        </w:rPr>
        <w:t>市特别授予为南雄发展建设</w:t>
      </w:r>
      <w:r>
        <w:rPr>
          <w:rFonts w:hint="eastAsia" w:ascii="宋体" w:hAnsi="宋体"/>
        </w:rPr>
        <w:t>作出贡献的黎子流为“南雄市特殊贡献人物”奖，以及</w:t>
      </w:r>
      <w:r>
        <w:rPr>
          <w:rFonts w:ascii="宋体" w:hAnsi="宋体"/>
        </w:rPr>
        <w:t>57位珠玑巷后裔，授予他们</w:t>
      </w:r>
      <w:r>
        <w:rPr>
          <w:rFonts w:hint="eastAsia" w:ascii="宋体" w:hAnsi="宋体"/>
        </w:rPr>
        <w:t>“</w:t>
      </w:r>
      <w:r>
        <w:rPr>
          <w:rFonts w:ascii="宋体" w:hAnsi="宋体"/>
        </w:rPr>
        <w:t>南雄</w:t>
      </w:r>
      <w:r>
        <w:rPr>
          <w:rFonts w:hint="eastAsia" w:ascii="宋体" w:hAnsi="宋体"/>
        </w:rPr>
        <w:t>市慈善之星”称号。其中有王锦辉、黎灿、卢道平等港澳热心人士，还有南雄籍民营企业家，他们满怀桑梓之情，积极参与并推动南雄慈善公益事业发展，慷慨解囊，捐资捐物，为南雄慈善公益事业和珠玑巷建设共捐资</w:t>
      </w:r>
      <w:r>
        <w:rPr>
          <w:rFonts w:ascii="宋体" w:hAnsi="宋体"/>
        </w:rPr>
        <w:t>2.7亿元。</w:t>
      </w:r>
    </w:p>
    <w:p w14:paraId="2D843537">
      <w:pPr>
        <w:pStyle w:val="3"/>
      </w:pPr>
      <w:r>
        <w:rPr>
          <w:rFonts w:hint="eastAsia"/>
        </w:rPr>
        <w:t>2010年大事记</w:t>
      </w:r>
    </w:p>
    <w:p w14:paraId="28356760">
      <w:pPr>
        <w:ind w:firstLine="422"/>
        <w:rPr>
          <w:rFonts w:ascii="宋体" w:hAnsi="宋体"/>
        </w:rPr>
      </w:pPr>
      <w:r>
        <w:rPr>
          <w:rFonts w:ascii="宋体" w:hAnsi="宋体"/>
          <w:b/>
        </w:rPr>
        <w:t>1月11日</w:t>
      </w:r>
      <w:r>
        <w:rPr>
          <w:rFonts w:hint="eastAsia" w:ascii="宋体" w:hAnsi="宋体"/>
          <w:b/>
        </w:rPr>
        <w:t xml:space="preserve">  </w:t>
      </w:r>
      <w:r>
        <w:rPr>
          <w:rFonts w:ascii="宋体" w:hAnsi="宋体"/>
        </w:rPr>
        <w:t>市召开市委十一届八次全会。</w:t>
      </w:r>
      <w:r>
        <w:rPr>
          <w:rFonts w:hint="eastAsia" w:ascii="宋体" w:hAnsi="宋体"/>
        </w:rPr>
        <w:t>市四套班子领导，市委委员、候补委员出席会议，各镇（街道）党委书记、镇长（主任），市直副科以上（含垂直管理）一把手参加会议，市委书记林楚欣代表市委常委会作工作报告。会议提出要调整优化经济结构，提升科学发展水平，全面加快富裕文明和谐安康粤北门户城市建设步伐。会议明确了</w:t>
      </w:r>
      <w:r>
        <w:rPr>
          <w:rFonts w:ascii="宋体" w:hAnsi="宋体"/>
        </w:rPr>
        <w:t>2010年全市生产总值增长15%以上，地方财</w:t>
      </w:r>
      <w:r>
        <w:rPr>
          <w:rFonts w:hint="eastAsia" w:ascii="宋体" w:hAnsi="宋体"/>
        </w:rPr>
        <w:t>政一般预算收入增长</w:t>
      </w:r>
      <w:r>
        <w:rPr>
          <w:rFonts w:ascii="宋体" w:hAnsi="宋体"/>
        </w:rPr>
        <w:t>15%以上的工作目标。</w:t>
      </w:r>
    </w:p>
    <w:p w14:paraId="29246910">
      <w:pPr>
        <w:ind w:firstLine="422"/>
        <w:rPr>
          <w:rFonts w:ascii="宋体" w:hAnsi="宋体"/>
        </w:rPr>
      </w:pPr>
      <w:r>
        <w:rPr>
          <w:rFonts w:ascii="宋体" w:hAnsi="宋体"/>
          <w:b/>
        </w:rPr>
        <w:t>1月14日</w:t>
      </w:r>
      <w:r>
        <w:rPr>
          <w:rFonts w:hint="eastAsia" w:ascii="宋体" w:hAnsi="宋体"/>
          <w:b/>
        </w:rPr>
        <w:t xml:space="preserve">  </w:t>
      </w:r>
      <w:r>
        <w:rPr>
          <w:rFonts w:ascii="宋体" w:hAnsi="宋体"/>
        </w:rPr>
        <w:t>广东省委、省政府召开山区</w:t>
      </w:r>
      <w:r>
        <w:rPr>
          <w:rFonts w:hint="eastAsia" w:ascii="宋体" w:hAnsi="宋体"/>
        </w:rPr>
        <w:t>工作粤北地区（韶关市）现场会，中共中央政治局委员、广东省委书记汪洋对南雄通过加快产业集聚推动山区经济发展的做法和取得的成效，并予以高度评价，认为南雄通过推进产业集聚加快经济发展的做法为全省山区探索出一条很好的路子。目前，落户园区的企业已达到</w:t>
      </w:r>
      <w:r>
        <w:rPr>
          <w:rFonts w:ascii="宋体" w:hAnsi="宋体"/>
        </w:rPr>
        <w:t>83家，</w:t>
      </w:r>
      <w:r>
        <w:rPr>
          <w:rFonts w:hint="eastAsia" w:ascii="宋体" w:hAnsi="宋体"/>
        </w:rPr>
        <w:t>已</w:t>
      </w:r>
      <w:r>
        <w:rPr>
          <w:rFonts w:ascii="宋体" w:hAnsi="宋体"/>
        </w:rPr>
        <w:t>经建成投产或试产的</w:t>
      </w:r>
      <w:r>
        <w:rPr>
          <w:rFonts w:hint="eastAsia" w:ascii="宋体" w:hAnsi="宋体"/>
        </w:rPr>
        <w:t>企业有</w:t>
      </w:r>
      <w:r>
        <w:rPr>
          <w:rFonts w:ascii="宋体" w:hAnsi="宋体"/>
        </w:rPr>
        <w:t>18家，在建企业38家，园区的污水处</w:t>
      </w:r>
      <w:r>
        <w:rPr>
          <w:rFonts w:hint="eastAsia" w:ascii="宋体" w:hAnsi="宋体"/>
        </w:rPr>
        <w:t>理中心、信息互动平台、应急救援中心等配套设施已基本完善，整个园区的产业集聚效益已初步显现。精细化工基地的发展，推动了南雄经济的快速发展，</w:t>
      </w:r>
      <w:r>
        <w:rPr>
          <w:rFonts w:ascii="宋体" w:hAnsi="宋体"/>
        </w:rPr>
        <w:t>2009年南雄GDP增</w:t>
      </w:r>
      <w:r>
        <w:rPr>
          <w:rFonts w:hint="eastAsia" w:ascii="宋体" w:hAnsi="宋体"/>
        </w:rPr>
        <w:t>长</w:t>
      </w:r>
      <w:r>
        <w:rPr>
          <w:rFonts w:ascii="宋体" w:hAnsi="宋体"/>
        </w:rPr>
        <w:t>14.3%，综合增长率在全省的排名提前到</w:t>
      </w:r>
      <w:r>
        <w:rPr>
          <w:rFonts w:hint="eastAsia" w:ascii="宋体" w:hAnsi="宋体"/>
        </w:rPr>
        <w:t>第</w:t>
      </w:r>
      <w:r>
        <w:rPr>
          <w:rFonts w:ascii="宋体" w:hAnsi="宋体"/>
        </w:rPr>
        <w:t>4名，比2008年提前了43名</w:t>
      </w:r>
      <w:r>
        <w:rPr>
          <w:rFonts w:hint="eastAsia" w:ascii="宋体" w:hAnsi="宋体"/>
        </w:rPr>
        <w:t>。</w:t>
      </w:r>
    </w:p>
    <w:p w14:paraId="02B42DAF">
      <w:pPr>
        <w:ind w:firstLine="422"/>
        <w:rPr>
          <w:rFonts w:ascii="宋体" w:hAnsi="宋体"/>
        </w:rPr>
      </w:pPr>
      <w:r>
        <w:rPr>
          <w:rFonts w:ascii="宋体" w:hAnsi="宋体"/>
          <w:b/>
        </w:rPr>
        <w:t>1月17日</w:t>
      </w:r>
      <w:r>
        <w:rPr>
          <w:rFonts w:hint="eastAsia" w:ascii="宋体" w:hAnsi="宋体"/>
          <w:b/>
        </w:rPr>
        <w:t xml:space="preserve">  </w:t>
      </w:r>
      <w:r>
        <w:rPr>
          <w:rFonts w:ascii="宋体" w:hAnsi="宋体"/>
        </w:rPr>
        <w:t>市首届</w:t>
      </w:r>
      <w:r>
        <w:rPr>
          <w:rFonts w:hint="eastAsia" w:ascii="宋体" w:hAnsi="宋体"/>
        </w:rPr>
        <w:t>“</w:t>
      </w:r>
      <w:r>
        <w:rPr>
          <w:rFonts w:ascii="宋体" w:hAnsi="宋体"/>
        </w:rPr>
        <w:t>珠玑文化教育慈善</w:t>
      </w:r>
      <w:r>
        <w:rPr>
          <w:rFonts w:hint="eastAsia" w:ascii="宋体" w:hAnsi="宋体"/>
        </w:rPr>
        <w:t>专项基金”慈善晚会在佛山市顺德区隆重举行，晚会当晚共筹集善款</w:t>
      </w:r>
      <w:r>
        <w:rPr>
          <w:rFonts w:ascii="宋体" w:hAnsi="宋体"/>
        </w:rPr>
        <w:t>1200多万元。据了</w:t>
      </w:r>
      <w:r>
        <w:rPr>
          <w:rFonts w:hint="eastAsia" w:ascii="宋体" w:hAnsi="宋体"/>
        </w:rPr>
        <w:t>解，广东南雄珠玑巷后裔联谊会自</w:t>
      </w:r>
      <w:r>
        <w:rPr>
          <w:rFonts w:ascii="宋体" w:hAnsi="宋体"/>
        </w:rPr>
        <w:t>2009年11</w:t>
      </w:r>
      <w:r>
        <w:rPr>
          <w:rFonts w:hint="eastAsia" w:ascii="宋体" w:hAnsi="宋体"/>
        </w:rPr>
        <w:t>月</w:t>
      </w:r>
      <w:r>
        <w:rPr>
          <w:rFonts w:ascii="宋体" w:hAnsi="宋体"/>
        </w:rPr>
        <w:t>24日正式启动首届</w:t>
      </w:r>
      <w:r>
        <w:rPr>
          <w:rFonts w:hint="eastAsia" w:ascii="宋体" w:hAnsi="宋体"/>
        </w:rPr>
        <w:t>“</w:t>
      </w:r>
      <w:r>
        <w:rPr>
          <w:rFonts w:ascii="宋体" w:hAnsi="宋体"/>
        </w:rPr>
        <w:t>珠玑文化教育慈善专</w:t>
      </w:r>
      <w:r>
        <w:rPr>
          <w:rFonts w:hint="eastAsia" w:ascii="宋体" w:hAnsi="宋体"/>
        </w:rPr>
        <w:t>项基金”至今，得到了港澳地区、珠三角地区等地珠玑后裔的鼎力支持，共筹得善款</w:t>
      </w:r>
      <w:r>
        <w:rPr>
          <w:rFonts w:ascii="宋体" w:hAnsi="宋体"/>
        </w:rPr>
        <w:t>1698万元。</w:t>
      </w:r>
    </w:p>
    <w:p w14:paraId="1123904F">
      <w:pPr>
        <w:ind w:firstLine="422"/>
        <w:rPr>
          <w:rFonts w:ascii="宋体" w:hAnsi="宋体"/>
        </w:rPr>
      </w:pPr>
      <w:r>
        <w:rPr>
          <w:rFonts w:ascii="宋体" w:hAnsi="宋体"/>
          <w:b/>
        </w:rPr>
        <w:t>1月19日至20日</w:t>
      </w:r>
      <w:r>
        <w:rPr>
          <w:rFonts w:hint="eastAsia" w:ascii="宋体" w:hAnsi="宋体"/>
          <w:b/>
        </w:rPr>
        <w:t xml:space="preserve">  </w:t>
      </w:r>
      <w:r>
        <w:rPr>
          <w:rFonts w:ascii="宋体" w:hAnsi="宋体"/>
        </w:rPr>
        <w:t>市召开政协南雄市第</w:t>
      </w:r>
      <w:r>
        <w:rPr>
          <w:rFonts w:hint="eastAsia" w:ascii="宋体" w:hAnsi="宋体"/>
        </w:rPr>
        <w:t>八届委员会第五次会议，会议应到委员</w:t>
      </w:r>
      <w:r>
        <w:rPr>
          <w:rFonts w:ascii="宋体" w:hAnsi="宋体"/>
        </w:rPr>
        <w:t>197</w:t>
      </w:r>
      <w:r>
        <w:rPr>
          <w:rFonts w:hint="eastAsia" w:ascii="宋体" w:hAnsi="宋体"/>
        </w:rPr>
        <w:t>名，实到</w:t>
      </w:r>
      <w:r>
        <w:rPr>
          <w:rFonts w:ascii="宋体" w:hAnsi="宋体"/>
        </w:rPr>
        <w:t>153名。会议补选陈尚妹为副主席，</w:t>
      </w:r>
      <w:r>
        <w:rPr>
          <w:rFonts w:hint="eastAsia" w:ascii="宋体" w:hAnsi="宋体"/>
        </w:rPr>
        <w:t>选举邬章云、袁元桃、董祖明三名委员为政协南雄市八届委员会常务委员。</w:t>
      </w:r>
    </w:p>
    <w:p w14:paraId="58D19073">
      <w:pPr>
        <w:ind w:firstLine="422"/>
        <w:rPr>
          <w:rFonts w:ascii="宋体" w:hAnsi="宋体"/>
        </w:rPr>
      </w:pPr>
      <w:r>
        <w:rPr>
          <w:rFonts w:ascii="宋体" w:hAnsi="宋体"/>
          <w:b/>
        </w:rPr>
        <w:t>1月20日至21日</w:t>
      </w:r>
      <w:r>
        <w:rPr>
          <w:rFonts w:hint="eastAsia" w:ascii="宋体" w:hAnsi="宋体"/>
          <w:b/>
        </w:rPr>
        <w:t xml:space="preserve">  </w:t>
      </w:r>
      <w:r>
        <w:rPr>
          <w:rFonts w:ascii="宋体" w:hAnsi="宋体"/>
        </w:rPr>
        <w:t>市召开第十三届人大</w:t>
      </w:r>
      <w:r>
        <w:rPr>
          <w:rFonts w:hint="eastAsia" w:ascii="宋体" w:hAnsi="宋体"/>
        </w:rPr>
        <w:t>五次会议，会议应到代表</w:t>
      </w:r>
      <w:r>
        <w:rPr>
          <w:rFonts w:ascii="宋体" w:hAnsi="宋体"/>
        </w:rPr>
        <w:t>210名，实到197</w:t>
      </w:r>
      <w:r>
        <w:rPr>
          <w:rFonts w:hint="eastAsia" w:ascii="宋体" w:hAnsi="宋体"/>
        </w:rPr>
        <w:t>名。会议补选赖长林、柯油松为南雄市第十三届人大常委会委员。</w:t>
      </w:r>
    </w:p>
    <w:p w14:paraId="643D76A9">
      <w:pPr>
        <w:ind w:firstLine="422"/>
        <w:rPr>
          <w:rFonts w:ascii="宋体" w:hAnsi="宋体"/>
        </w:rPr>
      </w:pPr>
      <w:r>
        <w:rPr>
          <w:rFonts w:ascii="宋体" w:hAnsi="宋体"/>
          <w:b/>
        </w:rPr>
        <w:t>2月2日</w:t>
      </w:r>
      <w:r>
        <w:rPr>
          <w:rFonts w:hint="eastAsia" w:ascii="宋体" w:hAnsi="宋体"/>
          <w:b/>
        </w:rPr>
        <w:t xml:space="preserve">  </w:t>
      </w:r>
      <w:r>
        <w:rPr>
          <w:rFonts w:ascii="宋体" w:hAnsi="宋体"/>
        </w:rPr>
        <w:t>澳大利亚联邦悉尼高嘉华市市</w:t>
      </w:r>
      <w:r>
        <w:rPr>
          <w:rFonts w:hint="eastAsia" w:ascii="宋体" w:hAnsi="宋体"/>
        </w:rPr>
        <w:t>长尼柯拉、副市长邓小颖等前来南雄洽谈访问，签订《南雄市与高嘉华市加强交流合作备忘录》。许志新、王荣光、陈培兰、何人平、卜小燕、何光明、刘发龙等市领导参加签署仪式。</w:t>
      </w:r>
    </w:p>
    <w:p w14:paraId="2D872A1B">
      <w:pPr>
        <w:ind w:firstLine="422"/>
        <w:rPr>
          <w:rFonts w:ascii="宋体" w:hAnsi="宋体"/>
        </w:rPr>
      </w:pPr>
      <w:r>
        <w:rPr>
          <w:rFonts w:ascii="宋体" w:hAnsi="宋体"/>
          <w:b/>
        </w:rPr>
        <w:t>2月5日</w:t>
      </w:r>
      <w:r>
        <w:rPr>
          <w:rFonts w:hint="eastAsia" w:ascii="宋体" w:hAnsi="宋体"/>
          <w:b/>
        </w:rPr>
        <w:t xml:space="preserve">  </w:t>
      </w:r>
      <w:r>
        <w:rPr>
          <w:rFonts w:ascii="宋体" w:hAnsi="宋体"/>
        </w:rPr>
        <w:t>韶关市委书记、市人大常委会</w:t>
      </w:r>
      <w:r>
        <w:rPr>
          <w:rFonts w:hint="eastAsia" w:ascii="宋体" w:hAnsi="宋体"/>
        </w:rPr>
        <w:t>主任徐建华，市委常委、市委秘书长李石保到南雄慰问困难群众、党员以及革命烈士家庭。林楚欣、许志新、陈玉英、丘德周、罗战勇等市领导陪同慰问。</w:t>
      </w:r>
    </w:p>
    <w:p w14:paraId="66741AFA">
      <w:pPr>
        <w:ind w:firstLine="422"/>
        <w:rPr>
          <w:rFonts w:ascii="宋体" w:hAnsi="宋体"/>
        </w:rPr>
      </w:pPr>
      <w:r>
        <w:rPr>
          <w:rFonts w:ascii="宋体" w:hAnsi="宋体"/>
          <w:b/>
        </w:rPr>
        <w:t>2月5日至7日</w:t>
      </w:r>
      <w:r>
        <w:rPr>
          <w:rFonts w:hint="eastAsia" w:ascii="宋体" w:hAnsi="宋体"/>
          <w:b/>
        </w:rPr>
        <w:t xml:space="preserve">  </w:t>
      </w:r>
      <w:r>
        <w:rPr>
          <w:rFonts w:ascii="宋体" w:hAnsi="宋体"/>
        </w:rPr>
        <w:t>省社科联主席田丰等省</w:t>
      </w:r>
      <w:r>
        <w:rPr>
          <w:rFonts w:hint="eastAsia" w:ascii="宋体" w:hAnsi="宋体"/>
        </w:rPr>
        <w:t>情调研专家学者到南雄开展调研。韶关市委常委、宣传部长李萍和市领导许志新、罗勇新、肖芬先、王荣光、陈玉英、刘宏伟、黄德群、吕道宏等陪同调研。</w:t>
      </w:r>
    </w:p>
    <w:p w14:paraId="6374471F">
      <w:pPr>
        <w:ind w:firstLine="422"/>
        <w:rPr>
          <w:rFonts w:ascii="宋体" w:hAnsi="宋体"/>
        </w:rPr>
      </w:pPr>
      <w:r>
        <w:rPr>
          <w:rFonts w:ascii="宋体" w:hAnsi="宋体"/>
          <w:b/>
        </w:rPr>
        <w:t>3月5日</w:t>
      </w:r>
      <w:r>
        <w:rPr>
          <w:rFonts w:hint="eastAsia" w:ascii="宋体" w:hAnsi="宋体"/>
          <w:b/>
        </w:rPr>
        <w:t xml:space="preserve">  </w:t>
      </w:r>
      <w:r>
        <w:rPr>
          <w:rFonts w:ascii="宋体" w:hAnsi="宋体"/>
        </w:rPr>
        <w:t>市召开违法用地专项整治工作</w:t>
      </w:r>
      <w:r>
        <w:rPr>
          <w:rFonts w:hint="eastAsia" w:ascii="宋体" w:hAnsi="宋体"/>
        </w:rPr>
        <w:t>会议，要求采取强硬措施，严查督办、重拳打击违法占用土地建房和非法土地买卖行为。目前市土地专项整治工作小组已采取行动，对违法占用土地建房和非法土地买卖的行为进行拉网式摸底调查，同时采取悬赏的办法，鼓励群众检举揭发违法占用土地建房、非法买卖土地的行为。</w:t>
      </w:r>
    </w:p>
    <w:p w14:paraId="6AD6C591">
      <w:pPr>
        <w:ind w:firstLine="422"/>
        <w:rPr>
          <w:rFonts w:ascii="宋体" w:hAnsi="宋体"/>
        </w:rPr>
      </w:pPr>
      <w:r>
        <w:rPr>
          <w:rFonts w:ascii="宋体" w:hAnsi="宋体"/>
          <w:b/>
        </w:rPr>
        <w:t>3月10日</w:t>
      </w:r>
      <w:r>
        <w:rPr>
          <w:rFonts w:hint="eastAsia" w:ascii="宋体" w:hAnsi="宋体"/>
          <w:b/>
        </w:rPr>
        <w:t xml:space="preserve">  </w:t>
      </w:r>
      <w:r>
        <w:rPr>
          <w:rFonts w:ascii="宋体" w:hAnsi="宋体"/>
        </w:rPr>
        <w:t>在英国谢菲尔德举行的斯诺</w:t>
      </w:r>
      <w:r>
        <w:rPr>
          <w:rFonts w:hint="eastAsia" w:ascii="宋体" w:hAnsi="宋体"/>
        </w:rPr>
        <w:t>克台球世锦赛资格赛中，年仅</w:t>
      </w:r>
      <w:r>
        <w:rPr>
          <w:rFonts w:ascii="宋体" w:hAnsi="宋体"/>
        </w:rPr>
        <w:t>18岁的南雄籍</w:t>
      </w:r>
      <w:r>
        <w:rPr>
          <w:rFonts w:hint="eastAsia" w:ascii="宋体" w:hAnsi="宋体"/>
        </w:rPr>
        <w:t>台球小将张安达，连赢四场晋级正赛，获得</w:t>
      </w:r>
      <w:r>
        <w:rPr>
          <w:rFonts w:ascii="宋体" w:hAnsi="宋体"/>
        </w:rPr>
        <w:t>2800点积分，排名单赛季世界积分前八位，</w:t>
      </w:r>
      <w:r>
        <w:rPr>
          <w:rFonts w:hint="eastAsia" w:ascii="宋体" w:hAnsi="宋体"/>
        </w:rPr>
        <w:t>成功进入世锦赛。</w:t>
      </w:r>
    </w:p>
    <w:p w14:paraId="17197C32">
      <w:pPr>
        <w:ind w:firstLine="422"/>
        <w:rPr>
          <w:rFonts w:ascii="宋体" w:hAnsi="宋体"/>
        </w:rPr>
      </w:pPr>
      <w:r>
        <w:rPr>
          <w:rFonts w:ascii="宋体" w:hAnsi="宋体"/>
          <w:b/>
        </w:rPr>
        <w:t>3月18日</w:t>
      </w:r>
      <w:r>
        <w:rPr>
          <w:rFonts w:hint="eastAsia" w:ascii="宋体" w:hAnsi="宋体"/>
          <w:b/>
        </w:rPr>
        <w:t xml:space="preserve">  </w:t>
      </w:r>
      <w:r>
        <w:rPr>
          <w:rFonts w:ascii="宋体" w:hAnsi="宋体"/>
        </w:rPr>
        <w:t>韶关市招商引资工作现场会</w:t>
      </w:r>
      <w:r>
        <w:rPr>
          <w:rFonts w:hint="eastAsia" w:ascii="宋体" w:hAnsi="宋体"/>
        </w:rPr>
        <w:t>在南雄召开。徐建华、郑振涛、邓苏夏等韶关市四套班子领导，各县（市、区）、市直机关和驻韶中省企业单位负责人参加会议。</w:t>
      </w:r>
    </w:p>
    <w:p w14:paraId="0FCEB266">
      <w:pPr>
        <w:ind w:firstLine="422"/>
        <w:rPr>
          <w:rFonts w:ascii="宋体" w:hAnsi="宋体"/>
        </w:rPr>
      </w:pPr>
      <w:r>
        <w:rPr>
          <w:rFonts w:ascii="宋体" w:hAnsi="宋体"/>
          <w:b/>
        </w:rPr>
        <w:t>3月26日</w:t>
      </w:r>
      <w:r>
        <w:rPr>
          <w:rFonts w:hint="eastAsia" w:ascii="宋体" w:hAnsi="宋体"/>
          <w:b/>
        </w:rPr>
        <w:t xml:space="preserve">  </w:t>
      </w:r>
      <w:r>
        <w:rPr>
          <w:rFonts w:ascii="宋体" w:hAnsi="宋体"/>
        </w:rPr>
        <w:t>中共中央委员、国务院发展</w:t>
      </w:r>
      <w:r>
        <w:rPr>
          <w:rFonts w:hint="eastAsia" w:ascii="宋体" w:hAnsi="宋体"/>
        </w:rPr>
        <w:t>研究中心主任张玉台到南雄调研，先后前往南雄精细化工基地、梅关古道和珠玑古巷考察，了解县域经济发展和“双转移“战略实施的成效。为中央支持欠发达地区发展提供政策建议和咨询意见。</w:t>
      </w:r>
    </w:p>
    <w:p w14:paraId="4B0AE7E7">
      <w:pPr>
        <w:ind w:firstLine="422"/>
        <w:rPr>
          <w:rFonts w:ascii="宋体" w:hAnsi="宋体"/>
        </w:rPr>
      </w:pPr>
      <w:r>
        <w:rPr>
          <w:rFonts w:ascii="宋体" w:hAnsi="宋体"/>
          <w:b/>
        </w:rPr>
        <w:t>3月29日</w:t>
      </w:r>
      <w:r>
        <w:rPr>
          <w:rFonts w:hint="eastAsia" w:ascii="宋体" w:hAnsi="宋体"/>
          <w:b/>
        </w:rPr>
        <w:t xml:space="preserve">  </w:t>
      </w:r>
      <w:r>
        <w:rPr>
          <w:rFonts w:ascii="宋体" w:hAnsi="宋体"/>
        </w:rPr>
        <w:t>原中共中央政治局委员、中</w:t>
      </w:r>
      <w:r>
        <w:rPr>
          <w:rFonts w:hint="eastAsia" w:ascii="宋体" w:hAnsi="宋体"/>
        </w:rPr>
        <w:t>央军委副主席、国务委员兼国防部部长迟浩田上将到南雄市参观游览，在春日暖阳中领略南雄市优美的自然风光和深厚的历史文化底蕴。</w:t>
      </w:r>
    </w:p>
    <w:p w14:paraId="5E3456A3">
      <w:pPr>
        <w:ind w:firstLine="422"/>
        <w:rPr>
          <w:rFonts w:ascii="宋体" w:hAnsi="宋体"/>
        </w:rPr>
      </w:pPr>
      <w:r>
        <w:rPr>
          <w:rFonts w:ascii="宋体" w:hAnsi="宋体"/>
          <w:b/>
        </w:rPr>
        <w:t>4月2日</w:t>
      </w:r>
      <w:r>
        <w:rPr>
          <w:rFonts w:hint="eastAsia" w:ascii="宋体" w:hAnsi="宋体"/>
          <w:b/>
        </w:rPr>
        <w:t xml:space="preserve">  </w:t>
      </w:r>
      <w:r>
        <w:rPr>
          <w:rFonts w:ascii="宋体" w:hAnsi="宋体"/>
        </w:rPr>
        <w:t>市召开第六次全国人口普查动</w:t>
      </w:r>
      <w:r>
        <w:rPr>
          <w:rFonts w:hint="eastAsia" w:ascii="宋体" w:hAnsi="宋体"/>
        </w:rPr>
        <w:t>员会，对开展第六次全国人口普查工作进行动员部署。第六次全国人口普查的主要目的是查清十年来人口在数量、结构、分布和居住环境等方面的变化情况，为制定国民经济和社会发展政策、规划提供基础信息。</w:t>
      </w:r>
    </w:p>
    <w:p w14:paraId="2904974C">
      <w:pPr>
        <w:ind w:firstLine="422"/>
        <w:rPr>
          <w:rFonts w:ascii="宋体" w:hAnsi="宋体"/>
        </w:rPr>
      </w:pPr>
      <w:r>
        <w:rPr>
          <w:rFonts w:ascii="宋体" w:hAnsi="宋体"/>
          <w:b/>
        </w:rPr>
        <w:t>4月3日</w:t>
      </w:r>
      <w:r>
        <w:rPr>
          <w:rFonts w:hint="eastAsia" w:ascii="宋体" w:hAnsi="宋体"/>
          <w:b/>
        </w:rPr>
        <w:t xml:space="preserve">  </w:t>
      </w:r>
      <w:r>
        <w:rPr>
          <w:rFonts w:ascii="宋体" w:hAnsi="宋体"/>
        </w:rPr>
        <w:t>广东省委常委、省委秘书长徐</w:t>
      </w:r>
      <w:r>
        <w:rPr>
          <w:rFonts w:hint="eastAsia" w:ascii="宋体" w:hAnsi="宋体"/>
        </w:rPr>
        <w:t>少华深入南雄瑶坑村调研省委机关旧址修复保护和利用情况。市领导林楚欣、许志新、陈玉英、刘悦明等陪同调研。</w:t>
      </w:r>
    </w:p>
    <w:p w14:paraId="41D6D958">
      <w:pPr>
        <w:ind w:firstLine="422"/>
        <w:rPr>
          <w:rFonts w:ascii="宋体" w:hAnsi="宋体"/>
        </w:rPr>
      </w:pPr>
      <w:r>
        <w:rPr>
          <w:rFonts w:ascii="宋体" w:hAnsi="宋体"/>
          <w:b/>
        </w:rPr>
        <w:t>4月4日至5日</w:t>
      </w:r>
      <w:r>
        <w:rPr>
          <w:rFonts w:hint="eastAsia" w:ascii="宋体" w:hAnsi="宋体"/>
          <w:b/>
        </w:rPr>
        <w:t xml:space="preserve">  </w:t>
      </w:r>
      <w:r>
        <w:rPr>
          <w:rFonts w:ascii="宋体" w:hAnsi="宋体"/>
        </w:rPr>
        <w:t>国家水利部水土保持司</w:t>
      </w:r>
      <w:r>
        <w:rPr>
          <w:rFonts w:hint="eastAsia" w:ascii="宋体" w:hAnsi="宋体"/>
        </w:rPr>
        <w:t>巡视员张学俭在市委常委刘宏伟、副市长罗战勇等陪同视察南雄水土保持工作。</w:t>
      </w:r>
    </w:p>
    <w:p w14:paraId="32472EAA">
      <w:pPr>
        <w:ind w:firstLine="422"/>
        <w:rPr>
          <w:rFonts w:ascii="宋体" w:hAnsi="宋体"/>
        </w:rPr>
      </w:pPr>
      <w:r>
        <w:rPr>
          <w:rFonts w:ascii="宋体" w:hAnsi="宋体"/>
          <w:b/>
        </w:rPr>
        <w:t>4月12日</w:t>
      </w:r>
      <w:r>
        <w:rPr>
          <w:rFonts w:hint="eastAsia" w:ascii="宋体" w:hAnsi="宋体"/>
          <w:b/>
        </w:rPr>
        <w:t xml:space="preserve">  </w:t>
      </w:r>
      <w:r>
        <w:rPr>
          <w:rFonts w:ascii="宋体" w:hAnsi="宋体"/>
        </w:rPr>
        <w:t>市珠玑镇、乌迳镇新田村分</w:t>
      </w:r>
      <w:r>
        <w:rPr>
          <w:rFonts w:hint="eastAsia" w:ascii="宋体" w:hAnsi="宋体"/>
        </w:rPr>
        <w:t>别荣获广东省历史文化名镇、名村称号。</w:t>
      </w:r>
    </w:p>
    <w:p w14:paraId="122ACC0A">
      <w:pPr>
        <w:ind w:firstLine="422"/>
        <w:rPr>
          <w:rFonts w:ascii="宋体" w:hAnsi="宋体"/>
        </w:rPr>
      </w:pPr>
      <w:r>
        <w:rPr>
          <w:rFonts w:ascii="宋体" w:hAnsi="宋体"/>
          <w:b/>
        </w:rPr>
        <w:t>4月21日</w:t>
      </w:r>
      <w:r>
        <w:rPr>
          <w:rFonts w:hint="eastAsia" w:ascii="宋体" w:hAnsi="宋体"/>
          <w:b/>
        </w:rPr>
        <w:t xml:space="preserve">  </w:t>
      </w:r>
      <w:r>
        <w:rPr>
          <w:rFonts w:ascii="宋体" w:hAnsi="宋体"/>
        </w:rPr>
        <w:t>市举行向青海玉树地震灾区</w:t>
      </w:r>
      <w:r>
        <w:rPr>
          <w:rFonts w:hint="eastAsia" w:ascii="宋体" w:hAnsi="宋体"/>
        </w:rPr>
        <w:t>捐款仪式。市四套班子领导出席仪式并捐款，当天捐款仪式筹得善款</w:t>
      </w:r>
      <w:r>
        <w:rPr>
          <w:rFonts w:ascii="宋体" w:hAnsi="宋体"/>
        </w:rPr>
        <w:t>5.5万元。</w:t>
      </w:r>
    </w:p>
    <w:p w14:paraId="2A5E2525">
      <w:pPr>
        <w:ind w:firstLine="422"/>
        <w:rPr>
          <w:rFonts w:ascii="宋体" w:hAnsi="宋体"/>
        </w:rPr>
      </w:pPr>
      <w:r>
        <w:rPr>
          <w:rFonts w:ascii="宋体" w:hAnsi="宋体"/>
          <w:b/>
        </w:rPr>
        <w:t>4月23日</w:t>
      </w:r>
      <w:r>
        <w:rPr>
          <w:rFonts w:hint="eastAsia" w:ascii="宋体" w:hAnsi="宋体"/>
          <w:b/>
        </w:rPr>
        <w:t xml:space="preserve">  </w:t>
      </w:r>
      <w:r>
        <w:rPr>
          <w:rFonts w:ascii="宋体" w:hAnsi="宋体"/>
        </w:rPr>
        <w:t>市举行全民读书暨</w:t>
      </w:r>
      <w:r>
        <w:rPr>
          <w:rFonts w:hint="eastAsia" w:ascii="宋体" w:hAnsi="宋体"/>
        </w:rPr>
        <w:t>“</w:t>
      </w:r>
      <w:r>
        <w:rPr>
          <w:rFonts w:ascii="宋体" w:hAnsi="宋体"/>
        </w:rPr>
        <w:t>图书漂</w:t>
      </w:r>
      <w:r>
        <w:rPr>
          <w:rFonts w:hint="eastAsia" w:ascii="宋体" w:hAnsi="宋体"/>
        </w:rPr>
        <w:t>流”活动启动仪式。市四套班子领导、市直机关党员干部、青少年学生等共</w:t>
      </w:r>
      <w:r>
        <w:rPr>
          <w:rFonts w:ascii="宋体" w:hAnsi="宋体"/>
        </w:rPr>
        <w:t>2000多人参</w:t>
      </w:r>
      <w:r>
        <w:rPr>
          <w:rFonts w:hint="eastAsia" w:ascii="宋体" w:hAnsi="宋体"/>
        </w:rPr>
        <w:t>加活动并捐赠图书。</w:t>
      </w:r>
    </w:p>
    <w:p w14:paraId="2C9E7D3C">
      <w:pPr>
        <w:ind w:firstLine="422"/>
        <w:rPr>
          <w:rFonts w:ascii="宋体" w:hAnsi="宋体"/>
        </w:rPr>
      </w:pPr>
      <w:r>
        <w:rPr>
          <w:rFonts w:ascii="宋体" w:hAnsi="宋体"/>
          <w:b/>
        </w:rPr>
        <w:t>4月25日至26日</w:t>
      </w:r>
      <w:r>
        <w:rPr>
          <w:rFonts w:hint="eastAsia" w:ascii="宋体" w:hAnsi="宋体"/>
          <w:b/>
        </w:rPr>
        <w:t xml:space="preserve">  </w:t>
      </w:r>
      <w:r>
        <w:rPr>
          <w:rFonts w:ascii="宋体" w:hAnsi="宋体"/>
        </w:rPr>
        <w:t>广东南雄珠玑巷后裔</w:t>
      </w:r>
      <w:r>
        <w:rPr>
          <w:rFonts w:hint="eastAsia" w:ascii="宋体" w:hAnsi="宋体"/>
        </w:rPr>
        <w:t>联谊会会长黎子流率港澳和珠三角地区</w:t>
      </w:r>
      <w:r>
        <w:rPr>
          <w:rFonts w:ascii="宋体" w:hAnsi="宋体"/>
        </w:rPr>
        <w:t>20多</w:t>
      </w:r>
      <w:r>
        <w:rPr>
          <w:rFonts w:hint="eastAsia" w:ascii="宋体" w:hAnsi="宋体"/>
        </w:rPr>
        <w:t>位珠玑后裔企业家来南雄考察。许志新、何万飞、黄德群、罗战勇、何光明、邓志聪、周济辉等市领导陪同考察。</w:t>
      </w:r>
    </w:p>
    <w:p w14:paraId="10F58645">
      <w:pPr>
        <w:ind w:firstLine="422"/>
        <w:rPr>
          <w:rFonts w:ascii="宋体" w:hAnsi="宋体"/>
        </w:rPr>
      </w:pPr>
      <w:r>
        <w:rPr>
          <w:rFonts w:ascii="宋体" w:hAnsi="宋体"/>
          <w:b/>
        </w:rPr>
        <w:t>5月6日</w:t>
      </w:r>
      <w:r>
        <w:rPr>
          <w:rFonts w:hint="eastAsia" w:ascii="宋体" w:hAnsi="宋体"/>
          <w:b/>
        </w:rPr>
        <w:t xml:space="preserve">  </w:t>
      </w:r>
      <w:r>
        <w:rPr>
          <w:rFonts w:ascii="宋体" w:hAnsi="宋体"/>
        </w:rPr>
        <w:t>南雄被中共中央党史研究室确</w:t>
      </w:r>
      <w:r>
        <w:rPr>
          <w:rFonts w:hint="eastAsia" w:ascii="宋体" w:hAnsi="宋体"/>
        </w:rPr>
        <w:t>认为第二次国内革命战争时期中央苏区县。</w:t>
      </w:r>
    </w:p>
    <w:p w14:paraId="6873AD47">
      <w:pPr>
        <w:ind w:firstLine="422"/>
        <w:rPr>
          <w:rFonts w:ascii="宋体" w:hAnsi="宋体"/>
        </w:rPr>
      </w:pPr>
      <w:r>
        <w:rPr>
          <w:rFonts w:ascii="宋体" w:hAnsi="宋体"/>
          <w:b/>
        </w:rPr>
        <w:t>5月6日</w:t>
      </w:r>
      <w:r>
        <w:rPr>
          <w:rFonts w:hint="eastAsia" w:ascii="宋体" w:hAnsi="宋体"/>
          <w:b/>
        </w:rPr>
        <w:t xml:space="preserve">  </w:t>
      </w:r>
      <w:r>
        <w:rPr>
          <w:rFonts w:ascii="宋体" w:hAnsi="宋体"/>
        </w:rPr>
        <w:t>市开始启动新一轮的政府机构</w:t>
      </w:r>
      <w:r>
        <w:rPr>
          <w:rFonts w:hint="eastAsia" w:ascii="宋体" w:hAnsi="宋体"/>
        </w:rPr>
        <w:t>改革工作。这次政府机构改革对部分政府机构职能、设置进行调整优化，进一步理顺政府机构之间的职责关系，强化落实责任。经过调整，市政府共设工作部门</w:t>
      </w:r>
      <w:r>
        <w:rPr>
          <w:rFonts w:ascii="宋体" w:hAnsi="宋体"/>
        </w:rPr>
        <w:t>26个。</w:t>
      </w:r>
    </w:p>
    <w:p w14:paraId="0922EF58">
      <w:pPr>
        <w:ind w:firstLine="422"/>
        <w:rPr>
          <w:rFonts w:ascii="宋体" w:hAnsi="宋体"/>
        </w:rPr>
      </w:pPr>
      <w:r>
        <w:rPr>
          <w:rFonts w:ascii="宋体" w:hAnsi="宋体"/>
          <w:b/>
        </w:rPr>
        <w:t>5月10日</w:t>
      </w:r>
      <w:r>
        <w:rPr>
          <w:rFonts w:hint="eastAsia" w:ascii="宋体" w:hAnsi="宋体"/>
          <w:b/>
        </w:rPr>
        <w:t xml:space="preserve">  </w:t>
      </w:r>
      <w:r>
        <w:rPr>
          <w:rFonts w:ascii="宋体" w:hAnsi="宋体"/>
        </w:rPr>
        <w:t>全市在9日8时至10日8时</w:t>
      </w:r>
      <w:r>
        <w:rPr>
          <w:rFonts w:hint="eastAsia" w:ascii="宋体" w:hAnsi="宋体"/>
        </w:rPr>
        <w:t>出现大到暴雨、局部大暴雨的降雨，平均降雨量达到</w:t>
      </w:r>
      <w:r>
        <w:rPr>
          <w:rFonts w:ascii="宋体" w:hAnsi="宋体"/>
        </w:rPr>
        <w:t>66毫米，最大降雨量134.4毫米，</w:t>
      </w:r>
      <w:r>
        <w:rPr>
          <w:rFonts w:hint="eastAsia" w:ascii="宋体" w:hAnsi="宋体"/>
        </w:rPr>
        <w:t>由于这次降雨强度大，范围广，时间短，再加上前期持续降雨，造成各地农田受灾严重，部分水利设施受损，农房倒塌。据统计，已有</w:t>
      </w:r>
      <w:r>
        <w:rPr>
          <w:rFonts w:ascii="宋体" w:hAnsi="宋体"/>
        </w:rPr>
        <w:t>17个镇不同程度受灾，受灾人口达3.39万</w:t>
      </w:r>
      <w:r>
        <w:rPr>
          <w:rFonts w:hint="eastAsia" w:ascii="宋体" w:hAnsi="宋体"/>
        </w:rPr>
        <w:t>人，转移</w:t>
      </w:r>
      <w:r>
        <w:rPr>
          <w:rFonts w:ascii="宋体" w:hAnsi="宋体"/>
        </w:rPr>
        <w:t>166人；有3.89万亩农田被淹，其</w:t>
      </w:r>
      <w:r>
        <w:rPr>
          <w:rFonts w:hint="eastAsia" w:ascii="宋体" w:hAnsi="宋体"/>
        </w:rPr>
        <w:t>中黄烟受淹面积</w:t>
      </w:r>
      <w:r>
        <w:rPr>
          <w:rFonts w:ascii="宋体" w:hAnsi="宋体"/>
        </w:rPr>
        <w:t>2.7万亩；受损房屋174间，</w:t>
      </w:r>
      <w:r>
        <w:rPr>
          <w:rFonts w:hint="eastAsia" w:ascii="宋体" w:hAnsi="宋体"/>
        </w:rPr>
        <w:t>其中倒塌</w:t>
      </w:r>
      <w:r>
        <w:rPr>
          <w:rFonts w:ascii="宋体" w:hAnsi="宋体"/>
        </w:rPr>
        <w:t>67间，损坏公路19处，长度403</w:t>
      </w:r>
      <w:r>
        <w:rPr>
          <w:rFonts w:hint="eastAsia" w:ascii="宋体" w:hAnsi="宋体"/>
        </w:rPr>
        <w:t>米，陂头冲毁</w:t>
      </w:r>
      <w:r>
        <w:rPr>
          <w:rFonts w:ascii="宋体" w:hAnsi="宋体"/>
        </w:rPr>
        <w:t>6处，受损8处，造成直接经济</w:t>
      </w:r>
      <w:r>
        <w:rPr>
          <w:rFonts w:hint="eastAsia" w:ascii="宋体" w:hAnsi="宋体"/>
        </w:rPr>
        <w:t>损失</w:t>
      </w:r>
      <w:r>
        <w:rPr>
          <w:rFonts w:ascii="宋体" w:hAnsi="宋体"/>
        </w:rPr>
        <w:t>2150万元，无人员伤亡。</w:t>
      </w:r>
    </w:p>
    <w:p w14:paraId="395BBD13">
      <w:pPr>
        <w:ind w:firstLine="422"/>
        <w:rPr>
          <w:rFonts w:ascii="宋体" w:hAnsi="宋体"/>
        </w:rPr>
      </w:pPr>
      <w:r>
        <w:rPr>
          <w:rFonts w:ascii="宋体" w:hAnsi="宋体"/>
          <w:b/>
        </w:rPr>
        <w:t>5月10日至14日</w:t>
      </w:r>
      <w:r>
        <w:rPr>
          <w:rFonts w:hint="eastAsia" w:ascii="宋体" w:hAnsi="宋体"/>
          <w:b/>
        </w:rPr>
        <w:t xml:space="preserve">  </w:t>
      </w:r>
      <w:r>
        <w:rPr>
          <w:rFonts w:ascii="宋体" w:hAnsi="宋体"/>
        </w:rPr>
        <w:t>市四套班子领导及相</w:t>
      </w:r>
      <w:r>
        <w:rPr>
          <w:rFonts w:hint="eastAsia" w:ascii="宋体" w:hAnsi="宋体"/>
        </w:rPr>
        <w:t>关镇（街道）、市直单位负责人共</w:t>
      </w:r>
      <w:r>
        <w:rPr>
          <w:rFonts w:ascii="宋体" w:hAnsi="宋体"/>
        </w:rPr>
        <w:t>100多人到</w:t>
      </w:r>
      <w:r>
        <w:rPr>
          <w:rFonts w:hint="eastAsia" w:ascii="宋体" w:hAnsi="宋体"/>
        </w:rPr>
        <w:t>华南理工大学进行“创新思维能力提升专题研修班”学习。</w:t>
      </w:r>
    </w:p>
    <w:p w14:paraId="0B77CACD">
      <w:pPr>
        <w:ind w:firstLine="422"/>
        <w:rPr>
          <w:rFonts w:ascii="宋体" w:hAnsi="宋体"/>
        </w:rPr>
      </w:pPr>
      <w:r>
        <w:rPr>
          <w:rFonts w:ascii="宋体" w:hAnsi="宋体"/>
          <w:b/>
        </w:rPr>
        <w:t>5月13日至14日</w:t>
      </w:r>
      <w:r>
        <w:rPr>
          <w:rFonts w:hint="eastAsia" w:ascii="宋体" w:hAnsi="宋体"/>
          <w:b/>
        </w:rPr>
        <w:t xml:space="preserve">  </w:t>
      </w:r>
      <w:r>
        <w:rPr>
          <w:rFonts w:ascii="宋体" w:hAnsi="宋体"/>
        </w:rPr>
        <w:t>广东省产业转移工业</w:t>
      </w:r>
      <w:r>
        <w:rPr>
          <w:rFonts w:hint="eastAsia" w:ascii="宋体" w:hAnsi="宋体"/>
        </w:rPr>
        <w:t>园经验交流会在南雄召开。林楚欣、许志新、刘清生、何人平、何光明、吕道宏等市领导参加会议。</w:t>
      </w:r>
    </w:p>
    <w:p w14:paraId="5730DF80">
      <w:pPr>
        <w:ind w:firstLine="422"/>
        <w:rPr>
          <w:rFonts w:ascii="宋体" w:hAnsi="宋体"/>
        </w:rPr>
      </w:pPr>
      <w:r>
        <w:rPr>
          <w:rFonts w:ascii="宋体" w:hAnsi="宋体"/>
          <w:b/>
        </w:rPr>
        <w:t>5月17日</w:t>
      </w:r>
      <w:r>
        <w:rPr>
          <w:rFonts w:hint="eastAsia" w:ascii="宋体" w:hAnsi="宋体"/>
          <w:b/>
        </w:rPr>
        <w:t xml:space="preserve">  </w:t>
      </w:r>
      <w:r>
        <w:rPr>
          <w:rFonts w:ascii="宋体" w:hAnsi="宋体"/>
        </w:rPr>
        <w:t>韶关市政协副主席梁海峰率</w:t>
      </w:r>
      <w:r>
        <w:rPr>
          <w:rFonts w:hint="eastAsia" w:ascii="宋体" w:hAnsi="宋体"/>
        </w:rPr>
        <w:t>韶关市政协港澳委员到南雄视察招商引资工作。市委书记、市人大常委会主任林楚欣，市政协主席何万飞，市长助理吕道宏等领导陪同视察。</w:t>
      </w:r>
    </w:p>
    <w:p w14:paraId="6FCB1019">
      <w:pPr>
        <w:ind w:firstLine="422"/>
        <w:rPr>
          <w:rFonts w:ascii="宋体" w:hAnsi="宋体"/>
        </w:rPr>
      </w:pPr>
      <w:r>
        <w:rPr>
          <w:rFonts w:ascii="宋体" w:hAnsi="宋体"/>
          <w:b/>
        </w:rPr>
        <w:t>5月17日至19日</w:t>
      </w:r>
      <w:r>
        <w:rPr>
          <w:rFonts w:hint="eastAsia" w:ascii="宋体" w:hAnsi="宋体"/>
          <w:b/>
        </w:rPr>
        <w:t xml:space="preserve">  </w:t>
      </w:r>
      <w:r>
        <w:rPr>
          <w:rFonts w:ascii="宋体" w:hAnsi="宋体"/>
        </w:rPr>
        <w:t>华中科技大学土木工</w:t>
      </w:r>
      <w:r>
        <w:rPr>
          <w:rFonts w:hint="eastAsia" w:ascii="宋体" w:hAnsi="宋体"/>
        </w:rPr>
        <w:t>程学院教授王晓鸣率专家组对南雄申报国家可持续发展实验区工作进行考察。考察组一行深入到三影塔广场、南雄中学、市人民医院、精细化工产业园、珠玑古巷等地，对城市公共基础设施建设、教育卫生事业、绿色精细化工产业、新农村建设、特色旅游等方面进行考察，了解近几年来经济和社会各项事业的发展情况。各位专家纷纷对南雄积极推进实验区建设各项工作给予充分肯定，一致同意推荐南雄申报国家可持续发展实验区，并针对下一步的申报创建工作提出指导性意见和建议。</w:t>
      </w:r>
    </w:p>
    <w:p w14:paraId="2BC3C5C7">
      <w:pPr>
        <w:ind w:firstLine="422"/>
        <w:rPr>
          <w:rFonts w:ascii="宋体" w:hAnsi="宋体"/>
        </w:rPr>
      </w:pPr>
      <w:r>
        <w:rPr>
          <w:rFonts w:ascii="宋体" w:hAnsi="宋体"/>
          <w:b/>
        </w:rPr>
        <w:t>5月21日</w:t>
      </w:r>
      <w:r>
        <w:rPr>
          <w:rFonts w:hint="eastAsia" w:ascii="宋体" w:hAnsi="宋体"/>
          <w:b/>
        </w:rPr>
        <w:t xml:space="preserve">  </w:t>
      </w:r>
      <w:r>
        <w:rPr>
          <w:rFonts w:ascii="宋体" w:hAnsi="宋体"/>
        </w:rPr>
        <w:t>广东省国土厅调研组到南雄</w:t>
      </w:r>
      <w:r>
        <w:rPr>
          <w:rFonts w:hint="eastAsia" w:ascii="宋体" w:hAnsi="宋体"/>
        </w:rPr>
        <w:t>调研产业转移园用地情况。市许志新、王荣光、陈尚妹等市领导陪同调研。</w:t>
      </w:r>
    </w:p>
    <w:p w14:paraId="4D45B9C3">
      <w:pPr>
        <w:ind w:firstLine="422"/>
        <w:rPr>
          <w:rFonts w:ascii="宋体" w:hAnsi="宋体"/>
        </w:rPr>
      </w:pPr>
      <w:r>
        <w:rPr>
          <w:rFonts w:ascii="宋体" w:hAnsi="宋体"/>
          <w:b/>
        </w:rPr>
        <w:t>6月9日</w:t>
      </w:r>
      <w:r>
        <w:rPr>
          <w:rFonts w:hint="eastAsia" w:ascii="宋体" w:hAnsi="宋体"/>
          <w:b/>
        </w:rPr>
        <w:t xml:space="preserve">  </w:t>
      </w:r>
      <w:r>
        <w:rPr>
          <w:rFonts w:ascii="宋体" w:hAnsi="宋体"/>
        </w:rPr>
        <w:t>东莞市副市长邓志广在韶关市</w:t>
      </w:r>
      <w:r>
        <w:rPr>
          <w:rFonts w:hint="eastAsia" w:ascii="宋体" w:hAnsi="宋体"/>
        </w:rPr>
        <w:t>副市长孔云龙的陪同深入南雄调研东莞市开展“双到”工作情况。市林楚欣、许志新、刘清生、刘宏伟等市领导陪同调研。</w:t>
      </w:r>
    </w:p>
    <w:p w14:paraId="6FF5BB93">
      <w:pPr>
        <w:ind w:firstLine="422"/>
        <w:rPr>
          <w:rFonts w:ascii="宋体" w:hAnsi="宋体"/>
        </w:rPr>
      </w:pPr>
      <w:r>
        <w:rPr>
          <w:rFonts w:ascii="宋体" w:hAnsi="宋体"/>
          <w:b/>
        </w:rPr>
        <w:t>6月13日</w:t>
      </w:r>
      <w:r>
        <w:rPr>
          <w:rFonts w:hint="eastAsia" w:ascii="宋体" w:hAnsi="宋体"/>
          <w:b/>
        </w:rPr>
        <w:t xml:space="preserve">  </w:t>
      </w:r>
      <w:r>
        <w:rPr>
          <w:rFonts w:ascii="宋体" w:hAnsi="宋体"/>
        </w:rPr>
        <w:t>市在广州举行南雄市确认为</w:t>
      </w:r>
      <w:r>
        <w:rPr>
          <w:rFonts w:hint="eastAsia" w:ascii="宋体" w:hAnsi="宋体"/>
        </w:rPr>
        <w:t>中央苏区县新闻发布会。中央党史研究室第一研究部副主任李蓉、省政府办公厅副主任姚恒尹等，以及张建勋、曾广星、蓝红、江青粦、佀志广、汤维英、肖耀堂等省老领导，韶关市委副秘书长梁锋，市林楚欣、许志新、何万飞等部分市四套班子领导出席发布会。</w:t>
      </w:r>
    </w:p>
    <w:p w14:paraId="27E06DF0">
      <w:pPr>
        <w:ind w:firstLine="422"/>
        <w:rPr>
          <w:rFonts w:ascii="宋体" w:hAnsi="宋体"/>
        </w:rPr>
      </w:pPr>
      <w:r>
        <w:rPr>
          <w:rFonts w:ascii="宋体" w:hAnsi="宋体"/>
          <w:b/>
        </w:rPr>
        <w:t>6月17日</w:t>
      </w:r>
      <w:r>
        <w:rPr>
          <w:rFonts w:hint="eastAsia" w:ascii="宋体" w:hAnsi="宋体"/>
          <w:b/>
        </w:rPr>
        <w:t xml:space="preserve">  </w:t>
      </w:r>
      <w:r>
        <w:rPr>
          <w:rFonts w:ascii="宋体" w:hAnsi="宋体"/>
        </w:rPr>
        <w:t>中华名人讲师团首席讲师栾</w:t>
      </w:r>
      <w:r>
        <w:rPr>
          <w:rFonts w:hint="eastAsia" w:ascii="宋体" w:hAnsi="宋体"/>
        </w:rPr>
        <w:t>瑞生先生为市领导干部作“转变思维方式，推动跨越发展”专题报告。市四套班子领导聆听报告会。</w:t>
      </w:r>
    </w:p>
    <w:p w14:paraId="2FCC4118">
      <w:pPr>
        <w:ind w:firstLine="422"/>
        <w:rPr>
          <w:rFonts w:ascii="宋体" w:hAnsi="宋体"/>
        </w:rPr>
      </w:pPr>
      <w:r>
        <w:rPr>
          <w:rFonts w:ascii="宋体" w:hAnsi="宋体"/>
          <w:b/>
        </w:rPr>
        <w:t>6月29日</w:t>
      </w:r>
      <w:r>
        <w:rPr>
          <w:rFonts w:hint="eastAsia" w:ascii="宋体" w:hAnsi="宋体"/>
          <w:b/>
        </w:rPr>
        <w:t xml:space="preserve">  </w:t>
      </w:r>
      <w:r>
        <w:rPr>
          <w:rFonts w:ascii="宋体" w:hAnsi="宋体"/>
        </w:rPr>
        <w:t>市举行中共广东省委机关旧</w:t>
      </w:r>
      <w:r>
        <w:rPr>
          <w:rFonts w:hint="eastAsia" w:ascii="宋体" w:hAnsi="宋体"/>
        </w:rPr>
        <w:t>址瑶坑修复保护工程落成仪式。省委常委、秘书长徐少华，韶关市委常委、副市长张志才等领导和市四套班子成员出席落成仪式，这座经历</w:t>
      </w:r>
      <w:r>
        <w:rPr>
          <w:rFonts w:ascii="宋体" w:hAnsi="宋体"/>
        </w:rPr>
        <w:t>70多年的</w:t>
      </w:r>
      <w:r>
        <w:rPr>
          <w:rFonts w:hint="eastAsia" w:ascii="宋体" w:hAnsi="宋体"/>
        </w:rPr>
        <w:t>“</w:t>
      </w:r>
      <w:r>
        <w:rPr>
          <w:rFonts w:ascii="宋体" w:hAnsi="宋体"/>
        </w:rPr>
        <w:t>红色祖屋</w:t>
      </w:r>
      <w:r>
        <w:rPr>
          <w:rFonts w:hint="eastAsia" w:ascii="宋体" w:hAnsi="宋体"/>
        </w:rPr>
        <w:t>”</w:t>
      </w:r>
      <w:r>
        <w:rPr>
          <w:rFonts w:ascii="宋体" w:hAnsi="宋体"/>
        </w:rPr>
        <w:t>将于7月1</w:t>
      </w:r>
      <w:r>
        <w:rPr>
          <w:rFonts w:hint="eastAsia" w:ascii="宋体" w:hAnsi="宋体"/>
        </w:rPr>
        <w:t>日对外开放。</w:t>
      </w:r>
    </w:p>
    <w:p w14:paraId="65A74319">
      <w:pPr>
        <w:ind w:firstLine="422"/>
        <w:rPr>
          <w:rFonts w:ascii="宋体" w:hAnsi="宋体"/>
        </w:rPr>
      </w:pPr>
      <w:r>
        <w:rPr>
          <w:rFonts w:ascii="宋体" w:hAnsi="宋体"/>
          <w:b/>
        </w:rPr>
        <w:t>6月29日</w:t>
      </w:r>
      <w:r>
        <w:rPr>
          <w:rFonts w:hint="eastAsia" w:ascii="宋体" w:hAnsi="宋体"/>
          <w:b/>
        </w:rPr>
        <w:t xml:space="preserve">  </w:t>
      </w:r>
      <w:r>
        <w:rPr>
          <w:rFonts w:ascii="宋体" w:hAnsi="宋体"/>
        </w:rPr>
        <w:t>市隆重举行确认为中央苏区</w:t>
      </w:r>
      <w:r>
        <w:rPr>
          <w:rFonts w:hint="eastAsia" w:ascii="宋体" w:hAnsi="宋体"/>
        </w:rPr>
        <w:t>县庆祝大会。省委常委、秘书长徐少华、中央党史研究室宣教局副巡视员刑济萍，韶关市委常委、副市长张志才和市委书记林楚欣共同为“中央苏区县”揭牌。中央党史研究室宣教局副巡视员刑济萍，省党史研究室副主任叶文益，省老促会副会长肖有根、顾问张建勋，韶关市委常委、副市长张志才、江西省党史研究室调研员李主彬、省仲恺农业工程学院党委书记高志青等领导以及市四套班子领导等</w:t>
      </w:r>
      <w:r>
        <w:rPr>
          <w:rFonts w:ascii="宋体" w:hAnsi="宋体"/>
        </w:rPr>
        <w:t>1000多人参加庆祝大会。</w:t>
      </w:r>
    </w:p>
    <w:p w14:paraId="623FBC74">
      <w:pPr>
        <w:ind w:firstLine="422"/>
        <w:rPr>
          <w:rFonts w:ascii="宋体" w:hAnsi="宋体"/>
        </w:rPr>
      </w:pPr>
      <w:r>
        <w:rPr>
          <w:rFonts w:ascii="宋体" w:hAnsi="宋体"/>
          <w:b/>
        </w:rPr>
        <w:t>7月2日</w:t>
      </w:r>
      <w:r>
        <w:rPr>
          <w:rFonts w:hint="eastAsia" w:ascii="宋体" w:hAnsi="宋体"/>
          <w:b/>
        </w:rPr>
        <w:t xml:space="preserve">  </w:t>
      </w:r>
      <w:r>
        <w:rPr>
          <w:rFonts w:ascii="宋体" w:hAnsi="宋体"/>
        </w:rPr>
        <w:t>广东省委党史研究室副主任陈</w:t>
      </w:r>
      <w:r>
        <w:rPr>
          <w:rFonts w:hint="eastAsia" w:ascii="宋体" w:hAnsi="宋体"/>
        </w:rPr>
        <w:t>弘君一行到南雄开展党员教育。市委副书记刘清生，市委常委、市委办主任陈玉英等市领导陪同。</w:t>
      </w:r>
    </w:p>
    <w:p w14:paraId="76EEC973">
      <w:pPr>
        <w:ind w:firstLine="422"/>
        <w:rPr>
          <w:rFonts w:ascii="宋体" w:hAnsi="宋体"/>
        </w:rPr>
      </w:pPr>
      <w:r>
        <w:rPr>
          <w:rFonts w:ascii="宋体" w:hAnsi="宋体"/>
          <w:b/>
        </w:rPr>
        <w:t>7月12日至13日</w:t>
      </w:r>
      <w:r>
        <w:rPr>
          <w:rFonts w:hint="eastAsia" w:ascii="宋体" w:hAnsi="宋体"/>
          <w:b/>
        </w:rPr>
        <w:t xml:space="preserve">  </w:t>
      </w:r>
      <w:r>
        <w:rPr>
          <w:rFonts w:ascii="宋体" w:hAnsi="宋体"/>
        </w:rPr>
        <w:t>广东省县域经济研究</w:t>
      </w:r>
      <w:r>
        <w:rPr>
          <w:rFonts w:hint="eastAsia" w:ascii="宋体" w:hAnsi="宋体"/>
        </w:rPr>
        <w:t>与发展促进会专家组到南雄开展县域经济综合发展力调研。林楚欣、刘清生、何光明、刘发龙、吕道宏等市领导参加调研。</w:t>
      </w:r>
    </w:p>
    <w:p w14:paraId="79D5CED5">
      <w:pPr>
        <w:ind w:firstLine="422"/>
        <w:rPr>
          <w:rFonts w:ascii="宋体" w:hAnsi="宋体"/>
        </w:rPr>
      </w:pPr>
      <w:r>
        <w:rPr>
          <w:rFonts w:ascii="宋体" w:hAnsi="宋体"/>
          <w:b/>
        </w:rPr>
        <w:t>8月3日</w:t>
      </w:r>
      <w:r>
        <w:rPr>
          <w:rFonts w:hint="eastAsia" w:ascii="宋体" w:hAnsi="宋体"/>
          <w:b/>
        </w:rPr>
        <w:t xml:space="preserve">  </w:t>
      </w:r>
      <w:r>
        <w:rPr>
          <w:rFonts w:ascii="宋体" w:hAnsi="宋体"/>
        </w:rPr>
        <w:t>韶关市政协副主席梁海峰一行</w:t>
      </w:r>
      <w:r>
        <w:rPr>
          <w:rFonts w:hint="eastAsia" w:ascii="宋体" w:hAnsi="宋体"/>
        </w:rPr>
        <w:t>到南雄检查贯彻落实《中共中央关于加强人民政协工作的意见》情况。何万飞、刘清生、钟道海、刘发雄、赖华焜、刘卫忠、周济辉、陈尚妹等市领导陪同。</w:t>
      </w:r>
    </w:p>
    <w:p w14:paraId="39CD2BDB">
      <w:pPr>
        <w:ind w:firstLine="422"/>
        <w:rPr>
          <w:rFonts w:ascii="宋体" w:hAnsi="宋体"/>
        </w:rPr>
      </w:pPr>
      <w:r>
        <w:rPr>
          <w:rFonts w:ascii="宋体" w:hAnsi="宋体"/>
          <w:b/>
        </w:rPr>
        <w:t>8月10日</w:t>
      </w:r>
      <w:r>
        <w:rPr>
          <w:rFonts w:hint="eastAsia" w:ascii="宋体" w:hAnsi="宋体"/>
          <w:b/>
        </w:rPr>
        <w:t xml:space="preserve">  </w:t>
      </w:r>
      <w:r>
        <w:rPr>
          <w:rFonts w:ascii="宋体" w:hAnsi="宋体"/>
        </w:rPr>
        <w:t>广东省人大常委会副主任陈</w:t>
      </w:r>
      <w:r>
        <w:rPr>
          <w:rFonts w:hint="eastAsia" w:ascii="宋体" w:hAnsi="宋体"/>
        </w:rPr>
        <w:t>用志率省人大调研组到南雄调研。市委副书记刘清生、市人大常委会常务副主任肖芬先陪同调研。</w:t>
      </w:r>
    </w:p>
    <w:p w14:paraId="4F943B8E">
      <w:pPr>
        <w:ind w:firstLine="422"/>
        <w:rPr>
          <w:rFonts w:ascii="宋体" w:hAnsi="宋体"/>
        </w:rPr>
      </w:pPr>
      <w:r>
        <w:rPr>
          <w:rFonts w:ascii="宋体" w:hAnsi="宋体"/>
          <w:b/>
        </w:rPr>
        <w:t>8月27日至29日</w:t>
      </w:r>
      <w:r>
        <w:rPr>
          <w:rFonts w:hint="eastAsia" w:ascii="宋体" w:hAnsi="宋体"/>
          <w:b/>
        </w:rPr>
        <w:t xml:space="preserve">  </w:t>
      </w:r>
      <w:r>
        <w:rPr>
          <w:rFonts w:ascii="宋体" w:hAnsi="宋体"/>
        </w:rPr>
        <w:t>中国马克思主义基金</w:t>
      </w:r>
      <w:r>
        <w:rPr>
          <w:rFonts w:hint="eastAsia" w:ascii="宋体" w:hAnsi="宋体"/>
        </w:rPr>
        <w:t>会副理事长、中央党校原教育长郝时晋率中央党校调研组到南雄调研。省委党校副校长郑楚宣、韶关市副市长陈秋彦以及市领导许志新、何万飞、刘清生等陪同调研。</w:t>
      </w:r>
    </w:p>
    <w:p w14:paraId="6138F82D">
      <w:pPr>
        <w:ind w:firstLine="422"/>
        <w:rPr>
          <w:rFonts w:ascii="宋体" w:hAnsi="宋体"/>
        </w:rPr>
      </w:pPr>
      <w:r>
        <w:rPr>
          <w:rFonts w:ascii="宋体" w:hAnsi="宋体"/>
          <w:b/>
        </w:rPr>
        <w:t>9月3日</w:t>
      </w:r>
      <w:r>
        <w:rPr>
          <w:rFonts w:hint="eastAsia" w:ascii="宋体" w:hAnsi="宋体"/>
          <w:b/>
        </w:rPr>
        <w:t xml:space="preserve">  </w:t>
      </w:r>
      <w:r>
        <w:rPr>
          <w:rFonts w:ascii="宋体" w:hAnsi="宋体"/>
        </w:rPr>
        <w:t>市举行纪念抗日战争胜利65</w:t>
      </w:r>
      <w:r>
        <w:rPr>
          <w:rFonts w:hint="eastAsia" w:ascii="宋体" w:hAnsi="宋体"/>
        </w:rPr>
        <w:t>周年“踏着先辈的足迹前进”文艺晚会。市四套班子领导观看演出。</w:t>
      </w:r>
    </w:p>
    <w:p w14:paraId="3C1C93E3">
      <w:pPr>
        <w:ind w:firstLine="422"/>
        <w:rPr>
          <w:rFonts w:ascii="宋体" w:hAnsi="宋体"/>
        </w:rPr>
      </w:pPr>
      <w:r>
        <w:rPr>
          <w:rFonts w:ascii="宋体" w:hAnsi="宋体"/>
          <w:b/>
        </w:rPr>
        <w:t>9月27日</w:t>
      </w:r>
      <w:r>
        <w:rPr>
          <w:rFonts w:hint="eastAsia" w:ascii="宋体" w:hAnsi="宋体"/>
          <w:b/>
        </w:rPr>
        <w:t xml:space="preserve">  </w:t>
      </w:r>
      <w:r>
        <w:rPr>
          <w:rFonts w:ascii="宋体" w:hAnsi="宋体"/>
        </w:rPr>
        <w:t>广东省环保厅党组副书记、</w:t>
      </w:r>
      <w:r>
        <w:rPr>
          <w:rFonts w:hint="eastAsia" w:ascii="宋体" w:hAnsi="宋体"/>
        </w:rPr>
        <w:t>巡视员王子葵率省工程治理工作第七检查组到南雄检查。许志新、罗勇新等市领导陪同检查。</w:t>
      </w:r>
    </w:p>
    <w:p w14:paraId="027AA82E">
      <w:pPr>
        <w:ind w:firstLine="422"/>
        <w:rPr>
          <w:rFonts w:ascii="宋体" w:hAnsi="宋体"/>
        </w:rPr>
      </w:pPr>
      <w:r>
        <w:rPr>
          <w:rFonts w:ascii="宋体" w:hAnsi="宋体"/>
          <w:b/>
        </w:rPr>
        <w:t>10月1日</w:t>
      </w:r>
      <w:r>
        <w:rPr>
          <w:rFonts w:hint="eastAsia" w:ascii="宋体" w:hAnsi="宋体"/>
          <w:b/>
        </w:rPr>
        <w:t xml:space="preserve">  </w:t>
      </w:r>
      <w:r>
        <w:rPr>
          <w:rFonts w:ascii="宋体" w:hAnsi="宋体"/>
        </w:rPr>
        <w:t>南雄籍运动员马丽芸在第五</w:t>
      </w:r>
      <w:r>
        <w:rPr>
          <w:rFonts w:hint="eastAsia" w:ascii="宋体" w:hAnsi="宋体"/>
        </w:rPr>
        <w:t>届亚洲</w:t>
      </w:r>
      <w:r>
        <w:rPr>
          <w:rFonts w:ascii="宋体" w:hAnsi="宋体"/>
        </w:rPr>
        <w:t>BMX自行车锦标赛中又一次获得</w:t>
      </w:r>
      <w:r>
        <w:rPr>
          <w:rFonts w:hint="eastAsia" w:ascii="宋体" w:hAnsi="宋体"/>
        </w:rPr>
        <w:t>冠军。</w:t>
      </w:r>
    </w:p>
    <w:p w14:paraId="2A9A3148">
      <w:pPr>
        <w:ind w:firstLine="422"/>
        <w:rPr>
          <w:rFonts w:ascii="宋体" w:hAnsi="宋体"/>
        </w:rPr>
      </w:pPr>
      <w:r>
        <w:rPr>
          <w:rFonts w:ascii="宋体" w:hAnsi="宋体"/>
          <w:b/>
        </w:rPr>
        <w:t>10月2日</w:t>
      </w:r>
      <w:r>
        <w:rPr>
          <w:rFonts w:hint="eastAsia" w:ascii="宋体" w:hAnsi="宋体"/>
          <w:b/>
        </w:rPr>
        <w:t xml:space="preserve">  </w:t>
      </w:r>
      <w:r>
        <w:rPr>
          <w:rFonts w:ascii="宋体" w:hAnsi="宋体"/>
        </w:rPr>
        <w:t>广州亚运会、亚残运会环粤</w:t>
      </w:r>
      <w:r>
        <w:rPr>
          <w:rFonts w:hint="eastAsia" w:ascii="宋体" w:hAnsi="宋体"/>
        </w:rPr>
        <w:t>环穗安保圈韶关检查站试运行启动仪式在南雄举行。韶关市领导张志才、赖日先、梁海峰以及市领导许志新、何万飞、刘清生、肖芬先、刘悦明等参加启动仪式。</w:t>
      </w:r>
    </w:p>
    <w:p w14:paraId="19AB268A">
      <w:pPr>
        <w:ind w:firstLine="422"/>
        <w:rPr>
          <w:rFonts w:ascii="宋体" w:hAnsi="宋体"/>
        </w:rPr>
      </w:pPr>
      <w:r>
        <w:rPr>
          <w:rFonts w:ascii="宋体" w:hAnsi="宋体"/>
          <w:b/>
        </w:rPr>
        <w:t>10月13日</w:t>
      </w:r>
      <w:r>
        <w:rPr>
          <w:rFonts w:hint="eastAsia" w:ascii="宋体" w:hAnsi="宋体"/>
          <w:b/>
        </w:rPr>
        <w:t xml:space="preserve">  </w:t>
      </w:r>
      <w:r>
        <w:rPr>
          <w:rFonts w:ascii="宋体" w:hAnsi="宋体"/>
        </w:rPr>
        <w:t>广东省委批准，许志新同志</w:t>
      </w:r>
      <w:r>
        <w:rPr>
          <w:rFonts w:hint="eastAsia" w:ascii="宋体" w:hAnsi="宋体"/>
        </w:rPr>
        <w:t>任中共南雄市委书记。韶关市委同意提名：许志新同志为南雄市人大常委会主任人选，不再担任南雄市人民政府市长职务；刘清生同志为南雄市人民政府市长人选。</w:t>
      </w:r>
    </w:p>
    <w:p w14:paraId="6F98C9C2">
      <w:pPr>
        <w:ind w:firstLine="422"/>
        <w:rPr>
          <w:rFonts w:ascii="宋体" w:hAnsi="宋体"/>
        </w:rPr>
      </w:pPr>
      <w:r>
        <w:rPr>
          <w:rFonts w:ascii="宋体" w:hAnsi="宋体"/>
          <w:b/>
        </w:rPr>
        <w:t>10月20日</w:t>
      </w:r>
      <w:r>
        <w:rPr>
          <w:rFonts w:hint="eastAsia" w:ascii="宋体" w:hAnsi="宋体"/>
          <w:b/>
        </w:rPr>
        <w:t xml:space="preserve">  </w:t>
      </w:r>
      <w:r>
        <w:rPr>
          <w:rFonts w:ascii="宋体" w:hAnsi="宋体"/>
        </w:rPr>
        <w:t>市第十三届人大常委会第32次会议召开，通过关于接受许志新辞去南</w:t>
      </w:r>
      <w:r>
        <w:rPr>
          <w:rFonts w:hint="eastAsia" w:ascii="宋体" w:hAnsi="宋体"/>
        </w:rPr>
        <w:t>雄市市长职务请求的决定，任命刘清生同志为南雄市人民政府副市长、代理市长职务。</w:t>
      </w:r>
    </w:p>
    <w:p w14:paraId="1A88F37D">
      <w:pPr>
        <w:ind w:firstLine="422"/>
        <w:rPr>
          <w:rFonts w:ascii="宋体" w:hAnsi="宋体"/>
        </w:rPr>
      </w:pPr>
      <w:r>
        <w:rPr>
          <w:rFonts w:ascii="宋体" w:hAnsi="宋体"/>
          <w:b/>
        </w:rPr>
        <w:t>10月21日</w:t>
      </w:r>
      <w:r>
        <w:rPr>
          <w:rFonts w:hint="eastAsia" w:ascii="宋体" w:hAnsi="宋体"/>
          <w:b/>
        </w:rPr>
        <w:t xml:space="preserve">  </w:t>
      </w:r>
      <w:r>
        <w:rPr>
          <w:rFonts w:ascii="宋体" w:hAnsi="宋体"/>
        </w:rPr>
        <w:t>韶关市召开东北片县（市）</w:t>
      </w:r>
      <w:r>
        <w:rPr>
          <w:rFonts w:hint="eastAsia" w:ascii="宋体" w:hAnsi="宋体"/>
        </w:rPr>
        <w:t>区现场会。韶关市委书记、市人大常委会主任徐建华，市长郑振涛，市政协主席邓苏夏等率各县（市）区党政一把手，以及各部门负责人来到南雄参观。</w:t>
      </w:r>
    </w:p>
    <w:p w14:paraId="0CEAA39F">
      <w:pPr>
        <w:ind w:firstLine="422"/>
        <w:rPr>
          <w:rFonts w:ascii="宋体" w:hAnsi="宋体"/>
        </w:rPr>
      </w:pPr>
      <w:r>
        <w:rPr>
          <w:rFonts w:ascii="宋体" w:hAnsi="宋体"/>
          <w:b/>
        </w:rPr>
        <w:t>10月21日</w:t>
      </w:r>
      <w:r>
        <w:rPr>
          <w:rFonts w:hint="eastAsia" w:ascii="宋体" w:hAnsi="宋体"/>
          <w:b/>
        </w:rPr>
        <w:t xml:space="preserve">  </w:t>
      </w:r>
      <w:r>
        <w:rPr>
          <w:rFonts w:ascii="宋体" w:hAnsi="宋体"/>
        </w:rPr>
        <w:t>广东省纪委常委、省委巡视</w:t>
      </w:r>
      <w:r>
        <w:rPr>
          <w:rFonts w:hint="eastAsia" w:ascii="宋体" w:hAnsi="宋体"/>
        </w:rPr>
        <w:t>办主任姜斌一行在韶关市委常委、纪委书记段宇飞等领导的陪同深入南雄检查指导县委权力公开透明运行工作。许志新、罗勇新等市领导陪同检查。</w:t>
      </w:r>
    </w:p>
    <w:p w14:paraId="0D46FEC2">
      <w:pPr>
        <w:ind w:firstLine="422"/>
        <w:rPr>
          <w:rFonts w:ascii="宋体" w:hAnsi="宋体"/>
        </w:rPr>
      </w:pPr>
      <w:r>
        <w:rPr>
          <w:rFonts w:ascii="宋体" w:hAnsi="宋体"/>
          <w:b/>
        </w:rPr>
        <w:t>10月21日</w:t>
      </w:r>
      <w:r>
        <w:rPr>
          <w:rFonts w:hint="eastAsia" w:ascii="宋体" w:hAnsi="宋体"/>
          <w:b/>
        </w:rPr>
        <w:t xml:space="preserve">  </w:t>
      </w:r>
      <w:r>
        <w:rPr>
          <w:rFonts w:ascii="宋体" w:hAnsi="宋体"/>
        </w:rPr>
        <w:t>市公安局交警大队车管所近</w:t>
      </w:r>
      <w:r>
        <w:rPr>
          <w:rFonts w:hint="eastAsia" w:ascii="宋体" w:hAnsi="宋体"/>
        </w:rPr>
        <w:t>日被公安部评为“全国优秀县级车辆管理所”。</w:t>
      </w:r>
    </w:p>
    <w:p w14:paraId="777D5537">
      <w:pPr>
        <w:ind w:firstLine="422"/>
        <w:rPr>
          <w:rFonts w:ascii="宋体" w:hAnsi="宋体"/>
        </w:rPr>
      </w:pPr>
      <w:r>
        <w:rPr>
          <w:rFonts w:ascii="宋体" w:hAnsi="宋体"/>
          <w:b/>
        </w:rPr>
        <w:t>10月23日</w:t>
      </w:r>
      <w:r>
        <w:rPr>
          <w:rFonts w:hint="eastAsia" w:ascii="宋体" w:hAnsi="宋体"/>
          <w:b/>
        </w:rPr>
        <w:t xml:space="preserve">  </w:t>
      </w:r>
      <w:r>
        <w:rPr>
          <w:rFonts w:ascii="宋体" w:hAnsi="宋体"/>
        </w:rPr>
        <w:t>南雄籍叶帆在香港举行的</w:t>
      </w:r>
      <w:r>
        <w:rPr>
          <w:rFonts w:hint="eastAsia" w:ascii="宋体" w:hAnsi="宋体"/>
        </w:rPr>
        <w:t>“</w:t>
      </w:r>
      <w:r>
        <w:rPr>
          <w:rFonts w:ascii="宋体" w:hAnsi="宋体"/>
        </w:rPr>
        <w:t>2010中华小姐环球大赛</w:t>
      </w:r>
      <w:r>
        <w:rPr>
          <w:rFonts w:hint="eastAsia" w:ascii="宋体" w:hAnsi="宋体"/>
        </w:rPr>
        <w:t>”</w:t>
      </w:r>
      <w:r>
        <w:rPr>
          <w:rFonts w:ascii="宋体" w:hAnsi="宋体"/>
        </w:rPr>
        <w:t>总决赛中，夺得2010年度中华小姐亚军和获得大赛</w:t>
      </w:r>
      <w:r>
        <w:rPr>
          <w:rFonts w:hint="eastAsia" w:ascii="宋体" w:hAnsi="宋体"/>
        </w:rPr>
        <w:t>“</w:t>
      </w:r>
      <w:r>
        <w:rPr>
          <w:rFonts w:ascii="宋体" w:hAnsi="宋体"/>
        </w:rPr>
        <w:t>最具文</w:t>
      </w:r>
      <w:r>
        <w:rPr>
          <w:rFonts w:hint="eastAsia" w:ascii="宋体" w:hAnsi="宋体"/>
        </w:rPr>
        <w:t>化气质奖”。</w:t>
      </w:r>
    </w:p>
    <w:p w14:paraId="6461173B">
      <w:pPr>
        <w:ind w:firstLine="422"/>
        <w:rPr>
          <w:rFonts w:ascii="宋体" w:hAnsi="宋体"/>
        </w:rPr>
      </w:pPr>
      <w:r>
        <w:rPr>
          <w:rFonts w:ascii="宋体" w:hAnsi="宋体"/>
          <w:b/>
        </w:rPr>
        <w:t>10月27日</w:t>
      </w:r>
      <w:r>
        <w:rPr>
          <w:rFonts w:hint="eastAsia" w:ascii="宋体" w:hAnsi="宋体"/>
          <w:b/>
        </w:rPr>
        <w:t xml:space="preserve">  </w:t>
      </w:r>
      <w:r>
        <w:rPr>
          <w:rFonts w:ascii="宋体" w:hAnsi="宋体"/>
        </w:rPr>
        <w:t>国家农业综合开发综合检查</w:t>
      </w:r>
      <w:r>
        <w:rPr>
          <w:rFonts w:hint="eastAsia" w:ascii="宋体" w:hAnsi="宋体"/>
        </w:rPr>
        <w:t>组深入南雄检查国家农业综合开发工作。市委常委刘宏伟、副市长罗战勇陪同检查。</w:t>
      </w:r>
    </w:p>
    <w:p w14:paraId="1E8E13B4">
      <w:pPr>
        <w:ind w:firstLine="422"/>
        <w:rPr>
          <w:rFonts w:ascii="宋体" w:hAnsi="宋体"/>
        </w:rPr>
      </w:pPr>
      <w:r>
        <w:rPr>
          <w:rFonts w:ascii="宋体" w:hAnsi="宋体"/>
          <w:b/>
        </w:rPr>
        <w:t>11月1日</w:t>
      </w:r>
      <w:r>
        <w:rPr>
          <w:rFonts w:hint="eastAsia" w:ascii="宋体" w:hAnsi="宋体"/>
          <w:b/>
        </w:rPr>
        <w:t xml:space="preserve">  </w:t>
      </w:r>
      <w:r>
        <w:rPr>
          <w:rFonts w:ascii="宋体" w:hAnsi="宋体"/>
        </w:rPr>
        <w:t>市正式启动第六次全国人口</w:t>
      </w:r>
      <w:r>
        <w:rPr>
          <w:rFonts w:hint="eastAsia" w:ascii="宋体" w:hAnsi="宋体"/>
        </w:rPr>
        <w:t>普查入户登记工作。市四套班子领导在办公室参与人口普查现场登记。</w:t>
      </w:r>
    </w:p>
    <w:p w14:paraId="0EB76914">
      <w:pPr>
        <w:ind w:firstLine="422"/>
        <w:rPr>
          <w:rFonts w:ascii="宋体" w:hAnsi="宋体"/>
        </w:rPr>
      </w:pPr>
      <w:r>
        <w:rPr>
          <w:rFonts w:ascii="宋体" w:hAnsi="宋体"/>
          <w:b/>
        </w:rPr>
        <w:t>11月6日</w:t>
      </w:r>
      <w:r>
        <w:rPr>
          <w:rFonts w:hint="eastAsia" w:ascii="宋体" w:hAnsi="宋体"/>
          <w:b/>
        </w:rPr>
        <w:t xml:space="preserve">  </w:t>
      </w:r>
      <w:r>
        <w:rPr>
          <w:rFonts w:ascii="宋体" w:hAnsi="宋体"/>
        </w:rPr>
        <w:t>广东省纪委副书记赵振华深</w:t>
      </w:r>
      <w:r>
        <w:rPr>
          <w:rFonts w:hint="eastAsia" w:ascii="宋体" w:hAnsi="宋体"/>
        </w:rPr>
        <w:t>入南雄检查指导市委权力公开透明运行“阳光工程”试点工作。许志新、罗勇新、王荣光等市领导陪同检查。</w:t>
      </w:r>
    </w:p>
    <w:p w14:paraId="7531E3B4">
      <w:pPr>
        <w:ind w:firstLine="422"/>
        <w:rPr>
          <w:rFonts w:ascii="宋体" w:hAnsi="宋体"/>
        </w:rPr>
      </w:pPr>
      <w:r>
        <w:rPr>
          <w:rFonts w:ascii="宋体" w:hAnsi="宋体"/>
          <w:b/>
        </w:rPr>
        <w:t>11月9日</w:t>
      </w:r>
      <w:r>
        <w:rPr>
          <w:rFonts w:hint="eastAsia" w:ascii="宋体" w:hAnsi="宋体"/>
          <w:b/>
        </w:rPr>
        <w:t xml:space="preserve">  </w:t>
      </w:r>
      <w:r>
        <w:rPr>
          <w:rFonts w:ascii="宋体" w:hAnsi="宋体"/>
        </w:rPr>
        <w:t>南雄澜河洞底村发现野生红</w:t>
      </w:r>
      <w:r>
        <w:rPr>
          <w:rFonts w:hint="eastAsia" w:ascii="宋体" w:hAnsi="宋体"/>
        </w:rPr>
        <w:t>豆杉群，有上千棵红豆杉，其中有一棵</w:t>
      </w:r>
      <w:r>
        <w:rPr>
          <w:rFonts w:ascii="宋体" w:hAnsi="宋体"/>
        </w:rPr>
        <w:t>800</w:t>
      </w:r>
      <w:r>
        <w:rPr>
          <w:rFonts w:hint="eastAsia" w:ascii="宋体" w:hAnsi="宋体"/>
        </w:rPr>
        <w:t>年以上的野生红豆杉，胸径约</w:t>
      </w:r>
      <w:r>
        <w:rPr>
          <w:rFonts w:ascii="宋体" w:hAnsi="宋体"/>
        </w:rPr>
        <w:t>1米，树冠高</w:t>
      </w:r>
      <w:r>
        <w:rPr>
          <w:rFonts w:hint="eastAsia" w:ascii="宋体" w:hAnsi="宋体"/>
        </w:rPr>
        <w:t>耸浓郁，秋冬时节，结出红色颗颗果实。</w:t>
      </w:r>
    </w:p>
    <w:p w14:paraId="640FCC40">
      <w:pPr>
        <w:ind w:firstLine="422"/>
        <w:rPr>
          <w:rFonts w:ascii="宋体" w:hAnsi="宋体"/>
        </w:rPr>
      </w:pPr>
      <w:r>
        <w:rPr>
          <w:rFonts w:ascii="宋体" w:hAnsi="宋体"/>
          <w:b/>
        </w:rPr>
        <w:t>11月16日</w:t>
      </w:r>
      <w:r>
        <w:rPr>
          <w:rFonts w:hint="eastAsia" w:ascii="宋体" w:hAnsi="宋体"/>
          <w:b/>
        </w:rPr>
        <w:t xml:space="preserve">  </w:t>
      </w:r>
      <w:r>
        <w:rPr>
          <w:rFonts w:ascii="宋体" w:hAnsi="宋体"/>
        </w:rPr>
        <w:t>市召开珠玑古巷景区规划工</w:t>
      </w:r>
      <w:r>
        <w:rPr>
          <w:rFonts w:hint="eastAsia" w:ascii="宋体" w:hAnsi="宋体"/>
        </w:rPr>
        <w:t>作会议。广州市原市长、广东南雄珠玑巷后裔联谊会会长黎子流，市领导许志新、刘清生、何万飞等参加会议。</w:t>
      </w:r>
    </w:p>
    <w:p w14:paraId="78CD5E27">
      <w:pPr>
        <w:ind w:firstLine="422"/>
        <w:rPr>
          <w:rFonts w:ascii="宋体" w:hAnsi="宋体"/>
        </w:rPr>
      </w:pPr>
      <w:r>
        <w:rPr>
          <w:rFonts w:ascii="宋体" w:hAnsi="宋体"/>
          <w:b/>
        </w:rPr>
        <w:t>11月19日</w:t>
      </w:r>
      <w:r>
        <w:rPr>
          <w:rFonts w:hint="eastAsia" w:ascii="宋体" w:hAnsi="宋体"/>
          <w:b/>
        </w:rPr>
        <w:t xml:space="preserve">  </w:t>
      </w:r>
      <w:r>
        <w:rPr>
          <w:rFonts w:ascii="宋体" w:hAnsi="宋体"/>
        </w:rPr>
        <w:t>中国运动员马丽芸在2010</w:t>
      </w:r>
      <w:r>
        <w:rPr>
          <w:rFonts w:hint="eastAsia" w:ascii="宋体" w:hAnsi="宋体"/>
        </w:rPr>
        <w:t>年广州亚运会小轮车项目女子越野决赛中以</w:t>
      </w:r>
      <w:r>
        <w:rPr>
          <w:rFonts w:ascii="宋体" w:hAnsi="宋体"/>
        </w:rPr>
        <w:t>36.662秒的成绩夺得冠军，实现南雄籍运动</w:t>
      </w:r>
      <w:r>
        <w:rPr>
          <w:rFonts w:hint="eastAsia" w:ascii="宋体" w:hAnsi="宋体"/>
        </w:rPr>
        <w:t>员参加亚运会金牌零的突破，创造了韶关个人竞技项目史上最好成绩。马丽芸生于</w:t>
      </w:r>
      <w:r>
        <w:rPr>
          <w:rFonts w:ascii="宋体" w:hAnsi="宋体"/>
        </w:rPr>
        <w:t>1988</w:t>
      </w:r>
      <w:r>
        <w:rPr>
          <w:rFonts w:hint="eastAsia" w:ascii="宋体" w:hAnsi="宋体"/>
        </w:rPr>
        <w:t>年，</w:t>
      </w:r>
      <w:r>
        <w:rPr>
          <w:rFonts w:ascii="宋体" w:hAnsi="宋体"/>
        </w:rPr>
        <w:t>2001年开始在南雄业余体校练短跑</w:t>
      </w:r>
      <w:r>
        <w:rPr>
          <w:rFonts w:hint="eastAsia" w:ascii="宋体" w:hAnsi="宋体"/>
        </w:rPr>
        <w:t>，</w:t>
      </w:r>
      <w:r>
        <w:rPr>
          <w:rFonts w:ascii="宋体" w:hAnsi="宋体"/>
        </w:rPr>
        <w:t>2004年12月在广东省队练小轮车。曾代表国</w:t>
      </w:r>
      <w:r>
        <w:rPr>
          <w:rFonts w:hint="eastAsia" w:ascii="宋体" w:hAnsi="宋体"/>
        </w:rPr>
        <w:t>家队参加东亚运动会、亚州锦标赛、北京奥运会比赛都取得好成绩。南雄市政府授予马丽芸“优秀运动员”称号。</w:t>
      </w:r>
    </w:p>
    <w:p w14:paraId="0C968F68">
      <w:pPr>
        <w:ind w:firstLine="422"/>
        <w:rPr>
          <w:rFonts w:ascii="宋体" w:hAnsi="宋体"/>
        </w:rPr>
      </w:pPr>
      <w:r>
        <w:rPr>
          <w:rFonts w:ascii="宋体" w:hAnsi="宋体"/>
          <w:b/>
        </w:rPr>
        <w:t>11月24日</w:t>
      </w:r>
      <w:r>
        <w:rPr>
          <w:rFonts w:hint="eastAsia" w:ascii="宋体" w:hAnsi="宋体"/>
          <w:b/>
        </w:rPr>
        <w:t xml:space="preserve">  </w:t>
      </w:r>
      <w:r>
        <w:rPr>
          <w:rFonts w:ascii="宋体" w:hAnsi="宋体"/>
        </w:rPr>
        <w:t>中国民主同盟南雄市总支部</w:t>
      </w:r>
      <w:r>
        <w:rPr>
          <w:rFonts w:hint="eastAsia" w:ascii="宋体" w:hAnsi="宋体"/>
        </w:rPr>
        <w:t>召开第六次全体会议，会议选举产生了民盟南雄第六届总支委员会。赖华焜、尹纲等</w:t>
      </w:r>
      <w:r>
        <w:rPr>
          <w:rFonts w:ascii="宋体" w:hAnsi="宋体"/>
        </w:rPr>
        <w:t>9</w:t>
      </w:r>
      <w:r>
        <w:rPr>
          <w:rFonts w:hint="eastAsia" w:ascii="宋体" w:hAnsi="宋体"/>
        </w:rPr>
        <w:t>位为民盟南雄总支第六届委员会委员，赖华焜担任主委，莫绵润、陈盛荣任副主委。</w:t>
      </w:r>
    </w:p>
    <w:p w14:paraId="6AA68B7B">
      <w:pPr>
        <w:ind w:firstLine="422"/>
        <w:rPr>
          <w:rFonts w:ascii="宋体" w:hAnsi="宋体"/>
        </w:rPr>
      </w:pPr>
      <w:r>
        <w:rPr>
          <w:rFonts w:ascii="宋体" w:hAnsi="宋体"/>
          <w:b/>
        </w:rPr>
        <w:t>11月25日</w:t>
      </w:r>
      <w:r>
        <w:rPr>
          <w:rFonts w:hint="eastAsia" w:ascii="宋体" w:hAnsi="宋体"/>
          <w:b/>
        </w:rPr>
        <w:t xml:space="preserve">  </w:t>
      </w:r>
      <w:r>
        <w:rPr>
          <w:rFonts w:ascii="宋体" w:hAnsi="宋体"/>
        </w:rPr>
        <w:t>在广州举行的省专业性产业</w:t>
      </w:r>
      <w:r>
        <w:rPr>
          <w:rFonts w:hint="eastAsia" w:ascii="宋体" w:hAnsi="宋体"/>
        </w:rPr>
        <w:t>转移工业园竞争性扶持资金竞标活动中，东莞大岭山（南雄）产业转移工业园最终以</w:t>
      </w:r>
      <w:r>
        <w:rPr>
          <w:rFonts w:ascii="宋体" w:hAnsi="宋体"/>
        </w:rPr>
        <w:t>84.5分的成绩高居八个入围产业转移园第</w:t>
      </w:r>
      <w:r>
        <w:rPr>
          <w:rFonts w:hint="eastAsia" w:ascii="宋体" w:hAnsi="宋体"/>
        </w:rPr>
        <w:t>一位。成功竞争到</w:t>
      </w:r>
      <w:r>
        <w:rPr>
          <w:rFonts w:ascii="宋体" w:hAnsi="宋体"/>
        </w:rPr>
        <w:t>1亿元的专业性产业园建设</w:t>
      </w:r>
      <w:r>
        <w:rPr>
          <w:rFonts w:hint="eastAsia" w:ascii="宋体" w:hAnsi="宋体"/>
        </w:rPr>
        <w:t>竞争扶持资金。</w:t>
      </w:r>
    </w:p>
    <w:p w14:paraId="4AD92E91">
      <w:pPr>
        <w:ind w:firstLine="422"/>
        <w:rPr>
          <w:rFonts w:ascii="宋体" w:hAnsi="宋体"/>
        </w:rPr>
      </w:pPr>
      <w:r>
        <w:rPr>
          <w:rFonts w:ascii="宋体" w:hAnsi="宋体"/>
          <w:b/>
        </w:rPr>
        <w:t>11月26日</w:t>
      </w:r>
      <w:r>
        <w:rPr>
          <w:rFonts w:hint="eastAsia" w:ascii="宋体" w:hAnsi="宋体"/>
          <w:b/>
        </w:rPr>
        <w:t xml:space="preserve">  </w:t>
      </w:r>
      <w:r>
        <w:rPr>
          <w:rFonts w:ascii="宋体" w:hAnsi="宋体"/>
        </w:rPr>
        <w:t>市城镇独生子女父母计划生</w:t>
      </w:r>
      <w:r>
        <w:rPr>
          <w:rFonts w:hint="eastAsia" w:ascii="宋体" w:hAnsi="宋体"/>
        </w:rPr>
        <w:t>育奖励政策将在本月开始实施，从</w:t>
      </w:r>
      <w:r>
        <w:rPr>
          <w:rFonts w:ascii="宋体" w:hAnsi="宋体"/>
        </w:rPr>
        <w:t>1980年2</w:t>
      </w:r>
      <w:r>
        <w:rPr>
          <w:rFonts w:hint="eastAsia" w:ascii="宋体" w:hAnsi="宋体"/>
        </w:rPr>
        <w:t>月</w:t>
      </w:r>
      <w:r>
        <w:rPr>
          <w:rFonts w:ascii="宋体" w:hAnsi="宋体"/>
        </w:rPr>
        <w:t>2日至2009年1月1日止，男性满60周</w:t>
      </w:r>
      <w:r>
        <w:rPr>
          <w:rFonts w:hint="eastAsia" w:ascii="宋体" w:hAnsi="宋体"/>
        </w:rPr>
        <w:t>岁、女性满</w:t>
      </w:r>
      <w:r>
        <w:rPr>
          <w:rFonts w:ascii="宋体" w:hAnsi="宋体"/>
        </w:rPr>
        <w:t>55周岁符合奖励条件的市民从即</w:t>
      </w:r>
      <w:r>
        <w:rPr>
          <w:rFonts w:hint="eastAsia" w:ascii="宋体" w:hAnsi="宋体"/>
        </w:rPr>
        <w:t>日起可到原退休单位，户籍所在地提交申请。</w:t>
      </w:r>
    </w:p>
    <w:p w14:paraId="3C127C65">
      <w:pPr>
        <w:ind w:firstLine="422"/>
        <w:rPr>
          <w:rFonts w:ascii="宋体" w:hAnsi="宋体"/>
        </w:rPr>
      </w:pPr>
      <w:r>
        <w:rPr>
          <w:rFonts w:ascii="宋体" w:hAnsi="宋体"/>
          <w:b/>
        </w:rPr>
        <w:t>12月2日</w:t>
      </w:r>
      <w:r>
        <w:rPr>
          <w:rFonts w:hint="eastAsia" w:ascii="宋体" w:hAnsi="宋体"/>
          <w:b/>
        </w:rPr>
        <w:t xml:space="preserve">  </w:t>
      </w:r>
      <w:r>
        <w:rPr>
          <w:rFonts w:ascii="宋体" w:hAnsi="宋体"/>
        </w:rPr>
        <w:t>市利用社会资金补充耕地开</w:t>
      </w:r>
      <w:r>
        <w:rPr>
          <w:rFonts w:hint="eastAsia" w:ascii="宋体" w:hAnsi="宋体"/>
        </w:rPr>
        <w:t>发建设项目进展顺利，目前已经在水口、江头、界址等镇开发建设</w:t>
      </w:r>
      <w:r>
        <w:rPr>
          <w:rFonts w:ascii="宋体" w:hAnsi="宋体"/>
        </w:rPr>
        <w:t>17个项目，新增耕地</w:t>
      </w:r>
      <w:r>
        <w:rPr>
          <w:rFonts w:hint="eastAsia" w:ascii="宋体" w:hAnsi="宋体"/>
        </w:rPr>
        <w:t>面积</w:t>
      </w:r>
      <w:r>
        <w:rPr>
          <w:rFonts w:ascii="宋体" w:hAnsi="宋体"/>
        </w:rPr>
        <w:t>9151.71亩。</w:t>
      </w:r>
    </w:p>
    <w:p w14:paraId="516F89E5">
      <w:pPr>
        <w:ind w:firstLine="422"/>
        <w:rPr>
          <w:rFonts w:ascii="宋体" w:hAnsi="宋体"/>
        </w:rPr>
      </w:pPr>
      <w:r>
        <w:rPr>
          <w:rFonts w:ascii="宋体" w:hAnsi="宋体"/>
          <w:b/>
        </w:rPr>
        <w:t>12月3日</w:t>
      </w:r>
      <w:r>
        <w:rPr>
          <w:rFonts w:hint="eastAsia" w:ascii="宋体" w:hAnsi="宋体"/>
          <w:b/>
        </w:rPr>
        <w:t xml:space="preserve">  </w:t>
      </w:r>
      <w:r>
        <w:rPr>
          <w:rFonts w:ascii="宋体" w:hAnsi="宋体"/>
        </w:rPr>
        <w:t>水口镇国家农业综合开发土</w:t>
      </w:r>
      <w:r>
        <w:rPr>
          <w:rFonts w:hint="eastAsia" w:ascii="宋体" w:hAnsi="宋体"/>
        </w:rPr>
        <w:t>地治理项目正式开工。项目计划总投资</w:t>
      </w:r>
      <w:r>
        <w:rPr>
          <w:rFonts w:ascii="宋体" w:hAnsi="宋体"/>
        </w:rPr>
        <w:t>1150</w:t>
      </w:r>
      <w:r>
        <w:rPr>
          <w:rFonts w:hint="eastAsia" w:ascii="宋体" w:hAnsi="宋体"/>
        </w:rPr>
        <w:t>万元，改造中低产田</w:t>
      </w:r>
      <w:r>
        <w:rPr>
          <w:rFonts w:ascii="宋体" w:hAnsi="宋体"/>
        </w:rPr>
        <w:t>9700亩，受益农户2165</w:t>
      </w:r>
      <w:r>
        <w:rPr>
          <w:rFonts w:hint="eastAsia" w:ascii="宋体" w:hAnsi="宋体"/>
        </w:rPr>
        <w:t>户，人口</w:t>
      </w:r>
      <w:r>
        <w:rPr>
          <w:rFonts w:ascii="宋体" w:hAnsi="宋体"/>
        </w:rPr>
        <w:t>8675人。建设内容主要有衬砌渠道41.4公里，改建拦河坝3座，修建渠系工程</w:t>
      </w:r>
      <w:r>
        <w:rPr>
          <w:rFonts w:hint="eastAsia" w:ascii="宋体" w:hAnsi="宋体"/>
        </w:rPr>
        <w:t>建筑物</w:t>
      </w:r>
      <w:r>
        <w:rPr>
          <w:rFonts w:ascii="宋体" w:hAnsi="宋体"/>
        </w:rPr>
        <w:t>78座，开挖疏浚渠道81.13公里。项</w:t>
      </w:r>
      <w:r>
        <w:rPr>
          <w:rFonts w:hint="eastAsia" w:ascii="宋体" w:hAnsi="宋体"/>
        </w:rPr>
        <w:t>目实施后，可改善灌溉面积</w:t>
      </w:r>
      <w:r>
        <w:rPr>
          <w:rFonts w:ascii="宋体" w:hAnsi="宋体"/>
        </w:rPr>
        <w:t>9600多亩，新增</w:t>
      </w:r>
      <w:r>
        <w:rPr>
          <w:rFonts w:hint="eastAsia" w:ascii="宋体" w:hAnsi="宋体"/>
        </w:rPr>
        <w:t>灌溉面积</w:t>
      </w:r>
      <w:r>
        <w:rPr>
          <w:rFonts w:ascii="宋体" w:hAnsi="宋体"/>
        </w:rPr>
        <w:t>100亩。</w:t>
      </w:r>
    </w:p>
    <w:p w14:paraId="1ABF6E35">
      <w:pPr>
        <w:ind w:firstLine="422"/>
        <w:rPr>
          <w:rFonts w:ascii="宋体" w:hAnsi="宋体"/>
        </w:rPr>
      </w:pPr>
      <w:r>
        <w:rPr>
          <w:rFonts w:ascii="宋体" w:hAnsi="宋体"/>
          <w:b/>
        </w:rPr>
        <w:t>12月8日</w:t>
      </w:r>
      <w:r>
        <w:rPr>
          <w:rFonts w:hint="eastAsia" w:ascii="宋体" w:hAnsi="宋体"/>
          <w:b/>
        </w:rPr>
        <w:t xml:space="preserve">  </w:t>
      </w:r>
      <w:r>
        <w:rPr>
          <w:rFonts w:ascii="宋体" w:hAnsi="宋体"/>
        </w:rPr>
        <w:t>广东省纪委常委、监察厅副</w:t>
      </w:r>
      <w:r>
        <w:rPr>
          <w:rFonts w:hint="eastAsia" w:ascii="宋体" w:hAnsi="宋体"/>
        </w:rPr>
        <w:t>厅长秦通海在韶关市委常委、纪委书记段宇飞陪同，率省党风廉政建设检查组到南雄检查党风廉政建设责任制落实、推进反腐倡廉建设情况。</w:t>
      </w:r>
    </w:p>
    <w:p w14:paraId="09F1E94F">
      <w:pPr>
        <w:ind w:firstLine="422"/>
        <w:rPr>
          <w:rFonts w:ascii="宋体" w:hAnsi="宋体"/>
        </w:rPr>
      </w:pPr>
      <w:r>
        <w:rPr>
          <w:rFonts w:ascii="宋体" w:hAnsi="宋体"/>
          <w:b/>
        </w:rPr>
        <w:t>12月25日</w:t>
      </w:r>
      <w:r>
        <w:rPr>
          <w:rFonts w:hint="eastAsia" w:ascii="宋体" w:hAnsi="宋体"/>
          <w:b/>
        </w:rPr>
        <w:t xml:space="preserve">  </w:t>
      </w:r>
      <w:r>
        <w:rPr>
          <w:rFonts w:ascii="宋体" w:hAnsi="宋体"/>
        </w:rPr>
        <w:t>广东省专家组在南雄市考核</w:t>
      </w:r>
      <w:r>
        <w:rPr>
          <w:rFonts w:hint="eastAsia" w:ascii="宋体" w:hAnsi="宋体"/>
        </w:rPr>
        <w:t>验收创建林业生态市工作，分别对江头、乌迳、百顺、帽子峰等</w:t>
      </w:r>
      <w:r>
        <w:rPr>
          <w:rFonts w:ascii="宋体" w:hAnsi="宋体"/>
        </w:rPr>
        <w:t>7个镇和7个行政村的生</w:t>
      </w:r>
      <w:r>
        <w:rPr>
          <w:rFonts w:hint="eastAsia" w:ascii="宋体" w:hAnsi="宋体"/>
        </w:rPr>
        <w:t>产绿地、街道绿化、绿色通道等方面进行抽查。通过检查，专家组认为，几年来，南雄在创建林业生态市中，做到了领导重视，明确了创建目标，每年投入资金都在</w:t>
      </w:r>
      <w:r>
        <w:rPr>
          <w:rFonts w:ascii="宋体" w:hAnsi="宋体"/>
        </w:rPr>
        <w:t>1000万元</w:t>
      </w:r>
      <w:r>
        <w:rPr>
          <w:rFonts w:hint="eastAsia" w:ascii="宋体" w:hAnsi="宋体"/>
        </w:rPr>
        <w:t>以上，使森林资源得到很好的保护，创建生态市工作取得了阶段性的成果。高分通过验收。</w:t>
      </w:r>
    </w:p>
    <w:p w14:paraId="22475EE4">
      <w:pPr>
        <w:ind w:firstLine="422"/>
        <w:rPr>
          <w:rFonts w:ascii="宋体" w:hAnsi="宋体"/>
        </w:rPr>
      </w:pPr>
      <w:r>
        <w:rPr>
          <w:rFonts w:ascii="宋体" w:hAnsi="宋体"/>
          <w:b/>
        </w:rPr>
        <w:t>12月28日</w:t>
      </w:r>
      <w:r>
        <w:rPr>
          <w:rFonts w:hint="eastAsia" w:ascii="宋体" w:hAnsi="宋体"/>
          <w:b/>
        </w:rPr>
        <w:t xml:space="preserve">  </w:t>
      </w:r>
      <w:r>
        <w:rPr>
          <w:rFonts w:ascii="宋体" w:hAnsi="宋体"/>
        </w:rPr>
        <w:t>南雄市人民医院获得中华全</w:t>
      </w:r>
      <w:r>
        <w:rPr>
          <w:rFonts w:hint="eastAsia" w:ascii="宋体" w:hAnsi="宋体"/>
        </w:rPr>
        <w:t>国总工会“全国模范职工之家”称号。</w:t>
      </w:r>
    </w:p>
    <w:p w14:paraId="76087646">
      <w:pPr>
        <w:ind w:firstLine="422"/>
        <w:rPr>
          <w:rFonts w:ascii="宋体" w:hAnsi="宋体"/>
        </w:rPr>
      </w:pPr>
      <w:r>
        <w:rPr>
          <w:rFonts w:ascii="宋体" w:hAnsi="宋体"/>
          <w:b/>
        </w:rPr>
        <w:t>12月31日</w:t>
      </w:r>
      <w:r>
        <w:rPr>
          <w:rFonts w:hint="eastAsia" w:ascii="宋体" w:hAnsi="宋体"/>
          <w:b/>
        </w:rPr>
        <w:t xml:space="preserve">  </w:t>
      </w:r>
      <w:r>
        <w:rPr>
          <w:rFonts w:ascii="宋体" w:hAnsi="宋体"/>
        </w:rPr>
        <w:t>韶赣高速公路正式建成通</w:t>
      </w:r>
      <w:r>
        <w:rPr>
          <w:rFonts w:hint="eastAsia" w:ascii="宋体" w:hAnsi="宋体"/>
        </w:rPr>
        <w:t>车。通车典礼在韶赣高速公路梅关收费站隆重举行。广东省纪委、省交通运输厅、省公路管理局有关领导、韶关和南雄市领导、沿线各级政府及韶赣高速公路建设工程各参建单位负责人出席了盛大的通车典礼。韶赣高速公路粤境段全长</w:t>
      </w:r>
      <w:r>
        <w:rPr>
          <w:rFonts w:ascii="宋体" w:hAnsi="宋体"/>
        </w:rPr>
        <w:t>125.3公里，是广东省第</w:t>
      </w:r>
      <w:r>
        <w:rPr>
          <w:rFonts w:hint="eastAsia" w:ascii="宋体" w:hAnsi="宋体"/>
        </w:rPr>
        <w:t>一条政府还贷高速公路，西起于韶关市曲江区欧山，途经曲江区、浈江区、仁化县、始兴县、南雄市等</w:t>
      </w:r>
      <w:r>
        <w:rPr>
          <w:rFonts w:ascii="宋体" w:hAnsi="宋体"/>
        </w:rPr>
        <w:t>5个县（市区），东止于南雄</w:t>
      </w:r>
      <w:r>
        <w:rPr>
          <w:rFonts w:hint="eastAsia" w:ascii="宋体" w:hAnsi="宋体"/>
        </w:rPr>
        <w:t>市梅岭粤、赣两省交界处，全线按设计速度每小时</w:t>
      </w:r>
      <w:r>
        <w:rPr>
          <w:rFonts w:ascii="宋体" w:hAnsi="宋体"/>
        </w:rPr>
        <w:t>100公里的双向6车道高速公路技术标</w:t>
      </w:r>
      <w:r>
        <w:rPr>
          <w:rFonts w:hint="eastAsia" w:ascii="宋体" w:hAnsi="宋体"/>
        </w:rPr>
        <w:t>准建设，总体走向大致同国道</w:t>
      </w:r>
      <w:r>
        <w:rPr>
          <w:rFonts w:ascii="宋体" w:hAnsi="宋体"/>
        </w:rPr>
        <w:t>323线，是国</w:t>
      </w:r>
      <w:r>
        <w:rPr>
          <w:rFonts w:hint="eastAsia" w:ascii="宋体" w:hAnsi="宋体"/>
        </w:rPr>
        <w:t>家主干线京珠高速公路和粤赣高速公路之间的连接线，全线均在韶关市境内，对粤北地区的经济社会发展起到重要的促进作用。</w:t>
      </w:r>
    </w:p>
    <w:p w14:paraId="73765DC8">
      <w:pPr>
        <w:pStyle w:val="2"/>
      </w:pPr>
      <w:r>
        <w:rPr>
          <w:rFonts w:hint="eastAsia"/>
        </w:rPr>
        <w:t>市情概貌</w:t>
      </w:r>
    </w:p>
    <w:p w14:paraId="21FCBCE3">
      <w:pPr>
        <w:pStyle w:val="3"/>
      </w:pPr>
      <w:r>
        <w:rPr>
          <w:rFonts w:hint="eastAsia"/>
        </w:rPr>
        <w:t>历史沿革</w:t>
      </w:r>
    </w:p>
    <w:p w14:paraId="33D2637D">
      <w:pPr>
        <w:pStyle w:val="4"/>
      </w:pPr>
      <w:r>
        <w:rPr>
          <w:rFonts w:hint="eastAsia"/>
        </w:rPr>
        <w:t>【历史】</w:t>
      </w:r>
    </w:p>
    <w:p w14:paraId="32EC6C26">
      <w:pPr>
        <w:ind w:firstLine="420"/>
        <w:rPr>
          <w:rFonts w:ascii="宋体" w:hAnsi="宋体"/>
        </w:rPr>
      </w:pPr>
      <w:r>
        <w:rPr>
          <w:rFonts w:hint="eastAsia" w:ascii="宋体" w:hAnsi="宋体"/>
        </w:rPr>
        <w:t>南雄市地处广东省东北部、大庾岭南麓，与始兴、仁化和江西省大余、信丰、全南县接壤，境内两面群山连绵，中部丘陵沿浈江伸展，形成一条长盆地，地理学家称为“南雄盆地”，属亚热带季风湿润气候。是中国黄烟之乡、中国银杏之乡、广东省历史文化名城、广东省文明城市，广东省文化先进市，广东省三个中央苏区县之一。全市总面积</w:t>
      </w:r>
      <w:r>
        <w:rPr>
          <w:rFonts w:ascii="宋体" w:hAnsi="宋体"/>
        </w:rPr>
        <w:t>2361.4平方公里，辖17个镇1个街道办</w:t>
      </w:r>
      <w:r>
        <w:rPr>
          <w:rFonts w:hint="eastAsia" w:ascii="宋体" w:hAnsi="宋体"/>
        </w:rPr>
        <w:t>事处</w:t>
      </w:r>
      <w:r>
        <w:rPr>
          <w:rFonts w:ascii="宋体" w:hAnsi="宋体"/>
        </w:rPr>
        <w:t>24个社区208个村委会人口47.09万人。</w:t>
      </w:r>
    </w:p>
    <w:p w14:paraId="73C68E51">
      <w:pPr>
        <w:ind w:firstLine="420"/>
        <w:rPr>
          <w:rFonts w:ascii="宋体" w:hAnsi="宋体"/>
        </w:rPr>
      </w:pPr>
      <w:r>
        <w:rPr>
          <w:rFonts w:hint="eastAsia" w:ascii="宋体" w:hAnsi="宋体"/>
        </w:rPr>
        <w:t>南雄设县制始于唐光宅元年（公元</w:t>
      </w:r>
      <w:r>
        <w:rPr>
          <w:rFonts w:ascii="宋体" w:hAnsi="宋体"/>
        </w:rPr>
        <w:t>684</w:t>
      </w:r>
      <w:r>
        <w:rPr>
          <w:rFonts w:hint="eastAsia" w:ascii="宋体" w:hAnsi="宋体"/>
        </w:rPr>
        <w:t>年），取名为浈昌县。北宋开宝四年（公元</w:t>
      </w:r>
      <w:r>
        <w:rPr>
          <w:rFonts w:ascii="宋体" w:hAnsi="宋体"/>
        </w:rPr>
        <w:t>97</w:t>
      </w:r>
      <w:r>
        <w:rPr>
          <w:rFonts w:hint="eastAsia" w:ascii="宋体" w:hAnsi="宋体"/>
        </w:rPr>
        <w:t>1</w:t>
      </w:r>
      <w:r>
        <w:rPr>
          <w:rFonts w:ascii="宋体" w:hAnsi="宋体"/>
        </w:rPr>
        <w:t>年）改为南雄州，</w:t>
      </w:r>
      <w:r>
        <w:rPr>
          <w:rFonts w:hint="eastAsia" w:ascii="宋体" w:hAnsi="宋体"/>
        </w:rPr>
        <w:t>“</w:t>
      </w:r>
      <w:r>
        <w:rPr>
          <w:rFonts w:ascii="宋体" w:hAnsi="宋体"/>
        </w:rPr>
        <w:t>南雄</w:t>
      </w:r>
      <w:r>
        <w:rPr>
          <w:rFonts w:hint="eastAsia" w:ascii="宋体" w:hAnsi="宋体"/>
        </w:rPr>
        <w:t>”</w:t>
      </w:r>
      <w:r>
        <w:rPr>
          <w:rFonts w:ascii="宋体" w:hAnsi="宋体"/>
        </w:rPr>
        <w:t>之名由此始</w:t>
      </w:r>
      <w:r>
        <w:rPr>
          <w:rFonts w:hint="eastAsia" w:ascii="宋体" w:hAnsi="宋体"/>
        </w:rPr>
        <w:t>起。民国始（</w:t>
      </w:r>
      <w:r>
        <w:rPr>
          <w:rFonts w:ascii="宋体" w:hAnsi="宋体"/>
        </w:rPr>
        <w:t>1912年）废州置县为南雄县，1996年6月撤县设市，称南雄市（县级）由</w:t>
      </w:r>
      <w:r>
        <w:rPr>
          <w:rFonts w:hint="eastAsia" w:ascii="宋体" w:hAnsi="宋体"/>
        </w:rPr>
        <w:t>韶关市代管。</w:t>
      </w:r>
    </w:p>
    <w:p w14:paraId="6502EDEE">
      <w:pPr>
        <w:ind w:firstLine="420"/>
        <w:rPr>
          <w:rFonts w:ascii="宋体" w:hAnsi="宋体"/>
        </w:rPr>
      </w:pPr>
      <w:r>
        <w:rPr>
          <w:rFonts w:hint="eastAsia" w:ascii="宋体" w:hAnsi="宋体"/>
        </w:rPr>
        <w:t>南雄是古代中原与岭南交往的重要通道，史称“居五岭之首，为江广之冲”、“枕楚跨粤，为南北咽喉”，历来为兵家必争之地。是古代岭南政治、经济、文化的重要郡都，是粤赣边境的商贸重镇，古有“岭南第一州”之称。是珠三角地区居民的“七百年前桑乡”、“广府文化”的发祥地。</w:t>
      </w:r>
    </w:p>
    <w:p w14:paraId="58CE419F">
      <w:pPr>
        <w:pStyle w:val="4"/>
      </w:pPr>
      <w:r>
        <w:rPr>
          <w:rFonts w:hint="eastAsia"/>
        </w:rPr>
        <w:t>【人文】</w:t>
      </w:r>
    </w:p>
    <w:p w14:paraId="04727278">
      <w:pPr>
        <w:ind w:firstLine="420"/>
        <w:rPr>
          <w:rFonts w:ascii="宋体" w:hAnsi="宋体"/>
        </w:rPr>
      </w:pPr>
      <w:r>
        <w:rPr>
          <w:rFonts w:hint="eastAsia" w:ascii="宋体" w:hAnsi="宋体"/>
        </w:rPr>
        <w:t>南雄有光荣而悠久的革命斗争历史，是广东省的重点革命老区县之一，是中国工农红军长征经过地。孙中山两次北伐，均以南雄为前哨。土地革命时期，</w:t>
      </w:r>
      <w:r>
        <w:rPr>
          <w:rFonts w:ascii="宋体" w:hAnsi="宋体"/>
        </w:rPr>
        <w:t>1927年12</w:t>
      </w:r>
      <w:r>
        <w:rPr>
          <w:rFonts w:hint="eastAsia" w:ascii="宋体" w:hAnsi="宋体"/>
        </w:rPr>
        <w:t>月成立中共南雄县委，</w:t>
      </w:r>
      <w:r>
        <w:rPr>
          <w:rFonts w:ascii="宋体" w:hAnsi="宋体"/>
        </w:rPr>
        <w:t>1928年2月全县农民</w:t>
      </w:r>
      <w:r>
        <w:rPr>
          <w:rFonts w:hint="eastAsia" w:ascii="宋体" w:hAnsi="宋体"/>
        </w:rPr>
        <w:t>武装暴动，建立南雄县苏维埃政府，南雄属中央苏区县之一，</w:t>
      </w:r>
      <w:r>
        <w:rPr>
          <w:rFonts w:ascii="宋体" w:hAnsi="宋体"/>
        </w:rPr>
        <w:t>1929年以后，毛泽东、朱</w:t>
      </w:r>
      <w:r>
        <w:rPr>
          <w:rFonts w:hint="eastAsia" w:ascii="宋体" w:hAnsi="宋体"/>
        </w:rPr>
        <w:t>德、彭德怀等多次率领红军转战南雄，其中</w:t>
      </w:r>
      <w:r>
        <w:rPr>
          <w:rFonts w:ascii="宋体" w:hAnsi="宋体"/>
        </w:rPr>
        <w:t>1932年7月，毛泽东与朱德在南雄水口指挥</w:t>
      </w:r>
      <w:r>
        <w:rPr>
          <w:rFonts w:hint="eastAsia" w:ascii="宋体" w:hAnsi="宋体"/>
        </w:rPr>
        <w:t>著名的“水口战役”。中央红军长征后，项英、陈毅等以南雄油山为中心，坚持艰苦卓绝的三年游击战争。抗日战争时期，中共广东省委机关曾驻南雄黎口瑶坑，领导全省抗日救国斗争。解放战争时期，南雄是中共五岭地委驻地和粤赣湘边区解放总队所在地。</w:t>
      </w:r>
    </w:p>
    <w:p w14:paraId="6510E9FD">
      <w:pPr>
        <w:ind w:firstLine="420"/>
        <w:rPr>
          <w:rFonts w:ascii="宋体" w:hAnsi="宋体"/>
        </w:rPr>
      </w:pPr>
      <w:r>
        <w:rPr>
          <w:rFonts w:hint="eastAsia" w:ascii="宋体" w:hAnsi="宋体"/>
        </w:rPr>
        <w:t>南雄自然资源有山地面积</w:t>
      </w:r>
      <w:r>
        <w:rPr>
          <w:rFonts w:ascii="宋体" w:hAnsi="宋体"/>
        </w:rPr>
        <w:t>2038.13平方公</w:t>
      </w:r>
      <w:r>
        <w:rPr>
          <w:rFonts w:hint="eastAsia" w:ascii="宋体" w:hAnsi="宋体"/>
        </w:rPr>
        <w:t>里，宜林山地</w:t>
      </w:r>
      <w:r>
        <w:rPr>
          <w:rFonts w:ascii="宋体" w:hAnsi="宋体"/>
        </w:rPr>
        <w:t>1</w:t>
      </w:r>
      <w:r>
        <w:rPr>
          <w:rFonts w:hint="eastAsia" w:ascii="宋体" w:hAnsi="宋体"/>
        </w:rPr>
        <w:t>5</w:t>
      </w:r>
      <w:r>
        <w:rPr>
          <w:rFonts w:ascii="宋体" w:hAnsi="宋体"/>
        </w:rPr>
        <w:t>55</w:t>
      </w:r>
      <w:r>
        <w:rPr>
          <w:rFonts w:hint="eastAsia" w:ascii="宋体" w:hAnsi="宋体"/>
        </w:rPr>
        <w:t>.</w:t>
      </w:r>
      <w:r>
        <w:rPr>
          <w:rFonts w:ascii="宋体" w:hAnsi="宋体"/>
        </w:rPr>
        <w:t>22平方公里，林地1507.6平方公里，耕地304.6平方公里（其</w:t>
      </w:r>
      <w:r>
        <w:rPr>
          <w:rFonts w:hint="eastAsia" w:ascii="宋体" w:hAnsi="宋体"/>
        </w:rPr>
        <w:t>中水田</w:t>
      </w:r>
      <w:r>
        <w:rPr>
          <w:rFonts w:ascii="宋体" w:hAnsi="宋体"/>
        </w:rPr>
        <w:t>223.4平方公里），水域27.5平方公</w:t>
      </w:r>
      <w:r>
        <w:rPr>
          <w:rFonts w:hint="eastAsia" w:ascii="宋体" w:hAnsi="宋体"/>
        </w:rPr>
        <w:t>里。主要农作物有水稻、烟叶、花生、大豆。主要特产有黄烟、坪田银杏（白果）、板鸭、香菇、冬笋、金友米、腐竹等。南雄烟叶占广东烟叶总产量</w:t>
      </w:r>
      <w:r>
        <w:rPr>
          <w:rFonts w:ascii="宋体" w:hAnsi="宋体"/>
        </w:rPr>
        <w:t>40%，被国家烟草总公司列</w:t>
      </w:r>
      <w:r>
        <w:rPr>
          <w:rFonts w:hint="eastAsia" w:ascii="宋体" w:hAnsi="宋体"/>
        </w:rPr>
        <w:t>为“国际型优质烤烟生产基地”。主要矿产有钨、铀、稀土、莹、金、瓷土、陶土、石灰石、硅砂、花岗石等。主要河流有浈江、凌江。主要蓄水库有孔江、瀑布、中坪、宝江、苍石。</w:t>
      </w:r>
    </w:p>
    <w:p w14:paraId="445D862E">
      <w:pPr>
        <w:ind w:firstLine="420"/>
        <w:rPr>
          <w:rFonts w:ascii="宋体" w:hAnsi="宋体"/>
        </w:rPr>
      </w:pPr>
      <w:r>
        <w:rPr>
          <w:rFonts w:hint="eastAsia" w:ascii="宋体" w:hAnsi="宋体"/>
        </w:rPr>
        <w:t>主要旅游景点有梅关古道、珠玑古巷、三影古塔、古生物恐龙化石群、钟鼓岩、青嶂山、百岛湖（孔江水库）、新田古村落、鱼鲜古村落、莲开净寺、大雄禅寺以及有“小丹霞”之称的自然风景区苍石寨、帽子峰小流坑风景区、坪田古银杏群落等，有张九龄、苏东坡、陈毅等名人遗迹。</w:t>
      </w:r>
    </w:p>
    <w:p w14:paraId="63C216F5">
      <w:pPr>
        <w:pStyle w:val="3"/>
      </w:pPr>
      <w:r>
        <w:rPr>
          <w:rFonts w:hint="eastAsia"/>
        </w:rPr>
        <w:t>自然地理</w:t>
      </w:r>
    </w:p>
    <w:p w14:paraId="5873680C">
      <w:pPr>
        <w:pStyle w:val="4"/>
      </w:pPr>
      <w:r>
        <w:rPr>
          <w:rFonts w:hint="eastAsia"/>
        </w:rPr>
        <w:t>【位置和面积】</w:t>
      </w:r>
    </w:p>
    <w:p w14:paraId="49CB59B6">
      <w:pPr>
        <w:ind w:firstLine="420"/>
        <w:rPr>
          <w:rFonts w:ascii="宋体" w:hAnsi="宋体"/>
        </w:rPr>
      </w:pPr>
      <w:r>
        <w:rPr>
          <w:rFonts w:hint="eastAsia" w:ascii="宋体" w:hAnsi="宋体"/>
        </w:rPr>
        <w:t>南雄市位于大庾岭南麓，史称“居五岭之首，为江广之冲，控带群蛮，襟会百粤”。位于东经</w:t>
      </w:r>
      <w:r>
        <w:rPr>
          <w:rFonts w:ascii="宋体" w:hAnsi="宋体"/>
        </w:rPr>
        <w:t>113度55分30秒</w:t>
      </w:r>
      <w:r>
        <w:rPr>
          <w:rFonts w:hint="eastAsia" w:ascii="宋体" w:hAnsi="宋体"/>
        </w:rPr>
        <w:t>~</w:t>
      </w:r>
      <w:r>
        <w:rPr>
          <w:rFonts w:ascii="宋体" w:hAnsi="宋体"/>
        </w:rPr>
        <w:t>114</w:t>
      </w:r>
      <w:r>
        <w:rPr>
          <w:rFonts w:hint="eastAsia" w:ascii="宋体" w:hAnsi="宋体"/>
        </w:rPr>
        <w:t>度</w:t>
      </w:r>
      <w:r>
        <w:rPr>
          <w:rFonts w:ascii="宋体" w:hAnsi="宋体"/>
        </w:rPr>
        <w:t>44分38秒，北纬24度56分59秒</w:t>
      </w:r>
      <w:r>
        <w:rPr>
          <w:rFonts w:hint="eastAsia" w:ascii="宋体" w:hAnsi="宋体"/>
        </w:rPr>
        <w:t>~</w:t>
      </w:r>
      <w:r>
        <w:rPr>
          <w:rFonts w:ascii="宋体" w:hAnsi="宋体"/>
        </w:rPr>
        <w:t>25度25分20秒，东连江西省信丰县，东南界江西</w:t>
      </w:r>
      <w:r>
        <w:rPr>
          <w:rFonts w:hint="eastAsia" w:ascii="宋体" w:hAnsi="宋体"/>
        </w:rPr>
        <w:t>省全南县，西南比邻始兴县，西邻曲江县，西北与仁化县接壤。四周群山环抱，中为丘陵，地理学家称“南雄盆地”。东西极限</w:t>
      </w:r>
      <w:r>
        <w:rPr>
          <w:rFonts w:ascii="宋体" w:hAnsi="宋体"/>
        </w:rPr>
        <w:t>84</w:t>
      </w:r>
      <w:r>
        <w:rPr>
          <w:rFonts w:hint="eastAsia" w:ascii="宋体" w:hAnsi="宋体"/>
        </w:rPr>
        <w:t>公里，南北极限</w:t>
      </w:r>
      <w:r>
        <w:rPr>
          <w:rFonts w:ascii="宋体" w:hAnsi="宋体"/>
        </w:rPr>
        <w:t>52公里。全市面积2316.4平</w:t>
      </w:r>
      <w:r>
        <w:rPr>
          <w:rFonts w:hint="eastAsia" w:ascii="宋体" w:hAnsi="宋体"/>
        </w:rPr>
        <w:t>方公里。</w:t>
      </w:r>
    </w:p>
    <w:p w14:paraId="5AE8D486">
      <w:pPr>
        <w:pStyle w:val="4"/>
      </w:pPr>
      <w:r>
        <w:rPr>
          <w:rFonts w:hint="eastAsia"/>
        </w:rPr>
        <w:t>【气候概述】</w:t>
      </w:r>
    </w:p>
    <w:p w14:paraId="63AC540D">
      <w:pPr>
        <w:ind w:firstLine="420"/>
        <w:rPr>
          <w:rFonts w:ascii="宋体" w:hAnsi="宋体"/>
        </w:rPr>
      </w:pPr>
      <w:r>
        <w:rPr>
          <w:rFonts w:hint="eastAsia" w:ascii="宋体" w:hAnsi="宋体"/>
        </w:rPr>
        <w:t>南雄位于亚欧大陆东南缘，处在北回归线北侧，属亚热带季风湿润气候区，具有四季分明，冬短夏长，秋季过渡快的特点。冬半年受大陆冷性高压控制，气温较低，寒冷少雨，多霜冻、冰冻天气出现，历年平均最低气温皆在</w:t>
      </w:r>
      <w:r>
        <w:rPr>
          <w:rFonts w:ascii="宋体" w:hAnsi="宋体"/>
        </w:rPr>
        <w:t>1月，盛行东北风，具有大</w:t>
      </w:r>
      <w:r>
        <w:rPr>
          <w:rFonts w:hint="eastAsia" w:ascii="宋体" w:hAnsi="宋体"/>
        </w:rPr>
        <w:t>陆性气候特征。夏半年受副热带海洋天气系统影响，盛行西南风，加上南雄地处赭土盆地，具有气温较高，热量充足，雨量颇丰的偏海洋性气候特点。由于市境内地形复杂，地势高低差异，山地气温比平原要低</w:t>
      </w:r>
      <w:r>
        <w:rPr>
          <w:rFonts w:ascii="宋体" w:hAnsi="宋体"/>
        </w:rPr>
        <w:t>4℃左</w:t>
      </w:r>
      <w:r>
        <w:rPr>
          <w:rFonts w:hint="eastAsia" w:ascii="宋体" w:hAnsi="宋体"/>
        </w:rPr>
        <w:t>右，雨量约多</w:t>
      </w:r>
      <w:r>
        <w:rPr>
          <w:rFonts w:ascii="宋体" w:hAnsi="宋体"/>
        </w:rPr>
        <w:t>10%</w:t>
      </w:r>
      <w:r>
        <w:rPr>
          <w:rFonts w:hint="eastAsia" w:ascii="宋体" w:hAnsi="宋体"/>
        </w:rPr>
        <w:t>。</w:t>
      </w:r>
    </w:p>
    <w:p w14:paraId="39D4A9E8">
      <w:pPr>
        <w:pStyle w:val="4"/>
      </w:pPr>
      <w:r>
        <w:rPr>
          <w:rFonts w:hint="eastAsia"/>
        </w:rPr>
        <w:t>【四季气候特点】</w:t>
      </w:r>
    </w:p>
    <w:p w14:paraId="21B302AC">
      <w:pPr>
        <w:ind w:firstLine="420"/>
        <w:rPr>
          <w:rFonts w:ascii="宋体" w:hAnsi="宋体"/>
        </w:rPr>
      </w:pPr>
      <w:r>
        <w:rPr>
          <w:rFonts w:hint="eastAsia" w:ascii="宋体" w:hAnsi="宋体"/>
        </w:rPr>
        <w:t>春季（</w:t>
      </w:r>
      <w:r>
        <w:rPr>
          <w:rFonts w:ascii="宋体" w:hAnsi="宋体"/>
        </w:rPr>
        <w:t>3月至4月）</w:t>
      </w:r>
      <w:r>
        <w:rPr>
          <w:rFonts w:hint="eastAsia" w:ascii="宋体" w:hAnsi="宋体"/>
        </w:rPr>
        <w:t>：</w:t>
      </w:r>
      <w:r>
        <w:rPr>
          <w:rFonts w:ascii="宋体" w:hAnsi="宋体"/>
        </w:rPr>
        <w:t>时</w:t>
      </w:r>
      <w:r>
        <w:rPr>
          <w:rFonts w:hint="eastAsia" w:ascii="宋体" w:hAnsi="宋体"/>
        </w:rPr>
        <w:t>晴时暖，变化无常，累年平均气温为</w:t>
      </w:r>
      <w:r>
        <w:rPr>
          <w:rFonts w:ascii="宋体" w:hAnsi="宋体"/>
        </w:rPr>
        <w:t>2月10.4℃，3月15℃，4月20℃，个别年份3月</w:t>
      </w:r>
      <w:r>
        <w:rPr>
          <w:rFonts w:hint="eastAsia" w:ascii="宋体" w:hAnsi="宋体"/>
        </w:rPr>
        <w:t>仍可见霜雪。日照时数极少。尤其是</w:t>
      </w:r>
      <w:r>
        <w:rPr>
          <w:rFonts w:ascii="宋体" w:hAnsi="宋体"/>
        </w:rPr>
        <w:t>3月，</w:t>
      </w:r>
      <w:r>
        <w:rPr>
          <w:rFonts w:hint="eastAsia" w:ascii="宋体" w:hAnsi="宋体"/>
        </w:rPr>
        <w:t>一天日照在</w:t>
      </w:r>
      <w:r>
        <w:rPr>
          <w:rFonts w:ascii="宋体" w:hAnsi="宋体"/>
        </w:rPr>
        <w:t>2小时以下的天数占20天以上。</w:t>
      </w:r>
    </w:p>
    <w:p w14:paraId="7312CD29">
      <w:pPr>
        <w:ind w:firstLine="420"/>
        <w:rPr>
          <w:rFonts w:ascii="宋体" w:hAnsi="宋体"/>
        </w:rPr>
      </w:pPr>
      <w:r>
        <w:rPr>
          <w:rFonts w:hint="eastAsia" w:ascii="宋体" w:hAnsi="宋体"/>
        </w:rPr>
        <w:t>夏季（</w:t>
      </w:r>
      <w:r>
        <w:rPr>
          <w:rFonts w:ascii="宋体" w:hAnsi="宋体"/>
        </w:rPr>
        <w:t>5月至9月）</w:t>
      </w:r>
      <w:r>
        <w:rPr>
          <w:rFonts w:hint="eastAsia" w:ascii="宋体" w:hAnsi="宋体"/>
        </w:rPr>
        <w:t>：</w:t>
      </w:r>
      <w:r>
        <w:rPr>
          <w:rFonts w:ascii="宋体" w:hAnsi="宋体"/>
        </w:rPr>
        <w:t>初夏（5月至6月）</w:t>
      </w:r>
      <w:r>
        <w:rPr>
          <w:rFonts w:hint="eastAsia" w:ascii="宋体" w:hAnsi="宋体"/>
        </w:rPr>
        <w:t>高湿，雨量集中，强度大；盛夏（</w:t>
      </w:r>
      <w:r>
        <w:rPr>
          <w:rFonts w:ascii="宋体" w:hAnsi="宋体"/>
        </w:rPr>
        <w:t>7月至9</w:t>
      </w:r>
      <w:r>
        <w:rPr>
          <w:rFonts w:hint="eastAsia" w:ascii="宋体" w:hAnsi="宋体"/>
        </w:rPr>
        <w:t>月）降雨量少，天气炎热，光照充足。高温出现在</w:t>
      </w:r>
      <w:r>
        <w:rPr>
          <w:rFonts w:ascii="宋体" w:hAnsi="宋体"/>
        </w:rPr>
        <w:t>7月至8月，月极端最高气温为37.5℃</w:t>
      </w:r>
      <w:r>
        <w:rPr>
          <w:rFonts w:hint="eastAsia" w:ascii="宋体" w:hAnsi="宋体"/>
        </w:rPr>
        <w:t>~</w:t>
      </w:r>
      <w:r>
        <w:rPr>
          <w:rFonts w:ascii="宋体" w:hAnsi="宋体"/>
        </w:rPr>
        <w:t>40.4℃。南雄虽处在较低纬度，但</w:t>
      </w:r>
      <w:r>
        <w:rPr>
          <w:rFonts w:hint="eastAsia" w:ascii="宋体" w:hAnsi="宋体"/>
        </w:rPr>
        <w:t>地处内陆，离海较远，故台风对南雄影响较弱。由于失去海风调剂，加上地处盆地，其辐射之强烈在夏季甚于海南和珠江三角洲。雨季于</w:t>
      </w:r>
      <w:r>
        <w:rPr>
          <w:rFonts w:ascii="宋体" w:hAnsi="宋体"/>
        </w:rPr>
        <w:t>4月中下旬始，5月至6月雨量平均达490.6毫米，占全年雨量的31</w:t>
      </w:r>
      <w:r>
        <w:rPr>
          <w:rFonts w:hint="eastAsia" w:ascii="宋体" w:hAnsi="宋体"/>
        </w:rPr>
        <w:t>~</w:t>
      </w:r>
      <w:r>
        <w:rPr>
          <w:rFonts w:ascii="宋体" w:hAnsi="宋体"/>
        </w:rPr>
        <w:t>55%，7月至9月占年雨量24%，8月至9月出现干旱的几</w:t>
      </w:r>
      <w:r>
        <w:rPr>
          <w:rFonts w:hint="eastAsia" w:ascii="宋体" w:hAnsi="宋体"/>
        </w:rPr>
        <w:t>率大，平均三年就有两年发生干旱。</w:t>
      </w:r>
    </w:p>
    <w:p w14:paraId="5BCCA4B2">
      <w:pPr>
        <w:ind w:firstLine="420"/>
        <w:rPr>
          <w:rFonts w:ascii="宋体" w:hAnsi="宋体"/>
        </w:rPr>
      </w:pPr>
      <w:r>
        <w:rPr>
          <w:rFonts w:hint="eastAsia" w:ascii="宋体" w:hAnsi="宋体"/>
        </w:rPr>
        <w:t>秋季（</w:t>
      </w:r>
      <w:r>
        <w:rPr>
          <w:rFonts w:ascii="宋体" w:hAnsi="宋体"/>
        </w:rPr>
        <w:t>10月至11月）</w:t>
      </w:r>
      <w:r>
        <w:rPr>
          <w:rFonts w:hint="eastAsia" w:ascii="宋体" w:hAnsi="宋体"/>
        </w:rPr>
        <w:t>：</w:t>
      </w:r>
      <w:r>
        <w:rPr>
          <w:rFonts w:ascii="宋体" w:hAnsi="宋体"/>
        </w:rPr>
        <w:t>气温迅速降低，</w:t>
      </w:r>
      <w:r>
        <w:rPr>
          <w:rFonts w:hint="eastAsia" w:ascii="宋体" w:hAnsi="宋体"/>
        </w:rPr>
        <w:t>且日较差大，干燥少云雨，累年平均气温为</w:t>
      </w:r>
      <w:r>
        <w:rPr>
          <w:rFonts w:ascii="宋体" w:hAnsi="宋体"/>
        </w:rPr>
        <w:t>10月21.2℃，11月15.8℃。总雨量118.4毫</w:t>
      </w:r>
      <w:r>
        <w:rPr>
          <w:rFonts w:hint="eastAsia" w:ascii="宋体" w:hAnsi="宋体"/>
        </w:rPr>
        <w:t>米，占年雨量</w:t>
      </w:r>
      <w:r>
        <w:rPr>
          <w:rFonts w:ascii="宋体" w:hAnsi="宋体"/>
        </w:rPr>
        <w:t>7</w:t>
      </w:r>
      <w:r>
        <w:rPr>
          <w:rFonts w:hint="eastAsia" w:ascii="宋体" w:hAnsi="宋体"/>
        </w:rPr>
        <w:t>~</w:t>
      </w:r>
      <w:r>
        <w:rPr>
          <w:rFonts w:ascii="宋体" w:hAnsi="宋体"/>
        </w:rPr>
        <w:t>6%，为全年降水量最少的</w:t>
      </w:r>
      <w:r>
        <w:rPr>
          <w:rFonts w:hint="eastAsia" w:ascii="宋体" w:hAnsi="宋体"/>
        </w:rPr>
        <w:t>一个季节。平均雨日也为全年最少，</w:t>
      </w:r>
      <w:r>
        <w:rPr>
          <w:rFonts w:ascii="宋体" w:hAnsi="宋体"/>
        </w:rPr>
        <w:t>10月7</w:t>
      </w:r>
      <w:r>
        <w:rPr>
          <w:rFonts w:hint="eastAsia" w:ascii="宋体" w:hAnsi="宋体"/>
        </w:rPr>
        <w:t>天，</w:t>
      </w:r>
      <w:r>
        <w:rPr>
          <w:rFonts w:ascii="宋体" w:hAnsi="宋体"/>
        </w:rPr>
        <w:t>11月为6</w:t>
      </w:r>
      <w:r>
        <w:rPr>
          <w:rFonts w:hint="eastAsia" w:ascii="宋体" w:hAnsi="宋体"/>
        </w:rPr>
        <w:t>~</w:t>
      </w:r>
      <w:r>
        <w:rPr>
          <w:rFonts w:ascii="宋体" w:hAnsi="宋体"/>
        </w:rPr>
        <w:t>8天。</w:t>
      </w:r>
    </w:p>
    <w:p w14:paraId="4F8BCF15">
      <w:pPr>
        <w:ind w:firstLine="420"/>
        <w:rPr>
          <w:rFonts w:ascii="宋体" w:hAnsi="宋体"/>
        </w:rPr>
      </w:pPr>
      <w:r>
        <w:rPr>
          <w:rFonts w:hint="eastAsia" w:ascii="宋体" w:hAnsi="宋体"/>
        </w:rPr>
        <w:t>冬季（</w:t>
      </w:r>
      <w:r>
        <w:rPr>
          <w:rFonts w:ascii="宋体" w:hAnsi="宋体"/>
        </w:rPr>
        <w:t>12月至2月）</w:t>
      </w:r>
      <w:r>
        <w:rPr>
          <w:rFonts w:hint="eastAsia" w:ascii="宋体" w:hAnsi="宋体"/>
        </w:rPr>
        <w:t>：</w:t>
      </w:r>
      <w:r>
        <w:rPr>
          <w:rFonts w:ascii="宋体" w:hAnsi="宋体"/>
        </w:rPr>
        <w:t>受蒙古次高压影响</w:t>
      </w:r>
      <w:r>
        <w:rPr>
          <w:rFonts w:hint="eastAsia" w:ascii="宋体" w:hAnsi="宋体"/>
        </w:rPr>
        <w:t>常有寒潮入侵，天气晴朗寒冷少雨，多霜冻、冰冻。累年平均雨量</w:t>
      </w:r>
      <w:r>
        <w:rPr>
          <w:rFonts w:ascii="宋体" w:hAnsi="宋体"/>
        </w:rPr>
        <w:t>298.1毫米，占全年雨</w:t>
      </w:r>
      <w:r>
        <w:rPr>
          <w:rFonts w:hint="eastAsia" w:ascii="宋体" w:hAnsi="宋体"/>
        </w:rPr>
        <w:t>量的</w:t>
      </w:r>
      <w:r>
        <w:rPr>
          <w:rFonts w:ascii="宋体" w:hAnsi="宋体"/>
        </w:rPr>
        <w:t>19</w:t>
      </w:r>
      <w:r>
        <w:rPr>
          <w:rFonts w:hint="eastAsia" w:ascii="宋体" w:hAnsi="宋体"/>
        </w:rPr>
        <w:t>~</w:t>
      </w:r>
      <w:r>
        <w:rPr>
          <w:rFonts w:ascii="宋体" w:hAnsi="宋体"/>
        </w:rPr>
        <w:t>17%，其中2月份占50%。气温以1月为全年最低，月平均8</w:t>
      </w:r>
      <w:r>
        <w:rPr>
          <w:rFonts w:hint="eastAsia" w:ascii="宋体" w:hAnsi="宋体"/>
        </w:rPr>
        <w:t>~</w:t>
      </w:r>
      <w:r>
        <w:rPr>
          <w:rFonts w:ascii="宋体" w:hAnsi="宋体"/>
        </w:rPr>
        <w:t>8℃，月平均最</w:t>
      </w:r>
      <w:r>
        <w:rPr>
          <w:rFonts w:hint="eastAsia" w:ascii="宋体" w:hAnsi="宋体"/>
        </w:rPr>
        <w:t>低气温</w:t>
      </w:r>
      <w:r>
        <w:rPr>
          <w:rFonts w:ascii="宋体" w:hAnsi="宋体"/>
        </w:rPr>
        <w:t>5</w:t>
      </w:r>
      <w:r>
        <w:rPr>
          <w:rFonts w:hint="eastAsia" w:ascii="宋体" w:hAnsi="宋体"/>
        </w:rPr>
        <w:t>~</w:t>
      </w:r>
      <w:r>
        <w:rPr>
          <w:rFonts w:ascii="宋体" w:hAnsi="宋体"/>
        </w:rPr>
        <w:t>2℃，累年极端最低气温</w:t>
      </w:r>
      <w:r>
        <w:rPr>
          <w:rFonts w:hint="eastAsia" w:ascii="宋体" w:hAnsi="宋体"/>
        </w:rPr>
        <w:t>-</w:t>
      </w:r>
      <w:r>
        <w:rPr>
          <w:rFonts w:ascii="宋体" w:hAnsi="宋体"/>
        </w:rPr>
        <w:t>6</w:t>
      </w:r>
      <w:r>
        <w:rPr>
          <w:rFonts w:hint="eastAsia" w:ascii="宋体" w:hAnsi="宋体"/>
        </w:rPr>
        <w:t>~</w:t>
      </w:r>
      <w:r>
        <w:rPr>
          <w:rFonts w:ascii="宋体" w:hAnsi="宋体"/>
        </w:rPr>
        <w:t>2℃</w:t>
      </w:r>
      <w:r>
        <w:rPr>
          <w:rFonts w:hint="eastAsia" w:ascii="宋体" w:hAnsi="宋体"/>
        </w:rPr>
        <w:t>（出现在</w:t>
      </w:r>
      <w:r>
        <w:rPr>
          <w:rFonts w:ascii="宋体" w:hAnsi="宋体"/>
        </w:rPr>
        <w:t>1955年1月12日）。霜冻天数累年</w:t>
      </w:r>
      <w:r>
        <w:rPr>
          <w:rFonts w:hint="eastAsia" w:ascii="宋体" w:hAnsi="宋体"/>
        </w:rPr>
        <w:t>平均为</w:t>
      </w:r>
      <w:r>
        <w:rPr>
          <w:rFonts w:ascii="宋体" w:hAnsi="宋体"/>
        </w:rPr>
        <w:t>18天，结冰日数平均为93天，降雪日</w:t>
      </w:r>
      <w:r>
        <w:rPr>
          <w:rFonts w:hint="eastAsia" w:ascii="宋体" w:hAnsi="宋体"/>
        </w:rPr>
        <w:t>数累年平均</w:t>
      </w:r>
      <w:r>
        <w:rPr>
          <w:rFonts w:ascii="宋体" w:hAnsi="宋体"/>
        </w:rPr>
        <w:t>33天。</w:t>
      </w:r>
    </w:p>
    <w:p w14:paraId="07C9C811">
      <w:pPr>
        <w:pStyle w:val="4"/>
      </w:pPr>
      <w:r>
        <w:rPr>
          <w:rFonts w:hint="eastAsia"/>
        </w:rPr>
        <w:t>【气象要素】</w:t>
      </w:r>
    </w:p>
    <w:p w14:paraId="4DD1089A">
      <w:pPr>
        <w:ind w:firstLine="420"/>
        <w:rPr>
          <w:rFonts w:ascii="宋体" w:hAnsi="宋体"/>
        </w:rPr>
      </w:pPr>
      <w:r>
        <w:rPr>
          <w:rFonts w:hint="eastAsia" w:ascii="宋体" w:hAnsi="宋体"/>
        </w:rPr>
        <w:t>光照：累年平均太阳辐射量为</w:t>
      </w:r>
      <w:r>
        <w:rPr>
          <w:rFonts w:ascii="宋体" w:hAnsi="宋体"/>
        </w:rPr>
        <w:t>111.6667千卡</w:t>
      </w:r>
      <w:r>
        <w:rPr>
          <w:rFonts w:hint="eastAsia" w:ascii="宋体" w:hAnsi="宋体"/>
        </w:rPr>
        <w:t>/</w:t>
      </w:r>
      <w:r>
        <w:rPr>
          <w:rFonts w:ascii="宋体" w:hAnsi="宋体"/>
        </w:rPr>
        <w:t>平方厘米，辐射量1月、2月</w:t>
      </w:r>
      <w:r>
        <w:rPr>
          <w:rFonts w:hint="eastAsia" w:ascii="宋体" w:hAnsi="宋体"/>
        </w:rPr>
        <w:t>为最低值，</w:t>
      </w:r>
      <w:r>
        <w:rPr>
          <w:rFonts w:ascii="宋体" w:hAnsi="宋体"/>
        </w:rPr>
        <w:t>7月、8月为最高值。</w:t>
      </w:r>
    </w:p>
    <w:p w14:paraId="3F3FFA16">
      <w:pPr>
        <w:ind w:firstLine="420"/>
        <w:rPr>
          <w:rFonts w:ascii="宋体" w:hAnsi="宋体"/>
        </w:rPr>
      </w:pPr>
      <w:r>
        <w:rPr>
          <w:rFonts w:hint="eastAsia" w:ascii="宋体" w:hAnsi="宋体"/>
        </w:rPr>
        <w:t>日照：累年平均日照时数</w:t>
      </w:r>
      <w:r>
        <w:rPr>
          <w:rFonts w:ascii="宋体" w:hAnsi="宋体"/>
        </w:rPr>
        <w:t>1825.7小时，</w:t>
      </w:r>
      <w:r>
        <w:rPr>
          <w:rFonts w:hint="eastAsia" w:ascii="宋体" w:hAnsi="宋体"/>
        </w:rPr>
        <w:t>一年中以</w:t>
      </w:r>
      <w:r>
        <w:rPr>
          <w:rFonts w:ascii="宋体" w:hAnsi="宋体"/>
        </w:rPr>
        <w:t>7月、8月最多，分别为252.5小时</w:t>
      </w:r>
      <w:r>
        <w:rPr>
          <w:rFonts w:hint="eastAsia" w:ascii="宋体" w:hAnsi="宋体"/>
        </w:rPr>
        <w:t>和</w:t>
      </w:r>
      <w:r>
        <w:rPr>
          <w:rFonts w:ascii="宋体" w:hAnsi="宋体"/>
        </w:rPr>
        <w:t>232小时；最少是2月、3月</w:t>
      </w:r>
      <w:r>
        <w:rPr>
          <w:rFonts w:hint="eastAsia" w:ascii="宋体" w:hAnsi="宋体"/>
        </w:rPr>
        <w:t>：</w:t>
      </w:r>
      <w:r>
        <w:rPr>
          <w:rFonts w:ascii="宋体" w:hAnsi="宋体"/>
        </w:rPr>
        <w:t>分别为80.3</w:t>
      </w:r>
      <w:r>
        <w:rPr>
          <w:rFonts w:hint="eastAsia" w:ascii="宋体" w:hAnsi="宋体"/>
        </w:rPr>
        <w:t>和</w:t>
      </w:r>
      <w:r>
        <w:rPr>
          <w:rFonts w:ascii="宋体" w:hAnsi="宋体"/>
        </w:rPr>
        <w:t>81.2小时。</w:t>
      </w:r>
    </w:p>
    <w:p w14:paraId="79031CA5">
      <w:pPr>
        <w:ind w:firstLine="420"/>
        <w:rPr>
          <w:rFonts w:ascii="宋体" w:hAnsi="宋体"/>
        </w:rPr>
      </w:pPr>
      <w:r>
        <w:rPr>
          <w:rFonts w:hint="eastAsia" w:ascii="宋体" w:hAnsi="宋体"/>
        </w:rPr>
        <w:t>气温：累年平均气温</w:t>
      </w:r>
      <w:r>
        <w:rPr>
          <w:rFonts w:ascii="宋体" w:hAnsi="宋体"/>
        </w:rPr>
        <w:t>19.6℃，年平均最</w:t>
      </w:r>
      <w:r>
        <w:rPr>
          <w:rFonts w:hint="eastAsia" w:ascii="宋体" w:hAnsi="宋体"/>
        </w:rPr>
        <w:t>高气温</w:t>
      </w:r>
      <w:r>
        <w:rPr>
          <w:rFonts w:ascii="宋体" w:hAnsi="宋体"/>
        </w:rPr>
        <w:t>24.5℃，平均最低气温16℃。极端最</w:t>
      </w:r>
      <w:r>
        <w:rPr>
          <w:rFonts w:hint="eastAsia" w:ascii="宋体" w:hAnsi="宋体"/>
        </w:rPr>
        <w:t>高气温</w:t>
      </w:r>
      <w:r>
        <w:rPr>
          <w:rFonts w:ascii="宋体" w:hAnsi="宋体"/>
        </w:rPr>
        <w:t>40.4℃（2003年8月4日），极端最</w:t>
      </w:r>
      <w:r>
        <w:rPr>
          <w:rFonts w:hint="eastAsia" w:ascii="宋体" w:hAnsi="宋体"/>
        </w:rPr>
        <w:t>低气温</w:t>
      </w:r>
      <w:r>
        <w:rPr>
          <w:rFonts w:ascii="宋体" w:hAnsi="宋体"/>
        </w:rPr>
        <w:t>-6.2℃（1955年1月12日）。南雄全</w:t>
      </w:r>
      <w:r>
        <w:rPr>
          <w:rFonts w:hint="eastAsia" w:ascii="宋体" w:hAnsi="宋体"/>
        </w:rPr>
        <w:t>年逐日平均气温在</w:t>
      </w:r>
      <w:r>
        <w:rPr>
          <w:rFonts w:ascii="宋体" w:hAnsi="宋体"/>
        </w:rPr>
        <w:t>0℃以上，年总积温累年平</w:t>
      </w:r>
      <w:r>
        <w:rPr>
          <w:rFonts w:hint="eastAsia" w:ascii="宋体" w:hAnsi="宋体"/>
        </w:rPr>
        <w:t>均</w:t>
      </w:r>
      <w:r>
        <w:rPr>
          <w:rFonts w:ascii="宋体" w:hAnsi="宋体"/>
        </w:rPr>
        <w:t>7177.9℃，农作物主要生育期的3月至10</w:t>
      </w:r>
      <w:r>
        <w:rPr>
          <w:rFonts w:hint="eastAsia" w:ascii="宋体" w:hAnsi="宋体"/>
        </w:rPr>
        <w:t>月积温平均为</w:t>
      </w:r>
      <w:r>
        <w:rPr>
          <w:rFonts w:ascii="宋体" w:hAnsi="宋体"/>
        </w:rPr>
        <w:t>5794.3℃。</w:t>
      </w:r>
    </w:p>
    <w:p w14:paraId="21EA0AA9">
      <w:pPr>
        <w:ind w:firstLine="420"/>
        <w:rPr>
          <w:rFonts w:ascii="宋体" w:hAnsi="宋体"/>
        </w:rPr>
      </w:pPr>
      <w:r>
        <w:rPr>
          <w:rFonts w:hint="eastAsia" w:ascii="宋体" w:hAnsi="宋体"/>
        </w:rPr>
        <w:t>雨量：县境累年平均降雨量</w:t>
      </w:r>
      <w:r>
        <w:rPr>
          <w:rFonts w:ascii="宋体" w:hAnsi="宋体"/>
        </w:rPr>
        <w:t>1555.1毫</w:t>
      </w:r>
      <w:r>
        <w:rPr>
          <w:rFonts w:hint="eastAsia" w:ascii="宋体" w:hAnsi="宋体"/>
        </w:rPr>
        <w:t>米，总雨量充沛，但各月分布极不均匀，春末夏初前汛期（</w:t>
      </w:r>
      <w:r>
        <w:rPr>
          <w:rFonts w:ascii="宋体" w:hAnsi="宋体"/>
        </w:rPr>
        <w:t>4月至6月）总雨量达717.3</w:t>
      </w:r>
      <w:r>
        <w:rPr>
          <w:rFonts w:hint="eastAsia" w:ascii="宋体" w:hAnsi="宋体"/>
        </w:rPr>
        <w:t>毫米，占年雨量</w:t>
      </w:r>
      <w:r>
        <w:rPr>
          <w:rFonts w:ascii="宋体" w:hAnsi="宋体"/>
        </w:rPr>
        <w:t>461%。8月至10月为干旱季</w:t>
      </w:r>
      <w:r>
        <w:rPr>
          <w:rFonts w:hint="eastAsia" w:ascii="宋体" w:hAnsi="宋体"/>
        </w:rPr>
        <w:t>节，占年雨量</w:t>
      </w:r>
      <w:r>
        <w:rPr>
          <w:rFonts w:ascii="宋体" w:hAnsi="宋体"/>
        </w:rPr>
        <w:t>20%左右。降雨地理分布，山</w:t>
      </w:r>
      <w:r>
        <w:rPr>
          <w:rFonts w:hint="eastAsia" w:ascii="宋体" w:hAnsi="宋体"/>
        </w:rPr>
        <w:t>区较平原地区多，西北部比东部多。西北部山区年平均降雨量为</w:t>
      </w:r>
      <w:r>
        <w:rPr>
          <w:rFonts w:ascii="宋体" w:hAnsi="宋体"/>
        </w:rPr>
        <w:t>1732毫米，东北部在1400毫米以下，中部地区为1500毫米左右。</w:t>
      </w:r>
    </w:p>
    <w:p w14:paraId="6A6FD6AD">
      <w:pPr>
        <w:ind w:firstLine="420"/>
        <w:rPr>
          <w:rFonts w:ascii="宋体" w:hAnsi="宋体"/>
        </w:rPr>
      </w:pPr>
      <w:r>
        <w:rPr>
          <w:rFonts w:hint="eastAsia" w:ascii="宋体" w:hAnsi="宋体"/>
        </w:rPr>
        <w:t>蒸发量：南雄累年平均蒸发量为</w:t>
      </w:r>
      <w:r>
        <w:rPr>
          <w:rFonts w:ascii="宋体" w:hAnsi="宋体"/>
        </w:rPr>
        <w:t>1678.7</w:t>
      </w:r>
      <w:r>
        <w:rPr>
          <w:rFonts w:hint="eastAsia" w:ascii="宋体" w:hAnsi="宋体"/>
        </w:rPr>
        <w:t>毫米，累年水分支大于收，年平均蒸发量比年平均降雨量多</w:t>
      </w:r>
      <w:r>
        <w:rPr>
          <w:rFonts w:ascii="宋体" w:hAnsi="宋体"/>
        </w:rPr>
        <w:t>123.5毫米。</w:t>
      </w:r>
    </w:p>
    <w:p w14:paraId="202F6ED5">
      <w:pPr>
        <w:ind w:firstLine="420"/>
        <w:rPr>
          <w:rFonts w:ascii="宋体" w:hAnsi="宋体"/>
        </w:rPr>
      </w:pPr>
      <w:r>
        <w:rPr>
          <w:rFonts w:hint="eastAsia" w:ascii="宋体" w:hAnsi="宋体"/>
        </w:rPr>
        <w:t>风：全年累计平均风速为</w:t>
      </w:r>
      <w:r>
        <w:rPr>
          <w:rFonts w:ascii="宋体" w:hAnsi="宋体"/>
        </w:rPr>
        <w:t>1.8米</w:t>
      </w:r>
      <w:r>
        <w:rPr>
          <w:rFonts w:hint="eastAsia" w:ascii="宋体" w:hAnsi="宋体"/>
        </w:rPr>
        <w:t>/</w:t>
      </w:r>
      <w:r>
        <w:rPr>
          <w:rFonts w:ascii="宋体" w:hAnsi="宋体"/>
        </w:rPr>
        <w:t>秒，最</w:t>
      </w:r>
      <w:r>
        <w:rPr>
          <w:rFonts w:hint="eastAsia" w:ascii="宋体" w:hAnsi="宋体"/>
        </w:rPr>
        <w:t>大风速为</w:t>
      </w:r>
      <w:r>
        <w:rPr>
          <w:rFonts w:ascii="宋体" w:hAnsi="宋体"/>
        </w:rPr>
        <w:t>14.7米</w:t>
      </w:r>
      <w:r>
        <w:rPr>
          <w:rFonts w:hint="eastAsia" w:ascii="宋体" w:hAnsi="宋体"/>
        </w:rPr>
        <w:t>/</w:t>
      </w:r>
      <w:r>
        <w:rPr>
          <w:rFonts w:ascii="宋体" w:hAnsi="宋体"/>
        </w:rPr>
        <w:t>秒（相当于7级）。累年最</w:t>
      </w:r>
      <w:r>
        <w:rPr>
          <w:rFonts w:hint="eastAsia" w:ascii="宋体" w:hAnsi="宋体"/>
        </w:rPr>
        <w:t>多风向，除静风外为东北风（</w:t>
      </w:r>
      <w:r>
        <w:rPr>
          <w:rFonts w:ascii="宋体" w:hAnsi="宋体"/>
        </w:rPr>
        <w:t>NE），频率15</w:t>
      </w:r>
      <w:r>
        <w:rPr>
          <w:rFonts w:hint="eastAsia" w:ascii="宋体" w:hAnsi="宋体"/>
        </w:rPr>
        <w:t>，最大风速为</w:t>
      </w:r>
      <w:r>
        <w:rPr>
          <w:rFonts w:ascii="宋体" w:hAnsi="宋体"/>
        </w:rPr>
        <w:t>14米</w:t>
      </w:r>
      <w:r>
        <w:rPr>
          <w:rFonts w:hint="eastAsia" w:ascii="宋体" w:hAnsi="宋体"/>
        </w:rPr>
        <w:t>/</w:t>
      </w:r>
      <w:r>
        <w:rPr>
          <w:rFonts w:ascii="宋体" w:hAnsi="宋体"/>
        </w:rPr>
        <w:t>秒；其次为东北东风</w:t>
      </w:r>
      <w:r>
        <w:rPr>
          <w:rFonts w:hint="eastAsia" w:ascii="宋体" w:hAnsi="宋体"/>
        </w:rPr>
        <w:t>（</w:t>
      </w:r>
      <w:r>
        <w:rPr>
          <w:rFonts w:ascii="宋体" w:hAnsi="宋体"/>
        </w:rPr>
        <w:t>ENE），频率14，最大风速10米</w:t>
      </w:r>
      <w:r>
        <w:rPr>
          <w:rFonts w:hint="eastAsia" w:ascii="宋体" w:hAnsi="宋体"/>
        </w:rPr>
        <w:t>/</w:t>
      </w:r>
      <w:r>
        <w:rPr>
          <w:rFonts w:ascii="宋体" w:hAnsi="宋体"/>
        </w:rPr>
        <w:t>秒。从秋</w:t>
      </w:r>
      <w:r>
        <w:rPr>
          <w:rFonts w:hint="eastAsia" w:ascii="宋体" w:hAnsi="宋体"/>
        </w:rPr>
        <w:t>季开始直至春未夏初，县境大多处于大陆冷性高压系统控制之下，</w:t>
      </w:r>
      <w:r>
        <w:rPr>
          <w:rFonts w:ascii="宋体" w:hAnsi="宋体"/>
        </w:rPr>
        <w:t>9月至次年5月以东北</w:t>
      </w:r>
      <w:r>
        <w:rPr>
          <w:rFonts w:hint="eastAsia" w:ascii="宋体" w:hAnsi="宋体"/>
        </w:rPr>
        <w:t>东北东风为主要风向。</w:t>
      </w:r>
      <w:r>
        <w:rPr>
          <w:rFonts w:ascii="宋体" w:hAnsi="宋体"/>
        </w:rPr>
        <w:t>6月至8月以西南西</w:t>
      </w:r>
      <w:r>
        <w:rPr>
          <w:rFonts w:hint="eastAsia" w:ascii="宋体" w:hAnsi="宋体"/>
        </w:rPr>
        <w:t>（</w:t>
      </w:r>
      <w:r>
        <w:rPr>
          <w:rFonts w:ascii="宋体" w:hAnsi="宋体"/>
        </w:rPr>
        <w:t>WSW）风为主要风向，频率为7，最大风速12米</w:t>
      </w:r>
      <w:r>
        <w:rPr>
          <w:rFonts w:hint="eastAsia" w:ascii="宋体" w:hAnsi="宋体"/>
        </w:rPr>
        <w:t>/</w:t>
      </w:r>
      <w:r>
        <w:rPr>
          <w:rFonts w:ascii="宋体" w:hAnsi="宋体"/>
        </w:rPr>
        <w:t>秒。累年风速大于8级（17.0米</w:t>
      </w:r>
      <w:r>
        <w:rPr>
          <w:rFonts w:hint="eastAsia" w:ascii="宋体" w:hAnsi="宋体"/>
        </w:rPr>
        <w:t>/</w:t>
      </w:r>
      <w:r>
        <w:rPr>
          <w:rFonts w:ascii="宋体" w:hAnsi="宋体"/>
        </w:rPr>
        <w:t>秒）</w:t>
      </w:r>
      <w:r>
        <w:rPr>
          <w:rFonts w:hint="eastAsia" w:ascii="宋体" w:hAnsi="宋体"/>
        </w:rPr>
        <w:t>的日数共有</w:t>
      </w:r>
      <w:r>
        <w:rPr>
          <w:rFonts w:ascii="宋体" w:hAnsi="宋体"/>
        </w:rPr>
        <w:t>129天，平均每年有4.7天，以7</w:t>
      </w:r>
      <w:r>
        <w:rPr>
          <w:rFonts w:hint="eastAsia" w:ascii="宋体" w:hAnsi="宋体"/>
        </w:rPr>
        <w:t>月、</w:t>
      </w:r>
      <w:r>
        <w:rPr>
          <w:rFonts w:ascii="宋体" w:hAnsi="宋体"/>
        </w:rPr>
        <w:t>8月最多，共出现66天，其次是4月、5</w:t>
      </w:r>
      <w:r>
        <w:rPr>
          <w:rFonts w:hint="eastAsia" w:ascii="宋体" w:hAnsi="宋体"/>
        </w:rPr>
        <w:t>月共出现</w:t>
      </w:r>
      <w:r>
        <w:rPr>
          <w:rFonts w:ascii="宋体" w:hAnsi="宋体"/>
        </w:rPr>
        <w:t>29天。</w:t>
      </w:r>
    </w:p>
    <w:p w14:paraId="14CE45B1">
      <w:pPr>
        <w:pStyle w:val="4"/>
      </w:pPr>
      <w:r>
        <w:rPr>
          <w:rFonts w:hint="eastAsia"/>
        </w:rPr>
        <w:t>【地质地貌】</w:t>
      </w:r>
    </w:p>
    <w:p w14:paraId="23678DC6">
      <w:pPr>
        <w:ind w:firstLine="420"/>
        <w:rPr>
          <w:rFonts w:ascii="宋体" w:hAnsi="宋体"/>
        </w:rPr>
      </w:pPr>
      <w:r>
        <w:rPr>
          <w:rFonts w:hint="eastAsia" w:ascii="宋体" w:hAnsi="宋体"/>
        </w:rPr>
        <w:t>市境地质属燕山期花岗岩体及寒武纪震旦纪变质岩体。中部盆地在</w:t>
      </w:r>
      <w:r>
        <w:rPr>
          <w:rFonts w:ascii="宋体" w:hAnsi="宋体"/>
        </w:rPr>
        <w:t>2亿年</w:t>
      </w:r>
      <w:r>
        <w:rPr>
          <w:rFonts w:hint="eastAsia" w:ascii="宋体" w:hAnsi="宋体"/>
        </w:rPr>
        <w:t>前是个大淡水湖，</w:t>
      </w:r>
      <w:r>
        <w:rPr>
          <w:rFonts w:ascii="宋体" w:hAnsi="宋体"/>
        </w:rPr>
        <w:t>7000万年前干涸成陆地，</w:t>
      </w:r>
      <w:r>
        <w:rPr>
          <w:rFonts w:hint="eastAsia" w:ascii="宋体" w:hAnsi="宋体"/>
        </w:rPr>
        <w:t>属中生代白垩纪紫色砂页岩体。在紫色砂页岩上面间或分布有新生代第四纪卵石层和网纹状红土，在盆地周围与低山丘陵之间或分布有老第三纪红色岩系。</w:t>
      </w:r>
    </w:p>
    <w:p w14:paraId="5E12802C">
      <w:pPr>
        <w:ind w:firstLine="420"/>
        <w:rPr>
          <w:rFonts w:ascii="宋体" w:hAnsi="宋体"/>
        </w:rPr>
      </w:pPr>
      <w:r>
        <w:rPr>
          <w:rFonts w:hint="eastAsia" w:ascii="宋体" w:hAnsi="宋体"/>
        </w:rPr>
        <w:t>南雄地处大庾岭南麓，北宽南狭，南北两面群山连绵，中部盆地丘陵起伏。古来对南北山区称之为“南山”、“北山”。南山自西南向东北延伸，以青嶂山为主峰，海拔</w:t>
      </w:r>
      <w:r>
        <w:rPr>
          <w:rFonts w:ascii="宋体" w:hAnsi="宋体"/>
        </w:rPr>
        <w:t>917</w:t>
      </w:r>
      <w:r>
        <w:rPr>
          <w:rFonts w:hint="eastAsia" w:ascii="宋体" w:hAnsi="宋体"/>
        </w:rPr>
        <w:t>米，西南行有高峰（海拔</w:t>
      </w:r>
      <w:r>
        <w:rPr>
          <w:rFonts w:ascii="宋体" w:hAnsi="宋体"/>
        </w:rPr>
        <w:t>840米）、寨顶埂、</w:t>
      </w:r>
      <w:r>
        <w:rPr>
          <w:rFonts w:hint="eastAsia" w:ascii="宋体" w:hAnsi="宋体"/>
        </w:rPr>
        <w:t>山角寨（海拔</w:t>
      </w:r>
      <w:r>
        <w:rPr>
          <w:rFonts w:ascii="宋体" w:hAnsi="宋体"/>
        </w:rPr>
        <w:t>858米）等山岭；东北走有目</w:t>
      </w:r>
      <w:r>
        <w:rPr>
          <w:rFonts w:hint="eastAsia" w:ascii="宋体" w:hAnsi="宋体"/>
        </w:rPr>
        <w:t>龙埂、鸦子寨（海拔</w:t>
      </w:r>
      <w:r>
        <w:rPr>
          <w:rFonts w:ascii="宋体" w:hAnsi="宋体"/>
        </w:rPr>
        <w:t>872米）、龙王脑（海拔616米）、猪头寨（海拔592米）、洪泰山</w:t>
      </w:r>
      <w:r>
        <w:rPr>
          <w:rFonts w:hint="eastAsia" w:ascii="宋体" w:hAnsi="宋体"/>
        </w:rPr>
        <w:t>（海拔</w:t>
      </w:r>
      <w:r>
        <w:rPr>
          <w:rFonts w:ascii="宋体" w:hAnsi="宋体"/>
        </w:rPr>
        <w:t>716米）等山岭，南行有王石寨（海拔761米）等山岭。北山由西南向东北伸展，以</w:t>
      </w:r>
      <w:r>
        <w:rPr>
          <w:rFonts w:hint="eastAsia" w:ascii="宋体" w:hAnsi="宋体"/>
        </w:rPr>
        <w:t>观音</w:t>
      </w:r>
      <w:r>
        <w:rPr>
          <w:rFonts w:ascii="宋体" w:hAnsi="宋体"/>
        </w:rPr>
        <w:drawing>
          <wp:inline distT="0" distB="0" distL="114300" distR="114300">
            <wp:extent cx="200025" cy="219075"/>
            <wp:effectExtent l="0" t="0" r="9525" b="952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27" cstate="print"/>
                    <a:stretch>
                      <a:fillRect/>
                    </a:stretch>
                  </pic:blipFill>
                  <pic:spPr>
                    <a:xfrm>
                      <a:off x="0" y="0"/>
                      <a:ext cx="202474" cy="222069"/>
                    </a:xfrm>
                    <a:prstGeom prst="rect">
                      <a:avLst/>
                    </a:prstGeom>
                    <a:noFill/>
                    <a:ln>
                      <a:noFill/>
                    </a:ln>
                  </pic:spPr>
                </pic:pic>
              </a:graphicData>
            </a:graphic>
          </wp:inline>
        </w:drawing>
      </w:r>
      <w:r>
        <w:rPr>
          <w:rFonts w:hint="eastAsia" w:ascii="宋体" w:hAnsi="宋体"/>
        </w:rPr>
        <w:t>、帽子峰、油山为主峰。观音</w:t>
      </w:r>
      <w:r>
        <w:rPr>
          <w:rFonts w:ascii="宋体" w:hAnsi="宋体"/>
        </w:rPr>
        <w:drawing>
          <wp:inline distT="0" distB="0" distL="114300" distR="114300">
            <wp:extent cx="200025" cy="219075"/>
            <wp:effectExtent l="0" t="0" r="9525" b="952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27" cstate="print"/>
                    <a:stretch>
                      <a:fillRect/>
                    </a:stretch>
                  </pic:blipFill>
                  <pic:spPr>
                    <a:xfrm>
                      <a:off x="0" y="0"/>
                      <a:ext cx="202474" cy="222069"/>
                    </a:xfrm>
                    <a:prstGeom prst="rect">
                      <a:avLst/>
                    </a:prstGeom>
                    <a:noFill/>
                    <a:ln>
                      <a:noFill/>
                    </a:ln>
                  </pic:spPr>
                </pic:pic>
              </a:graphicData>
            </a:graphic>
          </wp:inline>
        </w:drawing>
      </w:r>
      <w:r>
        <w:rPr>
          <w:rFonts w:hint="eastAsia" w:ascii="宋体" w:hAnsi="宋体"/>
        </w:rPr>
        <w:t>东海拔</w:t>
      </w:r>
      <w:r>
        <w:rPr>
          <w:rFonts w:ascii="宋体" w:hAnsi="宋体"/>
        </w:rPr>
        <w:t>1429米，为全市最高峰，东有老殿顶（海拔1395米）、龙华山（海拔1224米），北有白</w:t>
      </w:r>
      <w:r>
        <w:rPr>
          <w:rFonts w:hint="eastAsia" w:ascii="宋体" w:hAnsi="宋体"/>
        </w:rPr>
        <w:t>沙髻（海拔</w:t>
      </w:r>
      <w:r>
        <w:rPr>
          <w:rFonts w:ascii="宋体" w:hAnsi="宋体"/>
        </w:rPr>
        <w:t>1342米）、盘墙虎（海拔1262</w:t>
      </w:r>
      <w:r>
        <w:rPr>
          <w:rFonts w:hint="eastAsia" w:ascii="宋体" w:hAnsi="宋体"/>
        </w:rPr>
        <w:t>米），西有粑子岭（海拔</w:t>
      </w:r>
      <w:r>
        <w:rPr>
          <w:rFonts w:ascii="宋体" w:hAnsi="宋体"/>
        </w:rPr>
        <w:t>1190米）、花髻脑</w:t>
      </w:r>
      <w:r>
        <w:rPr>
          <w:rFonts w:hint="eastAsia" w:ascii="宋体" w:hAnsi="宋体"/>
        </w:rPr>
        <w:t>（海拔</w:t>
      </w:r>
      <w:r>
        <w:rPr>
          <w:rFonts w:ascii="宋体" w:hAnsi="宋体"/>
        </w:rPr>
        <w:t>971米）等山岭。帽子峰海拔1058米，</w:t>
      </w:r>
      <w:r>
        <w:rPr>
          <w:rFonts w:hint="eastAsia" w:ascii="宋体" w:hAnsi="宋体"/>
        </w:rPr>
        <w:t>东南行有中岭（海拔</w:t>
      </w:r>
      <w:r>
        <w:rPr>
          <w:rFonts w:ascii="宋体" w:hAnsi="宋体"/>
        </w:rPr>
        <w:t>902米）、巾子岭（海拔824米）、亚机（海拔875米）等山岭，西行</w:t>
      </w:r>
      <w:r>
        <w:rPr>
          <w:rFonts w:hint="eastAsia" w:ascii="宋体" w:hAnsi="宋体"/>
        </w:rPr>
        <w:t>有五峰山（海拔</w:t>
      </w:r>
      <w:r>
        <w:rPr>
          <w:rFonts w:ascii="宋体" w:hAnsi="宋体"/>
        </w:rPr>
        <w:t>1224米）、俚木山（海拔1045米）、南山（海拔1303米）、云前脑</w:t>
      </w:r>
      <w:r>
        <w:rPr>
          <w:rFonts w:hint="eastAsia" w:ascii="宋体" w:hAnsi="宋体"/>
        </w:rPr>
        <w:t>（海拔</w:t>
      </w:r>
      <w:r>
        <w:rPr>
          <w:rFonts w:ascii="宋体" w:hAnsi="宋体"/>
        </w:rPr>
        <w:t>1131米）、月岭寨（海拔1010米）等</w:t>
      </w:r>
      <w:r>
        <w:rPr>
          <w:rFonts w:hint="eastAsia" w:ascii="宋体" w:hAnsi="宋体"/>
        </w:rPr>
        <w:t>山岭。油山海拔</w:t>
      </w:r>
      <w:r>
        <w:rPr>
          <w:rFonts w:ascii="宋体" w:hAnsi="宋体"/>
        </w:rPr>
        <w:t>1073米，东行有穆公寨（海</w:t>
      </w:r>
      <w:r>
        <w:rPr>
          <w:rFonts w:hint="eastAsia" w:ascii="宋体" w:hAnsi="宋体"/>
        </w:rPr>
        <w:t>拔</w:t>
      </w:r>
      <w:r>
        <w:rPr>
          <w:rFonts w:ascii="宋体" w:hAnsi="宋体"/>
        </w:rPr>
        <w:t>789米），南行有西厢寨（海拔965米）、</w:t>
      </w:r>
      <w:r>
        <w:rPr>
          <w:rFonts w:hint="eastAsia" w:ascii="宋体" w:hAnsi="宋体"/>
        </w:rPr>
        <w:t>琵琶寨（海拔</w:t>
      </w:r>
      <w:r>
        <w:rPr>
          <w:rFonts w:ascii="宋体" w:hAnsi="宋体"/>
        </w:rPr>
        <w:t>938米），西行有梅岭、仙人岭</w:t>
      </w:r>
      <w:r>
        <w:rPr>
          <w:rFonts w:hint="eastAsia" w:ascii="宋体" w:hAnsi="宋体"/>
        </w:rPr>
        <w:t>（海拔</w:t>
      </w:r>
      <w:r>
        <w:rPr>
          <w:rFonts w:ascii="宋体" w:hAnsi="宋体"/>
        </w:rPr>
        <w:t>756米）等山岭</w:t>
      </w:r>
      <w:r>
        <w:rPr>
          <w:rFonts w:hint="eastAsia" w:ascii="宋体" w:hAnsi="宋体"/>
        </w:rPr>
        <w:t>。</w:t>
      </w:r>
    </w:p>
    <w:p w14:paraId="56C4564A">
      <w:pPr>
        <w:ind w:firstLine="420"/>
        <w:rPr>
          <w:rFonts w:ascii="宋体" w:hAnsi="宋体"/>
        </w:rPr>
      </w:pPr>
      <w:r>
        <w:rPr>
          <w:rFonts w:hint="eastAsia" w:ascii="宋体" w:hAnsi="宋体"/>
        </w:rPr>
        <w:t>南雄市地貌独特，按地势可分三个层次，高层形似驼峰，海拔多在</w:t>
      </w:r>
      <w:r>
        <w:rPr>
          <w:rFonts w:ascii="宋体" w:hAnsi="宋体"/>
        </w:rPr>
        <w:t>1000米以上，约占</w:t>
      </w:r>
      <w:r>
        <w:rPr>
          <w:rFonts w:hint="eastAsia" w:ascii="宋体" w:hAnsi="宋体"/>
        </w:rPr>
        <w:t>山地总面积的</w:t>
      </w:r>
      <w:r>
        <w:rPr>
          <w:rFonts w:ascii="宋体" w:hAnsi="宋体"/>
        </w:rPr>
        <w:t>6%；中层山峰连绵，海拔600</w:t>
      </w:r>
      <w:r>
        <w:rPr>
          <w:rFonts w:hint="eastAsia" w:ascii="宋体" w:hAnsi="宋体"/>
        </w:rPr>
        <w:t>米左右，约占山地总面积的</w:t>
      </w:r>
      <w:r>
        <w:rPr>
          <w:rFonts w:ascii="宋体" w:hAnsi="宋体"/>
        </w:rPr>
        <w:t>24%；底层（山</w:t>
      </w:r>
      <w:r>
        <w:rPr>
          <w:rFonts w:hint="eastAsia" w:ascii="宋体" w:hAnsi="宋体"/>
        </w:rPr>
        <w:t>座）海拔</w:t>
      </w:r>
      <w:r>
        <w:rPr>
          <w:rFonts w:ascii="宋体" w:hAnsi="宋体"/>
        </w:rPr>
        <w:t>200米</w:t>
      </w:r>
      <w:r>
        <w:rPr>
          <w:rFonts w:hint="eastAsia" w:ascii="宋体" w:hAnsi="宋体"/>
        </w:rPr>
        <w:t>~</w:t>
      </w:r>
      <w:r>
        <w:rPr>
          <w:rFonts w:ascii="宋体" w:hAnsi="宋体"/>
        </w:rPr>
        <w:t>60</w:t>
      </w:r>
      <w:r>
        <w:rPr>
          <w:rFonts w:hint="eastAsia" w:ascii="宋体" w:hAnsi="宋体"/>
        </w:rPr>
        <w:t>0</w:t>
      </w:r>
      <w:r>
        <w:rPr>
          <w:rFonts w:ascii="宋体" w:hAnsi="宋体"/>
        </w:rPr>
        <w:t>米，约占山地总面积的30%；基座庞大，约占山地总面积的40%。</w:t>
      </w:r>
      <w:r>
        <w:rPr>
          <w:rFonts w:hint="eastAsia" w:ascii="宋体" w:hAnsi="宋体"/>
        </w:rPr>
        <w:t>南北山地均以</w:t>
      </w:r>
      <w:r>
        <w:rPr>
          <w:rFonts w:ascii="宋体" w:hAnsi="宋体"/>
        </w:rPr>
        <w:t>40</w:t>
      </w:r>
      <w:r>
        <w:rPr>
          <w:rFonts w:hint="eastAsia" w:ascii="宋体" w:hAnsi="宋体"/>
        </w:rPr>
        <w:t>°</w:t>
      </w:r>
      <w:r>
        <w:rPr>
          <w:rFonts w:ascii="宋体" w:hAnsi="宋体"/>
        </w:rPr>
        <w:t>以上倾角向盆地倾斜。东西</w:t>
      </w:r>
      <w:r>
        <w:rPr>
          <w:rFonts w:hint="eastAsia" w:ascii="宋体" w:hAnsi="宋体"/>
        </w:rPr>
        <w:t>向则倾斜平缓，倾角一般</w:t>
      </w:r>
      <w:r>
        <w:rPr>
          <w:rFonts w:ascii="宋体" w:hAnsi="宋体"/>
        </w:rPr>
        <w:t>10°</w:t>
      </w:r>
      <w:r>
        <w:rPr>
          <w:rFonts w:hint="eastAsia" w:ascii="宋体" w:hAnsi="宋体"/>
        </w:rPr>
        <w:t>~</w:t>
      </w:r>
      <w:r>
        <w:rPr>
          <w:rFonts w:ascii="宋体" w:hAnsi="宋体"/>
        </w:rPr>
        <w:t>20°</w:t>
      </w:r>
      <w:r>
        <w:rPr>
          <w:rFonts w:hint="eastAsia" w:ascii="宋体" w:hAnsi="宋体"/>
        </w:rPr>
        <w:t>。</w:t>
      </w:r>
      <w:r>
        <w:rPr>
          <w:rFonts w:ascii="宋体" w:hAnsi="宋体"/>
        </w:rPr>
        <w:t>中部丘</w:t>
      </w:r>
      <w:r>
        <w:rPr>
          <w:rFonts w:hint="eastAsia" w:ascii="宋体" w:hAnsi="宋体"/>
        </w:rPr>
        <w:t>陵自东北向西南沿浈江两岸伸展，浈江斜贯其中，形成一狭长大盆地，地质学称之为“南雄盆地”。</w:t>
      </w:r>
    </w:p>
    <w:p w14:paraId="68122FE1">
      <w:pPr>
        <w:pStyle w:val="4"/>
      </w:pPr>
      <w:r>
        <w:rPr>
          <w:rFonts w:hint="eastAsia"/>
        </w:rPr>
        <w:t>【土壤】</w:t>
      </w:r>
    </w:p>
    <w:p w14:paraId="5BEC9DC3">
      <w:pPr>
        <w:ind w:firstLine="420"/>
        <w:rPr>
          <w:rFonts w:ascii="宋体" w:hAnsi="宋体"/>
        </w:rPr>
      </w:pPr>
      <w:r>
        <w:rPr>
          <w:rFonts w:hint="eastAsia" w:ascii="宋体" w:hAnsi="宋体"/>
        </w:rPr>
        <w:t>南雄县农业区划委员会土壤普查办公室</w:t>
      </w:r>
      <w:r>
        <w:rPr>
          <w:rFonts w:ascii="宋体" w:hAnsi="宋体"/>
        </w:rPr>
        <w:t>1985年印制的《南雄土壤》资料记载，</w:t>
      </w:r>
      <w:r>
        <w:rPr>
          <w:rFonts w:hint="eastAsia" w:ascii="宋体" w:hAnsi="宋体"/>
        </w:rPr>
        <w:t>全县土地总面积</w:t>
      </w:r>
      <w:r>
        <w:rPr>
          <w:rFonts w:ascii="宋体" w:hAnsi="宋体"/>
        </w:rPr>
        <w:t>231553.33公顷，其中成土母</w:t>
      </w:r>
      <w:r>
        <w:rPr>
          <w:rFonts w:hint="eastAsia" w:ascii="宋体" w:hAnsi="宋体"/>
        </w:rPr>
        <w:t>质为花岗岩的</w:t>
      </w:r>
      <w:r>
        <w:rPr>
          <w:rFonts w:ascii="宋体" w:hAnsi="宋体"/>
        </w:rPr>
        <w:t>110666.67公顷，占47.8%</w:t>
      </w:r>
      <w:r>
        <w:rPr>
          <w:rFonts w:hint="eastAsia" w:ascii="宋体" w:hAnsi="宋体"/>
        </w:rPr>
        <w:t>；紫色砂页岩</w:t>
      </w:r>
      <w:r>
        <w:rPr>
          <w:rFonts w:ascii="宋体" w:hAnsi="宋体"/>
        </w:rPr>
        <w:t>55433</w:t>
      </w:r>
      <w:r>
        <w:rPr>
          <w:rFonts w:hint="eastAsia" w:ascii="宋体" w:hAnsi="宋体"/>
        </w:rPr>
        <w:t>.3</w:t>
      </w:r>
      <w:r>
        <w:rPr>
          <w:rFonts w:ascii="宋体" w:hAnsi="宋体"/>
        </w:rPr>
        <w:t>3公顷，占23.9%；砂页</w:t>
      </w:r>
      <w:r>
        <w:rPr>
          <w:rFonts w:hint="eastAsia" w:ascii="宋体" w:hAnsi="宋体"/>
        </w:rPr>
        <w:t>岩</w:t>
      </w:r>
      <w:r>
        <w:rPr>
          <w:rFonts w:ascii="宋体" w:hAnsi="宋体"/>
        </w:rPr>
        <w:t>27633.33公顷，占11</w:t>
      </w:r>
      <w:r>
        <w:rPr>
          <w:rFonts w:hint="eastAsia" w:ascii="宋体" w:hAnsi="宋体"/>
        </w:rPr>
        <w:t>.</w:t>
      </w:r>
      <w:r>
        <w:rPr>
          <w:rFonts w:ascii="宋体" w:hAnsi="宋体"/>
        </w:rPr>
        <w:t>9%；红色砂砾岩1593</w:t>
      </w:r>
      <w:r>
        <w:rPr>
          <w:rFonts w:hint="eastAsia" w:ascii="宋体" w:hAnsi="宋体"/>
        </w:rPr>
        <w:t>3</w:t>
      </w:r>
      <w:r>
        <w:rPr>
          <w:rFonts w:ascii="宋体" w:hAnsi="宋体"/>
        </w:rPr>
        <w:t>.33公顷，占6.88%；石灰岩1566.67</w:t>
      </w:r>
      <w:r>
        <w:rPr>
          <w:rFonts w:hint="eastAsia" w:ascii="宋体" w:hAnsi="宋体"/>
        </w:rPr>
        <w:t>公顷，占</w:t>
      </w:r>
      <w:r>
        <w:rPr>
          <w:rFonts w:ascii="宋体" w:hAnsi="宋体"/>
        </w:rPr>
        <w:t>0.75%；第四纪红土17380公顷，</w:t>
      </w:r>
      <w:r>
        <w:rPr>
          <w:rFonts w:hint="eastAsia" w:ascii="宋体" w:hAnsi="宋体"/>
        </w:rPr>
        <w:t>占</w:t>
      </w:r>
      <w:r>
        <w:rPr>
          <w:rFonts w:ascii="宋体" w:hAnsi="宋体"/>
        </w:rPr>
        <w:t>7.5%；片岩板岩2940公顷，占1.27%。</w:t>
      </w:r>
    </w:p>
    <w:p w14:paraId="6ED9DE5B">
      <w:pPr>
        <w:ind w:firstLine="420"/>
        <w:rPr>
          <w:rFonts w:ascii="宋体" w:hAnsi="宋体"/>
        </w:rPr>
      </w:pPr>
      <w:r>
        <w:rPr>
          <w:rFonts w:hint="eastAsia" w:ascii="宋体" w:hAnsi="宋体"/>
        </w:rPr>
        <w:t>（一）自然土全市自然土壤有黄壤、红壤、红色石灰土、紫色土</w:t>
      </w:r>
      <w:r>
        <w:rPr>
          <w:rFonts w:ascii="宋体" w:hAnsi="宋体"/>
        </w:rPr>
        <w:t>4个土类，面积为181446.67公顷，占土地总面积77</w:t>
      </w:r>
      <w:r>
        <w:rPr>
          <w:rFonts w:hint="eastAsia" w:ascii="宋体" w:hAnsi="宋体"/>
        </w:rPr>
        <w:t>.</w:t>
      </w:r>
      <w:r>
        <w:rPr>
          <w:rFonts w:ascii="宋体" w:hAnsi="宋体"/>
        </w:rPr>
        <w:t>67%。</w:t>
      </w:r>
      <w:r>
        <w:rPr>
          <w:rFonts w:hint="eastAsia" w:ascii="宋体" w:hAnsi="宋体"/>
        </w:rPr>
        <w:t>黄壤土类：面积</w:t>
      </w:r>
      <w:r>
        <w:rPr>
          <w:rFonts w:ascii="宋体" w:hAnsi="宋体"/>
        </w:rPr>
        <w:t>27240公顷，占自然土</w:t>
      </w:r>
      <w:r>
        <w:rPr>
          <w:rFonts w:hint="eastAsia" w:ascii="宋体" w:hAnsi="宋体"/>
        </w:rPr>
        <w:t>壤的</w:t>
      </w:r>
      <w:r>
        <w:rPr>
          <w:rFonts w:ascii="宋体" w:hAnsi="宋体"/>
        </w:rPr>
        <w:t>15.14%，分布在海拔700米以上中山中</w:t>
      </w:r>
      <w:r>
        <w:rPr>
          <w:rFonts w:hint="eastAsia" w:ascii="宋体" w:hAnsi="宋体"/>
        </w:rPr>
        <w:t>上部。由于山地黄壤地势高，雨多雾大，温度较低，湿度较大，故酸性强，</w:t>
      </w:r>
      <w:r>
        <w:rPr>
          <w:rFonts w:ascii="宋体" w:hAnsi="宋体"/>
        </w:rPr>
        <w:t>pH值一般在4.0</w:t>
      </w:r>
      <w:r>
        <w:rPr>
          <w:rFonts w:hint="eastAsia" w:ascii="宋体" w:hAnsi="宋体"/>
        </w:rPr>
        <w:t>~</w:t>
      </w:r>
      <w:r>
        <w:rPr>
          <w:rFonts w:ascii="宋体" w:hAnsi="宋体"/>
        </w:rPr>
        <w:t>5.5</w:t>
      </w:r>
      <w:r>
        <w:rPr>
          <w:rFonts w:hint="eastAsia" w:ascii="宋体" w:hAnsi="宋体"/>
        </w:rPr>
        <w:t>。</w:t>
      </w:r>
    </w:p>
    <w:p w14:paraId="768446AC">
      <w:pPr>
        <w:ind w:firstLine="420"/>
        <w:rPr>
          <w:rFonts w:ascii="宋体" w:hAnsi="宋体"/>
        </w:rPr>
      </w:pPr>
      <w:r>
        <w:rPr>
          <w:rFonts w:hint="eastAsia" w:ascii="宋体" w:hAnsi="宋体"/>
        </w:rPr>
        <w:t>红壤土类：面积</w:t>
      </w:r>
      <w:r>
        <w:rPr>
          <w:rFonts w:ascii="宋体" w:hAnsi="宋体"/>
        </w:rPr>
        <w:t>136426.67公顷，占自然</w:t>
      </w:r>
      <w:r>
        <w:rPr>
          <w:rFonts w:hint="eastAsia" w:ascii="宋体" w:hAnsi="宋体"/>
        </w:rPr>
        <w:t>土壤的</w:t>
      </w:r>
      <w:r>
        <w:rPr>
          <w:rFonts w:ascii="宋体" w:hAnsi="宋体"/>
        </w:rPr>
        <w:t>75.84%，分布于南部和北部山地，海</w:t>
      </w:r>
      <w:r>
        <w:rPr>
          <w:rFonts w:hint="eastAsia" w:ascii="宋体" w:hAnsi="宋体"/>
        </w:rPr>
        <w:t>拔多在</w:t>
      </w:r>
      <w:r>
        <w:rPr>
          <w:rFonts w:ascii="宋体" w:hAnsi="宋体"/>
        </w:rPr>
        <w:t>700米以下至250米以上的低山、中高</w:t>
      </w:r>
      <w:r>
        <w:rPr>
          <w:rFonts w:hint="eastAsia" w:ascii="宋体" w:hAnsi="宋体"/>
        </w:rPr>
        <w:t>丘陵以及中低山麓地段。这类土壤有机质积累的多寡、土层厚薄变化甚大。整个土体呈红色，表土呈暗棕色，多含铁钴成分，酸性层在一般情况下，由花岗岩发育的红壤土层较深厚，钾素含量较丰富，砂页岩发育的土壤，则相对较少。植被覆盖良好的红壤，则有机质层较厚，养分含量较多。本土类只有</w:t>
      </w:r>
      <w:r>
        <w:rPr>
          <w:rFonts w:ascii="宋体" w:hAnsi="宋体"/>
        </w:rPr>
        <w:t>1</w:t>
      </w:r>
      <w:r>
        <w:rPr>
          <w:rFonts w:hint="eastAsia" w:ascii="宋体" w:hAnsi="宋体"/>
        </w:rPr>
        <w:t>个亚类，</w:t>
      </w:r>
      <w:r>
        <w:rPr>
          <w:rFonts w:ascii="宋体" w:hAnsi="宋体"/>
        </w:rPr>
        <w:t>8个土属，32个土种，以花岗岩红</w:t>
      </w:r>
      <w:r>
        <w:rPr>
          <w:rFonts w:hint="eastAsia" w:ascii="宋体" w:hAnsi="宋体"/>
        </w:rPr>
        <w:t>壤土属和砂页岩红壤土属居多，分别占自然土壤的</w:t>
      </w:r>
      <w:r>
        <w:rPr>
          <w:rFonts w:ascii="宋体" w:hAnsi="宋体"/>
        </w:rPr>
        <w:t>43.33%和14.76%</w:t>
      </w:r>
      <w:r>
        <w:rPr>
          <w:rFonts w:hint="eastAsia" w:ascii="宋体" w:hAnsi="宋体"/>
        </w:rPr>
        <w:t>。</w:t>
      </w:r>
    </w:p>
    <w:p w14:paraId="479E3684">
      <w:pPr>
        <w:ind w:firstLine="420"/>
        <w:rPr>
          <w:rFonts w:ascii="宋体" w:hAnsi="宋体"/>
        </w:rPr>
      </w:pPr>
      <w:r>
        <w:rPr>
          <w:rFonts w:hint="eastAsia" w:ascii="宋体" w:hAnsi="宋体"/>
        </w:rPr>
        <w:t>红色石灰土类：面积</w:t>
      </w:r>
      <w:r>
        <w:rPr>
          <w:rFonts w:ascii="宋体" w:hAnsi="宋体"/>
        </w:rPr>
        <w:t>1566.67公顷，占自</w:t>
      </w:r>
      <w:r>
        <w:rPr>
          <w:rFonts w:hint="eastAsia" w:ascii="宋体" w:hAnsi="宋体"/>
        </w:rPr>
        <w:t>然土壤的</w:t>
      </w:r>
      <w:r>
        <w:rPr>
          <w:rFonts w:ascii="宋体" w:hAnsi="宋体"/>
        </w:rPr>
        <w:t>0.87%，仅分布在梅岭雄余公路两</w:t>
      </w:r>
      <w:r>
        <w:rPr>
          <w:rFonts w:hint="eastAsia" w:ascii="宋体" w:hAnsi="宋体"/>
        </w:rPr>
        <w:t>侧的石灰岩低山上。土壤由石灰岩风化发育而成，有机质层深厚达</w:t>
      </w:r>
      <w:r>
        <w:rPr>
          <w:rFonts w:ascii="宋体" w:hAnsi="宋体"/>
        </w:rPr>
        <w:t>23厘米，土体颜色浅</w:t>
      </w:r>
      <w:r>
        <w:rPr>
          <w:rFonts w:hint="eastAsia" w:ascii="宋体" w:hAnsi="宋体"/>
        </w:rPr>
        <w:t>黄，</w:t>
      </w:r>
      <w:r>
        <w:rPr>
          <w:rFonts w:ascii="宋体" w:hAnsi="宋体"/>
        </w:rPr>
        <w:t>pH值5</w:t>
      </w:r>
      <w:r>
        <w:rPr>
          <w:rFonts w:hint="eastAsia" w:ascii="宋体" w:hAnsi="宋体"/>
        </w:rPr>
        <w:t>~</w:t>
      </w:r>
      <w:r>
        <w:rPr>
          <w:rFonts w:ascii="宋体" w:hAnsi="宋体"/>
        </w:rPr>
        <w:t>5.5，植被多为阔叶灌乔木混交</w:t>
      </w:r>
      <w:r>
        <w:rPr>
          <w:rFonts w:hint="eastAsia" w:ascii="宋体" w:hAnsi="宋体"/>
        </w:rPr>
        <w:t>林和风栗果树。本土类就此</w:t>
      </w:r>
      <w:r>
        <w:rPr>
          <w:rFonts w:ascii="宋体" w:hAnsi="宋体"/>
        </w:rPr>
        <w:t>1个亚类，1个</w:t>
      </w:r>
      <w:r>
        <w:rPr>
          <w:rFonts w:hint="eastAsia" w:ascii="宋体" w:hAnsi="宋体"/>
        </w:rPr>
        <w:t>土种。</w:t>
      </w:r>
    </w:p>
    <w:p w14:paraId="39812663">
      <w:pPr>
        <w:ind w:firstLine="420"/>
        <w:rPr>
          <w:rFonts w:ascii="宋体" w:hAnsi="宋体"/>
        </w:rPr>
      </w:pPr>
      <w:r>
        <w:rPr>
          <w:rFonts w:hint="eastAsia" w:ascii="宋体" w:hAnsi="宋体"/>
        </w:rPr>
        <w:t>紫色土土类：面积</w:t>
      </w:r>
      <w:r>
        <w:rPr>
          <w:rFonts w:ascii="宋体" w:hAnsi="宋体"/>
        </w:rPr>
        <w:t>16213.33公顷，占自</w:t>
      </w:r>
      <w:r>
        <w:rPr>
          <w:rFonts w:hint="eastAsia" w:ascii="宋体" w:hAnsi="宋体"/>
        </w:rPr>
        <w:t>然土壤的</w:t>
      </w:r>
      <w:r>
        <w:rPr>
          <w:rFonts w:ascii="宋体" w:hAnsi="宋体"/>
        </w:rPr>
        <w:t>9.01%，分布在南雄中部紫色砂页</w:t>
      </w:r>
      <w:r>
        <w:rPr>
          <w:rFonts w:hint="eastAsia" w:ascii="宋体" w:hAnsi="宋体"/>
        </w:rPr>
        <w:t>盆地的坪田、南亩、乌迳、黄坑、油山、界址、水口、江头、湖口、珠玑、主田、古市等镇及雄州城区的低丘上。有机质层浅薄，一般在</w:t>
      </w:r>
      <w:r>
        <w:rPr>
          <w:rFonts w:ascii="宋体" w:hAnsi="宋体"/>
        </w:rPr>
        <w:t>10厘米以下，土层厚度多在40厘米以</w:t>
      </w:r>
      <w:r>
        <w:rPr>
          <w:rFonts w:hint="eastAsia" w:ascii="宋体" w:hAnsi="宋体"/>
        </w:rPr>
        <w:t>下，土壤呈碱性反应，</w:t>
      </w:r>
      <w:r>
        <w:rPr>
          <w:rFonts w:ascii="宋体" w:hAnsi="宋体"/>
        </w:rPr>
        <w:t>pH值一般在7.5</w:t>
      </w:r>
      <w:r>
        <w:rPr>
          <w:rFonts w:hint="eastAsia" w:ascii="宋体" w:hAnsi="宋体"/>
        </w:rPr>
        <w:t>~</w:t>
      </w:r>
      <w:r>
        <w:rPr>
          <w:rFonts w:ascii="宋体" w:hAnsi="宋体"/>
        </w:rPr>
        <w:t>9。</w:t>
      </w:r>
      <w:r>
        <w:rPr>
          <w:rFonts w:hint="eastAsia" w:ascii="宋体" w:hAnsi="宋体"/>
        </w:rPr>
        <w:t>土壤养分含全钾甚为丰富，其余养分较低。本土类只有一个亚类，</w:t>
      </w:r>
      <w:r>
        <w:rPr>
          <w:rFonts w:ascii="宋体" w:hAnsi="宋体"/>
        </w:rPr>
        <w:t>1个土属，1个土种。</w:t>
      </w:r>
      <w:r>
        <w:rPr>
          <w:rFonts w:hint="eastAsia" w:ascii="宋体" w:hAnsi="宋体"/>
        </w:rPr>
        <w:t>详见《南雄县志·土壤》。</w:t>
      </w:r>
    </w:p>
    <w:p w14:paraId="6185F869">
      <w:pPr>
        <w:ind w:firstLine="420"/>
        <w:rPr>
          <w:rFonts w:ascii="宋体" w:hAnsi="宋体"/>
        </w:rPr>
      </w:pPr>
      <w:r>
        <w:rPr>
          <w:rFonts w:hint="eastAsia" w:ascii="宋体" w:hAnsi="宋体"/>
        </w:rPr>
        <w:t>（二）水稻土全市水稻土有</w:t>
      </w:r>
      <w:r>
        <w:rPr>
          <w:rFonts w:ascii="宋体" w:hAnsi="宋体"/>
        </w:rPr>
        <w:t>22420公顷，</w:t>
      </w:r>
      <w:r>
        <w:rPr>
          <w:rFonts w:hint="eastAsia" w:ascii="宋体" w:hAnsi="宋体"/>
        </w:rPr>
        <w:t>占全市土地总面积</w:t>
      </w:r>
      <w:r>
        <w:rPr>
          <w:rFonts w:ascii="宋体" w:hAnsi="宋体"/>
        </w:rPr>
        <w:t>9.68%，占耕地总面积74.98%。其中10060公顷分布在南雄盆地的12个镇，其余分布在周围山区。水田土壤有</w:t>
      </w:r>
      <w:r>
        <w:rPr>
          <w:rFonts w:hint="eastAsia" w:ascii="宋体" w:hAnsi="宋体"/>
        </w:rPr>
        <w:t>淹育型、潴育型、潜育型、渗育型、沼育型、矿毒型</w:t>
      </w:r>
      <w:r>
        <w:rPr>
          <w:rFonts w:ascii="宋体" w:hAnsi="宋体"/>
        </w:rPr>
        <w:t>6个亚类，22个土属，45个土种。</w:t>
      </w:r>
    </w:p>
    <w:p w14:paraId="61248A70">
      <w:pPr>
        <w:ind w:firstLine="420"/>
        <w:rPr>
          <w:rFonts w:ascii="宋体" w:hAnsi="宋体"/>
        </w:rPr>
      </w:pPr>
      <w:r>
        <w:rPr>
          <w:rFonts w:hint="eastAsia" w:ascii="宋体" w:hAnsi="宋体"/>
        </w:rPr>
        <w:t>水稻土土质：壤土</w:t>
      </w:r>
      <w:r>
        <w:rPr>
          <w:rFonts w:ascii="宋体" w:hAnsi="宋体"/>
        </w:rPr>
        <w:t>14807.53公顷，占水</w:t>
      </w:r>
      <w:r>
        <w:rPr>
          <w:rFonts w:hint="eastAsia" w:ascii="宋体" w:hAnsi="宋体"/>
        </w:rPr>
        <w:t>田面积</w:t>
      </w:r>
      <w:r>
        <w:rPr>
          <w:rFonts w:ascii="宋体" w:hAnsi="宋体"/>
        </w:rPr>
        <w:t>66%；偏砂的4407.07公顷，占水田</w:t>
      </w:r>
      <w:r>
        <w:rPr>
          <w:rFonts w:hint="eastAsia" w:ascii="宋体" w:hAnsi="宋体"/>
        </w:rPr>
        <w:t>面积</w:t>
      </w:r>
      <w:r>
        <w:rPr>
          <w:rFonts w:ascii="宋体" w:hAnsi="宋体"/>
        </w:rPr>
        <w:t>19.7%；偏黏的3207.27公顷，占水田</w:t>
      </w:r>
      <w:r>
        <w:rPr>
          <w:rFonts w:hint="eastAsia" w:ascii="宋体" w:hAnsi="宋体"/>
        </w:rPr>
        <w:t>面积</w:t>
      </w:r>
      <w:r>
        <w:rPr>
          <w:rFonts w:ascii="宋体" w:hAnsi="宋体"/>
        </w:rPr>
        <w:t>14.3%。酸碱度</w:t>
      </w:r>
      <w:r>
        <w:rPr>
          <w:rFonts w:hint="eastAsia" w:ascii="宋体" w:hAnsi="宋体"/>
        </w:rPr>
        <w:t>：</w:t>
      </w:r>
      <w:r>
        <w:rPr>
          <w:rFonts w:ascii="宋体" w:hAnsi="宋体"/>
        </w:rPr>
        <w:t>pH值为4.5</w:t>
      </w:r>
      <w:r>
        <w:rPr>
          <w:rFonts w:hint="eastAsia" w:ascii="宋体" w:hAnsi="宋体"/>
        </w:rPr>
        <w:t>~</w:t>
      </w:r>
      <w:r>
        <w:rPr>
          <w:rFonts w:ascii="宋体" w:hAnsi="宋体"/>
        </w:rPr>
        <w:t>5.5的</w:t>
      </w:r>
      <w:r>
        <w:rPr>
          <w:rFonts w:hint="eastAsia" w:ascii="宋体" w:hAnsi="宋体"/>
        </w:rPr>
        <w:t>占水田面积</w:t>
      </w:r>
      <w:r>
        <w:rPr>
          <w:rFonts w:ascii="宋体" w:hAnsi="宋体"/>
        </w:rPr>
        <w:t>48.9%，5.5</w:t>
      </w:r>
      <w:r>
        <w:rPr>
          <w:rFonts w:hint="eastAsia" w:ascii="宋体" w:hAnsi="宋体"/>
        </w:rPr>
        <w:t>~</w:t>
      </w:r>
      <w:r>
        <w:rPr>
          <w:rFonts w:ascii="宋体" w:hAnsi="宋体"/>
        </w:rPr>
        <w:t>6.5的占29.5%，6.6</w:t>
      </w:r>
      <w:r>
        <w:rPr>
          <w:rFonts w:hint="eastAsia" w:ascii="宋体" w:hAnsi="宋体"/>
        </w:rPr>
        <w:t>~</w:t>
      </w:r>
      <w:r>
        <w:rPr>
          <w:rFonts w:ascii="宋体" w:hAnsi="宋体"/>
        </w:rPr>
        <w:t>7.5的占6.2%，7.5以上的占7.3%。</w:t>
      </w:r>
      <w:r>
        <w:rPr>
          <w:rFonts w:hint="eastAsia" w:ascii="宋体" w:hAnsi="宋体"/>
        </w:rPr>
        <w:t>耕作层</w:t>
      </w:r>
      <w:r>
        <w:rPr>
          <w:rFonts w:ascii="宋体" w:hAnsi="宋体"/>
        </w:rPr>
        <w:t>13厘米以上的有18178.4公顷，占水</w:t>
      </w:r>
      <w:r>
        <w:rPr>
          <w:rFonts w:hint="eastAsia" w:ascii="宋体" w:hAnsi="宋体"/>
        </w:rPr>
        <w:t>田面积</w:t>
      </w:r>
      <w:r>
        <w:rPr>
          <w:rFonts w:ascii="宋体" w:hAnsi="宋体"/>
        </w:rPr>
        <w:t>81%；耕作层养分含量，全市加权平</w:t>
      </w:r>
      <w:r>
        <w:rPr>
          <w:rFonts w:hint="eastAsia" w:ascii="宋体" w:hAnsi="宋体"/>
        </w:rPr>
        <w:t>均值为：有机质</w:t>
      </w:r>
      <w:r>
        <w:rPr>
          <w:rFonts w:ascii="宋体" w:hAnsi="宋体"/>
        </w:rPr>
        <w:t>3.08%，全氮0.15%属中上，</w:t>
      </w:r>
      <w:r>
        <w:rPr>
          <w:rFonts w:hint="eastAsia" w:ascii="宋体" w:hAnsi="宋体"/>
        </w:rPr>
        <w:t>速效磷</w:t>
      </w:r>
      <w:r>
        <w:rPr>
          <w:rFonts w:ascii="宋体" w:hAnsi="宋体"/>
        </w:rPr>
        <w:t>22.67ppm属中等，速效钾67.85ppm</w:t>
      </w:r>
      <w:r>
        <w:rPr>
          <w:rFonts w:hint="eastAsia" w:ascii="宋体" w:hAnsi="宋体"/>
        </w:rPr>
        <w:t>属偏低。</w:t>
      </w:r>
    </w:p>
    <w:p w14:paraId="5CBBFFA9">
      <w:pPr>
        <w:ind w:firstLine="420"/>
        <w:rPr>
          <w:rFonts w:ascii="宋体" w:hAnsi="宋体"/>
        </w:rPr>
      </w:pPr>
      <w:r>
        <w:rPr>
          <w:rFonts w:hint="eastAsia" w:ascii="宋体" w:hAnsi="宋体"/>
        </w:rPr>
        <w:t>（三）旱地土壤全市有</w:t>
      </w:r>
      <w:r>
        <w:rPr>
          <w:rFonts w:ascii="宋体" w:hAnsi="宋体"/>
        </w:rPr>
        <w:t>7480公顷，分黄壤</w:t>
      </w:r>
      <w:r>
        <w:rPr>
          <w:rFonts w:hint="eastAsia" w:ascii="宋体" w:hAnsi="宋体"/>
        </w:rPr>
        <w:t>、红壤、紫色土、菜园土、潮砂泥土</w:t>
      </w:r>
      <w:r>
        <w:rPr>
          <w:rFonts w:ascii="宋体" w:hAnsi="宋体"/>
        </w:rPr>
        <w:t>5个土类，5</w:t>
      </w:r>
      <w:r>
        <w:rPr>
          <w:rFonts w:hint="eastAsia" w:ascii="宋体" w:hAnsi="宋体"/>
        </w:rPr>
        <w:t>个亚类，</w:t>
      </w:r>
      <w:r>
        <w:rPr>
          <w:rFonts w:ascii="宋体" w:hAnsi="宋体"/>
        </w:rPr>
        <w:t>9个土属，14个土种。紫色土类有5575.33公顷，占旱地面积74</w:t>
      </w:r>
      <w:r>
        <w:rPr>
          <w:rFonts w:hint="eastAsia" w:ascii="宋体" w:hAnsi="宋体"/>
        </w:rPr>
        <w:t>.</w:t>
      </w:r>
      <w:r>
        <w:rPr>
          <w:rFonts w:ascii="宋体" w:hAnsi="宋体"/>
        </w:rPr>
        <w:t>5%。最大土种是</w:t>
      </w:r>
      <w:r>
        <w:rPr>
          <w:rFonts w:hint="eastAsia" w:ascii="宋体" w:hAnsi="宋体"/>
        </w:rPr>
        <w:t>紫砂地</w:t>
      </w:r>
      <w:r>
        <w:rPr>
          <w:rFonts w:ascii="宋体" w:hAnsi="宋体"/>
        </w:rPr>
        <w:t>3433.47公顷，占旱地45</w:t>
      </w:r>
      <w:r>
        <w:rPr>
          <w:rFonts w:hint="eastAsia" w:ascii="宋体" w:hAnsi="宋体"/>
        </w:rPr>
        <w:t>.</w:t>
      </w:r>
      <w:r>
        <w:rPr>
          <w:rFonts w:ascii="宋体" w:hAnsi="宋体"/>
        </w:rPr>
        <w:t>9%。土质，偏</w:t>
      </w:r>
      <w:r>
        <w:rPr>
          <w:rFonts w:hint="eastAsia" w:ascii="宋体" w:hAnsi="宋体"/>
        </w:rPr>
        <w:t>砂的</w:t>
      </w:r>
      <w:r>
        <w:rPr>
          <w:rFonts w:ascii="宋体" w:hAnsi="宋体"/>
        </w:rPr>
        <w:t>4132.5公顷，占55</w:t>
      </w:r>
      <w:r>
        <w:rPr>
          <w:rFonts w:hint="eastAsia" w:ascii="宋体" w:hAnsi="宋体"/>
        </w:rPr>
        <w:t>.</w:t>
      </w:r>
      <w:r>
        <w:rPr>
          <w:rFonts w:ascii="宋体" w:hAnsi="宋体"/>
        </w:rPr>
        <w:t>2%；壤土2258.07公</w:t>
      </w:r>
      <w:r>
        <w:rPr>
          <w:rFonts w:hint="eastAsia" w:ascii="宋体" w:hAnsi="宋体"/>
        </w:rPr>
        <w:t>顷，占</w:t>
      </w:r>
      <w:r>
        <w:rPr>
          <w:rFonts w:ascii="宋体" w:hAnsi="宋体"/>
        </w:rPr>
        <w:t>30.2；偏黏的1091.03公顷，占14.6%。</w:t>
      </w:r>
      <w:r>
        <w:rPr>
          <w:rFonts w:hint="eastAsia" w:ascii="宋体" w:hAnsi="宋体"/>
        </w:rPr>
        <w:t>酸碱度：紫色土</w:t>
      </w:r>
      <w:r>
        <w:rPr>
          <w:rFonts w:ascii="宋体" w:hAnsi="宋体"/>
        </w:rPr>
        <w:t>pH值7.5以上的有4924.07公</w:t>
      </w:r>
      <w:r>
        <w:rPr>
          <w:rFonts w:hint="eastAsia" w:ascii="宋体" w:hAnsi="宋体"/>
        </w:rPr>
        <w:t>顷，占旱地面积</w:t>
      </w:r>
      <w:r>
        <w:rPr>
          <w:rFonts w:ascii="宋体" w:hAnsi="宋体"/>
        </w:rPr>
        <w:t>65.8%；PH值6.5</w:t>
      </w:r>
      <w:r>
        <w:rPr>
          <w:rFonts w:hint="eastAsia" w:ascii="宋体" w:hAnsi="宋体"/>
        </w:rPr>
        <w:t>~</w:t>
      </w:r>
      <w:r>
        <w:rPr>
          <w:rFonts w:ascii="宋体" w:hAnsi="宋体"/>
        </w:rPr>
        <w:t>7.5之间的918.27公顷，占旱地面积12.3%；其余1639.27</w:t>
      </w:r>
      <w:r>
        <w:rPr>
          <w:rFonts w:hint="eastAsia" w:ascii="宋体" w:hAnsi="宋体"/>
        </w:rPr>
        <w:t>公顷，均在</w:t>
      </w:r>
      <w:r>
        <w:rPr>
          <w:rFonts w:ascii="宋体" w:hAnsi="宋体"/>
        </w:rPr>
        <w:t>PH值6.5以下。旱地耕作层15厘米</w:t>
      </w:r>
      <w:r>
        <w:rPr>
          <w:rFonts w:hint="eastAsia" w:ascii="宋体" w:hAnsi="宋体"/>
        </w:rPr>
        <w:t>以上的面积占</w:t>
      </w:r>
      <w:r>
        <w:rPr>
          <w:rFonts w:ascii="宋体" w:hAnsi="宋体"/>
        </w:rPr>
        <w:t>79.1%。耕作层养分含量，全市加</w:t>
      </w:r>
      <w:r>
        <w:rPr>
          <w:rFonts w:hint="eastAsia" w:ascii="宋体" w:hAnsi="宋体"/>
        </w:rPr>
        <w:t>权平均值为：有机质</w:t>
      </w:r>
      <w:r>
        <w:rPr>
          <w:rFonts w:ascii="宋体" w:hAnsi="宋体"/>
        </w:rPr>
        <w:t>0.28%，全氮0.064%属缺</w:t>
      </w:r>
      <w:r>
        <w:rPr>
          <w:rFonts w:hint="eastAsia" w:ascii="宋体" w:hAnsi="宋体"/>
        </w:rPr>
        <w:t>乏，速效磷</w:t>
      </w:r>
      <w:r>
        <w:rPr>
          <w:rFonts w:ascii="宋体" w:hAnsi="宋体"/>
        </w:rPr>
        <w:t>11.28ppm属中等偏低，速效</w:t>
      </w:r>
      <w:r>
        <w:rPr>
          <w:rFonts w:hint="eastAsia" w:ascii="宋体" w:hAnsi="宋体"/>
        </w:rPr>
        <w:t>钾</w:t>
      </w:r>
      <w:r>
        <w:rPr>
          <w:rFonts w:ascii="宋体" w:hAnsi="宋体"/>
        </w:rPr>
        <w:t>127</w:t>
      </w:r>
      <w:r>
        <w:rPr>
          <w:rFonts w:hint="eastAsia" w:ascii="宋体" w:hAnsi="宋体"/>
        </w:rPr>
        <w:t>.</w:t>
      </w:r>
      <w:r>
        <w:rPr>
          <w:rFonts w:ascii="宋体" w:hAnsi="宋体"/>
        </w:rPr>
        <w:t>61pp</w:t>
      </w:r>
      <w:r>
        <w:rPr>
          <w:rFonts w:hint="eastAsia" w:ascii="宋体" w:hAnsi="宋体"/>
        </w:rPr>
        <w:t>。</w:t>
      </w:r>
    </w:p>
    <w:p w14:paraId="2DA4AE00">
      <w:pPr>
        <w:pStyle w:val="3"/>
      </w:pPr>
      <w:r>
        <w:rPr>
          <w:rFonts w:hint="eastAsia"/>
        </w:rPr>
        <w:t>资源物产</w:t>
      </w:r>
    </w:p>
    <w:p w14:paraId="16DC3D9F">
      <w:pPr>
        <w:pStyle w:val="4"/>
      </w:pPr>
      <w:r>
        <w:rPr>
          <w:rFonts w:hint="eastAsia"/>
        </w:rPr>
        <w:t>【矿产资源】</w:t>
      </w:r>
    </w:p>
    <w:p w14:paraId="6E0067F3">
      <w:pPr>
        <w:ind w:firstLine="420"/>
        <w:rPr>
          <w:rFonts w:ascii="宋体" w:hAnsi="宋体"/>
        </w:rPr>
      </w:pPr>
      <w:r>
        <w:rPr>
          <w:rFonts w:hint="eastAsia" w:ascii="宋体" w:hAnsi="宋体"/>
        </w:rPr>
        <w:t>南雄市位于广东省东北部，大庾岭南麓，毗邻江西。南雄境内地质属燕山期花岗岩体及寒武纪震旦纪变质岩体。四周群山环抱，浈凌二江斜贯腹地。地势为西北高，东南低。西北山区最高峰为观音峰，海拔</w:t>
      </w:r>
      <w:r>
        <w:rPr>
          <w:rFonts w:ascii="宋体" w:hAnsi="宋体"/>
        </w:rPr>
        <w:t>1429米，南部山区最高山峰为青嶂山，海</w:t>
      </w:r>
      <w:r>
        <w:rPr>
          <w:rFonts w:hint="eastAsia" w:ascii="宋体" w:hAnsi="宋体"/>
        </w:rPr>
        <w:t>拔</w:t>
      </w:r>
      <w:r>
        <w:rPr>
          <w:rFonts w:ascii="宋体" w:hAnsi="宋体"/>
        </w:rPr>
        <w:t>917米。中部为狭长丘陵，自东北向西南</w:t>
      </w:r>
      <w:r>
        <w:rPr>
          <w:rFonts w:hint="eastAsia" w:ascii="宋体" w:hAnsi="宋体"/>
        </w:rPr>
        <w:t>沿浈江两岸伸展，直到始兴县马市，称为“南雄红层盆地”。南雄市目前已探明的矿种较丰富，有铀矿、钨矿、金矿、萤石矿、稀土矿、钾长石，以及花岗石建材、石灰岩、地热温泉等。但除了铀、钨、萤石、建材砂石矿产资源之外，可供开发的矿产资源相对贫乏。此外，南雄红层下蕴藏着大量的古生物化石。尤其是恐龙蛋化石分布广泛。除了恐龙、恐龙蛋、恐龙足迹之外，在南雄盆地内还发现有龟鳖类的骨骼化石等。</w:t>
      </w:r>
    </w:p>
    <w:p w14:paraId="28760260">
      <w:pPr>
        <w:ind w:firstLine="420"/>
        <w:rPr>
          <w:rFonts w:ascii="宋体" w:hAnsi="宋体"/>
        </w:rPr>
      </w:pPr>
      <w:r>
        <w:rPr>
          <w:rFonts w:hint="eastAsia" w:ascii="宋体" w:hAnsi="宋体"/>
        </w:rPr>
        <w:t>南雄恐龙化石群遗迹是地质历史时期的宝贵自然遗产，保护区内的恐龙化石群集稀有性、典型性、自然性和系统完整性于一身，属于一种特殊环境条件下保存规模较大的古生物化石遗迹，在国内是少见的，在国际上有重大的影响和特殊的科学研究价值；能为国内外地质学家和古生物学家研究全球晚白垩世末生物绝灭事件、地质灾变事件、全球性的地层划分和对比、生物进化、生态环境的演替、气候变化、恐龙家族的兴衰及绝灭等科学问题，提供多方面的证据；具有重要的科学意义和研究价值。</w:t>
      </w:r>
    </w:p>
    <w:p w14:paraId="7FBB6677">
      <w:pPr>
        <w:pStyle w:val="4"/>
      </w:pPr>
      <w:r>
        <w:rPr>
          <w:rFonts w:hint="eastAsia"/>
        </w:rPr>
        <w:t>【自然旅游资源】</w:t>
      </w:r>
    </w:p>
    <w:p w14:paraId="5DF69698">
      <w:pPr>
        <w:ind w:firstLine="420"/>
        <w:rPr>
          <w:rFonts w:ascii="宋体" w:hAnsi="宋体"/>
        </w:rPr>
      </w:pPr>
      <w:r>
        <w:rPr>
          <w:rFonts w:hint="eastAsia" w:ascii="宋体" w:hAnsi="宋体"/>
        </w:rPr>
        <w:t>南雄物华天宝，人杰地灵；山川秀丽，风光旖旎。旅游资源十分丰富且种类齐全，尤其文物古迹甚多，现已列为文物保护单位的有</w:t>
      </w:r>
      <w:r>
        <w:rPr>
          <w:rFonts w:ascii="宋体" w:hAnsi="宋体"/>
        </w:rPr>
        <w:t>34处，其中国家级1处、</w:t>
      </w:r>
      <w:r>
        <w:rPr>
          <w:rFonts w:hint="eastAsia" w:ascii="宋体" w:hAnsi="宋体"/>
        </w:rPr>
        <w:t>省级</w:t>
      </w:r>
      <w:r>
        <w:rPr>
          <w:rFonts w:ascii="宋体" w:hAnsi="宋体"/>
        </w:rPr>
        <w:t>5处、县（市）级28处。珠玑古巷、梅</w:t>
      </w:r>
      <w:r>
        <w:rPr>
          <w:rFonts w:hint="eastAsia" w:ascii="宋体" w:hAnsi="宋体"/>
        </w:rPr>
        <w:t>关古道、三影千年古塔、恐龙等古生物化石、古银杏群“南雄五古”，享誉海内外。南亩鱼鲜、乌迳新田、黄坑溪塘古村落，人文价值颇高，先后被评为“广东省古村落”。孔江国家湿地公园、青嶂山省级自然保护区、苍石寨风景区，奇异独特，风光秀丽。坪田古银杏群景色迷人，被评为“中国深秋</w:t>
      </w:r>
      <w:r>
        <w:rPr>
          <w:rFonts w:ascii="宋体" w:hAnsi="宋体"/>
        </w:rPr>
        <w:t>100个看</w:t>
      </w:r>
      <w:r>
        <w:rPr>
          <w:rFonts w:hint="eastAsia" w:ascii="宋体" w:hAnsi="宋体"/>
        </w:rPr>
        <w:t>红叶的地方”；帽子峰省级森林公园“秀色可餐”，被誉为“小九寨沟”。粤北较大的尼众丛林莲开净寺，被称为“莲花涵佛性，开口念弥陀。”香火兴旺。具有重要的古建筑艺术价值和历史文化价值的广州会馆，是研究广东省明、清之际资本主义萌芽的实例。南雄拥有丰富盛名的温泉资源。龙华山温泉酒店是集旅游度假自然观光和休闲、度假、康体、娱乐、泡温泉为一体的旅游度假胜地，被国家地矿部和卫生局授予“珍惜温矿水”荣誉称号；青嶂山温泉高氡神奇，是罕见的高钠离子温泉。</w:t>
      </w:r>
    </w:p>
    <w:p w14:paraId="58EDD036">
      <w:pPr>
        <w:pStyle w:val="4"/>
      </w:pPr>
      <w:r>
        <w:rPr>
          <w:rFonts w:hint="eastAsia"/>
        </w:rPr>
        <w:t>【红色旅游资源】</w:t>
      </w:r>
    </w:p>
    <w:p w14:paraId="2404A2DC">
      <w:pPr>
        <w:ind w:firstLine="420"/>
        <w:rPr>
          <w:rFonts w:ascii="宋体" w:hAnsi="宋体"/>
        </w:rPr>
      </w:pPr>
      <w:r>
        <w:rPr>
          <w:rFonts w:hint="eastAsia" w:ascii="宋体" w:hAnsi="宋体"/>
        </w:rPr>
        <w:t>南雄又是一块红色的土地，是广东省的重点老区县（市）之一。从新民主主义革命时期，至</w:t>
      </w:r>
      <w:r>
        <w:rPr>
          <w:rFonts w:ascii="宋体" w:hAnsi="宋体"/>
        </w:rPr>
        <w:t>1949年9月南雄解</w:t>
      </w:r>
      <w:r>
        <w:rPr>
          <w:rFonts w:hint="eastAsia" w:ascii="宋体" w:hAnsi="宋体"/>
        </w:rPr>
        <w:t>放，南雄一直红旗不倒。民国时期，孙中山两次北伐，都以韶关为大本营，以南雄为前哨。尤其第二次国内革命战争时期，南雄属中央苏区县之一，是中国工农红军长征经过的地方。毛泽东、朱德、彭德怀多次率部转战南雄，在这里领导和指挥了著名的“水口战役”。项英、陈毅等在油山一带领导了粤赣边三年游击战争。抗日战争时期中共广东省委旧址——瑶坑，是广东省不可多得的革命遗址，是“广东省党员教育基地”。</w:t>
      </w:r>
    </w:p>
    <w:p w14:paraId="3D432F89">
      <w:pPr>
        <w:pStyle w:val="4"/>
      </w:pPr>
      <w:r>
        <w:rPr>
          <w:rFonts w:hint="eastAsia"/>
        </w:rPr>
        <w:t>【水资源】</w:t>
      </w:r>
    </w:p>
    <w:p w14:paraId="015BF837">
      <w:pPr>
        <w:ind w:firstLine="420"/>
        <w:rPr>
          <w:rFonts w:ascii="宋体" w:hAnsi="宋体"/>
        </w:rPr>
      </w:pPr>
      <w:r>
        <w:rPr>
          <w:rFonts w:hint="eastAsia" w:ascii="宋体" w:hAnsi="宋体"/>
        </w:rPr>
        <w:t>地表水：</w:t>
      </w:r>
      <w:r>
        <w:rPr>
          <w:rFonts w:ascii="宋体" w:hAnsi="宋体"/>
        </w:rPr>
        <w:t>2003年至2010年的观</w:t>
      </w:r>
      <w:r>
        <w:rPr>
          <w:rFonts w:hint="eastAsia" w:ascii="宋体" w:hAnsi="宋体"/>
        </w:rPr>
        <w:t>测资料，南雄多年平均降雨量为</w:t>
      </w:r>
      <w:r>
        <w:rPr>
          <w:rFonts w:ascii="宋体" w:hAnsi="宋体"/>
        </w:rPr>
        <w:t>1740.6毫</w:t>
      </w:r>
      <w:r>
        <w:rPr>
          <w:rFonts w:hint="eastAsia" w:ascii="宋体" w:hAnsi="宋体"/>
        </w:rPr>
        <w:t>米。全市径流均由降雨产生，属雨水补发类型。具体见表</w:t>
      </w:r>
      <w:r>
        <w:rPr>
          <w:rFonts w:ascii="宋体" w:hAnsi="宋体"/>
        </w:rPr>
        <w:t>3（1-5）</w:t>
      </w:r>
    </w:p>
    <w:p w14:paraId="65D02D8C">
      <w:pPr>
        <w:ind w:firstLine="0" w:firstLineChars="0"/>
        <w:jc w:val="center"/>
        <w:rPr>
          <w:rFonts w:hint="eastAsia" w:ascii="宋体" w:hAnsi="宋体"/>
          <w:b/>
        </w:rPr>
      </w:pPr>
      <w:commentRangeStart w:id="0"/>
      <w:r>
        <w:rPr>
          <w:rFonts w:hint="eastAsia" w:ascii="宋体" w:hAnsi="宋体"/>
          <w:b/>
        </w:rPr>
        <w:t>表3-1  南雄市年降水量（2003-2010）</w:t>
      </w:r>
      <w:commentRangeEnd w:id="0"/>
      <w:r>
        <w:rPr>
          <w:rStyle w:val="12"/>
          <w:rFonts w:ascii="宋体" w:hAnsi="宋体"/>
        </w:rPr>
        <w:commentReference w:id="0"/>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5"/>
        <w:gridCol w:w="1245"/>
        <w:gridCol w:w="1245"/>
        <w:gridCol w:w="1245"/>
        <w:gridCol w:w="1245"/>
        <w:gridCol w:w="1245"/>
        <w:gridCol w:w="1246"/>
        <w:gridCol w:w="1246"/>
      </w:tblGrid>
      <w:tr w14:paraId="1FA1E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625" w:type="pct"/>
            <w:vMerge w:val="restart"/>
            <w:vAlign w:val="center"/>
          </w:tcPr>
          <w:p w14:paraId="17EBE06E">
            <w:pPr>
              <w:pStyle w:val="13"/>
              <w:jc w:val="center"/>
              <w:rPr>
                <w:rFonts w:hint="eastAsia" w:ascii="宋体" w:hAnsi="宋体"/>
                <w:b/>
              </w:rPr>
            </w:pPr>
            <w:r>
              <w:rPr>
                <w:rFonts w:hint="eastAsia" w:ascii="宋体" w:hAnsi="宋体"/>
                <w:b/>
              </w:rPr>
              <w:t>年度</w:t>
            </w:r>
          </w:p>
        </w:tc>
        <w:tc>
          <w:tcPr>
            <w:tcW w:w="625" w:type="pct"/>
            <w:vMerge w:val="restart"/>
            <w:vAlign w:val="center"/>
          </w:tcPr>
          <w:p w14:paraId="14367EEB">
            <w:pPr>
              <w:pStyle w:val="13"/>
              <w:jc w:val="center"/>
              <w:rPr>
                <w:rFonts w:hint="eastAsia" w:ascii="宋体" w:hAnsi="宋体"/>
                <w:b/>
              </w:rPr>
            </w:pPr>
            <w:r>
              <w:rPr>
                <w:rFonts w:hint="eastAsia" w:ascii="宋体" w:hAnsi="宋体"/>
                <w:b/>
              </w:rPr>
              <w:t>计算面积（km</w:t>
            </w:r>
            <w:r>
              <w:rPr>
                <w:rFonts w:hint="eastAsia" w:ascii="宋体" w:hAnsi="宋体"/>
                <w:b/>
                <w:vertAlign w:val="superscript"/>
              </w:rPr>
              <w:t>2</w:t>
            </w:r>
            <w:r>
              <w:rPr>
                <w:rFonts w:hint="eastAsia" w:ascii="宋体" w:hAnsi="宋体"/>
                <w:b/>
              </w:rPr>
              <w:t>）</w:t>
            </w:r>
          </w:p>
        </w:tc>
        <w:tc>
          <w:tcPr>
            <w:tcW w:w="1250" w:type="pct"/>
            <w:gridSpan w:val="2"/>
            <w:vAlign w:val="center"/>
          </w:tcPr>
          <w:p w14:paraId="098AF1B3">
            <w:pPr>
              <w:pStyle w:val="13"/>
              <w:jc w:val="center"/>
              <w:rPr>
                <w:rFonts w:hint="eastAsia" w:ascii="宋体" w:hAnsi="宋体"/>
                <w:b/>
              </w:rPr>
            </w:pPr>
            <w:r>
              <w:rPr>
                <w:rFonts w:hint="eastAsia" w:ascii="宋体" w:hAnsi="宋体"/>
                <w:b/>
              </w:rPr>
              <w:t>年降水量</w:t>
            </w:r>
          </w:p>
        </w:tc>
        <w:tc>
          <w:tcPr>
            <w:tcW w:w="625" w:type="pct"/>
            <w:vMerge w:val="restart"/>
            <w:vAlign w:val="center"/>
          </w:tcPr>
          <w:p w14:paraId="5735272B">
            <w:pPr>
              <w:pStyle w:val="13"/>
              <w:jc w:val="center"/>
              <w:rPr>
                <w:rFonts w:hint="eastAsia" w:ascii="宋体" w:hAnsi="宋体"/>
                <w:b/>
              </w:rPr>
            </w:pPr>
            <w:r>
              <w:rPr>
                <w:rFonts w:hint="eastAsia" w:ascii="宋体" w:hAnsi="宋体"/>
                <w:b/>
              </w:rPr>
              <w:t>上年降水量（mm）</w:t>
            </w:r>
          </w:p>
        </w:tc>
        <w:tc>
          <w:tcPr>
            <w:tcW w:w="625" w:type="pct"/>
            <w:vMerge w:val="restart"/>
            <w:vAlign w:val="center"/>
          </w:tcPr>
          <w:p w14:paraId="3A882F72">
            <w:pPr>
              <w:pStyle w:val="13"/>
              <w:jc w:val="center"/>
              <w:rPr>
                <w:rFonts w:hint="eastAsia" w:ascii="宋体" w:hAnsi="宋体"/>
                <w:b/>
              </w:rPr>
            </w:pPr>
            <w:r>
              <w:rPr>
                <w:rFonts w:hint="eastAsia" w:ascii="宋体" w:hAnsi="宋体"/>
                <w:b/>
              </w:rPr>
              <w:t>多年平均年降水量（mm）</w:t>
            </w:r>
          </w:p>
        </w:tc>
        <w:tc>
          <w:tcPr>
            <w:tcW w:w="625" w:type="pct"/>
            <w:vMerge w:val="restart"/>
            <w:vAlign w:val="center"/>
          </w:tcPr>
          <w:p w14:paraId="101BC758">
            <w:pPr>
              <w:pStyle w:val="13"/>
              <w:jc w:val="center"/>
              <w:rPr>
                <w:rFonts w:hint="eastAsia" w:ascii="宋体" w:hAnsi="宋体"/>
                <w:b/>
              </w:rPr>
            </w:pPr>
            <w:r>
              <w:rPr>
                <w:rFonts w:hint="eastAsia" w:ascii="宋体" w:hAnsi="宋体"/>
                <w:b/>
              </w:rPr>
              <w:t>与上年比较（%）</w:t>
            </w:r>
          </w:p>
        </w:tc>
        <w:tc>
          <w:tcPr>
            <w:tcW w:w="625" w:type="pct"/>
            <w:vMerge w:val="restart"/>
            <w:vAlign w:val="center"/>
          </w:tcPr>
          <w:p w14:paraId="5C70EDFD">
            <w:pPr>
              <w:pStyle w:val="13"/>
              <w:jc w:val="center"/>
              <w:rPr>
                <w:rFonts w:hint="eastAsia" w:ascii="宋体" w:hAnsi="宋体"/>
                <w:b/>
              </w:rPr>
            </w:pPr>
            <w:r>
              <w:rPr>
                <w:rFonts w:hint="eastAsia" w:ascii="宋体" w:hAnsi="宋体"/>
                <w:b/>
              </w:rPr>
              <w:t>与多年平均比较（%）</w:t>
            </w:r>
          </w:p>
        </w:tc>
      </w:tr>
      <w:tr w14:paraId="63D95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625" w:type="pct"/>
            <w:vMerge w:val="continue"/>
            <w:vAlign w:val="center"/>
          </w:tcPr>
          <w:p w14:paraId="4E23E734">
            <w:pPr>
              <w:pStyle w:val="13"/>
              <w:jc w:val="center"/>
              <w:rPr>
                <w:rFonts w:hint="eastAsia" w:ascii="宋体" w:hAnsi="宋体"/>
              </w:rPr>
            </w:pPr>
          </w:p>
        </w:tc>
        <w:tc>
          <w:tcPr>
            <w:tcW w:w="625" w:type="pct"/>
            <w:vMerge w:val="continue"/>
            <w:vAlign w:val="center"/>
          </w:tcPr>
          <w:p w14:paraId="4DCAAC39">
            <w:pPr>
              <w:pStyle w:val="13"/>
              <w:jc w:val="center"/>
              <w:rPr>
                <w:rFonts w:hint="eastAsia" w:ascii="宋体" w:hAnsi="宋体"/>
              </w:rPr>
            </w:pPr>
          </w:p>
        </w:tc>
        <w:tc>
          <w:tcPr>
            <w:tcW w:w="625" w:type="pct"/>
            <w:vAlign w:val="center"/>
          </w:tcPr>
          <w:p w14:paraId="4283B929">
            <w:pPr>
              <w:pStyle w:val="13"/>
              <w:jc w:val="center"/>
              <w:rPr>
                <w:rFonts w:hint="eastAsia" w:ascii="宋体" w:hAnsi="宋体"/>
                <w:b/>
              </w:rPr>
            </w:pPr>
            <w:r>
              <w:rPr>
                <w:rFonts w:hint="eastAsia" w:ascii="宋体" w:hAnsi="宋体"/>
                <w:b/>
              </w:rPr>
              <w:t>毫米</w:t>
            </w:r>
          </w:p>
        </w:tc>
        <w:tc>
          <w:tcPr>
            <w:tcW w:w="625" w:type="pct"/>
            <w:vAlign w:val="center"/>
          </w:tcPr>
          <w:p w14:paraId="2FFB0451">
            <w:pPr>
              <w:pStyle w:val="13"/>
              <w:jc w:val="center"/>
              <w:rPr>
                <w:rFonts w:hint="eastAsia" w:ascii="宋体" w:hAnsi="宋体"/>
                <w:b/>
              </w:rPr>
            </w:pPr>
            <w:r>
              <w:rPr>
                <w:rFonts w:hint="eastAsia" w:ascii="宋体" w:hAnsi="宋体"/>
                <w:b/>
              </w:rPr>
              <w:t>亿m</w:t>
            </w:r>
            <w:r>
              <w:rPr>
                <w:rFonts w:hint="eastAsia" w:ascii="宋体" w:hAnsi="宋体"/>
                <w:b/>
                <w:vertAlign w:val="superscript"/>
              </w:rPr>
              <w:t>3</w:t>
            </w:r>
          </w:p>
        </w:tc>
        <w:tc>
          <w:tcPr>
            <w:tcW w:w="625" w:type="pct"/>
            <w:vMerge w:val="continue"/>
            <w:vAlign w:val="center"/>
          </w:tcPr>
          <w:p w14:paraId="2EB61835">
            <w:pPr>
              <w:pStyle w:val="13"/>
              <w:jc w:val="center"/>
              <w:rPr>
                <w:rFonts w:hint="eastAsia" w:ascii="宋体" w:hAnsi="宋体"/>
              </w:rPr>
            </w:pPr>
          </w:p>
        </w:tc>
        <w:tc>
          <w:tcPr>
            <w:tcW w:w="625" w:type="pct"/>
            <w:vMerge w:val="continue"/>
            <w:vAlign w:val="center"/>
          </w:tcPr>
          <w:p w14:paraId="0CA36AF2">
            <w:pPr>
              <w:pStyle w:val="13"/>
              <w:jc w:val="center"/>
              <w:rPr>
                <w:rFonts w:hint="eastAsia" w:ascii="宋体" w:hAnsi="宋体"/>
              </w:rPr>
            </w:pPr>
          </w:p>
        </w:tc>
        <w:tc>
          <w:tcPr>
            <w:tcW w:w="625" w:type="pct"/>
            <w:vMerge w:val="continue"/>
            <w:vAlign w:val="center"/>
          </w:tcPr>
          <w:p w14:paraId="4E268651">
            <w:pPr>
              <w:pStyle w:val="13"/>
              <w:jc w:val="center"/>
              <w:rPr>
                <w:rFonts w:hint="eastAsia" w:ascii="宋体" w:hAnsi="宋体"/>
              </w:rPr>
            </w:pPr>
          </w:p>
        </w:tc>
        <w:tc>
          <w:tcPr>
            <w:tcW w:w="625" w:type="pct"/>
            <w:vMerge w:val="continue"/>
            <w:vAlign w:val="center"/>
          </w:tcPr>
          <w:p w14:paraId="1430228C">
            <w:pPr>
              <w:pStyle w:val="13"/>
              <w:jc w:val="center"/>
              <w:rPr>
                <w:rFonts w:hint="eastAsia" w:ascii="宋体" w:hAnsi="宋体"/>
              </w:rPr>
            </w:pPr>
          </w:p>
        </w:tc>
      </w:tr>
      <w:tr w14:paraId="3201C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36CE0636">
            <w:pPr>
              <w:pStyle w:val="13"/>
              <w:jc w:val="center"/>
              <w:rPr>
                <w:rFonts w:ascii="宋体" w:hAnsi="宋体"/>
              </w:rPr>
            </w:pPr>
            <w:r>
              <w:rPr>
                <w:rFonts w:ascii="宋体" w:hAnsi="宋体"/>
              </w:rPr>
              <w:t>2003</w:t>
            </w:r>
          </w:p>
        </w:tc>
        <w:tc>
          <w:tcPr>
            <w:tcW w:w="625" w:type="pct"/>
            <w:vAlign w:val="center"/>
          </w:tcPr>
          <w:p w14:paraId="47018BCD">
            <w:pPr>
              <w:pStyle w:val="13"/>
              <w:jc w:val="center"/>
              <w:rPr>
                <w:rFonts w:ascii="宋体" w:hAnsi="宋体"/>
              </w:rPr>
            </w:pPr>
            <w:r>
              <w:rPr>
                <w:rFonts w:ascii="宋体" w:hAnsi="宋体"/>
              </w:rPr>
              <w:t>2361</w:t>
            </w:r>
          </w:p>
        </w:tc>
        <w:tc>
          <w:tcPr>
            <w:tcW w:w="625" w:type="pct"/>
            <w:vAlign w:val="center"/>
          </w:tcPr>
          <w:p w14:paraId="30264DC6">
            <w:pPr>
              <w:pStyle w:val="13"/>
              <w:jc w:val="center"/>
              <w:rPr>
                <w:rFonts w:ascii="宋体" w:hAnsi="宋体"/>
              </w:rPr>
            </w:pPr>
            <w:r>
              <w:rPr>
                <w:rFonts w:ascii="宋体" w:hAnsi="宋体"/>
              </w:rPr>
              <w:t>1257.10</w:t>
            </w:r>
          </w:p>
        </w:tc>
        <w:tc>
          <w:tcPr>
            <w:tcW w:w="625" w:type="pct"/>
            <w:vAlign w:val="center"/>
          </w:tcPr>
          <w:p w14:paraId="06683741">
            <w:pPr>
              <w:pStyle w:val="13"/>
              <w:jc w:val="center"/>
              <w:rPr>
                <w:rFonts w:ascii="宋体" w:hAnsi="宋体"/>
              </w:rPr>
            </w:pPr>
            <w:r>
              <w:rPr>
                <w:rFonts w:ascii="宋体" w:hAnsi="宋体"/>
              </w:rPr>
              <w:t>29.68</w:t>
            </w:r>
          </w:p>
        </w:tc>
        <w:tc>
          <w:tcPr>
            <w:tcW w:w="625" w:type="pct"/>
            <w:vAlign w:val="center"/>
          </w:tcPr>
          <w:p w14:paraId="4A4A3790">
            <w:pPr>
              <w:pStyle w:val="13"/>
              <w:jc w:val="center"/>
              <w:rPr>
                <w:rFonts w:ascii="宋体" w:hAnsi="宋体"/>
              </w:rPr>
            </w:pPr>
            <w:r>
              <w:rPr>
                <w:rFonts w:ascii="宋体" w:hAnsi="宋体"/>
              </w:rPr>
              <w:t>1796.1</w:t>
            </w:r>
          </w:p>
        </w:tc>
        <w:tc>
          <w:tcPr>
            <w:tcW w:w="625" w:type="pct"/>
            <w:vAlign w:val="center"/>
          </w:tcPr>
          <w:p w14:paraId="0CC6C370">
            <w:pPr>
              <w:pStyle w:val="13"/>
              <w:jc w:val="center"/>
              <w:rPr>
                <w:rFonts w:ascii="宋体" w:hAnsi="宋体"/>
              </w:rPr>
            </w:pPr>
            <w:r>
              <w:rPr>
                <w:rFonts w:ascii="宋体" w:hAnsi="宋体"/>
              </w:rPr>
              <w:t>1470.6</w:t>
            </w:r>
          </w:p>
        </w:tc>
        <w:tc>
          <w:tcPr>
            <w:tcW w:w="625" w:type="pct"/>
            <w:vAlign w:val="center"/>
          </w:tcPr>
          <w:p w14:paraId="0827CC16">
            <w:pPr>
              <w:pStyle w:val="13"/>
              <w:jc w:val="center"/>
              <w:rPr>
                <w:rFonts w:ascii="宋体" w:hAnsi="宋体"/>
              </w:rPr>
            </w:pPr>
            <w:r>
              <w:rPr>
                <w:rFonts w:ascii="宋体" w:hAnsi="宋体"/>
              </w:rPr>
              <w:t>-30</w:t>
            </w:r>
          </w:p>
        </w:tc>
        <w:tc>
          <w:tcPr>
            <w:tcW w:w="625" w:type="pct"/>
            <w:vAlign w:val="center"/>
          </w:tcPr>
          <w:p w14:paraId="4F3C2D03">
            <w:pPr>
              <w:pStyle w:val="13"/>
              <w:jc w:val="center"/>
              <w:rPr>
                <w:rFonts w:ascii="宋体" w:hAnsi="宋体"/>
              </w:rPr>
            </w:pPr>
            <w:r>
              <w:rPr>
                <w:rFonts w:ascii="宋体" w:hAnsi="宋体"/>
              </w:rPr>
              <w:t>14.5</w:t>
            </w:r>
          </w:p>
        </w:tc>
      </w:tr>
      <w:tr w14:paraId="51B7C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2750B3D5">
            <w:pPr>
              <w:pStyle w:val="13"/>
              <w:jc w:val="center"/>
              <w:rPr>
                <w:rFonts w:ascii="宋体" w:hAnsi="宋体"/>
              </w:rPr>
            </w:pPr>
            <w:r>
              <w:rPr>
                <w:rFonts w:ascii="宋体" w:hAnsi="宋体"/>
              </w:rPr>
              <w:t>2004</w:t>
            </w:r>
          </w:p>
        </w:tc>
        <w:tc>
          <w:tcPr>
            <w:tcW w:w="625" w:type="pct"/>
            <w:vAlign w:val="center"/>
          </w:tcPr>
          <w:p w14:paraId="55DF1AB8">
            <w:pPr>
              <w:pStyle w:val="13"/>
              <w:jc w:val="center"/>
              <w:rPr>
                <w:rFonts w:ascii="宋体" w:hAnsi="宋体"/>
              </w:rPr>
            </w:pPr>
            <w:r>
              <w:rPr>
                <w:rFonts w:ascii="宋体" w:hAnsi="宋体"/>
              </w:rPr>
              <w:t>2361</w:t>
            </w:r>
          </w:p>
        </w:tc>
        <w:tc>
          <w:tcPr>
            <w:tcW w:w="625" w:type="pct"/>
            <w:vAlign w:val="center"/>
          </w:tcPr>
          <w:p w14:paraId="1CAE1695">
            <w:pPr>
              <w:pStyle w:val="13"/>
              <w:jc w:val="center"/>
              <w:rPr>
                <w:rFonts w:ascii="宋体" w:hAnsi="宋体"/>
              </w:rPr>
            </w:pPr>
            <w:r>
              <w:rPr>
                <w:rFonts w:ascii="宋体" w:hAnsi="宋体"/>
              </w:rPr>
              <w:t>1228.10</w:t>
            </w:r>
          </w:p>
        </w:tc>
        <w:tc>
          <w:tcPr>
            <w:tcW w:w="625" w:type="pct"/>
            <w:vAlign w:val="center"/>
          </w:tcPr>
          <w:p w14:paraId="4F6111F2">
            <w:pPr>
              <w:pStyle w:val="13"/>
              <w:jc w:val="center"/>
              <w:rPr>
                <w:rFonts w:ascii="宋体" w:hAnsi="宋体"/>
              </w:rPr>
            </w:pPr>
            <w:r>
              <w:rPr>
                <w:rFonts w:ascii="宋体" w:hAnsi="宋体"/>
              </w:rPr>
              <w:t>29.00</w:t>
            </w:r>
          </w:p>
        </w:tc>
        <w:tc>
          <w:tcPr>
            <w:tcW w:w="625" w:type="pct"/>
            <w:vAlign w:val="center"/>
          </w:tcPr>
          <w:p w14:paraId="3070441B">
            <w:pPr>
              <w:pStyle w:val="13"/>
              <w:jc w:val="center"/>
              <w:rPr>
                <w:rFonts w:ascii="宋体" w:hAnsi="宋体"/>
              </w:rPr>
            </w:pPr>
            <w:r>
              <w:rPr>
                <w:rFonts w:ascii="宋体" w:hAnsi="宋体"/>
              </w:rPr>
              <w:t>1257.1</w:t>
            </w:r>
          </w:p>
        </w:tc>
        <w:tc>
          <w:tcPr>
            <w:tcW w:w="625" w:type="pct"/>
            <w:vAlign w:val="center"/>
          </w:tcPr>
          <w:p w14:paraId="32D38B0B">
            <w:pPr>
              <w:pStyle w:val="13"/>
              <w:jc w:val="center"/>
              <w:rPr>
                <w:rFonts w:ascii="宋体" w:hAnsi="宋体"/>
              </w:rPr>
            </w:pPr>
            <w:r>
              <w:rPr>
                <w:rFonts w:ascii="宋体" w:hAnsi="宋体"/>
              </w:rPr>
              <w:t>1470.6</w:t>
            </w:r>
          </w:p>
        </w:tc>
        <w:tc>
          <w:tcPr>
            <w:tcW w:w="625" w:type="pct"/>
            <w:vAlign w:val="center"/>
          </w:tcPr>
          <w:p w14:paraId="04FC5C83">
            <w:pPr>
              <w:pStyle w:val="13"/>
              <w:jc w:val="center"/>
              <w:rPr>
                <w:rFonts w:ascii="宋体" w:hAnsi="宋体"/>
              </w:rPr>
            </w:pPr>
            <w:r>
              <w:rPr>
                <w:rFonts w:ascii="宋体" w:hAnsi="宋体"/>
              </w:rPr>
              <w:t>-2.3</w:t>
            </w:r>
          </w:p>
        </w:tc>
        <w:tc>
          <w:tcPr>
            <w:tcW w:w="625" w:type="pct"/>
            <w:vAlign w:val="center"/>
          </w:tcPr>
          <w:p w14:paraId="3FABD739">
            <w:pPr>
              <w:pStyle w:val="13"/>
              <w:jc w:val="center"/>
              <w:rPr>
                <w:rFonts w:ascii="宋体" w:hAnsi="宋体"/>
              </w:rPr>
            </w:pPr>
            <w:r>
              <w:rPr>
                <w:rFonts w:ascii="宋体" w:hAnsi="宋体"/>
              </w:rPr>
              <w:t>-16.5</w:t>
            </w:r>
          </w:p>
        </w:tc>
      </w:tr>
      <w:tr w14:paraId="11D1A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162BC28F">
            <w:pPr>
              <w:pStyle w:val="13"/>
              <w:jc w:val="center"/>
              <w:rPr>
                <w:rFonts w:ascii="宋体" w:hAnsi="宋体"/>
              </w:rPr>
            </w:pPr>
            <w:r>
              <w:rPr>
                <w:rFonts w:ascii="宋体" w:hAnsi="宋体"/>
              </w:rPr>
              <w:t>2005</w:t>
            </w:r>
          </w:p>
        </w:tc>
        <w:tc>
          <w:tcPr>
            <w:tcW w:w="625" w:type="pct"/>
            <w:vAlign w:val="center"/>
          </w:tcPr>
          <w:p w14:paraId="580D92FE">
            <w:pPr>
              <w:pStyle w:val="13"/>
              <w:jc w:val="center"/>
              <w:rPr>
                <w:rFonts w:ascii="宋体" w:hAnsi="宋体"/>
              </w:rPr>
            </w:pPr>
            <w:r>
              <w:rPr>
                <w:rFonts w:ascii="宋体" w:hAnsi="宋体"/>
              </w:rPr>
              <w:t>2361</w:t>
            </w:r>
          </w:p>
        </w:tc>
        <w:tc>
          <w:tcPr>
            <w:tcW w:w="625" w:type="pct"/>
            <w:vAlign w:val="center"/>
          </w:tcPr>
          <w:p w14:paraId="1DBC5485">
            <w:pPr>
              <w:pStyle w:val="13"/>
              <w:jc w:val="center"/>
              <w:rPr>
                <w:rFonts w:ascii="宋体" w:hAnsi="宋体"/>
              </w:rPr>
            </w:pPr>
            <w:r>
              <w:rPr>
                <w:rFonts w:ascii="宋体" w:hAnsi="宋体"/>
              </w:rPr>
              <w:t>1686.00</w:t>
            </w:r>
          </w:p>
        </w:tc>
        <w:tc>
          <w:tcPr>
            <w:tcW w:w="625" w:type="pct"/>
            <w:vAlign w:val="center"/>
          </w:tcPr>
          <w:p w14:paraId="0EEDCF32">
            <w:pPr>
              <w:pStyle w:val="13"/>
              <w:jc w:val="center"/>
              <w:rPr>
                <w:rFonts w:ascii="宋体" w:hAnsi="宋体"/>
              </w:rPr>
            </w:pPr>
            <w:r>
              <w:rPr>
                <w:rFonts w:ascii="宋体" w:hAnsi="宋体"/>
              </w:rPr>
              <w:t>39.81</w:t>
            </w:r>
          </w:p>
        </w:tc>
        <w:tc>
          <w:tcPr>
            <w:tcW w:w="625" w:type="pct"/>
            <w:vAlign w:val="center"/>
          </w:tcPr>
          <w:p w14:paraId="06C9117A">
            <w:pPr>
              <w:pStyle w:val="13"/>
              <w:jc w:val="center"/>
              <w:rPr>
                <w:rFonts w:ascii="宋体" w:hAnsi="宋体"/>
              </w:rPr>
            </w:pPr>
            <w:r>
              <w:rPr>
                <w:rFonts w:ascii="宋体" w:hAnsi="宋体"/>
              </w:rPr>
              <w:t>1228.1</w:t>
            </w:r>
          </w:p>
        </w:tc>
        <w:tc>
          <w:tcPr>
            <w:tcW w:w="625" w:type="pct"/>
            <w:vAlign w:val="center"/>
          </w:tcPr>
          <w:p w14:paraId="7496A2A1">
            <w:pPr>
              <w:pStyle w:val="13"/>
              <w:jc w:val="center"/>
              <w:rPr>
                <w:rFonts w:ascii="宋体" w:hAnsi="宋体"/>
              </w:rPr>
            </w:pPr>
            <w:r>
              <w:rPr>
                <w:rFonts w:ascii="宋体" w:hAnsi="宋体"/>
              </w:rPr>
              <w:t>1470.6</w:t>
            </w:r>
          </w:p>
        </w:tc>
        <w:tc>
          <w:tcPr>
            <w:tcW w:w="625" w:type="pct"/>
            <w:vAlign w:val="center"/>
          </w:tcPr>
          <w:p w14:paraId="6154B7DE">
            <w:pPr>
              <w:pStyle w:val="13"/>
              <w:jc w:val="center"/>
              <w:rPr>
                <w:rFonts w:ascii="宋体" w:hAnsi="宋体"/>
              </w:rPr>
            </w:pPr>
            <w:r>
              <w:rPr>
                <w:rFonts w:ascii="宋体" w:hAnsi="宋体"/>
              </w:rPr>
              <w:t>37.3</w:t>
            </w:r>
          </w:p>
        </w:tc>
        <w:tc>
          <w:tcPr>
            <w:tcW w:w="625" w:type="pct"/>
            <w:vAlign w:val="center"/>
          </w:tcPr>
          <w:p w14:paraId="29D051FA">
            <w:pPr>
              <w:pStyle w:val="13"/>
              <w:jc w:val="center"/>
              <w:rPr>
                <w:rFonts w:ascii="宋体" w:hAnsi="宋体"/>
              </w:rPr>
            </w:pPr>
            <w:r>
              <w:rPr>
                <w:rFonts w:ascii="宋体" w:hAnsi="宋体"/>
              </w:rPr>
              <w:t>14.6</w:t>
            </w:r>
          </w:p>
        </w:tc>
      </w:tr>
      <w:tr w14:paraId="2E6D8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130DC63B">
            <w:pPr>
              <w:pStyle w:val="13"/>
              <w:jc w:val="center"/>
              <w:rPr>
                <w:rFonts w:ascii="宋体" w:hAnsi="宋体"/>
              </w:rPr>
            </w:pPr>
            <w:r>
              <w:rPr>
                <w:rFonts w:ascii="宋体" w:hAnsi="宋体"/>
              </w:rPr>
              <w:t>2006</w:t>
            </w:r>
          </w:p>
        </w:tc>
        <w:tc>
          <w:tcPr>
            <w:tcW w:w="625" w:type="pct"/>
            <w:vAlign w:val="center"/>
          </w:tcPr>
          <w:p w14:paraId="74C19FA9">
            <w:pPr>
              <w:pStyle w:val="13"/>
              <w:jc w:val="center"/>
              <w:rPr>
                <w:rFonts w:ascii="宋体" w:hAnsi="宋体"/>
              </w:rPr>
            </w:pPr>
            <w:r>
              <w:rPr>
                <w:rFonts w:ascii="宋体" w:hAnsi="宋体"/>
              </w:rPr>
              <w:t>2361</w:t>
            </w:r>
          </w:p>
        </w:tc>
        <w:tc>
          <w:tcPr>
            <w:tcW w:w="625" w:type="pct"/>
            <w:vAlign w:val="center"/>
          </w:tcPr>
          <w:p w14:paraId="4F255B64">
            <w:pPr>
              <w:pStyle w:val="13"/>
              <w:jc w:val="center"/>
              <w:rPr>
                <w:rFonts w:ascii="宋体" w:hAnsi="宋体"/>
              </w:rPr>
            </w:pPr>
            <w:r>
              <w:rPr>
                <w:rFonts w:ascii="宋体" w:hAnsi="宋体"/>
              </w:rPr>
              <w:t>1717.00</w:t>
            </w:r>
          </w:p>
        </w:tc>
        <w:tc>
          <w:tcPr>
            <w:tcW w:w="625" w:type="pct"/>
            <w:vAlign w:val="center"/>
          </w:tcPr>
          <w:p w14:paraId="3C0BC817">
            <w:pPr>
              <w:pStyle w:val="13"/>
              <w:jc w:val="center"/>
              <w:rPr>
                <w:rFonts w:ascii="宋体" w:hAnsi="宋体"/>
              </w:rPr>
            </w:pPr>
            <w:r>
              <w:rPr>
                <w:rFonts w:ascii="宋体" w:hAnsi="宋体"/>
              </w:rPr>
              <w:t>40.54</w:t>
            </w:r>
          </w:p>
        </w:tc>
        <w:tc>
          <w:tcPr>
            <w:tcW w:w="625" w:type="pct"/>
            <w:vAlign w:val="center"/>
          </w:tcPr>
          <w:p w14:paraId="749FD9CA">
            <w:pPr>
              <w:pStyle w:val="13"/>
              <w:jc w:val="center"/>
              <w:rPr>
                <w:rFonts w:ascii="宋体" w:hAnsi="宋体"/>
              </w:rPr>
            </w:pPr>
            <w:r>
              <w:rPr>
                <w:rFonts w:ascii="宋体" w:hAnsi="宋体"/>
              </w:rPr>
              <w:t>1686.0</w:t>
            </w:r>
          </w:p>
        </w:tc>
        <w:tc>
          <w:tcPr>
            <w:tcW w:w="625" w:type="pct"/>
            <w:vAlign w:val="center"/>
          </w:tcPr>
          <w:p w14:paraId="624CE142">
            <w:pPr>
              <w:pStyle w:val="13"/>
              <w:jc w:val="center"/>
              <w:rPr>
                <w:rFonts w:ascii="宋体" w:hAnsi="宋体"/>
              </w:rPr>
            </w:pPr>
            <w:r>
              <w:rPr>
                <w:rFonts w:ascii="宋体" w:hAnsi="宋体"/>
              </w:rPr>
              <w:t>1470.6</w:t>
            </w:r>
          </w:p>
        </w:tc>
        <w:tc>
          <w:tcPr>
            <w:tcW w:w="625" w:type="pct"/>
            <w:vAlign w:val="center"/>
          </w:tcPr>
          <w:p w14:paraId="7DDD7185">
            <w:pPr>
              <w:pStyle w:val="13"/>
              <w:jc w:val="center"/>
              <w:rPr>
                <w:rFonts w:ascii="宋体" w:hAnsi="宋体"/>
              </w:rPr>
            </w:pPr>
            <w:r>
              <w:rPr>
                <w:rFonts w:ascii="宋体" w:hAnsi="宋体"/>
              </w:rPr>
              <w:t>1.8</w:t>
            </w:r>
          </w:p>
        </w:tc>
        <w:tc>
          <w:tcPr>
            <w:tcW w:w="625" w:type="pct"/>
            <w:vAlign w:val="center"/>
          </w:tcPr>
          <w:p w14:paraId="200FC343">
            <w:pPr>
              <w:pStyle w:val="13"/>
              <w:jc w:val="center"/>
              <w:rPr>
                <w:rFonts w:ascii="宋体" w:hAnsi="宋体"/>
              </w:rPr>
            </w:pPr>
            <w:r>
              <w:rPr>
                <w:rFonts w:ascii="宋体" w:hAnsi="宋体"/>
              </w:rPr>
              <w:t>16.8</w:t>
            </w:r>
          </w:p>
        </w:tc>
      </w:tr>
      <w:tr w14:paraId="2DFB6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0A8D0D8F">
            <w:pPr>
              <w:pStyle w:val="13"/>
              <w:jc w:val="center"/>
              <w:rPr>
                <w:rFonts w:ascii="宋体" w:hAnsi="宋体"/>
              </w:rPr>
            </w:pPr>
            <w:r>
              <w:rPr>
                <w:rFonts w:ascii="宋体" w:hAnsi="宋体"/>
              </w:rPr>
              <w:t>2007</w:t>
            </w:r>
          </w:p>
        </w:tc>
        <w:tc>
          <w:tcPr>
            <w:tcW w:w="625" w:type="pct"/>
            <w:vAlign w:val="center"/>
          </w:tcPr>
          <w:p w14:paraId="7D77AFF6">
            <w:pPr>
              <w:pStyle w:val="13"/>
              <w:jc w:val="center"/>
              <w:rPr>
                <w:rFonts w:ascii="宋体" w:hAnsi="宋体"/>
              </w:rPr>
            </w:pPr>
            <w:r>
              <w:rPr>
                <w:rFonts w:ascii="宋体" w:hAnsi="宋体"/>
              </w:rPr>
              <w:t>2361</w:t>
            </w:r>
          </w:p>
        </w:tc>
        <w:tc>
          <w:tcPr>
            <w:tcW w:w="625" w:type="pct"/>
            <w:vAlign w:val="center"/>
          </w:tcPr>
          <w:p w14:paraId="13502E27">
            <w:pPr>
              <w:pStyle w:val="13"/>
              <w:jc w:val="center"/>
              <w:rPr>
                <w:rFonts w:ascii="宋体" w:hAnsi="宋体"/>
              </w:rPr>
            </w:pPr>
            <w:r>
              <w:rPr>
                <w:rFonts w:ascii="宋体" w:hAnsi="宋体"/>
              </w:rPr>
              <w:t>1377.10</w:t>
            </w:r>
          </w:p>
        </w:tc>
        <w:tc>
          <w:tcPr>
            <w:tcW w:w="625" w:type="pct"/>
            <w:vAlign w:val="center"/>
          </w:tcPr>
          <w:p w14:paraId="4EB8D800">
            <w:pPr>
              <w:pStyle w:val="13"/>
              <w:jc w:val="center"/>
              <w:rPr>
                <w:rFonts w:ascii="宋体" w:hAnsi="宋体"/>
              </w:rPr>
            </w:pPr>
            <w:r>
              <w:rPr>
                <w:rFonts w:ascii="宋体" w:hAnsi="宋体"/>
              </w:rPr>
              <w:t>32.51</w:t>
            </w:r>
          </w:p>
        </w:tc>
        <w:tc>
          <w:tcPr>
            <w:tcW w:w="625" w:type="pct"/>
            <w:vAlign w:val="center"/>
          </w:tcPr>
          <w:p w14:paraId="2B167AB8">
            <w:pPr>
              <w:pStyle w:val="13"/>
              <w:jc w:val="center"/>
              <w:rPr>
                <w:rFonts w:ascii="宋体" w:hAnsi="宋体"/>
              </w:rPr>
            </w:pPr>
            <w:r>
              <w:rPr>
                <w:rFonts w:ascii="宋体" w:hAnsi="宋体"/>
              </w:rPr>
              <w:t>1717.0</w:t>
            </w:r>
          </w:p>
        </w:tc>
        <w:tc>
          <w:tcPr>
            <w:tcW w:w="625" w:type="pct"/>
            <w:vAlign w:val="center"/>
          </w:tcPr>
          <w:p w14:paraId="3372D238">
            <w:pPr>
              <w:pStyle w:val="13"/>
              <w:jc w:val="center"/>
              <w:rPr>
                <w:rFonts w:ascii="宋体" w:hAnsi="宋体"/>
              </w:rPr>
            </w:pPr>
            <w:r>
              <w:rPr>
                <w:rFonts w:ascii="宋体" w:hAnsi="宋体"/>
              </w:rPr>
              <w:t>1470.6</w:t>
            </w:r>
          </w:p>
        </w:tc>
        <w:tc>
          <w:tcPr>
            <w:tcW w:w="625" w:type="pct"/>
            <w:vAlign w:val="center"/>
          </w:tcPr>
          <w:p w14:paraId="3328A88E">
            <w:pPr>
              <w:pStyle w:val="13"/>
              <w:jc w:val="center"/>
              <w:rPr>
                <w:rFonts w:ascii="宋体" w:hAnsi="宋体"/>
              </w:rPr>
            </w:pPr>
            <w:r>
              <w:rPr>
                <w:rFonts w:ascii="宋体" w:hAnsi="宋体"/>
              </w:rPr>
              <w:t>-19.8</w:t>
            </w:r>
          </w:p>
        </w:tc>
        <w:tc>
          <w:tcPr>
            <w:tcW w:w="625" w:type="pct"/>
            <w:vAlign w:val="center"/>
          </w:tcPr>
          <w:p w14:paraId="094A8837">
            <w:pPr>
              <w:pStyle w:val="13"/>
              <w:jc w:val="center"/>
              <w:rPr>
                <w:rFonts w:ascii="宋体" w:hAnsi="宋体"/>
              </w:rPr>
            </w:pPr>
            <w:r>
              <w:rPr>
                <w:rFonts w:ascii="宋体" w:hAnsi="宋体"/>
              </w:rPr>
              <w:t>-6.4</w:t>
            </w:r>
          </w:p>
        </w:tc>
      </w:tr>
      <w:tr w14:paraId="579FB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728595C6">
            <w:pPr>
              <w:pStyle w:val="13"/>
              <w:jc w:val="center"/>
              <w:rPr>
                <w:rFonts w:ascii="宋体" w:hAnsi="宋体"/>
              </w:rPr>
            </w:pPr>
            <w:r>
              <w:rPr>
                <w:rFonts w:ascii="宋体" w:hAnsi="宋体"/>
              </w:rPr>
              <w:t>2008</w:t>
            </w:r>
          </w:p>
        </w:tc>
        <w:tc>
          <w:tcPr>
            <w:tcW w:w="625" w:type="pct"/>
            <w:vAlign w:val="center"/>
          </w:tcPr>
          <w:p w14:paraId="3D28D78C">
            <w:pPr>
              <w:pStyle w:val="13"/>
              <w:jc w:val="center"/>
              <w:rPr>
                <w:rFonts w:ascii="宋体" w:hAnsi="宋体"/>
              </w:rPr>
            </w:pPr>
            <w:r>
              <w:rPr>
                <w:rFonts w:ascii="宋体" w:hAnsi="宋体"/>
              </w:rPr>
              <w:t>2361</w:t>
            </w:r>
          </w:p>
        </w:tc>
        <w:tc>
          <w:tcPr>
            <w:tcW w:w="625" w:type="pct"/>
            <w:vAlign w:val="center"/>
          </w:tcPr>
          <w:p w14:paraId="5A83F57F">
            <w:pPr>
              <w:pStyle w:val="13"/>
              <w:jc w:val="center"/>
              <w:rPr>
                <w:rFonts w:ascii="宋体" w:hAnsi="宋体"/>
              </w:rPr>
            </w:pPr>
            <w:r>
              <w:rPr>
                <w:rFonts w:ascii="宋体" w:hAnsi="宋体"/>
              </w:rPr>
              <w:t>1534.70</w:t>
            </w:r>
          </w:p>
        </w:tc>
        <w:tc>
          <w:tcPr>
            <w:tcW w:w="625" w:type="pct"/>
            <w:vAlign w:val="center"/>
          </w:tcPr>
          <w:p w14:paraId="47182977">
            <w:pPr>
              <w:pStyle w:val="13"/>
              <w:jc w:val="center"/>
              <w:rPr>
                <w:rFonts w:ascii="宋体" w:hAnsi="宋体"/>
              </w:rPr>
            </w:pPr>
            <w:r>
              <w:rPr>
                <w:rFonts w:ascii="宋体" w:hAnsi="宋体"/>
              </w:rPr>
              <w:t>36.23</w:t>
            </w:r>
          </w:p>
        </w:tc>
        <w:tc>
          <w:tcPr>
            <w:tcW w:w="625" w:type="pct"/>
            <w:vAlign w:val="center"/>
          </w:tcPr>
          <w:p w14:paraId="6C4821E3">
            <w:pPr>
              <w:pStyle w:val="13"/>
              <w:jc w:val="center"/>
              <w:rPr>
                <w:rFonts w:ascii="宋体" w:hAnsi="宋体"/>
              </w:rPr>
            </w:pPr>
            <w:r>
              <w:rPr>
                <w:rFonts w:ascii="宋体" w:hAnsi="宋体"/>
              </w:rPr>
              <w:t>1377.1</w:t>
            </w:r>
          </w:p>
        </w:tc>
        <w:tc>
          <w:tcPr>
            <w:tcW w:w="625" w:type="pct"/>
            <w:vAlign w:val="center"/>
          </w:tcPr>
          <w:p w14:paraId="1EBD7C5C">
            <w:pPr>
              <w:pStyle w:val="13"/>
              <w:jc w:val="center"/>
              <w:rPr>
                <w:rFonts w:ascii="宋体" w:hAnsi="宋体"/>
              </w:rPr>
            </w:pPr>
            <w:r>
              <w:rPr>
                <w:rFonts w:ascii="宋体" w:hAnsi="宋体"/>
              </w:rPr>
              <w:t>1470.6</w:t>
            </w:r>
          </w:p>
        </w:tc>
        <w:tc>
          <w:tcPr>
            <w:tcW w:w="625" w:type="pct"/>
            <w:vAlign w:val="center"/>
          </w:tcPr>
          <w:p w14:paraId="3C510F18">
            <w:pPr>
              <w:pStyle w:val="13"/>
              <w:jc w:val="center"/>
              <w:rPr>
                <w:rFonts w:ascii="宋体" w:hAnsi="宋体"/>
              </w:rPr>
            </w:pPr>
            <w:r>
              <w:rPr>
                <w:rFonts w:ascii="宋体" w:hAnsi="宋体"/>
              </w:rPr>
              <w:t>11.4</w:t>
            </w:r>
          </w:p>
        </w:tc>
        <w:tc>
          <w:tcPr>
            <w:tcW w:w="625" w:type="pct"/>
            <w:vAlign w:val="center"/>
          </w:tcPr>
          <w:p w14:paraId="3E4769F3">
            <w:pPr>
              <w:pStyle w:val="13"/>
              <w:jc w:val="center"/>
              <w:rPr>
                <w:rFonts w:ascii="宋体" w:hAnsi="宋体"/>
              </w:rPr>
            </w:pPr>
            <w:r>
              <w:rPr>
                <w:rFonts w:ascii="宋体" w:hAnsi="宋体"/>
              </w:rPr>
              <w:t>4.4</w:t>
            </w:r>
          </w:p>
        </w:tc>
      </w:tr>
      <w:tr w14:paraId="4C5CC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7F3FE37F">
            <w:pPr>
              <w:pStyle w:val="13"/>
              <w:jc w:val="center"/>
              <w:rPr>
                <w:rFonts w:ascii="宋体" w:hAnsi="宋体"/>
              </w:rPr>
            </w:pPr>
            <w:r>
              <w:rPr>
                <w:rFonts w:ascii="宋体" w:hAnsi="宋体"/>
              </w:rPr>
              <w:t>2009</w:t>
            </w:r>
          </w:p>
        </w:tc>
        <w:tc>
          <w:tcPr>
            <w:tcW w:w="625" w:type="pct"/>
            <w:vAlign w:val="center"/>
          </w:tcPr>
          <w:p w14:paraId="60E7AA33">
            <w:pPr>
              <w:pStyle w:val="13"/>
              <w:jc w:val="center"/>
              <w:rPr>
                <w:rFonts w:ascii="宋体" w:hAnsi="宋体"/>
              </w:rPr>
            </w:pPr>
            <w:r>
              <w:rPr>
                <w:rFonts w:ascii="宋体" w:hAnsi="宋体"/>
              </w:rPr>
              <w:t>2361</w:t>
            </w:r>
          </w:p>
        </w:tc>
        <w:tc>
          <w:tcPr>
            <w:tcW w:w="625" w:type="pct"/>
            <w:vAlign w:val="center"/>
          </w:tcPr>
          <w:p w14:paraId="37B2B210">
            <w:pPr>
              <w:pStyle w:val="13"/>
              <w:jc w:val="center"/>
              <w:rPr>
                <w:rFonts w:ascii="宋体" w:hAnsi="宋体"/>
              </w:rPr>
            </w:pPr>
            <w:r>
              <w:rPr>
                <w:rFonts w:ascii="宋体" w:hAnsi="宋体"/>
              </w:rPr>
              <w:t>1267.90</w:t>
            </w:r>
          </w:p>
        </w:tc>
        <w:tc>
          <w:tcPr>
            <w:tcW w:w="625" w:type="pct"/>
            <w:vAlign w:val="center"/>
          </w:tcPr>
          <w:p w14:paraId="217A7A78">
            <w:pPr>
              <w:pStyle w:val="13"/>
              <w:jc w:val="center"/>
              <w:rPr>
                <w:rFonts w:ascii="宋体" w:hAnsi="宋体"/>
              </w:rPr>
            </w:pPr>
            <w:r>
              <w:rPr>
                <w:rFonts w:ascii="宋体" w:hAnsi="宋体"/>
              </w:rPr>
              <w:t>29.94</w:t>
            </w:r>
          </w:p>
        </w:tc>
        <w:tc>
          <w:tcPr>
            <w:tcW w:w="625" w:type="pct"/>
            <w:vAlign w:val="center"/>
          </w:tcPr>
          <w:p w14:paraId="44CB69F2">
            <w:pPr>
              <w:pStyle w:val="13"/>
              <w:jc w:val="center"/>
              <w:rPr>
                <w:rFonts w:ascii="宋体" w:hAnsi="宋体"/>
              </w:rPr>
            </w:pPr>
            <w:r>
              <w:rPr>
                <w:rFonts w:ascii="宋体" w:hAnsi="宋体"/>
              </w:rPr>
              <w:t>1534.7</w:t>
            </w:r>
          </w:p>
        </w:tc>
        <w:tc>
          <w:tcPr>
            <w:tcW w:w="625" w:type="pct"/>
            <w:vAlign w:val="center"/>
          </w:tcPr>
          <w:p w14:paraId="2DD34A29">
            <w:pPr>
              <w:pStyle w:val="13"/>
              <w:jc w:val="center"/>
              <w:rPr>
                <w:rFonts w:ascii="宋体" w:hAnsi="宋体"/>
              </w:rPr>
            </w:pPr>
            <w:r>
              <w:rPr>
                <w:rFonts w:ascii="宋体" w:hAnsi="宋体"/>
              </w:rPr>
              <w:t>1470.6</w:t>
            </w:r>
          </w:p>
        </w:tc>
        <w:tc>
          <w:tcPr>
            <w:tcW w:w="625" w:type="pct"/>
            <w:vAlign w:val="center"/>
          </w:tcPr>
          <w:p w14:paraId="067C207E">
            <w:pPr>
              <w:pStyle w:val="13"/>
              <w:jc w:val="center"/>
              <w:rPr>
                <w:rFonts w:ascii="宋体" w:hAnsi="宋体"/>
              </w:rPr>
            </w:pPr>
            <w:r>
              <w:rPr>
                <w:rFonts w:ascii="宋体" w:hAnsi="宋体"/>
              </w:rPr>
              <w:t>-17.4</w:t>
            </w:r>
          </w:p>
        </w:tc>
        <w:tc>
          <w:tcPr>
            <w:tcW w:w="625" w:type="pct"/>
            <w:vAlign w:val="center"/>
          </w:tcPr>
          <w:p w14:paraId="2F7A0668">
            <w:pPr>
              <w:pStyle w:val="13"/>
              <w:jc w:val="center"/>
              <w:rPr>
                <w:rFonts w:ascii="宋体" w:hAnsi="宋体"/>
              </w:rPr>
            </w:pPr>
            <w:r>
              <w:rPr>
                <w:rFonts w:ascii="宋体" w:hAnsi="宋体"/>
              </w:rPr>
              <w:t>-13.8</w:t>
            </w:r>
          </w:p>
        </w:tc>
      </w:tr>
      <w:tr w14:paraId="75A8D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14:paraId="3FCAB6A5">
            <w:pPr>
              <w:pStyle w:val="13"/>
              <w:jc w:val="center"/>
              <w:rPr>
                <w:rFonts w:ascii="宋体" w:hAnsi="宋体"/>
              </w:rPr>
            </w:pPr>
            <w:r>
              <w:rPr>
                <w:rFonts w:ascii="宋体" w:hAnsi="宋体"/>
              </w:rPr>
              <w:t>2010</w:t>
            </w:r>
          </w:p>
        </w:tc>
        <w:tc>
          <w:tcPr>
            <w:tcW w:w="625" w:type="pct"/>
            <w:vAlign w:val="center"/>
          </w:tcPr>
          <w:p w14:paraId="5EB6397B">
            <w:pPr>
              <w:pStyle w:val="13"/>
              <w:jc w:val="center"/>
              <w:rPr>
                <w:rFonts w:ascii="宋体" w:hAnsi="宋体"/>
              </w:rPr>
            </w:pPr>
            <w:r>
              <w:rPr>
                <w:rFonts w:ascii="宋体" w:hAnsi="宋体"/>
              </w:rPr>
              <w:t>2361</w:t>
            </w:r>
          </w:p>
        </w:tc>
        <w:tc>
          <w:tcPr>
            <w:tcW w:w="625" w:type="pct"/>
            <w:vAlign w:val="center"/>
          </w:tcPr>
          <w:p w14:paraId="30BFAEA0">
            <w:pPr>
              <w:pStyle w:val="13"/>
              <w:jc w:val="center"/>
              <w:rPr>
                <w:rFonts w:ascii="宋体" w:hAnsi="宋体"/>
              </w:rPr>
            </w:pPr>
            <w:r>
              <w:rPr>
                <w:rFonts w:ascii="宋体" w:hAnsi="宋体"/>
              </w:rPr>
              <w:t>1707.40</w:t>
            </w:r>
          </w:p>
        </w:tc>
        <w:tc>
          <w:tcPr>
            <w:tcW w:w="625" w:type="pct"/>
            <w:vAlign w:val="center"/>
          </w:tcPr>
          <w:p w14:paraId="6B6EC9EE">
            <w:pPr>
              <w:pStyle w:val="13"/>
              <w:jc w:val="center"/>
              <w:rPr>
                <w:rFonts w:ascii="宋体" w:hAnsi="宋体"/>
              </w:rPr>
            </w:pPr>
            <w:r>
              <w:rPr>
                <w:rFonts w:ascii="宋体" w:hAnsi="宋体"/>
              </w:rPr>
              <w:t>40.31</w:t>
            </w:r>
          </w:p>
        </w:tc>
        <w:tc>
          <w:tcPr>
            <w:tcW w:w="625" w:type="pct"/>
            <w:vAlign w:val="center"/>
          </w:tcPr>
          <w:p w14:paraId="715638EA">
            <w:pPr>
              <w:pStyle w:val="13"/>
              <w:jc w:val="center"/>
              <w:rPr>
                <w:rFonts w:ascii="宋体" w:hAnsi="宋体"/>
              </w:rPr>
            </w:pPr>
            <w:r>
              <w:rPr>
                <w:rFonts w:ascii="宋体" w:hAnsi="宋体"/>
              </w:rPr>
              <w:t>1267.9</w:t>
            </w:r>
          </w:p>
        </w:tc>
        <w:tc>
          <w:tcPr>
            <w:tcW w:w="625" w:type="pct"/>
            <w:vAlign w:val="center"/>
          </w:tcPr>
          <w:p w14:paraId="09038E11">
            <w:pPr>
              <w:pStyle w:val="13"/>
              <w:jc w:val="center"/>
              <w:rPr>
                <w:rFonts w:ascii="宋体" w:hAnsi="宋体"/>
              </w:rPr>
            </w:pPr>
            <w:r>
              <w:rPr>
                <w:rFonts w:ascii="宋体" w:hAnsi="宋体"/>
              </w:rPr>
              <w:t>1470.6</w:t>
            </w:r>
          </w:p>
        </w:tc>
        <w:tc>
          <w:tcPr>
            <w:tcW w:w="625" w:type="pct"/>
            <w:vAlign w:val="center"/>
          </w:tcPr>
          <w:p w14:paraId="1FBF6A5C">
            <w:pPr>
              <w:pStyle w:val="13"/>
              <w:jc w:val="center"/>
              <w:rPr>
                <w:rFonts w:ascii="宋体" w:hAnsi="宋体"/>
              </w:rPr>
            </w:pPr>
            <w:r>
              <w:rPr>
                <w:rFonts w:ascii="宋体" w:hAnsi="宋体"/>
              </w:rPr>
              <w:t>34.7</w:t>
            </w:r>
          </w:p>
        </w:tc>
        <w:tc>
          <w:tcPr>
            <w:tcW w:w="625" w:type="pct"/>
            <w:vAlign w:val="center"/>
          </w:tcPr>
          <w:p w14:paraId="7BE346CC">
            <w:pPr>
              <w:pStyle w:val="13"/>
              <w:jc w:val="center"/>
              <w:rPr>
                <w:rFonts w:hint="eastAsia" w:ascii="宋体" w:hAnsi="宋体"/>
              </w:rPr>
            </w:pPr>
            <w:r>
              <w:rPr>
                <w:rFonts w:ascii="宋体" w:hAnsi="宋体"/>
              </w:rPr>
              <w:t>16.1</w:t>
            </w:r>
          </w:p>
        </w:tc>
      </w:tr>
    </w:tbl>
    <w:p w14:paraId="784C395F">
      <w:pPr>
        <w:ind w:firstLine="0" w:firstLineChars="0"/>
        <w:jc w:val="center"/>
        <w:rPr>
          <w:rFonts w:hint="eastAsia" w:ascii="宋体" w:hAnsi="宋体"/>
          <w:b/>
        </w:rPr>
      </w:pPr>
      <w:commentRangeStart w:id="1"/>
      <w:r>
        <w:rPr>
          <w:rFonts w:hint="eastAsia" w:ascii="宋体" w:hAnsi="宋体"/>
          <w:b/>
        </w:rPr>
        <w:t>表3-2  南雄市地表水资源量（2003～2010年）</w:t>
      </w:r>
      <w:commentRangeEnd w:id="1"/>
      <w:r>
        <w:rPr>
          <w:rStyle w:val="12"/>
          <w:rFonts w:ascii="宋体" w:hAnsi="宋体"/>
        </w:rPr>
        <w:commentReference w:id="1"/>
      </w: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2490"/>
        <w:gridCol w:w="2491"/>
        <w:gridCol w:w="2491"/>
      </w:tblGrid>
      <w:tr w14:paraId="688F8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vAlign w:val="center"/>
          </w:tcPr>
          <w:p w14:paraId="600BB2FB">
            <w:pPr>
              <w:pStyle w:val="13"/>
              <w:jc w:val="center"/>
              <w:rPr>
                <w:rFonts w:hint="eastAsia" w:ascii="宋体" w:hAnsi="宋体"/>
                <w:b/>
              </w:rPr>
            </w:pPr>
            <w:r>
              <w:rPr>
                <w:rFonts w:hint="eastAsia" w:ascii="宋体" w:hAnsi="宋体"/>
                <w:b/>
              </w:rPr>
              <w:t>年度</w:t>
            </w:r>
          </w:p>
        </w:tc>
        <w:tc>
          <w:tcPr>
            <w:tcW w:w="1250" w:type="pct"/>
            <w:vAlign w:val="center"/>
          </w:tcPr>
          <w:p w14:paraId="6BBADB74">
            <w:pPr>
              <w:pStyle w:val="13"/>
              <w:jc w:val="center"/>
              <w:rPr>
                <w:rFonts w:hint="eastAsia" w:ascii="宋体" w:hAnsi="宋体"/>
                <w:b/>
              </w:rPr>
            </w:pPr>
            <w:r>
              <w:rPr>
                <w:rFonts w:hint="eastAsia" w:ascii="宋体" w:hAnsi="宋体"/>
                <w:b/>
              </w:rPr>
              <w:t>地表水资源量</w:t>
            </w:r>
          </w:p>
          <w:p w14:paraId="7A650014">
            <w:pPr>
              <w:pStyle w:val="13"/>
              <w:jc w:val="center"/>
              <w:rPr>
                <w:rFonts w:hint="eastAsia" w:ascii="宋体" w:hAnsi="宋体"/>
                <w:b/>
              </w:rPr>
            </w:pPr>
            <w:r>
              <w:rPr>
                <w:rFonts w:hint="eastAsia" w:ascii="宋体" w:hAnsi="宋体"/>
                <w:b/>
              </w:rPr>
              <w:t>（亿立方米)</w:t>
            </w:r>
          </w:p>
        </w:tc>
        <w:tc>
          <w:tcPr>
            <w:tcW w:w="1250" w:type="pct"/>
            <w:vAlign w:val="center"/>
          </w:tcPr>
          <w:p w14:paraId="117DC2E3">
            <w:pPr>
              <w:pStyle w:val="13"/>
              <w:jc w:val="center"/>
              <w:rPr>
                <w:rFonts w:hint="eastAsia" w:ascii="宋体" w:hAnsi="宋体"/>
                <w:b/>
              </w:rPr>
            </w:pPr>
            <w:r>
              <w:rPr>
                <w:rFonts w:hint="eastAsia" w:ascii="宋体" w:hAnsi="宋体"/>
                <w:b/>
              </w:rPr>
              <w:t>多年平均地表水资源量（亿立方米）</w:t>
            </w:r>
          </w:p>
        </w:tc>
        <w:tc>
          <w:tcPr>
            <w:tcW w:w="1250" w:type="pct"/>
            <w:vAlign w:val="center"/>
          </w:tcPr>
          <w:p w14:paraId="1D24D053">
            <w:pPr>
              <w:pStyle w:val="13"/>
              <w:jc w:val="center"/>
              <w:rPr>
                <w:rFonts w:hint="eastAsia" w:ascii="宋体" w:hAnsi="宋体"/>
                <w:b/>
              </w:rPr>
            </w:pPr>
            <w:r>
              <w:rPr>
                <w:rFonts w:hint="eastAsia" w:ascii="宋体" w:hAnsi="宋体"/>
                <w:b/>
              </w:rPr>
              <w:t>与多年均值比较（%）</w:t>
            </w:r>
          </w:p>
        </w:tc>
      </w:tr>
      <w:tr w14:paraId="2B82BF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vAlign w:val="center"/>
          </w:tcPr>
          <w:p w14:paraId="3357FE2E">
            <w:pPr>
              <w:pStyle w:val="13"/>
              <w:jc w:val="center"/>
              <w:rPr>
                <w:rFonts w:ascii="宋体" w:hAnsi="宋体"/>
              </w:rPr>
            </w:pPr>
            <w:r>
              <w:rPr>
                <w:rFonts w:ascii="宋体" w:hAnsi="宋体"/>
              </w:rPr>
              <w:t>2003</w:t>
            </w:r>
          </w:p>
        </w:tc>
        <w:tc>
          <w:tcPr>
            <w:tcW w:w="1250" w:type="pct"/>
            <w:vAlign w:val="center"/>
          </w:tcPr>
          <w:p w14:paraId="58D24D0E">
            <w:pPr>
              <w:pStyle w:val="13"/>
              <w:jc w:val="center"/>
              <w:rPr>
                <w:rFonts w:ascii="宋体" w:hAnsi="宋体"/>
              </w:rPr>
            </w:pPr>
            <w:r>
              <w:rPr>
                <w:rFonts w:ascii="宋体" w:hAnsi="宋体"/>
              </w:rPr>
              <w:t>17.85</w:t>
            </w:r>
          </w:p>
        </w:tc>
        <w:tc>
          <w:tcPr>
            <w:tcW w:w="1250" w:type="pct"/>
            <w:vAlign w:val="center"/>
          </w:tcPr>
          <w:p w14:paraId="1968FA88">
            <w:pPr>
              <w:pStyle w:val="13"/>
              <w:jc w:val="center"/>
              <w:rPr>
                <w:rFonts w:ascii="宋体" w:hAnsi="宋体"/>
              </w:rPr>
            </w:pPr>
            <w:r>
              <w:rPr>
                <w:rFonts w:ascii="宋体" w:hAnsi="宋体"/>
              </w:rPr>
              <w:t>18.73</w:t>
            </w:r>
          </w:p>
        </w:tc>
        <w:tc>
          <w:tcPr>
            <w:tcW w:w="1250" w:type="pct"/>
            <w:vAlign w:val="center"/>
          </w:tcPr>
          <w:p w14:paraId="7483A283">
            <w:pPr>
              <w:pStyle w:val="13"/>
              <w:jc w:val="center"/>
              <w:rPr>
                <w:rFonts w:ascii="宋体" w:hAnsi="宋体"/>
              </w:rPr>
            </w:pPr>
            <w:r>
              <w:rPr>
                <w:rFonts w:ascii="宋体" w:hAnsi="宋体"/>
              </w:rPr>
              <w:t>-4.7</w:t>
            </w:r>
          </w:p>
        </w:tc>
      </w:tr>
      <w:tr w14:paraId="2EABD1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vAlign w:val="center"/>
          </w:tcPr>
          <w:p w14:paraId="41D7CA5F">
            <w:pPr>
              <w:pStyle w:val="13"/>
              <w:jc w:val="center"/>
              <w:rPr>
                <w:rFonts w:ascii="宋体" w:hAnsi="宋体"/>
              </w:rPr>
            </w:pPr>
            <w:r>
              <w:rPr>
                <w:rFonts w:ascii="宋体" w:hAnsi="宋体"/>
              </w:rPr>
              <w:t>2004</w:t>
            </w:r>
          </w:p>
        </w:tc>
        <w:tc>
          <w:tcPr>
            <w:tcW w:w="1250" w:type="pct"/>
            <w:vAlign w:val="center"/>
          </w:tcPr>
          <w:p w14:paraId="42038BBD">
            <w:pPr>
              <w:pStyle w:val="13"/>
              <w:jc w:val="center"/>
              <w:rPr>
                <w:rFonts w:ascii="宋体" w:hAnsi="宋体"/>
              </w:rPr>
            </w:pPr>
            <w:r>
              <w:rPr>
                <w:rFonts w:ascii="宋体" w:hAnsi="宋体"/>
              </w:rPr>
              <w:t>13.05</w:t>
            </w:r>
          </w:p>
        </w:tc>
        <w:tc>
          <w:tcPr>
            <w:tcW w:w="1250" w:type="pct"/>
            <w:vAlign w:val="center"/>
          </w:tcPr>
          <w:p w14:paraId="7E5DB2E8">
            <w:pPr>
              <w:pStyle w:val="13"/>
              <w:jc w:val="center"/>
              <w:rPr>
                <w:rFonts w:ascii="宋体" w:hAnsi="宋体"/>
              </w:rPr>
            </w:pPr>
            <w:r>
              <w:rPr>
                <w:rFonts w:ascii="宋体" w:hAnsi="宋体"/>
              </w:rPr>
              <w:t>18.73</w:t>
            </w:r>
          </w:p>
        </w:tc>
        <w:tc>
          <w:tcPr>
            <w:tcW w:w="1250" w:type="pct"/>
            <w:vAlign w:val="center"/>
          </w:tcPr>
          <w:p w14:paraId="0FE6833F">
            <w:pPr>
              <w:pStyle w:val="13"/>
              <w:jc w:val="center"/>
              <w:rPr>
                <w:rFonts w:ascii="宋体" w:hAnsi="宋体"/>
              </w:rPr>
            </w:pPr>
            <w:r>
              <w:rPr>
                <w:rFonts w:ascii="宋体" w:hAnsi="宋体"/>
              </w:rPr>
              <w:t>-30.3</w:t>
            </w:r>
          </w:p>
        </w:tc>
      </w:tr>
      <w:tr w14:paraId="13CCB4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vAlign w:val="center"/>
          </w:tcPr>
          <w:p w14:paraId="084EA398">
            <w:pPr>
              <w:pStyle w:val="13"/>
              <w:jc w:val="center"/>
              <w:rPr>
                <w:rFonts w:ascii="宋体" w:hAnsi="宋体"/>
              </w:rPr>
            </w:pPr>
            <w:r>
              <w:rPr>
                <w:rFonts w:ascii="宋体" w:hAnsi="宋体"/>
              </w:rPr>
              <w:t>2005</w:t>
            </w:r>
          </w:p>
        </w:tc>
        <w:tc>
          <w:tcPr>
            <w:tcW w:w="1250" w:type="pct"/>
            <w:vAlign w:val="center"/>
          </w:tcPr>
          <w:p w14:paraId="25408F4A">
            <w:pPr>
              <w:pStyle w:val="13"/>
              <w:jc w:val="center"/>
              <w:rPr>
                <w:rFonts w:ascii="宋体" w:hAnsi="宋体"/>
              </w:rPr>
            </w:pPr>
            <w:r>
              <w:rPr>
                <w:rFonts w:ascii="宋体" w:hAnsi="宋体"/>
              </w:rPr>
              <w:t>24.46</w:t>
            </w:r>
          </w:p>
        </w:tc>
        <w:tc>
          <w:tcPr>
            <w:tcW w:w="1250" w:type="pct"/>
            <w:vAlign w:val="center"/>
          </w:tcPr>
          <w:p w14:paraId="6A32F71D">
            <w:pPr>
              <w:pStyle w:val="13"/>
              <w:jc w:val="center"/>
              <w:rPr>
                <w:rFonts w:ascii="宋体" w:hAnsi="宋体"/>
              </w:rPr>
            </w:pPr>
            <w:r>
              <w:rPr>
                <w:rFonts w:ascii="宋体" w:hAnsi="宋体"/>
              </w:rPr>
              <w:t>18.73</w:t>
            </w:r>
          </w:p>
        </w:tc>
        <w:tc>
          <w:tcPr>
            <w:tcW w:w="1250" w:type="pct"/>
            <w:vAlign w:val="center"/>
          </w:tcPr>
          <w:p w14:paraId="5336D40C">
            <w:pPr>
              <w:pStyle w:val="13"/>
              <w:jc w:val="center"/>
              <w:rPr>
                <w:rFonts w:ascii="宋体" w:hAnsi="宋体"/>
              </w:rPr>
            </w:pPr>
            <w:r>
              <w:rPr>
                <w:rFonts w:ascii="宋体" w:hAnsi="宋体"/>
              </w:rPr>
              <w:t>30.6</w:t>
            </w:r>
          </w:p>
        </w:tc>
      </w:tr>
      <w:tr w14:paraId="4A253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vAlign w:val="center"/>
          </w:tcPr>
          <w:p w14:paraId="726712D9">
            <w:pPr>
              <w:pStyle w:val="13"/>
              <w:jc w:val="center"/>
              <w:rPr>
                <w:rFonts w:ascii="宋体" w:hAnsi="宋体"/>
              </w:rPr>
            </w:pPr>
            <w:r>
              <w:rPr>
                <w:rFonts w:ascii="宋体" w:hAnsi="宋体"/>
              </w:rPr>
              <w:t>2006</w:t>
            </w:r>
          </w:p>
        </w:tc>
        <w:tc>
          <w:tcPr>
            <w:tcW w:w="1250" w:type="pct"/>
            <w:vAlign w:val="center"/>
          </w:tcPr>
          <w:p w14:paraId="41B2ABB6">
            <w:pPr>
              <w:pStyle w:val="13"/>
              <w:jc w:val="center"/>
              <w:rPr>
                <w:rFonts w:ascii="宋体" w:hAnsi="宋体"/>
              </w:rPr>
            </w:pPr>
            <w:r>
              <w:rPr>
                <w:rFonts w:ascii="宋体" w:hAnsi="宋体"/>
              </w:rPr>
              <w:t>22.87</w:t>
            </w:r>
          </w:p>
        </w:tc>
        <w:tc>
          <w:tcPr>
            <w:tcW w:w="1250" w:type="pct"/>
            <w:vAlign w:val="center"/>
          </w:tcPr>
          <w:p w14:paraId="1EAE23C0">
            <w:pPr>
              <w:pStyle w:val="13"/>
              <w:jc w:val="center"/>
              <w:rPr>
                <w:rFonts w:ascii="宋体" w:hAnsi="宋体"/>
              </w:rPr>
            </w:pPr>
            <w:r>
              <w:rPr>
                <w:rFonts w:ascii="宋体" w:hAnsi="宋体"/>
              </w:rPr>
              <w:t>18.74</w:t>
            </w:r>
          </w:p>
        </w:tc>
        <w:tc>
          <w:tcPr>
            <w:tcW w:w="1250" w:type="pct"/>
            <w:vAlign w:val="center"/>
          </w:tcPr>
          <w:p w14:paraId="43F53955">
            <w:pPr>
              <w:pStyle w:val="13"/>
              <w:jc w:val="center"/>
              <w:rPr>
                <w:rFonts w:ascii="宋体" w:hAnsi="宋体"/>
              </w:rPr>
            </w:pPr>
            <w:r>
              <w:rPr>
                <w:rFonts w:ascii="宋体" w:hAnsi="宋体"/>
              </w:rPr>
              <w:t>22.1</w:t>
            </w:r>
          </w:p>
        </w:tc>
      </w:tr>
      <w:tr w14:paraId="31F09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vAlign w:val="center"/>
          </w:tcPr>
          <w:p w14:paraId="75197160">
            <w:pPr>
              <w:pStyle w:val="13"/>
              <w:jc w:val="center"/>
              <w:rPr>
                <w:rFonts w:ascii="宋体" w:hAnsi="宋体"/>
              </w:rPr>
            </w:pPr>
            <w:r>
              <w:rPr>
                <w:rFonts w:ascii="宋体" w:hAnsi="宋体"/>
              </w:rPr>
              <w:t>2007</w:t>
            </w:r>
          </w:p>
        </w:tc>
        <w:tc>
          <w:tcPr>
            <w:tcW w:w="1250" w:type="pct"/>
            <w:vAlign w:val="center"/>
          </w:tcPr>
          <w:p w14:paraId="1F70C393">
            <w:pPr>
              <w:pStyle w:val="13"/>
              <w:jc w:val="center"/>
              <w:rPr>
                <w:rFonts w:ascii="宋体" w:hAnsi="宋体"/>
              </w:rPr>
            </w:pPr>
            <w:r>
              <w:rPr>
                <w:rFonts w:ascii="宋体" w:hAnsi="宋体"/>
              </w:rPr>
              <w:t>18.17</w:t>
            </w:r>
          </w:p>
        </w:tc>
        <w:tc>
          <w:tcPr>
            <w:tcW w:w="1250" w:type="pct"/>
            <w:vAlign w:val="center"/>
          </w:tcPr>
          <w:p w14:paraId="48559ABD">
            <w:pPr>
              <w:pStyle w:val="13"/>
              <w:jc w:val="center"/>
              <w:rPr>
                <w:rFonts w:ascii="宋体" w:hAnsi="宋体"/>
              </w:rPr>
            </w:pPr>
            <w:r>
              <w:rPr>
                <w:rFonts w:ascii="宋体" w:hAnsi="宋体"/>
              </w:rPr>
              <w:t>18.73</w:t>
            </w:r>
          </w:p>
        </w:tc>
        <w:tc>
          <w:tcPr>
            <w:tcW w:w="1250" w:type="pct"/>
            <w:vAlign w:val="center"/>
          </w:tcPr>
          <w:p w14:paraId="232F1609">
            <w:pPr>
              <w:pStyle w:val="13"/>
              <w:jc w:val="center"/>
              <w:rPr>
                <w:rFonts w:ascii="宋体" w:hAnsi="宋体"/>
              </w:rPr>
            </w:pPr>
            <w:r>
              <w:rPr>
                <w:rFonts w:ascii="宋体" w:hAnsi="宋体"/>
              </w:rPr>
              <w:t>-3.0</w:t>
            </w:r>
          </w:p>
        </w:tc>
      </w:tr>
      <w:tr w14:paraId="546B4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vAlign w:val="center"/>
          </w:tcPr>
          <w:p w14:paraId="26DCF1EC">
            <w:pPr>
              <w:pStyle w:val="13"/>
              <w:jc w:val="center"/>
              <w:rPr>
                <w:rFonts w:ascii="宋体" w:hAnsi="宋体"/>
              </w:rPr>
            </w:pPr>
            <w:r>
              <w:rPr>
                <w:rFonts w:ascii="宋体" w:hAnsi="宋体"/>
              </w:rPr>
              <w:t>2008</w:t>
            </w:r>
          </w:p>
        </w:tc>
        <w:tc>
          <w:tcPr>
            <w:tcW w:w="1250" w:type="pct"/>
            <w:vAlign w:val="center"/>
          </w:tcPr>
          <w:p w14:paraId="4C411E85">
            <w:pPr>
              <w:pStyle w:val="13"/>
              <w:jc w:val="center"/>
              <w:rPr>
                <w:rFonts w:ascii="宋体" w:hAnsi="宋体"/>
              </w:rPr>
            </w:pPr>
            <w:r>
              <w:rPr>
                <w:rFonts w:ascii="宋体" w:hAnsi="宋体"/>
              </w:rPr>
              <w:t>19.48</w:t>
            </w:r>
          </w:p>
        </w:tc>
        <w:tc>
          <w:tcPr>
            <w:tcW w:w="1250" w:type="pct"/>
            <w:vAlign w:val="center"/>
          </w:tcPr>
          <w:p w14:paraId="761F8585">
            <w:pPr>
              <w:pStyle w:val="13"/>
              <w:jc w:val="center"/>
              <w:rPr>
                <w:rFonts w:ascii="宋体" w:hAnsi="宋体"/>
              </w:rPr>
            </w:pPr>
            <w:r>
              <w:rPr>
                <w:rFonts w:ascii="宋体" w:hAnsi="宋体"/>
              </w:rPr>
              <w:t>18.73</w:t>
            </w:r>
          </w:p>
        </w:tc>
        <w:tc>
          <w:tcPr>
            <w:tcW w:w="1250" w:type="pct"/>
            <w:vAlign w:val="center"/>
          </w:tcPr>
          <w:p w14:paraId="1BD8053B">
            <w:pPr>
              <w:pStyle w:val="13"/>
              <w:jc w:val="center"/>
              <w:rPr>
                <w:rFonts w:ascii="宋体" w:hAnsi="宋体"/>
              </w:rPr>
            </w:pPr>
            <w:r>
              <w:rPr>
                <w:rFonts w:ascii="宋体" w:hAnsi="宋体"/>
              </w:rPr>
              <w:t>4.0</w:t>
            </w:r>
          </w:p>
        </w:tc>
      </w:tr>
      <w:tr w14:paraId="34DE5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vAlign w:val="center"/>
          </w:tcPr>
          <w:p w14:paraId="3CCBC271">
            <w:pPr>
              <w:pStyle w:val="13"/>
              <w:jc w:val="center"/>
              <w:rPr>
                <w:rFonts w:ascii="宋体" w:hAnsi="宋体"/>
              </w:rPr>
            </w:pPr>
            <w:r>
              <w:rPr>
                <w:rFonts w:ascii="宋体" w:hAnsi="宋体"/>
              </w:rPr>
              <w:t>2009</w:t>
            </w:r>
          </w:p>
        </w:tc>
        <w:tc>
          <w:tcPr>
            <w:tcW w:w="1250" w:type="pct"/>
            <w:vAlign w:val="center"/>
          </w:tcPr>
          <w:p w14:paraId="116CDB2C">
            <w:pPr>
              <w:pStyle w:val="13"/>
              <w:jc w:val="center"/>
              <w:rPr>
                <w:rFonts w:ascii="宋体" w:hAnsi="宋体"/>
              </w:rPr>
            </w:pPr>
            <w:r>
              <w:rPr>
                <w:rFonts w:ascii="宋体" w:hAnsi="宋体"/>
              </w:rPr>
              <w:t>15.22</w:t>
            </w:r>
          </w:p>
        </w:tc>
        <w:tc>
          <w:tcPr>
            <w:tcW w:w="1250" w:type="pct"/>
            <w:vAlign w:val="center"/>
          </w:tcPr>
          <w:p w14:paraId="6320E4BB">
            <w:pPr>
              <w:pStyle w:val="13"/>
              <w:jc w:val="center"/>
              <w:rPr>
                <w:rFonts w:ascii="宋体" w:hAnsi="宋体"/>
              </w:rPr>
            </w:pPr>
            <w:r>
              <w:rPr>
                <w:rFonts w:ascii="宋体" w:hAnsi="宋体"/>
              </w:rPr>
              <w:t>18.73</w:t>
            </w:r>
          </w:p>
        </w:tc>
        <w:tc>
          <w:tcPr>
            <w:tcW w:w="1250" w:type="pct"/>
            <w:vAlign w:val="center"/>
          </w:tcPr>
          <w:p w14:paraId="1762D04F">
            <w:pPr>
              <w:pStyle w:val="13"/>
              <w:jc w:val="center"/>
              <w:rPr>
                <w:rFonts w:ascii="宋体" w:hAnsi="宋体"/>
              </w:rPr>
            </w:pPr>
            <w:r>
              <w:rPr>
                <w:rFonts w:ascii="宋体" w:hAnsi="宋体"/>
              </w:rPr>
              <w:t>-18.7</w:t>
            </w:r>
          </w:p>
        </w:tc>
      </w:tr>
      <w:tr w14:paraId="49364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0" w:type="pct"/>
            <w:vAlign w:val="center"/>
          </w:tcPr>
          <w:p w14:paraId="72D0E0F3">
            <w:pPr>
              <w:pStyle w:val="13"/>
              <w:jc w:val="center"/>
              <w:rPr>
                <w:rFonts w:ascii="宋体" w:hAnsi="宋体"/>
              </w:rPr>
            </w:pPr>
            <w:r>
              <w:rPr>
                <w:rFonts w:ascii="宋体" w:hAnsi="宋体"/>
              </w:rPr>
              <w:t>2010</w:t>
            </w:r>
          </w:p>
        </w:tc>
        <w:tc>
          <w:tcPr>
            <w:tcW w:w="1250" w:type="pct"/>
            <w:vAlign w:val="center"/>
          </w:tcPr>
          <w:p w14:paraId="2B0975C9">
            <w:pPr>
              <w:pStyle w:val="13"/>
              <w:jc w:val="center"/>
              <w:rPr>
                <w:rFonts w:ascii="宋体" w:hAnsi="宋体"/>
              </w:rPr>
            </w:pPr>
            <w:r>
              <w:rPr>
                <w:rFonts w:ascii="宋体" w:hAnsi="宋体"/>
              </w:rPr>
              <w:t>23.38</w:t>
            </w:r>
          </w:p>
        </w:tc>
        <w:tc>
          <w:tcPr>
            <w:tcW w:w="1250" w:type="pct"/>
            <w:vAlign w:val="center"/>
          </w:tcPr>
          <w:p w14:paraId="20C2D91F">
            <w:pPr>
              <w:pStyle w:val="13"/>
              <w:jc w:val="center"/>
              <w:rPr>
                <w:rFonts w:ascii="宋体" w:hAnsi="宋体"/>
              </w:rPr>
            </w:pPr>
            <w:r>
              <w:rPr>
                <w:rFonts w:ascii="宋体" w:hAnsi="宋体"/>
              </w:rPr>
              <w:t>18.73</w:t>
            </w:r>
          </w:p>
        </w:tc>
        <w:tc>
          <w:tcPr>
            <w:tcW w:w="1250" w:type="pct"/>
            <w:vAlign w:val="center"/>
          </w:tcPr>
          <w:p w14:paraId="4623F477">
            <w:pPr>
              <w:pStyle w:val="13"/>
              <w:jc w:val="center"/>
              <w:rPr>
                <w:rFonts w:hint="eastAsia" w:ascii="宋体" w:hAnsi="宋体"/>
              </w:rPr>
            </w:pPr>
            <w:r>
              <w:rPr>
                <w:rFonts w:ascii="宋体" w:hAnsi="宋体"/>
              </w:rPr>
              <w:t>24.8</w:t>
            </w:r>
          </w:p>
        </w:tc>
      </w:tr>
    </w:tbl>
    <w:p w14:paraId="2FEF4D25">
      <w:pPr>
        <w:ind w:firstLine="0" w:firstLineChars="0"/>
        <w:jc w:val="center"/>
        <w:rPr>
          <w:rFonts w:hint="eastAsia" w:ascii="宋体" w:hAnsi="宋体"/>
          <w:b/>
        </w:rPr>
      </w:pPr>
      <w:commentRangeStart w:id="2"/>
      <w:r>
        <w:rPr>
          <w:rFonts w:hint="eastAsia" w:ascii="宋体" w:hAnsi="宋体"/>
          <w:b/>
        </w:rPr>
        <w:t>表3-3  南雄市地下水资源量（2003～2010年）</w:t>
      </w:r>
      <w:commentRangeEnd w:id="2"/>
      <w:r>
        <w:rPr>
          <w:rStyle w:val="12"/>
          <w:rFonts w:ascii="宋体" w:hAnsi="宋体"/>
        </w:rPr>
        <w:commentReference w:id="2"/>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2490"/>
        <w:gridCol w:w="2491"/>
        <w:gridCol w:w="2491"/>
      </w:tblGrid>
      <w:tr w14:paraId="17CB8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A45B721">
            <w:pPr>
              <w:pStyle w:val="13"/>
              <w:jc w:val="center"/>
              <w:rPr>
                <w:rFonts w:hint="eastAsia" w:ascii="宋体" w:hAnsi="宋体"/>
                <w:b/>
              </w:rPr>
            </w:pPr>
            <w:r>
              <w:rPr>
                <w:rFonts w:hint="eastAsia" w:ascii="宋体" w:hAnsi="宋体"/>
                <w:b/>
              </w:rPr>
              <w:t>年度</w:t>
            </w:r>
          </w:p>
        </w:tc>
        <w:tc>
          <w:tcPr>
            <w:tcW w:w="1250" w:type="pct"/>
            <w:vAlign w:val="center"/>
          </w:tcPr>
          <w:p w14:paraId="719128D6">
            <w:pPr>
              <w:pStyle w:val="13"/>
              <w:jc w:val="center"/>
              <w:rPr>
                <w:rFonts w:hint="eastAsia" w:ascii="宋体" w:hAnsi="宋体"/>
                <w:b/>
              </w:rPr>
            </w:pPr>
            <w:r>
              <w:rPr>
                <w:rFonts w:hint="eastAsia" w:ascii="宋体" w:hAnsi="宋体"/>
                <w:b/>
              </w:rPr>
              <w:t>地下水资源量</w:t>
            </w:r>
          </w:p>
          <w:p w14:paraId="22F036BB">
            <w:pPr>
              <w:pStyle w:val="13"/>
              <w:jc w:val="center"/>
              <w:rPr>
                <w:rFonts w:hint="eastAsia" w:ascii="宋体" w:hAnsi="宋体"/>
                <w:b/>
              </w:rPr>
            </w:pPr>
            <w:r>
              <w:rPr>
                <w:rFonts w:hint="eastAsia" w:ascii="宋体" w:hAnsi="宋体"/>
                <w:b/>
              </w:rPr>
              <w:t>（亿立方米）</w:t>
            </w:r>
          </w:p>
        </w:tc>
        <w:tc>
          <w:tcPr>
            <w:tcW w:w="1250" w:type="pct"/>
            <w:vAlign w:val="center"/>
          </w:tcPr>
          <w:p w14:paraId="69B13CF5">
            <w:pPr>
              <w:pStyle w:val="13"/>
              <w:jc w:val="center"/>
              <w:rPr>
                <w:rFonts w:hint="eastAsia" w:ascii="宋体" w:hAnsi="宋体"/>
                <w:b/>
              </w:rPr>
            </w:pPr>
            <w:r>
              <w:rPr>
                <w:rFonts w:hint="eastAsia" w:ascii="宋体" w:hAnsi="宋体"/>
                <w:b/>
              </w:rPr>
              <w:t>多年平均地下水资源量（亿立方米）</w:t>
            </w:r>
          </w:p>
        </w:tc>
        <w:tc>
          <w:tcPr>
            <w:tcW w:w="1250" w:type="pct"/>
            <w:vAlign w:val="center"/>
          </w:tcPr>
          <w:p w14:paraId="475E3212">
            <w:pPr>
              <w:pStyle w:val="13"/>
              <w:jc w:val="center"/>
              <w:rPr>
                <w:rFonts w:hint="eastAsia" w:ascii="宋体" w:hAnsi="宋体"/>
                <w:b/>
              </w:rPr>
            </w:pPr>
            <w:r>
              <w:rPr>
                <w:rFonts w:hint="eastAsia" w:ascii="宋体" w:hAnsi="宋体"/>
                <w:b/>
              </w:rPr>
              <w:t>与多年均值比较</w:t>
            </w:r>
          </w:p>
          <w:p w14:paraId="64156F6B">
            <w:pPr>
              <w:pStyle w:val="13"/>
              <w:jc w:val="center"/>
              <w:rPr>
                <w:rFonts w:hint="eastAsia" w:ascii="宋体" w:hAnsi="宋体"/>
                <w:b/>
              </w:rPr>
            </w:pPr>
            <w:r>
              <w:rPr>
                <w:rFonts w:hint="eastAsia" w:ascii="宋体" w:hAnsi="宋体"/>
                <w:b/>
              </w:rPr>
              <w:t>（%）</w:t>
            </w:r>
          </w:p>
        </w:tc>
      </w:tr>
      <w:tr w14:paraId="49EDF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A0B5055">
            <w:pPr>
              <w:pStyle w:val="13"/>
              <w:jc w:val="center"/>
              <w:rPr>
                <w:rFonts w:ascii="宋体" w:hAnsi="宋体"/>
              </w:rPr>
            </w:pPr>
            <w:r>
              <w:rPr>
                <w:rFonts w:ascii="宋体" w:hAnsi="宋体"/>
              </w:rPr>
              <w:t>2003</w:t>
            </w:r>
          </w:p>
        </w:tc>
        <w:tc>
          <w:tcPr>
            <w:tcW w:w="1250" w:type="pct"/>
            <w:vAlign w:val="center"/>
          </w:tcPr>
          <w:p w14:paraId="6969F867">
            <w:pPr>
              <w:pStyle w:val="13"/>
              <w:jc w:val="center"/>
              <w:rPr>
                <w:rFonts w:ascii="宋体" w:hAnsi="宋体"/>
              </w:rPr>
            </w:pPr>
            <w:r>
              <w:rPr>
                <w:rFonts w:ascii="宋体" w:hAnsi="宋体"/>
              </w:rPr>
              <w:t>15.87</w:t>
            </w:r>
          </w:p>
        </w:tc>
        <w:tc>
          <w:tcPr>
            <w:tcW w:w="1250" w:type="pct"/>
            <w:vAlign w:val="center"/>
          </w:tcPr>
          <w:p w14:paraId="53AA2178">
            <w:pPr>
              <w:pStyle w:val="13"/>
              <w:jc w:val="center"/>
              <w:rPr>
                <w:rFonts w:ascii="宋体" w:hAnsi="宋体"/>
              </w:rPr>
            </w:pPr>
            <w:r>
              <w:rPr>
                <w:rFonts w:ascii="宋体" w:hAnsi="宋体"/>
              </w:rPr>
              <w:t>16.45</w:t>
            </w:r>
          </w:p>
        </w:tc>
        <w:tc>
          <w:tcPr>
            <w:tcW w:w="1250" w:type="pct"/>
            <w:vAlign w:val="center"/>
          </w:tcPr>
          <w:p w14:paraId="1309FFFA">
            <w:pPr>
              <w:pStyle w:val="13"/>
              <w:jc w:val="center"/>
              <w:rPr>
                <w:rFonts w:ascii="宋体" w:hAnsi="宋体"/>
              </w:rPr>
            </w:pPr>
            <w:r>
              <w:rPr>
                <w:rFonts w:ascii="宋体" w:hAnsi="宋体"/>
              </w:rPr>
              <w:t>-3.5</w:t>
            </w:r>
          </w:p>
        </w:tc>
      </w:tr>
      <w:tr w14:paraId="08CAD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FBA0367">
            <w:pPr>
              <w:pStyle w:val="13"/>
              <w:jc w:val="center"/>
              <w:rPr>
                <w:rFonts w:ascii="宋体" w:hAnsi="宋体"/>
              </w:rPr>
            </w:pPr>
            <w:r>
              <w:rPr>
                <w:rFonts w:ascii="宋体" w:hAnsi="宋体"/>
              </w:rPr>
              <w:t>2004</w:t>
            </w:r>
          </w:p>
        </w:tc>
        <w:tc>
          <w:tcPr>
            <w:tcW w:w="1250" w:type="pct"/>
            <w:vAlign w:val="center"/>
          </w:tcPr>
          <w:p w14:paraId="617994D3">
            <w:pPr>
              <w:pStyle w:val="13"/>
              <w:jc w:val="center"/>
              <w:rPr>
                <w:rFonts w:ascii="宋体" w:hAnsi="宋体"/>
              </w:rPr>
            </w:pPr>
            <w:r>
              <w:rPr>
                <w:rFonts w:ascii="宋体" w:hAnsi="宋体"/>
              </w:rPr>
              <w:t>11.74</w:t>
            </w:r>
          </w:p>
        </w:tc>
        <w:tc>
          <w:tcPr>
            <w:tcW w:w="1250" w:type="pct"/>
            <w:vAlign w:val="center"/>
          </w:tcPr>
          <w:p w14:paraId="70B219A8">
            <w:pPr>
              <w:pStyle w:val="13"/>
              <w:jc w:val="center"/>
              <w:rPr>
                <w:rFonts w:ascii="宋体" w:hAnsi="宋体"/>
              </w:rPr>
            </w:pPr>
            <w:r>
              <w:rPr>
                <w:rFonts w:ascii="宋体" w:hAnsi="宋体"/>
              </w:rPr>
              <w:t>16.45</w:t>
            </w:r>
          </w:p>
        </w:tc>
        <w:tc>
          <w:tcPr>
            <w:tcW w:w="1250" w:type="pct"/>
            <w:vAlign w:val="center"/>
          </w:tcPr>
          <w:p w14:paraId="7C3E19E9">
            <w:pPr>
              <w:pStyle w:val="13"/>
              <w:jc w:val="center"/>
              <w:rPr>
                <w:rFonts w:ascii="宋体" w:hAnsi="宋体"/>
              </w:rPr>
            </w:pPr>
            <w:r>
              <w:rPr>
                <w:rFonts w:ascii="宋体" w:hAnsi="宋体"/>
              </w:rPr>
              <w:t>-28.6</w:t>
            </w:r>
          </w:p>
        </w:tc>
      </w:tr>
      <w:tr w14:paraId="25B4F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A13EBCD">
            <w:pPr>
              <w:pStyle w:val="13"/>
              <w:jc w:val="center"/>
              <w:rPr>
                <w:rFonts w:ascii="宋体" w:hAnsi="宋体"/>
              </w:rPr>
            </w:pPr>
            <w:r>
              <w:rPr>
                <w:rFonts w:ascii="宋体" w:hAnsi="宋体"/>
              </w:rPr>
              <w:t>2005</w:t>
            </w:r>
          </w:p>
        </w:tc>
        <w:tc>
          <w:tcPr>
            <w:tcW w:w="1250" w:type="pct"/>
            <w:vAlign w:val="center"/>
          </w:tcPr>
          <w:p w14:paraId="62E2183A">
            <w:pPr>
              <w:pStyle w:val="13"/>
              <w:jc w:val="center"/>
              <w:rPr>
                <w:rFonts w:ascii="宋体" w:hAnsi="宋体"/>
              </w:rPr>
            </w:pPr>
            <w:r>
              <w:rPr>
                <w:rFonts w:ascii="宋体" w:hAnsi="宋体"/>
              </w:rPr>
              <w:t>14.98</w:t>
            </w:r>
          </w:p>
        </w:tc>
        <w:tc>
          <w:tcPr>
            <w:tcW w:w="1250" w:type="pct"/>
            <w:vAlign w:val="center"/>
          </w:tcPr>
          <w:p w14:paraId="30F4CB13">
            <w:pPr>
              <w:pStyle w:val="13"/>
              <w:jc w:val="center"/>
              <w:rPr>
                <w:rFonts w:ascii="宋体" w:hAnsi="宋体"/>
              </w:rPr>
            </w:pPr>
            <w:r>
              <w:rPr>
                <w:rFonts w:ascii="宋体" w:hAnsi="宋体"/>
              </w:rPr>
              <w:t>14.86</w:t>
            </w:r>
          </w:p>
        </w:tc>
        <w:tc>
          <w:tcPr>
            <w:tcW w:w="1250" w:type="pct"/>
            <w:vAlign w:val="center"/>
          </w:tcPr>
          <w:p w14:paraId="508A4EDC">
            <w:pPr>
              <w:pStyle w:val="13"/>
              <w:jc w:val="center"/>
              <w:rPr>
                <w:rFonts w:ascii="宋体" w:hAnsi="宋体"/>
              </w:rPr>
            </w:pPr>
            <w:r>
              <w:rPr>
                <w:rFonts w:ascii="宋体" w:hAnsi="宋体"/>
              </w:rPr>
              <w:t>0.8</w:t>
            </w:r>
          </w:p>
        </w:tc>
      </w:tr>
      <w:tr w14:paraId="17A39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4EAB50E">
            <w:pPr>
              <w:pStyle w:val="13"/>
              <w:jc w:val="center"/>
              <w:rPr>
                <w:rFonts w:ascii="宋体" w:hAnsi="宋体"/>
              </w:rPr>
            </w:pPr>
            <w:r>
              <w:rPr>
                <w:rFonts w:ascii="宋体" w:hAnsi="宋体"/>
              </w:rPr>
              <w:t>2006</w:t>
            </w:r>
          </w:p>
        </w:tc>
        <w:tc>
          <w:tcPr>
            <w:tcW w:w="1250" w:type="pct"/>
            <w:vAlign w:val="center"/>
          </w:tcPr>
          <w:p w14:paraId="6BF0F527">
            <w:pPr>
              <w:pStyle w:val="13"/>
              <w:jc w:val="center"/>
              <w:rPr>
                <w:rFonts w:ascii="宋体" w:hAnsi="宋体"/>
              </w:rPr>
            </w:pPr>
            <w:r>
              <w:rPr>
                <w:rFonts w:ascii="宋体" w:hAnsi="宋体"/>
              </w:rPr>
              <w:t>15.92</w:t>
            </w:r>
          </w:p>
        </w:tc>
        <w:tc>
          <w:tcPr>
            <w:tcW w:w="1250" w:type="pct"/>
            <w:vAlign w:val="center"/>
          </w:tcPr>
          <w:p w14:paraId="6C979103">
            <w:pPr>
              <w:pStyle w:val="13"/>
              <w:jc w:val="center"/>
              <w:rPr>
                <w:rFonts w:ascii="宋体" w:hAnsi="宋体"/>
              </w:rPr>
            </w:pPr>
            <w:r>
              <w:rPr>
                <w:rFonts w:ascii="宋体" w:hAnsi="宋体"/>
              </w:rPr>
              <w:t>14.86</w:t>
            </w:r>
          </w:p>
        </w:tc>
        <w:tc>
          <w:tcPr>
            <w:tcW w:w="1250" w:type="pct"/>
            <w:vAlign w:val="center"/>
          </w:tcPr>
          <w:p w14:paraId="23032F0F">
            <w:pPr>
              <w:pStyle w:val="13"/>
              <w:jc w:val="center"/>
              <w:rPr>
                <w:rFonts w:ascii="宋体" w:hAnsi="宋体"/>
              </w:rPr>
            </w:pPr>
            <w:r>
              <w:rPr>
                <w:rFonts w:ascii="宋体" w:hAnsi="宋体"/>
              </w:rPr>
              <w:t>7.1</w:t>
            </w:r>
          </w:p>
        </w:tc>
      </w:tr>
      <w:tr w14:paraId="4A3B6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BE5140A">
            <w:pPr>
              <w:pStyle w:val="13"/>
              <w:jc w:val="center"/>
              <w:rPr>
                <w:rFonts w:ascii="宋体" w:hAnsi="宋体"/>
              </w:rPr>
            </w:pPr>
            <w:r>
              <w:rPr>
                <w:rFonts w:ascii="宋体" w:hAnsi="宋体"/>
              </w:rPr>
              <w:t>2007</w:t>
            </w:r>
          </w:p>
        </w:tc>
        <w:tc>
          <w:tcPr>
            <w:tcW w:w="1250" w:type="pct"/>
            <w:vAlign w:val="center"/>
          </w:tcPr>
          <w:p w14:paraId="5474BC74">
            <w:pPr>
              <w:pStyle w:val="13"/>
              <w:jc w:val="center"/>
              <w:rPr>
                <w:rFonts w:ascii="宋体" w:hAnsi="宋体"/>
              </w:rPr>
            </w:pPr>
            <w:r>
              <w:rPr>
                <w:rFonts w:ascii="宋体" w:hAnsi="宋体"/>
              </w:rPr>
              <w:t>13.22</w:t>
            </w:r>
          </w:p>
        </w:tc>
        <w:tc>
          <w:tcPr>
            <w:tcW w:w="1250" w:type="pct"/>
            <w:vAlign w:val="center"/>
          </w:tcPr>
          <w:p w14:paraId="355DDAB1">
            <w:pPr>
              <w:pStyle w:val="13"/>
              <w:jc w:val="center"/>
              <w:rPr>
                <w:rFonts w:ascii="宋体" w:hAnsi="宋体"/>
              </w:rPr>
            </w:pPr>
            <w:r>
              <w:rPr>
                <w:rFonts w:ascii="宋体" w:hAnsi="宋体"/>
              </w:rPr>
              <w:t>14.86</w:t>
            </w:r>
          </w:p>
        </w:tc>
        <w:tc>
          <w:tcPr>
            <w:tcW w:w="1250" w:type="pct"/>
            <w:vAlign w:val="center"/>
          </w:tcPr>
          <w:p w14:paraId="0C4D7189">
            <w:pPr>
              <w:pStyle w:val="13"/>
              <w:jc w:val="center"/>
              <w:rPr>
                <w:rFonts w:ascii="宋体" w:hAnsi="宋体"/>
              </w:rPr>
            </w:pPr>
            <w:r>
              <w:rPr>
                <w:rFonts w:ascii="宋体" w:hAnsi="宋体"/>
              </w:rPr>
              <w:t>-11.0</w:t>
            </w:r>
          </w:p>
        </w:tc>
      </w:tr>
      <w:tr w14:paraId="64019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B69186C">
            <w:pPr>
              <w:pStyle w:val="13"/>
              <w:jc w:val="center"/>
              <w:rPr>
                <w:rFonts w:ascii="宋体" w:hAnsi="宋体"/>
              </w:rPr>
            </w:pPr>
            <w:r>
              <w:rPr>
                <w:rFonts w:ascii="宋体" w:hAnsi="宋体"/>
              </w:rPr>
              <w:t>2008</w:t>
            </w:r>
          </w:p>
        </w:tc>
        <w:tc>
          <w:tcPr>
            <w:tcW w:w="1250" w:type="pct"/>
            <w:vAlign w:val="center"/>
          </w:tcPr>
          <w:p w14:paraId="4C4A4A15">
            <w:pPr>
              <w:pStyle w:val="13"/>
              <w:jc w:val="center"/>
              <w:rPr>
                <w:rFonts w:ascii="宋体" w:hAnsi="宋体"/>
              </w:rPr>
            </w:pPr>
            <w:r>
              <w:rPr>
                <w:rFonts w:ascii="宋体" w:hAnsi="宋体"/>
              </w:rPr>
              <w:t>14.83</w:t>
            </w:r>
          </w:p>
        </w:tc>
        <w:tc>
          <w:tcPr>
            <w:tcW w:w="1250" w:type="pct"/>
            <w:vAlign w:val="center"/>
          </w:tcPr>
          <w:p w14:paraId="2131C096">
            <w:pPr>
              <w:pStyle w:val="13"/>
              <w:jc w:val="center"/>
              <w:rPr>
                <w:rFonts w:ascii="宋体" w:hAnsi="宋体"/>
              </w:rPr>
            </w:pPr>
            <w:r>
              <w:rPr>
                <w:rFonts w:ascii="宋体" w:hAnsi="宋体"/>
              </w:rPr>
              <w:t>14.86</w:t>
            </w:r>
          </w:p>
        </w:tc>
        <w:tc>
          <w:tcPr>
            <w:tcW w:w="1250" w:type="pct"/>
            <w:vAlign w:val="center"/>
          </w:tcPr>
          <w:p w14:paraId="14F45437">
            <w:pPr>
              <w:pStyle w:val="13"/>
              <w:jc w:val="center"/>
              <w:rPr>
                <w:rFonts w:ascii="宋体" w:hAnsi="宋体"/>
              </w:rPr>
            </w:pPr>
            <w:r>
              <w:rPr>
                <w:rFonts w:ascii="宋体" w:hAnsi="宋体"/>
              </w:rPr>
              <w:t>-0.2</w:t>
            </w:r>
          </w:p>
        </w:tc>
      </w:tr>
      <w:tr w14:paraId="09571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C24E253">
            <w:pPr>
              <w:pStyle w:val="13"/>
              <w:jc w:val="center"/>
              <w:rPr>
                <w:rFonts w:ascii="宋体" w:hAnsi="宋体"/>
              </w:rPr>
            </w:pPr>
            <w:r>
              <w:rPr>
                <w:rFonts w:ascii="宋体" w:hAnsi="宋体"/>
              </w:rPr>
              <w:t>2009</w:t>
            </w:r>
          </w:p>
        </w:tc>
        <w:tc>
          <w:tcPr>
            <w:tcW w:w="1250" w:type="pct"/>
            <w:vAlign w:val="center"/>
          </w:tcPr>
          <w:p w14:paraId="77C4E9D2">
            <w:pPr>
              <w:pStyle w:val="13"/>
              <w:jc w:val="center"/>
              <w:rPr>
                <w:rFonts w:ascii="宋体" w:hAnsi="宋体"/>
              </w:rPr>
            </w:pPr>
            <w:r>
              <w:rPr>
                <w:rFonts w:ascii="宋体" w:hAnsi="宋体"/>
              </w:rPr>
              <w:t>13.52</w:t>
            </w:r>
          </w:p>
        </w:tc>
        <w:tc>
          <w:tcPr>
            <w:tcW w:w="1250" w:type="pct"/>
            <w:vAlign w:val="center"/>
          </w:tcPr>
          <w:p w14:paraId="6DB9E808">
            <w:pPr>
              <w:pStyle w:val="13"/>
              <w:jc w:val="center"/>
              <w:rPr>
                <w:rFonts w:ascii="宋体" w:hAnsi="宋体"/>
              </w:rPr>
            </w:pPr>
            <w:r>
              <w:rPr>
                <w:rFonts w:ascii="宋体" w:hAnsi="宋体"/>
              </w:rPr>
              <w:t>14.86</w:t>
            </w:r>
          </w:p>
        </w:tc>
        <w:tc>
          <w:tcPr>
            <w:tcW w:w="1250" w:type="pct"/>
            <w:vAlign w:val="center"/>
          </w:tcPr>
          <w:p w14:paraId="0DF246F5">
            <w:pPr>
              <w:pStyle w:val="13"/>
              <w:jc w:val="center"/>
              <w:rPr>
                <w:rFonts w:ascii="宋体" w:hAnsi="宋体"/>
              </w:rPr>
            </w:pPr>
            <w:r>
              <w:rPr>
                <w:rFonts w:ascii="宋体" w:hAnsi="宋体"/>
              </w:rPr>
              <w:t>-9.0</w:t>
            </w:r>
          </w:p>
        </w:tc>
      </w:tr>
      <w:tr w14:paraId="0D57A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A100584">
            <w:pPr>
              <w:pStyle w:val="13"/>
              <w:jc w:val="center"/>
              <w:rPr>
                <w:rFonts w:ascii="宋体" w:hAnsi="宋体"/>
              </w:rPr>
            </w:pPr>
            <w:r>
              <w:rPr>
                <w:rFonts w:ascii="宋体" w:hAnsi="宋体"/>
              </w:rPr>
              <w:t>2010</w:t>
            </w:r>
          </w:p>
        </w:tc>
        <w:tc>
          <w:tcPr>
            <w:tcW w:w="1250" w:type="pct"/>
            <w:vAlign w:val="center"/>
          </w:tcPr>
          <w:p w14:paraId="62380909">
            <w:pPr>
              <w:pStyle w:val="13"/>
              <w:jc w:val="center"/>
              <w:rPr>
                <w:rFonts w:ascii="宋体" w:hAnsi="宋体"/>
              </w:rPr>
            </w:pPr>
            <w:r>
              <w:rPr>
                <w:rFonts w:ascii="宋体" w:hAnsi="宋体"/>
              </w:rPr>
              <w:t>16.59</w:t>
            </w:r>
          </w:p>
        </w:tc>
        <w:tc>
          <w:tcPr>
            <w:tcW w:w="1250" w:type="pct"/>
            <w:vAlign w:val="center"/>
          </w:tcPr>
          <w:p w14:paraId="48AD8CF6">
            <w:pPr>
              <w:pStyle w:val="13"/>
              <w:jc w:val="center"/>
              <w:rPr>
                <w:rFonts w:ascii="宋体" w:hAnsi="宋体"/>
              </w:rPr>
            </w:pPr>
            <w:r>
              <w:rPr>
                <w:rFonts w:ascii="宋体" w:hAnsi="宋体"/>
              </w:rPr>
              <w:t>14.86</w:t>
            </w:r>
          </w:p>
        </w:tc>
        <w:tc>
          <w:tcPr>
            <w:tcW w:w="1250" w:type="pct"/>
            <w:vAlign w:val="center"/>
          </w:tcPr>
          <w:p w14:paraId="1897624A">
            <w:pPr>
              <w:pStyle w:val="13"/>
              <w:jc w:val="center"/>
              <w:rPr>
                <w:rFonts w:hint="eastAsia" w:ascii="宋体" w:hAnsi="宋体"/>
              </w:rPr>
            </w:pPr>
            <w:r>
              <w:rPr>
                <w:rFonts w:ascii="宋体" w:hAnsi="宋体"/>
              </w:rPr>
              <w:t>11.6</w:t>
            </w:r>
          </w:p>
        </w:tc>
      </w:tr>
    </w:tbl>
    <w:p w14:paraId="0B27AC94">
      <w:pPr>
        <w:ind w:firstLine="0" w:firstLineChars="0"/>
        <w:jc w:val="center"/>
        <w:rPr>
          <w:rFonts w:hint="eastAsia" w:ascii="宋体" w:hAnsi="宋体"/>
          <w:b/>
        </w:rPr>
      </w:pPr>
      <w:commentRangeStart w:id="3"/>
      <w:r>
        <w:rPr>
          <w:rFonts w:hint="eastAsia" w:ascii="宋体" w:hAnsi="宋体"/>
          <w:b/>
        </w:rPr>
        <w:t>表3-4  南雄市供水量（2003～2010年）</w:t>
      </w:r>
      <w:commentRangeEnd w:id="3"/>
      <w:r>
        <w:rPr>
          <w:rStyle w:val="12"/>
          <w:rFonts w:ascii="宋体" w:hAnsi="宋体"/>
        </w:rPr>
        <w:commentReference w:id="3"/>
      </w:r>
    </w:p>
    <w:p w14:paraId="633A6EB5">
      <w:pPr>
        <w:ind w:firstLine="0" w:firstLineChars="0"/>
        <w:jc w:val="right"/>
        <w:rPr>
          <w:rFonts w:hint="eastAsia" w:ascii="宋体" w:hAnsi="宋体"/>
          <w:b/>
        </w:rPr>
      </w:pPr>
      <w:r>
        <w:rPr>
          <w:rFonts w:hint="eastAsia" w:ascii="宋体" w:hAnsi="宋体"/>
          <w:b/>
        </w:rPr>
        <w:t>单位：万立方米</w:t>
      </w: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7"/>
        <w:gridCol w:w="885"/>
        <w:gridCol w:w="1090"/>
        <w:gridCol w:w="1090"/>
        <w:gridCol w:w="1090"/>
        <w:gridCol w:w="1094"/>
        <w:gridCol w:w="990"/>
        <w:gridCol w:w="990"/>
        <w:gridCol w:w="990"/>
        <w:gridCol w:w="986"/>
      </w:tblGrid>
      <w:tr w14:paraId="196D2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380" w:type="pct"/>
            <w:vMerge w:val="restart"/>
            <w:vAlign w:val="center"/>
          </w:tcPr>
          <w:p w14:paraId="67849656">
            <w:pPr>
              <w:pStyle w:val="13"/>
              <w:jc w:val="center"/>
              <w:rPr>
                <w:rFonts w:hint="eastAsia" w:ascii="宋体" w:hAnsi="宋体"/>
                <w:b/>
              </w:rPr>
            </w:pPr>
            <w:r>
              <w:rPr>
                <w:rFonts w:hint="eastAsia" w:ascii="宋体" w:hAnsi="宋体"/>
                <w:b/>
              </w:rPr>
              <w:t>年度</w:t>
            </w:r>
          </w:p>
        </w:tc>
        <w:tc>
          <w:tcPr>
            <w:tcW w:w="444" w:type="pct"/>
            <w:vMerge w:val="restart"/>
            <w:vAlign w:val="center"/>
          </w:tcPr>
          <w:p w14:paraId="25D0671E">
            <w:pPr>
              <w:pStyle w:val="13"/>
              <w:jc w:val="center"/>
              <w:rPr>
                <w:rFonts w:hint="eastAsia" w:ascii="宋体" w:hAnsi="宋体"/>
                <w:b/>
              </w:rPr>
            </w:pPr>
            <w:r>
              <w:rPr>
                <w:rFonts w:hint="eastAsia" w:ascii="宋体" w:hAnsi="宋体"/>
                <w:b/>
              </w:rPr>
              <w:t>总供</w:t>
            </w:r>
          </w:p>
          <w:p w14:paraId="1D3D13E3">
            <w:pPr>
              <w:pStyle w:val="13"/>
              <w:jc w:val="center"/>
              <w:rPr>
                <w:rFonts w:hint="eastAsia" w:ascii="宋体" w:hAnsi="宋体"/>
                <w:b/>
              </w:rPr>
            </w:pPr>
            <w:r>
              <w:rPr>
                <w:rFonts w:hint="eastAsia" w:ascii="宋体" w:hAnsi="宋体"/>
                <w:b/>
              </w:rPr>
              <w:t>水量</w:t>
            </w:r>
          </w:p>
        </w:tc>
        <w:tc>
          <w:tcPr>
            <w:tcW w:w="2190" w:type="pct"/>
            <w:gridSpan w:val="4"/>
            <w:vAlign w:val="center"/>
          </w:tcPr>
          <w:p w14:paraId="691FD9F2">
            <w:pPr>
              <w:pStyle w:val="13"/>
              <w:jc w:val="center"/>
              <w:rPr>
                <w:rFonts w:hint="eastAsia" w:ascii="宋体" w:hAnsi="宋体"/>
                <w:b/>
              </w:rPr>
            </w:pPr>
            <w:r>
              <w:rPr>
                <w:rFonts w:hint="eastAsia" w:ascii="宋体" w:hAnsi="宋体"/>
                <w:b/>
              </w:rPr>
              <w:t>地表水量</w:t>
            </w:r>
          </w:p>
        </w:tc>
        <w:tc>
          <w:tcPr>
            <w:tcW w:w="497" w:type="pct"/>
            <w:vMerge w:val="restart"/>
            <w:vAlign w:val="center"/>
          </w:tcPr>
          <w:p w14:paraId="1F44E9BA">
            <w:pPr>
              <w:pStyle w:val="13"/>
              <w:jc w:val="center"/>
              <w:rPr>
                <w:rFonts w:hint="eastAsia" w:ascii="宋体" w:hAnsi="宋体"/>
                <w:b/>
              </w:rPr>
            </w:pPr>
            <w:r>
              <w:rPr>
                <w:rFonts w:hint="eastAsia" w:ascii="宋体" w:hAnsi="宋体"/>
                <w:b/>
              </w:rPr>
              <w:t>地下</w:t>
            </w:r>
          </w:p>
          <w:p w14:paraId="39BB3F1E">
            <w:pPr>
              <w:pStyle w:val="13"/>
              <w:jc w:val="center"/>
              <w:rPr>
                <w:rFonts w:hint="eastAsia" w:ascii="宋体" w:hAnsi="宋体"/>
                <w:b/>
              </w:rPr>
            </w:pPr>
            <w:r>
              <w:rPr>
                <w:rFonts w:hint="eastAsia" w:ascii="宋体" w:hAnsi="宋体"/>
                <w:b/>
              </w:rPr>
              <w:t>水量</w:t>
            </w:r>
          </w:p>
        </w:tc>
        <w:tc>
          <w:tcPr>
            <w:tcW w:w="497" w:type="pct"/>
            <w:vMerge w:val="restart"/>
            <w:vAlign w:val="center"/>
          </w:tcPr>
          <w:p w14:paraId="12FD49AA">
            <w:pPr>
              <w:pStyle w:val="13"/>
              <w:jc w:val="center"/>
              <w:rPr>
                <w:rFonts w:hint="eastAsia" w:ascii="宋体" w:hAnsi="宋体"/>
                <w:b/>
              </w:rPr>
            </w:pPr>
            <w:r>
              <w:rPr>
                <w:rFonts w:hint="eastAsia" w:ascii="宋体" w:hAnsi="宋体"/>
                <w:b/>
              </w:rPr>
              <w:t>占总供水量比例（%）</w:t>
            </w:r>
          </w:p>
        </w:tc>
        <w:tc>
          <w:tcPr>
            <w:tcW w:w="497" w:type="pct"/>
            <w:vMerge w:val="restart"/>
            <w:vAlign w:val="center"/>
          </w:tcPr>
          <w:p w14:paraId="52D544E1">
            <w:pPr>
              <w:pStyle w:val="13"/>
              <w:jc w:val="center"/>
              <w:rPr>
                <w:rFonts w:hint="eastAsia" w:ascii="宋体" w:hAnsi="宋体"/>
                <w:b/>
              </w:rPr>
            </w:pPr>
            <w:r>
              <w:rPr>
                <w:rFonts w:hint="eastAsia" w:ascii="宋体" w:hAnsi="宋体"/>
                <w:b/>
              </w:rPr>
              <w:t>其它供水量</w:t>
            </w:r>
          </w:p>
        </w:tc>
        <w:tc>
          <w:tcPr>
            <w:tcW w:w="497" w:type="pct"/>
            <w:vMerge w:val="restart"/>
            <w:vAlign w:val="center"/>
          </w:tcPr>
          <w:p w14:paraId="5FFF9630">
            <w:pPr>
              <w:pStyle w:val="13"/>
              <w:jc w:val="center"/>
              <w:rPr>
                <w:rFonts w:hint="eastAsia" w:ascii="宋体" w:hAnsi="宋体"/>
                <w:b/>
              </w:rPr>
            </w:pPr>
            <w:r>
              <w:rPr>
                <w:rFonts w:hint="eastAsia" w:ascii="宋体" w:hAnsi="宋体"/>
                <w:b/>
              </w:rPr>
              <w:t>占总供水量比例（%）</w:t>
            </w:r>
          </w:p>
        </w:tc>
      </w:tr>
      <w:tr w14:paraId="07A45E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380" w:type="pct"/>
            <w:vMerge w:val="continue"/>
            <w:vAlign w:val="center"/>
          </w:tcPr>
          <w:p w14:paraId="4C5CF369">
            <w:pPr>
              <w:pStyle w:val="13"/>
              <w:jc w:val="center"/>
              <w:rPr>
                <w:rFonts w:hint="eastAsia" w:ascii="宋体" w:hAnsi="宋体"/>
              </w:rPr>
            </w:pPr>
          </w:p>
        </w:tc>
        <w:tc>
          <w:tcPr>
            <w:tcW w:w="444" w:type="pct"/>
            <w:vMerge w:val="continue"/>
            <w:vAlign w:val="center"/>
          </w:tcPr>
          <w:p w14:paraId="628EFEC2">
            <w:pPr>
              <w:pStyle w:val="13"/>
              <w:jc w:val="center"/>
              <w:rPr>
                <w:rFonts w:hint="eastAsia" w:ascii="宋体" w:hAnsi="宋体"/>
              </w:rPr>
            </w:pPr>
          </w:p>
        </w:tc>
        <w:tc>
          <w:tcPr>
            <w:tcW w:w="547" w:type="pct"/>
            <w:vAlign w:val="center"/>
          </w:tcPr>
          <w:p w14:paraId="66ADCBBF">
            <w:pPr>
              <w:pStyle w:val="13"/>
              <w:jc w:val="center"/>
              <w:rPr>
                <w:rFonts w:hint="eastAsia" w:ascii="宋体" w:hAnsi="宋体"/>
                <w:b/>
              </w:rPr>
            </w:pPr>
            <w:r>
              <w:rPr>
                <w:rFonts w:hint="eastAsia" w:ascii="宋体" w:hAnsi="宋体"/>
                <w:b/>
              </w:rPr>
              <w:t>蓄水量</w:t>
            </w:r>
          </w:p>
        </w:tc>
        <w:tc>
          <w:tcPr>
            <w:tcW w:w="547" w:type="pct"/>
            <w:vAlign w:val="center"/>
          </w:tcPr>
          <w:p w14:paraId="69655DF1">
            <w:pPr>
              <w:pStyle w:val="13"/>
              <w:jc w:val="center"/>
              <w:rPr>
                <w:rFonts w:hint="eastAsia" w:ascii="宋体" w:hAnsi="宋体"/>
                <w:b/>
              </w:rPr>
            </w:pPr>
            <w:r>
              <w:rPr>
                <w:rFonts w:hint="eastAsia" w:ascii="宋体" w:hAnsi="宋体"/>
                <w:b/>
              </w:rPr>
              <w:t>引水量</w:t>
            </w:r>
          </w:p>
        </w:tc>
        <w:tc>
          <w:tcPr>
            <w:tcW w:w="547" w:type="pct"/>
            <w:vAlign w:val="center"/>
          </w:tcPr>
          <w:p w14:paraId="2933E9EE">
            <w:pPr>
              <w:pStyle w:val="13"/>
              <w:jc w:val="center"/>
              <w:rPr>
                <w:rFonts w:hint="eastAsia" w:ascii="宋体" w:hAnsi="宋体"/>
                <w:b/>
              </w:rPr>
            </w:pPr>
            <w:r>
              <w:rPr>
                <w:rFonts w:hint="eastAsia" w:ascii="宋体" w:hAnsi="宋体"/>
                <w:b/>
              </w:rPr>
              <w:t>提水量</w:t>
            </w:r>
          </w:p>
        </w:tc>
        <w:tc>
          <w:tcPr>
            <w:tcW w:w="547" w:type="pct"/>
            <w:vAlign w:val="center"/>
          </w:tcPr>
          <w:p w14:paraId="760D1416">
            <w:pPr>
              <w:pStyle w:val="13"/>
              <w:jc w:val="center"/>
              <w:rPr>
                <w:rFonts w:hint="eastAsia" w:ascii="宋体" w:hAnsi="宋体"/>
                <w:b/>
              </w:rPr>
            </w:pPr>
            <w:r>
              <w:rPr>
                <w:rFonts w:hint="eastAsia" w:ascii="宋体" w:hAnsi="宋体"/>
                <w:b/>
              </w:rPr>
              <w:t>占总供水量比例（%）</w:t>
            </w:r>
          </w:p>
        </w:tc>
        <w:tc>
          <w:tcPr>
            <w:tcW w:w="497" w:type="pct"/>
            <w:vMerge w:val="continue"/>
            <w:vAlign w:val="center"/>
          </w:tcPr>
          <w:p w14:paraId="0BCF715E">
            <w:pPr>
              <w:pStyle w:val="13"/>
              <w:jc w:val="center"/>
              <w:rPr>
                <w:rFonts w:hint="eastAsia" w:ascii="宋体" w:hAnsi="宋体"/>
              </w:rPr>
            </w:pPr>
          </w:p>
        </w:tc>
        <w:tc>
          <w:tcPr>
            <w:tcW w:w="497" w:type="pct"/>
            <w:vMerge w:val="continue"/>
            <w:vAlign w:val="center"/>
          </w:tcPr>
          <w:p w14:paraId="2CDC20DB">
            <w:pPr>
              <w:pStyle w:val="13"/>
              <w:jc w:val="center"/>
              <w:rPr>
                <w:rFonts w:hint="eastAsia" w:ascii="宋体" w:hAnsi="宋体"/>
              </w:rPr>
            </w:pPr>
          </w:p>
        </w:tc>
        <w:tc>
          <w:tcPr>
            <w:tcW w:w="497" w:type="pct"/>
            <w:vMerge w:val="continue"/>
            <w:vAlign w:val="center"/>
          </w:tcPr>
          <w:p w14:paraId="7E40BE57">
            <w:pPr>
              <w:pStyle w:val="13"/>
              <w:jc w:val="center"/>
              <w:rPr>
                <w:rFonts w:hint="eastAsia" w:ascii="宋体" w:hAnsi="宋体"/>
              </w:rPr>
            </w:pPr>
          </w:p>
        </w:tc>
        <w:tc>
          <w:tcPr>
            <w:tcW w:w="497" w:type="pct"/>
            <w:vMerge w:val="continue"/>
            <w:vAlign w:val="center"/>
          </w:tcPr>
          <w:p w14:paraId="60D49DFA">
            <w:pPr>
              <w:pStyle w:val="13"/>
              <w:jc w:val="center"/>
              <w:rPr>
                <w:rFonts w:hint="eastAsia" w:ascii="宋体" w:hAnsi="宋体"/>
              </w:rPr>
            </w:pPr>
          </w:p>
        </w:tc>
      </w:tr>
      <w:tr w14:paraId="6B35B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vAlign w:val="center"/>
          </w:tcPr>
          <w:p w14:paraId="1F8A3F2B">
            <w:pPr>
              <w:pStyle w:val="13"/>
              <w:jc w:val="center"/>
              <w:rPr>
                <w:rFonts w:ascii="宋体" w:hAnsi="宋体"/>
              </w:rPr>
            </w:pPr>
            <w:r>
              <w:rPr>
                <w:rFonts w:ascii="宋体" w:hAnsi="宋体"/>
              </w:rPr>
              <w:t>2003</w:t>
            </w:r>
          </w:p>
        </w:tc>
        <w:tc>
          <w:tcPr>
            <w:tcW w:w="444" w:type="pct"/>
            <w:vAlign w:val="center"/>
          </w:tcPr>
          <w:p w14:paraId="7712F1EC">
            <w:pPr>
              <w:pStyle w:val="13"/>
              <w:jc w:val="center"/>
              <w:rPr>
                <w:rFonts w:ascii="宋体" w:hAnsi="宋体"/>
              </w:rPr>
            </w:pPr>
            <w:r>
              <w:rPr>
                <w:rFonts w:ascii="宋体" w:hAnsi="宋体"/>
              </w:rPr>
              <w:t>35453</w:t>
            </w:r>
          </w:p>
        </w:tc>
        <w:tc>
          <w:tcPr>
            <w:tcW w:w="547" w:type="pct"/>
            <w:vAlign w:val="center"/>
          </w:tcPr>
          <w:p w14:paraId="58EDE702">
            <w:pPr>
              <w:pStyle w:val="13"/>
              <w:jc w:val="center"/>
              <w:rPr>
                <w:rFonts w:ascii="宋体" w:hAnsi="宋体"/>
              </w:rPr>
            </w:pPr>
            <w:r>
              <w:rPr>
                <w:rFonts w:ascii="宋体" w:hAnsi="宋体"/>
              </w:rPr>
              <w:t>19878</w:t>
            </w:r>
          </w:p>
        </w:tc>
        <w:tc>
          <w:tcPr>
            <w:tcW w:w="547" w:type="pct"/>
            <w:vAlign w:val="center"/>
          </w:tcPr>
          <w:p w14:paraId="31DD57D4">
            <w:pPr>
              <w:pStyle w:val="13"/>
              <w:jc w:val="center"/>
              <w:rPr>
                <w:rFonts w:ascii="宋体" w:hAnsi="宋体"/>
              </w:rPr>
            </w:pPr>
            <w:r>
              <w:rPr>
                <w:rFonts w:ascii="宋体" w:hAnsi="宋体"/>
              </w:rPr>
              <w:t>9368</w:t>
            </w:r>
          </w:p>
        </w:tc>
        <w:tc>
          <w:tcPr>
            <w:tcW w:w="547" w:type="pct"/>
            <w:vAlign w:val="center"/>
          </w:tcPr>
          <w:p w14:paraId="55B020B4">
            <w:pPr>
              <w:pStyle w:val="13"/>
              <w:jc w:val="center"/>
              <w:rPr>
                <w:rFonts w:ascii="宋体" w:hAnsi="宋体"/>
              </w:rPr>
            </w:pPr>
            <w:r>
              <w:rPr>
                <w:rFonts w:ascii="宋体" w:hAnsi="宋体"/>
              </w:rPr>
              <w:t>4337</w:t>
            </w:r>
          </w:p>
        </w:tc>
        <w:tc>
          <w:tcPr>
            <w:tcW w:w="547" w:type="pct"/>
            <w:vAlign w:val="center"/>
          </w:tcPr>
          <w:p w14:paraId="22F9E9B1">
            <w:pPr>
              <w:pStyle w:val="13"/>
              <w:jc w:val="center"/>
              <w:rPr>
                <w:rFonts w:ascii="宋体" w:hAnsi="宋体"/>
              </w:rPr>
            </w:pPr>
            <w:r>
              <w:rPr>
                <w:rFonts w:ascii="宋体" w:hAnsi="宋体"/>
              </w:rPr>
              <w:t>94.7</w:t>
            </w:r>
          </w:p>
        </w:tc>
        <w:tc>
          <w:tcPr>
            <w:tcW w:w="497" w:type="pct"/>
            <w:vAlign w:val="center"/>
          </w:tcPr>
          <w:p w14:paraId="2012DB6B">
            <w:pPr>
              <w:pStyle w:val="13"/>
              <w:jc w:val="center"/>
              <w:rPr>
                <w:rFonts w:ascii="宋体" w:hAnsi="宋体"/>
              </w:rPr>
            </w:pPr>
            <w:r>
              <w:rPr>
                <w:rFonts w:ascii="宋体" w:hAnsi="宋体"/>
              </w:rPr>
              <w:t>1780</w:t>
            </w:r>
          </w:p>
        </w:tc>
        <w:tc>
          <w:tcPr>
            <w:tcW w:w="497" w:type="pct"/>
            <w:vAlign w:val="center"/>
          </w:tcPr>
          <w:p w14:paraId="40DB9D74">
            <w:pPr>
              <w:pStyle w:val="13"/>
              <w:jc w:val="center"/>
              <w:rPr>
                <w:rFonts w:ascii="宋体" w:hAnsi="宋体"/>
              </w:rPr>
            </w:pPr>
            <w:r>
              <w:rPr>
                <w:rFonts w:ascii="宋体" w:hAnsi="宋体"/>
              </w:rPr>
              <w:t>5.3</w:t>
            </w:r>
          </w:p>
        </w:tc>
        <w:tc>
          <w:tcPr>
            <w:tcW w:w="497" w:type="pct"/>
            <w:vAlign w:val="center"/>
          </w:tcPr>
          <w:p w14:paraId="765C3264">
            <w:pPr>
              <w:pStyle w:val="13"/>
              <w:jc w:val="center"/>
              <w:rPr>
                <w:rFonts w:ascii="宋体" w:hAnsi="宋体"/>
              </w:rPr>
            </w:pPr>
          </w:p>
        </w:tc>
        <w:tc>
          <w:tcPr>
            <w:tcW w:w="497" w:type="pct"/>
            <w:vAlign w:val="center"/>
          </w:tcPr>
          <w:p w14:paraId="3F2F1AE7">
            <w:pPr>
              <w:pStyle w:val="13"/>
              <w:jc w:val="center"/>
              <w:rPr>
                <w:rFonts w:ascii="宋体" w:hAnsi="宋体"/>
              </w:rPr>
            </w:pPr>
          </w:p>
        </w:tc>
      </w:tr>
      <w:tr w14:paraId="12660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vAlign w:val="center"/>
          </w:tcPr>
          <w:p w14:paraId="7E39D5F7">
            <w:pPr>
              <w:pStyle w:val="13"/>
              <w:jc w:val="center"/>
              <w:rPr>
                <w:rFonts w:ascii="宋体" w:hAnsi="宋体"/>
              </w:rPr>
            </w:pPr>
            <w:r>
              <w:rPr>
                <w:rFonts w:ascii="宋体" w:hAnsi="宋体"/>
              </w:rPr>
              <w:t>2004</w:t>
            </w:r>
          </w:p>
        </w:tc>
        <w:tc>
          <w:tcPr>
            <w:tcW w:w="444" w:type="pct"/>
            <w:vAlign w:val="center"/>
          </w:tcPr>
          <w:p w14:paraId="4F3E70BA">
            <w:pPr>
              <w:pStyle w:val="13"/>
              <w:jc w:val="center"/>
              <w:rPr>
                <w:rFonts w:ascii="宋体" w:hAnsi="宋体"/>
              </w:rPr>
            </w:pPr>
            <w:r>
              <w:rPr>
                <w:rFonts w:ascii="宋体" w:hAnsi="宋体"/>
              </w:rPr>
              <w:t>32723</w:t>
            </w:r>
          </w:p>
        </w:tc>
        <w:tc>
          <w:tcPr>
            <w:tcW w:w="547" w:type="pct"/>
            <w:vAlign w:val="center"/>
          </w:tcPr>
          <w:p w14:paraId="1C9CD489">
            <w:pPr>
              <w:pStyle w:val="13"/>
              <w:jc w:val="center"/>
              <w:rPr>
                <w:rFonts w:ascii="宋体" w:hAnsi="宋体"/>
              </w:rPr>
            </w:pPr>
            <w:r>
              <w:rPr>
                <w:rFonts w:ascii="宋体" w:hAnsi="宋体"/>
              </w:rPr>
              <w:t>17762</w:t>
            </w:r>
          </w:p>
        </w:tc>
        <w:tc>
          <w:tcPr>
            <w:tcW w:w="547" w:type="pct"/>
            <w:vAlign w:val="center"/>
          </w:tcPr>
          <w:p w14:paraId="0C641D3D">
            <w:pPr>
              <w:pStyle w:val="13"/>
              <w:jc w:val="center"/>
              <w:rPr>
                <w:rFonts w:ascii="宋体" w:hAnsi="宋体"/>
              </w:rPr>
            </w:pPr>
            <w:r>
              <w:rPr>
                <w:rFonts w:ascii="宋体" w:hAnsi="宋体"/>
              </w:rPr>
              <w:t>8261</w:t>
            </w:r>
          </w:p>
        </w:tc>
        <w:tc>
          <w:tcPr>
            <w:tcW w:w="547" w:type="pct"/>
            <w:vAlign w:val="center"/>
          </w:tcPr>
          <w:p w14:paraId="692215BB">
            <w:pPr>
              <w:pStyle w:val="13"/>
              <w:jc w:val="center"/>
              <w:rPr>
                <w:rFonts w:ascii="宋体" w:hAnsi="宋体"/>
              </w:rPr>
            </w:pPr>
            <w:r>
              <w:rPr>
                <w:rFonts w:ascii="宋体" w:hAnsi="宋体"/>
              </w:rPr>
              <w:t>4760</w:t>
            </w:r>
          </w:p>
        </w:tc>
        <w:tc>
          <w:tcPr>
            <w:tcW w:w="547" w:type="pct"/>
            <w:vAlign w:val="center"/>
          </w:tcPr>
          <w:p w14:paraId="2F3B44E8">
            <w:pPr>
              <w:pStyle w:val="13"/>
              <w:jc w:val="center"/>
              <w:rPr>
                <w:rFonts w:ascii="宋体" w:hAnsi="宋体"/>
              </w:rPr>
            </w:pPr>
            <w:r>
              <w:rPr>
                <w:rFonts w:ascii="宋体" w:hAnsi="宋体"/>
              </w:rPr>
              <w:t>94.1</w:t>
            </w:r>
          </w:p>
        </w:tc>
        <w:tc>
          <w:tcPr>
            <w:tcW w:w="497" w:type="pct"/>
            <w:vAlign w:val="center"/>
          </w:tcPr>
          <w:p w14:paraId="4A76F181">
            <w:pPr>
              <w:pStyle w:val="13"/>
              <w:jc w:val="center"/>
              <w:rPr>
                <w:rFonts w:ascii="宋体" w:hAnsi="宋体"/>
              </w:rPr>
            </w:pPr>
            <w:r>
              <w:rPr>
                <w:rFonts w:ascii="宋体" w:hAnsi="宋体"/>
              </w:rPr>
              <w:t>1940</w:t>
            </w:r>
          </w:p>
        </w:tc>
        <w:tc>
          <w:tcPr>
            <w:tcW w:w="497" w:type="pct"/>
            <w:vAlign w:val="center"/>
          </w:tcPr>
          <w:p w14:paraId="365E23C9">
            <w:pPr>
              <w:pStyle w:val="13"/>
              <w:jc w:val="center"/>
              <w:rPr>
                <w:rFonts w:ascii="宋体" w:hAnsi="宋体"/>
              </w:rPr>
            </w:pPr>
            <w:r>
              <w:rPr>
                <w:rFonts w:ascii="宋体" w:hAnsi="宋体"/>
              </w:rPr>
              <w:t>5.9</w:t>
            </w:r>
          </w:p>
        </w:tc>
        <w:tc>
          <w:tcPr>
            <w:tcW w:w="497" w:type="pct"/>
            <w:vAlign w:val="center"/>
          </w:tcPr>
          <w:p w14:paraId="6FD193D4">
            <w:pPr>
              <w:pStyle w:val="13"/>
              <w:jc w:val="center"/>
              <w:rPr>
                <w:rFonts w:ascii="宋体" w:hAnsi="宋体"/>
              </w:rPr>
            </w:pPr>
          </w:p>
        </w:tc>
        <w:tc>
          <w:tcPr>
            <w:tcW w:w="497" w:type="pct"/>
            <w:vAlign w:val="center"/>
          </w:tcPr>
          <w:p w14:paraId="0D1D747C">
            <w:pPr>
              <w:pStyle w:val="13"/>
              <w:jc w:val="center"/>
              <w:rPr>
                <w:rFonts w:ascii="宋体" w:hAnsi="宋体"/>
              </w:rPr>
            </w:pPr>
          </w:p>
        </w:tc>
      </w:tr>
      <w:tr w14:paraId="00B4D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vAlign w:val="center"/>
          </w:tcPr>
          <w:p w14:paraId="498AC14A">
            <w:pPr>
              <w:pStyle w:val="13"/>
              <w:jc w:val="center"/>
              <w:rPr>
                <w:rFonts w:ascii="宋体" w:hAnsi="宋体"/>
              </w:rPr>
            </w:pPr>
            <w:r>
              <w:rPr>
                <w:rFonts w:ascii="宋体" w:hAnsi="宋体"/>
              </w:rPr>
              <w:t>2005</w:t>
            </w:r>
          </w:p>
        </w:tc>
        <w:tc>
          <w:tcPr>
            <w:tcW w:w="444" w:type="pct"/>
            <w:vAlign w:val="center"/>
          </w:tcPr>
          <w:p w14:paraId="4FFA27CD">
            <w:pPr>
              <w:pStyle w:val="13"/>
              <w:jc w:val="center"/>
              <w:rPr>
                <w:rFonts w:ascii="宋体" w:hAnsi="宋体"/>
              </w:rPr>
            </w:pPr>
            <w:r>
              <w:rPr>
                <w:rFonts w:ascii="宋体" w:hAnsi="宋体"/>
              </w:rPr>
              <w:t>34743</w:t>
            </w:r>
          </w:p>
        </w:tc>
        <w:tc>
          <w:tcPr>
            <w:tcW w:w="547" w:type="pct"/>
            <w:vAlign w:val="center"/>
          </w:tcPr>
          <w:p w14:paraId="1BA0F0D1">
            <w:pPr>
              <w:pStyle w:val="13"/>
              <w:jc w:val="center"/>
              <w:rPr>
                <w:rFonts w:ascii="宋体" w:hAnsi="宋体"/>
              </w:rPr>
            </w:pPr>
            <w:r>
              <w:rPr>
                <w:rFonts w:ascii="宋体" w:hAnsi="宋体"/>
              </w:rPr>
              <w:t>19152</w:t>
            </w:r>
          </w:p>
        </w:tc>
        <w:tc>
          <w:tcPr>
            <w:tcW w:w="547" w:type="pct"/>
            <w:vAlign w:val="center"/>
          </w:tcPr>
          <w:p w14:paraId="693DB68A">
            <w:pPr>
              <w:pStyle w:val="13"/>
              <w:jc w:val="center"/>
              <w:rPr>
                <w:rFonts w:ascii="宋体" w:hAnsi="宋体"/>
              </w:rPr>
            </w:pPr>
            <w:r>
              <w:rPr>
                <w:rFonts w:ascii="宋体" w:hAnsi="宋体"/>
              </w:rPr>
              <w:t>7104</w:t>
            </w:r>
          </w:p>
        </w:tc>
        <w:tc>
          <w:tcPr>
            <w:tcW w:w="547" w:type="pct"/>
            <w:vAlign w:val="center"/>
          </w:tcPr>
          <w:p w14:paraId="5A9D42E4">
            <w:pPr>
              <w:pStyle w:val="13"/>
              <w:jc w:val="center"/>
              <w:rPr>
                <w:rFonts w:ascii="宋体" w:hAnsi="宋体"/>
              </w:rPr>
            </w:pPr>
            <w:r>
              <w:rPr>
                <w:rFonts w:ascii="宋体" w:hAnsi="宋体"/>
              </w:rPr>
              <w:t>8487</w:t>
            </w:r>
          </w:p>
        </w:tc>
        <w:tc>
          <w:tcPr>
            <w:tcW w:w="547" w:type="pct"/>
            <w:vAlign w:val="center"/>
          </w:tcPr>
          <w:p w14:paraId="7A9DBD76">
            <w:pPr>
              <w:pStyle w:val="13"/>
              <w:jc w:val="center"/>
              <w:rPr>
                <w:rFonts w:ascii="宋体" w:hAnsi="宋体"/>
              </w:rPr>
            </w:pPr>
            <w:r>
              <w:rPr>
                <w:rFonts w:ascii="宋体" w:hAnsi="宋体"/>
              </w:rPr>
              <w:t>100.0</w:t>
            </w:r>
          </w:p>
        </w:tc>
        <w:tc>
          <w:tcPr>
            <w:tcW w:w="497" w:type="pct"/>
            <w:vAlign w:val="center"/>
          </w:tcPr>
          <w:p w14:paraId="163F4C9A">
            <w:pPr>
              <w:pStyle w:val="13"/>
              <w:jc w:val="center"/>
              <w:rPr>
                <w:rFonts w:ascii="宋体" w:hAnsi="宋体"/>
              </w:rPr>
            </w:pPr>
          </w:p>
        </w:tc>
        <w:tc>
          <w:tcPr>
            <w:tcW w:w="497" w:type="pct"/>
            <w:vAlign w:val="center"/>
          </w:tcPr>
          <w:p w14:paraId="39B154D6">
            <w:pPr>
              <w:pStyle w:val="13"/>
              <w:jc w:val="center"/>
              <w:rPr>
                <w:rFonts w:ascii="宋体" w:hAnsi="宋体"/>
              </w:rPr>
            </w:pPr>
          </w:p>
        </w:tc>
        <w:tc>
          <w:tcPr>
            <w:tcW w:w="497" w:type="pct"/>
            <w:vAlign w:val="center"/>
          </w:tcPr>
          <w:p w14:paraId="4E9B6FC1">
            <w:pPr>
              <w:pStyle w:val="13"/>
              <w:jc w:val="center"/>
              <w:rPr>
                <w:rFonts w:ascii="宋体" w:hAnsi="宋体"/>
              </w:rPr>
            </w:pPr>
          </w:p>
        </w:tc>
        <w:tc>
          <w:tcPr>
            <w:tcW w:w="497" w:type="pct"/>
            <w:vAlign w:val="center"/>
          </w:tcPr>
          <w:p w14:paraId="465E2D7D">
            <w:pPr>
              <w:pStyle w:val="13"/>
              <w:jc w:val="center"/>
              <w:rPr>
                <w:rFonts w:ascii="宋体" w:hAnsi="宋体"/>
              </w:rPr>
            </w:pPr>
          </w:p>
        </w:tc>
      </w:tr>
      <w:tr w14:paraId="17628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vAlign w:val="center"/>
          </w:tcPr>
          <w:p w14:paraId="4F233134">
            <w:pPr>
              <w:pStyle w:val="13"/>
              <w:jc w:val="center"/>
              <w:rPr>
                <w:rFonts w:ascii="宋体" w:hAnsi="宋体"/>
              </w:rPr>
            </w:pPr>
            <w:r>
              <w:rPr>
                <w:rFonts w:ascii="宋体" w:hAnsi="宋体"/>
              </w:rPr>
              <w:t>2006</w:t>
            </w:r>
          </w:p>
        </w:tc>
        <w:tc>
          <w:tcPr>
            <w:tcW w:w="444" w:type="pct"/>
            <w:vAlign w:val="center"/>
          </w:tcPr>
          <w:p w14:paraId="57E2947F">
            <w:pPr>
              <w:pStyle w:val="13"/>
              <w:jc w:val="center"/>
              <w:rPr>
                <w:rFonts w:ascii="宋体" w:hAnsi="宋体"/>
              </w:rPr>
            </w:pPr>
            <w:r>
              <w:rPr>
                <w:rFonts w:ascii="宋体" w:hAnsi="宋体"/>
              </w:rPr>
              <w:t>33749</w:t>
            </w:r>
          </w:p>
        </w:tc>
        <w:tc>
          <w:tcPr>
            <w:tcW w:w="547" w:type="pct"/>
            <w:vAlign w:val="center"/>
          </w:tcPr>
          <w:p w14:paraId="59672ACB">
            <w:pPr>
              <w:pStyle w:val="13"/>
              <w:jc w:val="center"/>
              <w:rPr>
                <w:rFonts w:ascii="宋体" w:hAnsi="宋体"/>
              </w:rPr>
            </w:pPr>
            <w:r>
              <w:rPr>
                <w:rFonts w:ascii="宋体" w:hAnsi="宋体"/>
              </w:rPr>
              <w:t>19210</w:t>
            </w:r>
          </w:p>
        </w:tc>
        <w:tc>
          <w:tcPr>
            <w:tcW w:w="547" w:type="pct"/>
            <w:vAlign w:val="center"/>
          </w:tcPr>
          <w:p w14:paraId="680660E3">
            <w:pPr>
              <w:pStyle w:val="13"/>
              <w:jc w:val="center"/>
              <w:rPr>
                <w:rFonts w:ascii="宋体" w:hAnsi="宋体"/>
              </w:rPr>
            </w:pPr>
            <w:r>
              <w:rPr>
                <w:rFonts w:ascii="宋体" w:hAnsi="宋体"/>
              </w:rPr>
              <w:t>7104</w:t>
            </w:r>
          </w:p>
        </w:tc>
        <w:tc>
          <w:tcPr>
            <w:tcW w:w="547" w:type="pct"/>
            <w:vAlign w:val="center"/>
          </w:tcPr>
          <w:p w14:paraId="40ADA3EE">
            <w:pPr>
              <w:pStyle w:val="13"/>
              <w:jc w:val="center"/>
              <w:rPr>
                <w:rFonts w:ascii="宋体" w:hAnsi="宋体"/>
              </w:rPr>
            </w:pPr>
            <w:r>
              <w:rPr>
                <w:rFonts w:ascii="宋体" w:hAnsi="宋体"/>
              </w:rPr>
              <w:t>7435</w:t>
            </w:r>
          </w:p>
        </w:tc>
        <w:tc>
          <w:tcPr>
            <w:tcW w:w="547" w:type="pct"/>
            <w:vAlign w:val="center"/>
          </w:tcPr>
          <w:p w14:paraId="5BCF8C1C">
            <w:pPr>
              <w:pStyle w:val="13"/>
              <w:jc w:val="center"/>
              <w:rPr>
                <w:rFonts w:ascii="宋体" w:hAnsi="宋体"/>
              </w:rPr>
            </w:pPr>
            <w:r>
              <w:rPr>
                <w:rFonts w:ascii="宋体" w:hAnsi="宋体"/>
              </w:rPr>
              <w:t>100.0</w:t>
            </w:r>
          </w:p>
        </w:tc>
        <w:tc>
          <w:tcPr>
            <w:tcW w:w="497" w:type="pct"/>
            <w:vAlign w:val="center"/>
          </w:tcPr>
          <w:p w14:paraId="05EA1DF6">
            <w:pPr>
              <w:pStyle w:val="13"/>
              <w:jc w:val="center"/>
              <w:rPr>
                <w:rFonts w:ascii="宋体" w:hAnsi="宋体"/>
              </w:rPr>
            </w:pPr>
          </w:p>
        </w:tc>
        <w:tc>
          <w:tcPr>
            <w:tcW w:w="497" w:type="pct"/>
            <w:vAlign w:val="center"/>
          </w:tcPr>
          <w:p w14:paraId="36447CD8">
            <w:pPr>
              <w:pStyle w:val="13"/>
              <w:jc w:val="center"/>
              <w:rPr>
                <w:rFonts w:ascii="宋体" w:hAnsi="宋体"/>
              </w:rPr>
            </w:pPr>
          </w:p>
        </w:tc>
        <w:tc>
          <w:tcPr>
            <w:tcW w:w="497" w:type="pct"/>
            <w:vAlign w:val="center"/>
          </w:tcPr>
          <w:p w14:paraId="504C9BF9">
            <w:pPr>
              <w:pStyle w:val="13"/>
              <w:jc w:val="center"/>
              <w:rPr>
                <w:rFonts w:ascii="宋体" w:hAnsi="宋体"/>
              </w:rPr>
            </w:pPr>
          </w:p>
        </w:tc>
        <w:tc>
          <w:tcPr>
            <w:tcW w:w="497" w:type="pct"/>
            <w:vAlign w:val="center"/>
          </w:tcPr>
          <w:p w14:paraId="587377E0">
            <w:pPr>
              <w:pStyle w:val="13"/>
              <w:jc w:val="center"/>
              <w:rPr>
                <w:rFonts w:ascii="宋体" w:hAnsi="宋体"/>
              </w:rPr>
            </w:pPr>
          </w:p>
        </w:tc>
      </w:tr>
      <w:tr w14:paraId="4ABFB3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vAlign w:val="center"/>
          </w:tcPr>
          <w:p w14:paraId="195FD083">
            <w:pPr>
              <w:pStyle w:val="13"/>
              <w:jc w:val="center"/>
              <w:rPr>
                <w:rFonts w:ascii="宋体" w:hAnsi="宋体"/>
              </w:rPr>
            </w:pPr>
            <w:r>
              <w:rPr>
                <w:rFonts w:ascii="宋体" w:hAnsi="宋体"/>
              </w:rPr>
              <w:t>2007</w:t>
            </w:r>
          </w:p>
        </w:tc>
        <w:tc>
          <w:tcPr>
            <w:tcW w:w="444" w:type="pct"/>
            <w:vAlign w:val="center"/>
          </w:tcPr>
          <w:p w14:paraId="0C9F576F">
            <w:pPr>
              <w:pStyle w:val="13"/>
              <w:jc w:val="center"/>
              <w:rPr>
                <w:rFonts w:ascii="宋体" w:hAnsi="宋体"/>
              </w:rPr>
            </w:pPr>
            <w:r>
              <w:rPr>
                <w:rFonts w:ascii="宋体" w:hAnsi="宋体"/>
              </w:rPr>
              <w:t>34250</w:t>
            </w:r>
          </w:p>
        </w:tc>
        <w:tc>
          <w:tcPr>
            <w:tcW w:w="547" w:type="pct"/>
            <w:vAlign w:val="center"/>
          </w:tcPr>
          <w:p w14:paraId="14F09F1C">
            <w:pPr>
              <w:pStyle w:val="13"/>
              <w:jc w:val="center"/>
              <w:rPr>
                <w:rFonts w:ascii="宋体" w:hAnsi="宋体"/>
              </w:rPr>
            </w:pPr>
            <w:r>
              <w:rPr>
                <w:rFonts w:ascii="宋体" w:hAnsi="宋体"/>
              </w:rPr>
              <w:t>19000</w:t>
            </w:r>
          </w:p>
        </w:tc>
        <w:tc>
          <w:tcPr>
            <w:tcW w:w="547" w:type="pct"/>
            <w:vAlign w:val="center"/>
          </w:tcPr>
          <w:p w14:paraId="7E12E7CF">
            <w:pPr>
              <w:pStyle w:val="13"/>
              <w:jc w:val="center"/>
              <w:rPr>
                <w:rFonts w:ascii="宋体" w:hAnsi="宋体"/>
              </w:rPr>
            </w:pPr>
            <w:r>
              <w:rPr>
                <w:rFonts w:ascii="宋体" w:hAnsi="宋体"/>
              </w:rPr>
              <w:t>7104</w:t>
            </w:r>
          </w:p>
        </w:tc>
        <w:tc>
          <w:tcPr>
            <w:tcW w:w="547" w:type="pct"/>
            <w:vAlign w:val="center"/>
          </w:tcPr>
          <w:p w14:paraId="70AA72D0">
            <w:pPr>
              <w:pStyle w:val="13"/>
              <w:jc w:val="center"/>
              <w:rPr>
                <w:rFonts w:ascii="宋体" w:hAnsi="宋体"/>
              </w:rPr>
            </w:pPr>
            <w:r>
              <w:rPr>
                <w:rFonts w:ascii="宋体" w:hAnsi="宋体"/>
              </w:rPr>
              <w:t>6924</w:t>
            </w:r>
          </w:p>
        </w:tc>
        <w:tc>
          <w:tcPr>
            <w:tcW w:w="547" w:type="pct"/>
            <w:vAlign w:val="center"/>
          </w:tcPr>
          <w:p w14:paraId="02147169">
            <w:pPr>
              <w:pStyle w:val="13"/>
              <w:jc w:val="center"/>
              <w:rPr>
                <w:rFonts w:ascii="宋体" w:hAnsi="宋体"/>
              </w:rPr>
            </w:pPr>
            <w:r>
              <w:rPr>
                <w:rFonts w:ascii="宋体" w:hAnsi="宋体"/>
              </w:rPr>
              <w:t>96.4</w:t>
            </w:r>
          </w:p>
        </w:tc>
        <w:tc>
          <w:tcPr>
            <w:tcW w:w="497" w:type="pct"/>
            <w:vAlign w:val="center"/>
          </w:tcPr>
          <w:p w14:paraId="2B0CDD73">
            <w:pPr>
              <w:pStyle w:val="13"/>
              <w:jc w:val="center"/>
              <w:rPr>
                <w:rFonts w:ascii="宋体" w:hAnsi="宋体"/>
              </w:rPr>
            </w:pPr>
            <w:r>
              <w:rPr>
                <w:rFonts w:ascii="宋体" w:hAnsi="宋体"/>
              </w:rPr>
              <w:t>1222</w:t>
            </w:r>
          </w:p>
        </w:tc>
        <w:tc>
          <w:tcPr>
            <w:tcW w:w="497" w:type="pct"/>
            <w:vAlign w:val="center"/>
          </w:tcPr>
          <w:p w14:paraId="787DC434">
            <w:pPr>
              <w:pStyle w:val="13"/>
              <w:jc w:val="center"/>
              <w:rPr>
                <w:rFonts w:ascii="宋体" w:hAnsi="宋体"/>
              </w:rPr>
            </w:pPr>
            <w:r>
              <w:rPr>
                <w:rFonts w:ascii="宋体" w:hAnsi="宋体"/>
              </w:rPr>
              <w:t>3.6</w:t>
            </w:r>
          </w:p>
        </w:tc>
        <w:tc>
          <w:tcPr>
            <w:tcW w:w="497" w:type="pct"/>
            <w:vAlign w:val="center"/>
          </w:tcPr>
          <w:p w14:paraId="32C62ED2">
            <w:pPr>
              <w:pStyle w:val="13"/>
              <w:jc w:val="center"/>
              <w:rPr>
                <w:rFonts w:ascii="宋体" w:hAnsi="宋体"/>
              </w:rPr>
            </w:pPr>
          </w:p>
        </w:tc>
        <w:tc>
          <w:tcPr>
            <w:tcW w:w="497" w:type="pct"/>
            <w:vAlign w:val="center"/>
          </w:tcPr>
          <w:p w14:paraId="44E86A1D">
            <w:pPr>
              <w:pStyle w:val="13"/>
              <w:jc w:val="center"/>
              <w:rPr>
                <w:rFonts w:ascii="宋体" w:hAnsi="宋体"/>
              </w:rPr>
            </w:pPr>
          </w:p>
        </w:tc>
      </w:tr>
      <w:tr w14:paraId="22749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vAlign w:val="center"/>
          </w:tcPr>
          <w:p w14:paraId="2CB58528">
            <w:pPr>
              <w:pStyle w:val="13"/>
              <w:jc w:val="center"/>
              <w:rPr>
                <w:rFonts w:ascii="宋体" w:hAnsi="宋体"/>
              </w:rPr>
            </w:pPr>
            <w:r>
              <w:rPr>
                <w:rFonts w:ascii="宋体" w:hAnsi="宋体"/>
              </w:rPr>
              <w:t>2008</w:t>
            </w:r>
          </w:p>
        </w:tc>
        <w:tc>
          <w:tcPr>
            <w:tcW w:w="444" w:type="pct"/>
            <w:vAlign w:val="center"/>
          </w:tcPr>
          <w:p w14:paraId="72455D01">
            <w:pPr>
              <w:pStyle w:val="13"/>
              <w:jc w:val="center"/>
              <w:rPr>
                <w:rFonts w:ascii="宋体" w:hAnsi="宋体"/>
              </w:rPr>
            </w:pPr>
            <w:r>
              <w:rPr>
                <w:rFonts w:ascii="宋体" w:hAnsi="宋体"/>
              </w:rPr>
              <w:t>32724</w:t>
            </w:r>
          </w:p>
        </w:tc>
        <w:tc>
          <w:tcPr>
            <w:tcW w:w="547" w:type="pct"/>
            <w:vAlign w:val="center"/>
          </w:tcPr>
          <w:p w14:paraId="224F7253">
            <w:pPr>
              <w:pStyle w:val="13"/>
              <w:jc w:val="center"/>
              <w:rPr>
                <w:rFonts w:ascii="宋体" w:hAnsi="宋体"/>
              </w:rPr>
            </w:pPr>
            <w:r>
              <w:rPr>
                <w:rFonts w:ascii="宋体" w:hAnsi="宋体"/>
              </w:rPr>
              <w:t>19000</w:t>
            </w:r>
          </w:p>
        </w:tc>
        <w:tc>
          <w:tcPr>
            <w:tcW w:w="547" w:type="pct"/>
            <w:vAlign w:val="center"/>
          </w:tcPr>
          <w:p w14:paraId="414C947C">
            <w:pPr>
              <w:pStyle w:val="13"/>
              <w:jc w:val="center"/>
              <w:rPr>
                <w:rFonts w:ascii="宋体" w:hAnsi="宋体"/>
              </w:rPr>
            </w:pPr>
            <w:r>
              <w:rPr>
                <w:rFonts w:ascii="宋体" w:hAnsi="宋体"/>
              </w:rPr>
              <w:t>9050</w:t>
            </w:r>
          </w:p>
        </w:tc>
        <w:tc>
          <w:tcPr>
            <w:tcW w:w="547" w:type="pct"/>
            <w:vAlign w:val="center"/>
          </w:tcPr>
          <w:p w14:paraId="28A4EA6A">
            <w:pPr>
              <w:pStyle w:val="13"/>
              <w:jc w:val="center"/>
              <w:rPr>
                <w:rFonts w:ascii="宋体" w:hAnsi="宋体"/>
              </w:rPr>
            </w:pPr>
            <w:r>
              <w:rPr>
                <w:rFonts w:ascii="宋体" w:hAnsi="宋体"/>
              </w:rPr>
              <w:t>3144</w:t>
            </w:r>
          </w:p>
        </w:tc>
        <w:tc>
          <w:tcPr>
            <w:tcW w:w="547" w:type="pct"/>
            <w:vAlign w:val="center"/>
          </w:tcPr>
          <w:p w14:paraId="7A1A45DF">
            <w:pPr>
              <w:pStyle w:val="13"/>
              <w:jc w:val="center"/>
              <w:rPr>
                <w:rFonts w:ascii="宋体" w:hAnsi="宋体"/>
              </w:rPr>
            </w:pPr>
            <w:r>
              <w:rPr>
                <w:rFonts w:ascii="宋体" w:hAnsi="宋体"/>
              </w:rPr>
              <w:t>95.3</w:t>
            </w:r>
          </w:p>
        </w:tc>
        <w:tc>
          <w:tcPr>
            <w:tcW w:w="497" w:type="pct"/>
            <w:vAlign w:val="center"/>
          </w:tcPr>
          <w:p w14:paraId="14232BD5">
            <w:pPr>
              <w:pStyle w:val="13"/>
              <w:jc w:val="center"/>
              <w:rPr>
                <w:rFonts w:ascii="宋体" w:hAnsi="宋体"/>
              </w:rPr>
            </w:pPr>
            <w:r>
              <w:rPr>
                <w:rFonts w:ascii="宋体" w:hAnsi="宋体"/>
              </w:rPr>
              <w:t>1530</w:t>
            </w:r>
          </w:p>
        </w:tc>
        <w:tc>
          <w:tcPr>
            <w:tcW w:w="497" w:type="pct"/>
            <w:vAlign w:val="center"/>
          </w:tcPr>
          <w:p w14:paraId="5D0A6A43">
            <w:pPr>
              <w:pStyle w:val="13"/>
              <w:jc w:val="center"/>
              <w:rPr>
                <w:rFonts w:ascii="宋体" w:hAnsi="宋体"/>
              </w:rPr>
            </w:pPr>
            <w:r>
              <w:rPr>
                <w:rFonts w:ascii="宋体" w:hAnsi="宋体"/>
              </w:rPr>
              <w:t>4.7</w:t>
            </w:r>
          </w:p>
        </w:tc>
        <w:tc>
          <w:tcPr>
            <w:tcW w:w="497" w:type="pct"/>
            <w:vAlign w:val="center"/>
          </w:tcPr>
          <w:p w14:paraId="58A045AE">
            <w:pPr>
              <w:pStyle w:val="13"/>
              <w:jc w:val="center"/>
              <w:rPr>
                <w:rFonts w:ascii="宋体" w:hAnsi="宋体"/>
              </w:rPr>
            </w:pPr>
          </w:p>
        </w:tc>
        <w:tc>
          <w:tcPr>
            <w:tcW w:w="497" w:type="pct"/>
            <w:vAlign w:val="center"/>
          </w:tcPr>
          <w:p w14:paraId="69110449">
            <w:pPr>
              <w:pStyle w:val="13"/>
              <w:jc w:val="center"/>
              <w:rPr>
                <w:rFonts w:ascii="宋体" w:hAnsi="宋体"/>
              </w:rPr>
            </w:pPr>
          </w:p>
        </w:tc>
      </w:tr>
      <w:tr w14:paraId="1E42A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vAlign w:val="center"/>
          </w:tcPr>
          <w:p w14:paraId="4758115B">
            <w:pPr>
              <w:pStyle w:val="13"/>
              <w:jc w:val="center"/>
              <w:rPr>
                <w:rFonts w:ascii="宋体" w:hAnsi="宋体"/>
              </w:rPr>
            </w:pPr>
            <w:r>
              <w:rPr>
                <w:rFonts w:ascii="宋体" w:hAnsi="宋体"/>
              </w:rPr>
              <w:t>2009</w:t>
            </w:r>
          </w:p>
        </w:tc>
        <w:tc>
          <w:tcPr>
            <w:tcW w:w="444" w:type="pct"/>
            <w:vAlign w:val="center"/>
          </w:tcPr>
          <w:p w14:paraId="7FC19BA1">
            <w:pPr>
              <w:pStyle w:val="13"/>
              <w:jc w:val="center"/>
              <w:rPr>
                <w:rFonts w:ascii="宋体" w:hAnsi="宋体"/>
              </w:rPr>
            </w:pPr>
            <w:r>
              <w:rPr>
                <w:rFonts w:ascii="宋体" w:hAnsi="宋体"/>
              </w:rPr>
              <w:t>34461</w:t>
            </w:r>
          </w:p>
        </w:tc>
        <w:tc>
          <w:tcPr>
            <w:tcW w:w="547" w:type="pct"/>
            <w:vAlign w:val="center"/>
          </w:tcPr>
          <w:p w14:paraId="14BCF727">
            <w:pPr>
              <w:pStyle w:val="13"/>
              <w:jc w:val="center"/>
              <w:rPr>
                <w:rFonts w:ascii="宋体" w:hAnsi="宋体"/>
              </w:rPr>
            </w:pPr>
            <w:r>
              <w:rPr>
                <w:rFonts w:ascii="宋体" w:hAnsi="宋体"/>
              </w:rPr>
              <w:t>19500</w:t>
            </w:r>
          </w:p>
        </w:tc>
        <w:tc>
          <w:tcPr>
            <w:tcW w:w="547" w:type="pct"/>
            <w:vAlign w:val="center"/>
          </w:tcPr>
          <w:p w14:paraId="03EA3FC9">
            <w:pPr>
              <w:pStyle w:val="13"/>
              <w:jc w:val="center"/>
              <w:rPr>
                <w:rFonts w:ascii="宋体" w:hAnsi="宋体"/>
              </w:rPr>
            </w:pPr>
            <w:r>
              <w:rPr>
                <w:rFonts w:ascii="宋体" w:hAnsi="宋体"/>
              </w:rPr>
              <w:t>9100</w:t>
            </w:r>
          </w:p>
        </w:tc>
        <w:tc>
          <w:tcPr>
            <w:tcW w:w="547" w:type="pct"/>
            <w:vAlign w:val="center"/>
          </w:tcPr>
          <w:p w14:paraId="54529E26">
            <w:pPr>
              <w:pStyle w:val="13"/>
              <w:jc w:val="center"/>
              <w:rPr>
                <w:rFonts w:ascii="宋体" w:hAnsi="宋体"/>
              </w:rPr>
            </w:pPr>
            <w:r>
              <w:rPr>
                <w:rFonts w:ascii="宋体" w:hAnsi="宋体"/>
              </w:rPr>
              <w:t>4332</w:t>
            </w:r>
          </w:p>
        </w:tc>
        <w:tc>
          <w:tcPr>
            <w:tcW w:w="547" w:type="pct"/>
            <w:vAlign w:val="center"/>
          </w:tcPr>
          <w:p w14:paraId="7095CB0E">
            <w:pPr>
              <w:pStyle w:val="13"/>
              <w:jc w:val="center"/>
              <w:rPr>
                <w:rFonts w:ascii="宋体" w:hAnsi="宋体"/>
              </w:rPr>
            </w:pPr>
            <w:r>
              <w:rPr>
                <w:rFonts w:ascii="宋体" w:hAnsi="宋体"/>
              </w:rPr>
              <w:t>95.6</w:t>
            </w:r>
          </w:p>
        </w:tc>
        <w:tc>
          <w:tcPr>
            <w:tcW w:w="497" w:type="pct"/>
            <w:vAlign w:val="center"/>
          </w:tcPr>
          <w:p w14:paraId="7CA9A363">
            <w:pPr>
              <w:pStyle w:val="13"/>
              <w:jc w:val="center"/>
              <w:rPr>
                <w:rFonts w:ascii="宋体" w:hAnsi="宋体"/>
              </w:rPr>
            </w:pPr>
            <w:r>
              <w:rPr>
                <w:rFonts w:ascii="宋体" w:hAnsi="宋体"/>
              </w:rPr>
              <w:t>1530</w:t>
            </w:r>
          </w:p>
        </w:tc>
        <w:tc>
          <w:tcPr>
            <w:tcW w:w="497" w:type="pct"/>
            <w:vAlign w:val="center"/>
          </w:tcPr>
          <w:p w14:paraId="54C71A15">
            <w:pPr>
              <w:pStyle w:val="13"/>
              <w:jc w:val="center"/>
              <w:rPr>
                <w:rFonts w:ascii="宋体" w:hAnsi="宋体"/>
              </w:rPr>
            </w:pPr>
            <w:r>
              <w:rPr>
                <w:rFonts w:ascii="宋体" w:hAnsi="宋体"/>
              </w:rPr>
              <w:t>4.4</w:t>
            </w:r>
          </w:p>
        </w:tc>
        <w:tc>
          <w:tcPr>
            <w:tcW w:w="497" w:type="pct"/>
            <w:vAlign w:val="center"/>
          </w:tcPr>
          <w:p w14:paraId="678B0B83">
            <w:pPr>
              <w:pStyle w:val="13"/>
              <w:jc w:val="center"/>
              <w:rPr>
                <w:rFonts w:ascii="宋体" w:hAnsi="宋体"/>
              </w:rPr>
            </w:pPr>
            <w:r>
              <w:rPr>
                <w:rFonts w:ascii="宋体" w:hAnsi="宋体"/>
              </w:rPr>
              <w:t>202</w:t>
            </w:r>
          </w:p>
        </w:tc>
        <w:tc>
          <w:tcPr>
            <w:tcW w:w="497" w:type="pct"/>
            <w:vAlign w:val="center"/>
          </w:tcPr>
          <w:p w14:paraId="5631DF17">
            <w:pPr>
              <w:pStyle w:val="13"/>
              <w:jc w:val="center"/>
              <w:rPr>
                <w:rFonts w:ascii="宋体" w:hAnsi="宋体"/>
              </w:rPr>
            </w:pPr>
            <w:r>
              <w:rPr>
                <w:rFonts w:ascii="宋体" w:hAnsi="宋体"/>
              </w:rPr>
              <w:t>1.5</w:t>
            </w:r>
          </w:p>
        </w:tc>
      </w:tr>
      <w:tr w14:paraId="2B5E0E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 w:type="pct"/>
            <w:vAlign w:val="center"/>
          </w:tcPr>
          <w:p w14:paraId="205BF12A">
            <w:pPr>
              <w:pStyle w:val="13"/>
              <w:jc w:val="center"/>
              <w:rPr>
                <w:rFonts w:ascii="宋体" w:hAnsi="宋体"/>
              </w:rPr>
            </w:pPr>
            <w:r>
              <w:rPr>
                <w:rFonts w:ascii="宋体" w:hAnsi="宋体"/>
              </w:rPr>
              <w:t>2010</w:t>
            </w:r>
          </w:p>
        </w:tc>
        <w:tc>
          <w:tcPr>
            <w:tcW w:w="444" w:type="pct"/>
            <w:vAlign w:val="center"/>
          </w:tcPr>
          <w:p w14:paraId="162C03C9">
            <w:pPr>
              <w:pStyle w:val="13"/>
              <w:jc w:val="center"/>
              <w:rPr>
                <w:rFonts w:ascii="宋体" w:hAnsi="宋体"/>
              </w:rPr>
            </w:pPr>
            <w:r>
              <w:rPr>
                <w:rFonts w:ascii="宋体" w:hAnsi="宋体"/>
              </w:rPr>
              <w:t>38320</w:t>
            </w:r>
          </w:p>
        </w:tc>
        <w:tc>
          <w:tcPr>
            <w:tcW w:w="547" w:type="pct"/>
            <w:vAlign w:val="center"/>
          </w:tcPr>
          <w:p w14:paraId="5FD2BC0F">
            <w:pPr>
              <w:pStyle w:val="13"/>
              <w:jc w:val="center"/>
              <w:rPr>
                <w:rFonts w:ascii="宋体" w:hAnsi="宋体"/>
              </w:rPr>
            </w:pPr>
            <w:r>
              <w:rPr>
                <w:rFonts w:ascii="宋体" w:hAnsi="宋体"/>
              </w:rPr>
              <w:t>20300</w:t>
            </w:r>
          </w:p>
        </w:tc>
        <w:tc>
          <w:tcPr>
            <w:tcW w:w="547" w:type="pct"/>
            <w:vAlign w:val="center"/>
          </w:tcPr>
          <w:p w14:paraId="68CA3FBE">
            <w:pPr>
              <w:pStyle w:val="13"/>
              <w:jc w:val="center"/>
              <w:rPr>
                <w:rFonts w:ascii="宋体" w:hAnsi="宋体"/>
              </w:rPr>
            </w:pPr>
            <w:r>
              <w:rPr>
                <w:rFonts w:ascii="宋体" w:hAnsi="宋体"/>
              </w:rPr>
              <w:t>9200</w:t>
            </w:r>
          </w:p>
        </w:tc>
        <w:tc>
          <w:tcPr>
            <w:tcW w:w="547" w:type="pct"/>
            <w:vAlign w:val="center"/>
          </w:tcPr>
          <w:p w14:paraId="39C012A0">
            <w:pPr>
              <w:pStyle w:val="13"/>
              <w:jc w:val="center"/>
              <w:rPr>
                <w:rFonts w:ascii="宋体" w:hAnsi="宋体"/>
              </w:rPr>
            </w:pPr>
            <w:r>
              <w:rPr>
                <w:rFonts w:ascii="宋体" w:hAnsi="宋体"/>
              </w:rPr>
              <w:t>7230</w:t>
            </w:r>
          </w:p>
        </w:tc>
        <w:tc>
          <w:tcPr>
            <w:tcW w:w="547" w:type="pct"/>
            <w:vAlign w:val="center"/>
          </w:tcPr>
          <w:p w14:paraId="65C88D58">
            <w:pPr>
              <w:pStyle w:val="13"/>
              <w:jc w:val="center"/>
              <w:rPr>
                <w:rFonts w:ascii="宋体" w:hAnsi="宋体"/>
              </w:rPr>
            </w:pPr>
            <w:r>
              <w:rPr>
                <w:rFonts w:ascii="宋体" w:hAnsi="宋体"/>
              </w:rPr>
              <w:t>95.9</w:t>
            </w:r>
          </w:p>
        </w:tc>
        <w:tc>
          <w:tcPr>
            <w:tcW w:w="497" w:type="pct"/>
            <w:vAlign w:val="center"/>
          </w:tcPr>
          <w:p w14:paraId="21FBF7C2">
            <w:pPr>
              <w:pStyle w:val="13"/>
              <w:jc w:val="center"/>
              <w:rPr>
                <w:rFonts w:ascii="宋体" w:hAnsi="宋体"/>
              </w:rPr>
            </w:pPr>
            <w:r>
              <w:rPr>
                <w:rFonts w:ascii="宋体" w:hAnsi="宋体"/>
              </w:rPr>
              <w:t>1500</w:t>
            </w:r>
          </w:p>
        </w:tc>
        <w:tc>
          <w:tcPr>
            <w:tcW w:w="497" w:type="pct"/>
            <w:vAlign w:val="center"/>
          </w:tcPr>
          <w:p w14:paraId="1D909E4B">
            <w:pPr>
              <w:pStyle w:val="13"/>
              <w:jc w:val="center"/>
              <w:rPr>
                <w:rFonts w:ascii="宋体" w:hAnsi="宋体"/>
              </w:rPr>
            </w:pPr>
            <w:r>
              <w:rPr>
                <w:rFonts w:ascii="宋体" w:hAnsi="宋体"/>
              </w:rPr>
              <w:t>3.9</w:t>
            </w:r>
          </w:p>
        </w:tc>
        <w:tc>
          <w:tcPr>
            <w:tcW w:w="497" w:type="pct"/>
            <w:vAlign w:val="center"/>
          </w:tcPr>
          <w:p w14:paraId="388C3B88">
            <w:pPr>
              <w:pStyle w:val="13"/>
              <w:jc w:val="center"/>
              <w:rPr>
                <w:rFonts w:ascii="宋体" w:hAnsi="宋体"/>
              </w:rPr>
            </w:pPr>
            <w:r>
              <w:rPr>
                <w:rFonts w:ascii="宋体" w:hAnsi="宋体"/>
              </w:rPr>
              <w:t>90</w:t>
            </w:r>
          </w:p>
        </w:tc>
        <w:tc>
          <w:tcPr>
            <w:tcW w:w="497" w:type="pct"/>
            <w:vAlign w:val="center"/>
          </w:tcPr>
          <w:p w14:paraId="6937E8BA">
            <w:pPr>
              <w:pStyle w:val="13"/>
              <w:jc w:val="center"/>
              <w:rPr>
                <w:rFonts w:hint="eastAsia" w:ascii="宋体" w:hAnsi="宋体"/>
              </w:rPr>
            </w:pPr>
            <w:r>
              <w:rPr>
                <w:rFonts w:ascii="宋体" w:hAnsi="宋体"/>
              </w:rPr>
              <w:t>0.2</w:t>
            </w:r>
          </w:p>
        </w:tc>
      </w:tr>
    </w:tbl>
    <w:p w14:paraId="2A1116C1">
      <w:pPr>
        <w:ind w:firstLine="0" w:firstLineChars="0"/>
        <w:jc w:val="center"/>
        <w:rPr>
          <w:rFonts w:hint="eastAsia" w:ascii="宋体" w:hAnsi="宋体"/>
          <w:b/>
        </w:rPr>
      </w:pPr>
      <w:commentRangeStart w:id="4"/>
      <w:r>
        <w:rPr>
          <w:rFonts w:hint="eastAsia" w:ascii="宋体" w:hAnsi="宋体"/>
          <w:b/>
        </w:rPr>
        <w:t>表3-5  南雄市年用水量（2003～2010年）</w:t>
      </w:r>
      <w:commentRangeEnd w:id="4"/>
      <w:r>
        <w:rPr>
          <w:rStyle w:val="12"/>
          <w:rFonts w:ascii="宋体" w:hAnsi="宋体"/>
        </w:rPr>
        <w:commentReference w:id="4"/>
      </w:r>
    </w:p>
    <w:p w14:paraId="133196C6">
      <w:pPr>
        <w:ind w:firstLine="422"/>
        <w:jc w:val="right"/>
        <w:rPr>
          <w:rFonts w:hint="eastAsia" w:ascii="宋体" w:hAnsi="宋体"/>
          <w:b/>
        </w:rPr>
      </w:pPr>
      <w:r>
        <w:rPr>
          <w:rFonts w:hint="eastAsia" w:ascii="宋体" w:hAnsi="宋体"/>
          <w:b/>
        </w:rPr>
        <w:t>单位：万立方米</w:t>
      </w: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4"/>
        <w:gridCol w:w="904"/>
        <w:gridCol w:w="904"/>
        <w:gridCol w:w="905"/>
        <w:gridCol w:w="905"/>
        <w:gridCol w:w="909"/>
        <w:gridCol w:w="905"/>
        <w:gridCol w:w="905"/>
        <w:gridCol w:w="907"/>
        <w:gridCol w:w="907"/>
        <w:gridCol w:w="907"/>
      </w:tblGrid>
      <w:tr w14:paraId="085D0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454" w:type="pct"/>
            <w:vMerge w:val="restart"/>
            <w:vAlign w:val="center"/>
          </w:tcPr>
          <w:p w14:paraId="25C84794">
            <w:pPr>
              <w:pStyle w:val="13"/>
              <w:jc w:val="center"/>
              <w:rPr>
                <w:rFonts w:hint="eastAsia" w:ascii="宋体" w:hAnsi="宋体"/>
                <w:b/>
              </w:rPr>
            </w:pPr>
            <w:r>
              <w:rPr>
                <w:rFonts w:hint="eastAsia" w:ascii="宋体" w:hAnsi="宋体"/>
                <w:b/>
              </w:rPr>
              <w:t>年度</w:t>
            </w:r>
          </w:p>
        </w:tc>
        <w:tc>
          <w:tcPr>
            <w:tcW w:w="2272" w:type="pct"/>
            <w:gridSpan w:val="5"/>
            <w:vAlign w:val="center"/>
          </w:tcPr>
          <w:p w14:paraId="3F194873">
            <w:pPr>
              <w:pStyle w:val="13"/>
              <w:jc w:val="center"/>
              <w:rPr>
                <w:rFonts w:hint="eastAsia" w:ascii="宋体" w:hAnsi="宋体"/>
                <w:b/>
              </w:rPr>
            </w:pPr>
            <w:r>
              <w:rPr>
                <w:rFonts w:hint="eastAsia" w:ascii="宋体" w:hAnsi="宋体"/>
                <w:b/>
              </w:rPr>
              <w:t>生产用水量</w:t>
            </w:r>
          </w:p>
        </w:tc>
        <w:tc>
          <w:tcPr>
            <w:tcW w:w="454" w:type="pct"/>
            <w:vMerge w:val="restart"/>
            <w:vAlign w:val="center"/>
          </w:tcPr>
          <w:p w14:paraId="20554CEE">
            <w:pPr>
              <w:pStyle w:val="13"/>
              <w:jc w:val="center"/>
              <w:rPr>
                <w:rFonts w:hint="eastAsia" w:ascii="宋体" w:hAnsi="宋体"/>
                <w:b/>
              </w:rPr>
            </w:pPr>
            <w:r>
              <w:rPr>
                <w:rFonts w:hint="eastAsia" w:ascii="宋体" w:hAnsi="宋体"/>
                <w:b/>
              </w:rPr>
              <w:t>居民</w:t>
            </w:r>
          </w:p>
          <w:p w14:paraId="3AF00422">
            <w:pPr>
              <w:pStyle w:val="13"/>
              <w:jc w:val="center"/>
              <w:rPr>
                <w:rFonts w:hint="eastAsia" w:ascii="宋体" w:hAnsi="宋体"/>
                <w:b/>
              </w:rPr>
            </w:pPr>
            <w:r>
              <w:rPr>
                <w:rFonts w:hint="eastAsia" w:ascii="宋体" w:hAnsi="宋体"/>
                <w:b/>
              </w:rPr>
              <w:t>生活</w:t>
            </w:r>
          </w:p>
        </w:tc>
        <w:tc>
          <w:tcPr>
            <w:tcW w:w="454" w:type="pct"/>
            <w:vMerge w:val="restart"/>
            <w:vAlign w:val="center"/>
          </w:tcPr>
          <w:p w14:paraId="105FF96E">
            <w:pPr>
              <w:pStyle w:val="13"/>
              <w:jc w:val="center"/>
              <w:rPr>
                <w:rFonts w:hint="eastAsia" w:ascii="宋体" w:hAnsi="宋体"/>
                <w:b/>
              </w:rPr>
            </w:pPr>
            <w:r>
              <w:rPr>
                <w:rFonts w:hint="eastAsia" w:ascii="宋体" w:hAnsi="宋体"/>
                <w:b/>
              </w:rPr>
              <w:t>占总用水比例（%）</w:t>
            </w:r>
          </w:p>
        </w:tc>
        <w:tc>
          <w:tcPr>
            <w:tcW w:w="455" w:type="pct"/>
            <w:vMerge w:val="restart"/>
            <w:vAlign w:val="center"/>
          </w:tcPr>
          <w:p w14:paraId="6301E3C9">
            <w:pPr>
              <w:pStyle w:val="13"/>
              <w:jc w:val="center"/>
              <w:rPr>
                <w:rFonts w:hint="eastAsia" w:ascii="宋体" w:hAnsi="宋体"/>
                <w:b/>
              </w:rPr>
            </w:pPr>
            <w:r>
              <w:rPr>
                <w:rFonts w:hint="eastAsia" w:ascii="宋体" w:hAnsi="宋体"/>
                <w:b/>
              </w:rPr>
              <w:t>生态</w:t>
            </w:r>
          </w:p>
          <w:p w14:paraId="4768CCF1">
            <w:pPr>
              <w:pStyle w:val="13"/>
              <w:jc w:val="center"/>
              <w:rPr>
                <w:rFonts w:hint="eastAsia" w:ascii="宋体" w:hAnsi="宋体"/>
                <w:b/>
              </w:rPr>
            </w:pPr>
            <w:r>
              <w:rPr>
                <w:rFonts w:hint="eastAsia" w:ascii="宋体" w:hAnsi="宋体"/>
                <w:b/>
              </w:rPr>
              <w:t>环境</w:t>
            </w:r>
          </w:p>
        </w:tc>
        <w:tc>
          <w:tcPr>
            <w:tcW w:w="455" w:type="pct"/>
            <w:vMerge w:val="restart"/>
            <w:vAlign w:val="center"/>
          </w:tcPr>
          <w:p w14:paraId="65F36BB8">
            <w:pPr>
              <w:pStyle w:val="13"/>
              <w:jc w:val="center"/>
              <w:rPr>
                <w:rFonts w:hint="eastAsia" w:ascii="宋体" w:hAnsi="宋体"/>
                <w:b/>
              </w:rPr>
            </w:pPr>
            <w:r>
              <w:rPr>
                <w:rFonts w:hint="eastAsia" w:ascii="宋体" w:hAnsi="宋体"/>
                <w:b/>
              </w:rPr>
              <w:t>占总用水比例（%）</w:t>
            </w:r>
          </w:p>
        </w:tc>
        <w:tc>
          <w:tcPr>
            <w:tcW w:w="455" w:type="pct"/>
            <w:vMerge w:val="restart"/>
            <w:vAlign w:val="center"/>
          </w:tcPr>
          <w:p w14:paraId="5D540BA0">
            <w:pPr>
              <w:pStyle w:val="13"/>
              <w:jc w:val="center"/>
              <w:rPr>
                <w:rFonts w:hint="eastAsia" w:ascii="宋体" w:hAnsi="宋体"/>
                <w:b/>
              </w:rPr>
            </w:pPr>
            <w:r>
              <w:rPr>
                <w:rFonts w:hint="eastAsia" w:ascii="宋体" w:hAnsi="宋体"/>
                <w:b/>
              </w:rPr>
              <w:t>总用</w:t>
            </w:r>
          </w:p>
          <w:p w14:paraId="1E3169ED">
            <w:pPr>
              <w:pStyle w:val="13"/>
              <w:jc w:val="center"/>
              <w:rPr>
                <w:rFonts w:hint="eastAsia" w:ascii="宋体" w:hAnsi="宋体"/>
                <w:b/>
              </w:rPr>
            </w:pPr>
            <w:r>
              <w:rPr>
                <w:rFonts w:hint="eastAsia" w:ascii="宋体" w:hAnsi="宋体"/>
                <w:b/>
              </w:rPr>
              <w:t>水量</w:t>
            </w:r>
          </w:p>
        </w:tc>
      </w:tr>
      <w:tr w14:paraId="5DC8D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jc w:val="center"/>
        </w:trPr>
        <w:tc>
          <w:tcPr>
            <w:tcW w:w="454" w:type="pct"/>
            <w:vMerge w:val="continue"/>
            <w:vAlign w:val="center"/>
          </w:tcPr>
          <w:p w14:paraId="028FEB42">
            <w:pPr>
              <w:pStyle w:val="13"/>
              <w:jc w:val="center"/>
              <w:rPr>
                <w:rFonts w:hint="eastAsia" w:ascii="宋体" w:hAnsi="宋体"/>
              </w:rPr>
            </w:pPr>
          </w:p>
        </w:tc>
        <w:tc>
          <w:tcPr>
            <w:tcW w:w="454" w:type="pct"/>
            <w:vAlign w:val="center"/>
          </w:tcPr>
          <w:p w14:paraId="718C96B2">
            <w:pPr>
              <w:pStyle w:val="13"/>
              <w:jc w:val="center"/>
              <w:rPr>
                <w:rFonts w:hint="eastAsia" w:ascii="宋体" w:hAnsi="宋体"/>
                <w:b/>
              </w:rPr>
            </w:pPr>
            <w:r>
              <w:rPr>
                <w:rFonts w:hint="eastAsia" w:ascii="宋体" w:hAnsi="宋体"/>
                <w:b/>
              </w:rPr>
              <w:t>农田</w:t>
            </w:r>
          </w:p>
          <w:p w14:paraId="497FE624">
            <w:pPr>
              <w:pStyle w:val="13"/>
              <w:jc w:val="center"/>
              <w:rPr>
                <w:rFonts w:hint="eastAsia" w:ascii="宋体" w:hAnsi="宋体"/>
                <w:b/>
              </w:rPr>
            </w:pPr>
            <w:r>
              <w:rPr>
                <w:rFonts w:hint="eastAsia" w:ascii="宋体" w:hAnsi="宋体"/>
                <w:b/>
              </w:rPr>
              <w:t>灌溉</w:t>
            </w:r>
          </w:p>
        </w:tc>
        <w:tc>
          <w:tcPr>
            <w:tcW w:w="454" w:type="pct"/>
            <w:vAlign w:val="center"/>
          </w:tcPr>
          <w:p w14:paraId="46D449E6">
            <w:pPr>
              <w:pStyle w:val="13"/>
              <w:jc w:val="center"/>
              <w:rPr>
                <w:rFonts w:hint="eastAsia" w:ascii="宋体" w:hAnsi="宋体"/>
                <w:b/>
              </w:rPr>
            </w:pPr>
            <w:r>
              <w:rPr>
                <w:rFonts w:hint="eastAsia" w:ascii="宋体" w:hAnsi="宋体"/>
                <w:b/>
              </w:rPr>
              <w:t>林牧</w:t>
            </w:r>
          </w:p>
          <w:p w14:paraId="78CAA59D">
            <w:pPr>
              <w:pStyle w:val="13"/>
              <w:jc w:val="center"/>
              <w:rPr>
                <w:rFonts w:hint="eastAsia" w:ascii="宋体" w:hAnsi="宋体"/>
                <w:b/>
              </w:rPr>
            </w:pPr>
            <w:r>
              <w:rPr>
                <w:rFonts w:hint="eastAsia" w:ascii="宋体" w:hAnsi="宋体"/>
                <w:b/>
              </w:rPr>
              <w:t>渔畜</w:t>
            </w:r>
          </w:p>
        </w:tc>
        <w:tc>
          <w:tcPr>
            <w:tcW w:w="454" w:type="pct"/>
            <w:vAlign w:val="center"/>
          </w:tcPr>
          <w:p w14:paraId="7BE0D69D">
            <w:pPr>
              <w:pStyle w:val="13"/>
              <w:jc w:val="center"/>
              <w:rPr>
                <w:rFonts w:hint="eastAsia" w:ascii="宋体" w:hAnsi="宋体"/>
                <w:b/>
              </w:rPr>
            </w:pPr>
            <w:r>
              <w:rPr>
                <w:rFonts w:hint="eastAsia" w:ascii="宋体" w:hAnsi="宋体"/>
                <w:b/>
              </w:rPr>
              <w:t>工业</w:t>
            </w:r>
          </w:p>
        </w:tc>
        <w:tc>
          <w:tcPr>
            <w:tcW w:w="454" w:type="pct"/>
            <w:vAlign w:val="center"/>
          </w:tcPr>
          <w:p w14:paraId="7865E10E">
            <w:pPr>
              <w:pStyle w:val="13"/>
              <w:jc w:val="center"/>
              <w:rPr>
                <w:rFonts w:hint="eastAsia" w:ascii="宋体" w:hAnsi="宋体"/>
                <w:b/>
              </w:rPr>
            </w:pPr>
            <w:r>
              <w:rPr>
                <w:rFonts w:hint="eastAsia" w:ascii="宋体" w:hAnsi="宋体"/>
                <w:b/>
              </w:rPr>
              <w:t>城镇</w:t>
            </w:r>
          </w:p>
          <w:p w14:paraId="71E64996">
            <w:pPr>
              <w:pStyle w:val="13"/>
              <w:jc w:val="center"/>
              <w:rPr>
                <w:rFonts w:hint="eastAsia" w:ascii="宋体" w:hAnsi="宋体"/>
                <w:b/>
              </w:rPr>
            </w:pPr>
            <w:r>
              <w:rPr>
                <w:rFonts w:hint="eastAsia" w:ascii="宋体" w:hAnsi="宋体"/>
                <w:b/>
              </w:rPr>
              <w:t>公用</w:t>
            </w:r>
          </w:p>
        </w:tc>
        <w:tc>
          <w:tcPr>
            <w:tcW w:w="454" w:type="pct"/>
            <w:vAlign w:val="center"/>
          </w:tcPr>
          <w:p w14:paraId="6DD584DD">
            <w:pPr>
              <w:pStyle w:val="13"/>
              <w:jc w:val="center"/>
              <w:rPr>
                <w:rFonts w:hint="eastAsia" w:ascii="宋体" w:hAnsi="宋体"/>
                <w:b/>
              </w:rPr>
            </w:pPr>
            <w:r>
              <w:rPr>
                <w:rFonts w:hint="eastAsia" w:ascii="宋体" w:hAnsi="宋体"/>
                <w:b/>
              </w:rPr>
              <w:t>占总用水比例（%）</w:t>
            </w:r>
          </w:p>
        </w:tc>
        <w:tc>
          <w:tcPr>
            <w:tcW w:w="454" w:type="pct"/>
            <w:vMerge w:val="continue"/>
            <w:vAlign w:val="center"/>
          </w:tcPr>
          <w:p w14:paraId="3F10C096">
            <w:pPr>
              <w:pStyle w:val="13"/>
              <w:jc w:val="center"/>
              <w:rPr>
                <w:rFonts w:hint="eastAsia" w:ascii="宋体" w:hAnsi="宋体"/>
              </w:rPr>
            </w:pPr>
          </w:p>
        </w:tc>
        <w:tc>
          <w:tcPr>
            <w:tcW w:w="454" w:type="pct"/>
            <w:vMerge w:val="continue"/>
            <w:vAlign w:val="center"/>
          </w:tcPr>
          <w:p w14:paraId="72AA0BF5">
            <w:pPr>
              <w:pStyle w:val="13"/>
              <w:jc w:val="center"/>
              <w:rPr>
                <w:rFonts w:hint="eastAsia" w:ascii="宋体" w:hAnsi="宋体"/>
              </w:rPr>
            </w:pPr>
          </w:p>
        </w:tc>
        <w:tc>
          <w:tcPr>
            <w:tcW w:w="455" w:type="pct"/>
            <w:vMerge w:val="continue"/>
            <w:vAlign w:val="center"/>
          </w:tcPr>
          <w:p w14:paraId="0BF80EF3">
            <w:pPr>
              <w:pStyle w:val="13"/>
              <w:jc w:val="center"/>
              <w:rPr>
                <w:rFonts w:hint="eastAsia" w:ascii="宋体" w:hAnsi="宋体"/>
              </w:rPr>
            </w:pPr>
          </w:p>
        </w:tc>
        <w:tc>
          <w:tcPr>
            <w:tcW w:w="455" w:type="pct"/>
            <w:vMerge w:val="continue"/>
            <w:vAlign w:val="center"/>
          </w:tcPr>
          <w:p w14:paraId="55D976AE">
            <w:pPr>
              <w:pStyle w:val="13"/>
              <w:jc w:val="center"/>
              <w:rPr>
                <w:rFonts w:hint="eastAsia" w:ascii="宋体" w:hAnsi="宋体"/>
              </w:rPr>
            </w:pPr>
          </w:p>
        </w:tc>
        <w:tc>
          <w:tcPr>
            <w:tcW w:w="455" w:type="pct"/>
            <w:vMerge w:val="continue"/>
            <w:vAlign w:val="center"/>
          </w:tcPr>
          <w:p w14:paraId="365DA152">
            <w:pPr>
              <w:pStyle w:val="13"/>
              <w:jc w:val="center"/>
              <w:rPr>
                <w:rFonts w:hint="eastAsia" w:ascii="宋体" w:hAnsi="宋体"/>
              </w:rPr>
            </w:pPr>
          </w:p>
        </w:tc>
      </w:tr>
      <w:tr w14:paraId="1B362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vAlign w:val="center"/>
          </w:tcPr>
          <w:p w14:paraId="75260F6E">
            <w:pPr>
              <w:pStyle w:val="13"/>
              <w:jc w:val="center"/>
              <w:rPr>
                <w:rFonts w:ascii="宋体" w:hAnsi="宋体"/>
              </w:rPr>
            </w:pPr>
            <w:r>
              <w:rPr>
                <w:rFonts w:ascii="宋体" w:hAnsi="宋体"/>
              </w:rPr>
              <w:t>2003</w:t>
            </w:r>
          </w:p>
        </w:tc>
        <w:tc>
          <w:tcPr>
            <w:tcW w:w="454" w:type="pct"/>
            <w:vAlign w:val="center"/>
          </w:tcPr>
          <w:p w14:paraId="1C2B9895">
            <w:pPr>
              <w:pStyle w:val="13"/>
              <w:jc w:val="center"/>
              <w:rPr>
                <w:rFonts w:ascii="宋体" w:hAnsi="宋体"/>
              </w:rPr>
            </w:pPr>
            <w:r>
              <w:rPr>
                <w:rFonts w:ascii="宋体" w:hAnsi="宋体"/>
              </w:rPr>
              <w:t>28071</w:t>
            </w:r>
          </w:p>
        </w:tc>
        <w:tc>
          <w:tcPr>
            <w:tcW w:w="454" w:type="pct"/>
            <w:vAlign w:val="center"/>
          </w:tcPr>
          <w:p w14:paraId="06A928AC">
            <w:pPr>
              <w:pStyle w:val="13"/>
              <w:jc w:val="center"/>
              <w:rPr>
                <w:rFonts w:ascii="宋体" w:hAnsi="宋体"/>
              </w:rPr>
            </w:pPr>
            <w:r>
              <w:rPr>
                <w:rFonts w:ascii="宋体" w:hAnsi="宋体"/>
              </w:rPr>
              <w:t>3885</w:t>
            </w:r>
          </w:p>
        </w:tc>
        <w:tc>
          <w:tcPr>
            <w:tcW w:w="454" w:type="pct"/>
            <w:vAlign w:val="center"/>
          </w:tcPr>
          <w:p w14:paraId="5DCE39B2">
            <w:pPr>
              <w:pStyle w:val="13"/>
              <w:jc w:val="center"/>
              <w:rPr>
                <w:rFonts w:ascii="宋体" w:hAnsi="宋体"/>
              </w:rPr>
            </w:pPr>
            <w:r>
              <w:rPr>
                <w:rFonts w:ascii="宋体" w:hAnsi="宋体"/>
              </w:rPr>
              <w:t>1143</w:t>
            </w:r>
          </w:p>
        </w:tc>
        <w:tc>
          <w:tcPr>
            <w:tcW w:w="454" w:type="pct"/>
            <w:vAlign w:val="center"/>
          </w:tcPr>
          <w:p w14:paraId="42417E34">
            <w:pPr>
              <w:pStyle w:val="13"/>
              <w:jc w:val="center"/>
              <w:rPr>
                <w:rFonts w:ascii="宋体" w:hAnsi="宋体"/>
              </w:rPr>
            </w:pPr>
            <w:r>
              <w:rPr>
                <w:rFonts w:ascii="宋体" w:hAnsi="宋体"/>
              </w:rPr>
              <w:t>94</w:t>
            </w:r>
          </w:p>
        </w:tc>
        <w:tc>
          <w:tcPr>
            <w:tcW w:w="454" w:type="pct"/>
            <w:vAlign w:val="center"/>
          </w:tcPr>
          <w:p w14:paraId="26EF78EC">
            <w:pPr>
              <w:pStyle w:val="13"/>
              <w:jc w:val="center"/>
              <w:rPr>
                <w:rFonts w:ascii="宋体" w:hAnsi="宋体"/>
              </w:rPr>
            </w:pPr>
            <w:r>
              <w:rPr>
                <w:rFonts w:ascii="宋体" w:hAnsi="宋体"/>
              </w:rPr>
              <w:t>93.6</w:t>
            </w:r>
          </w:p>
        </w:tc>
        <w:tc>
          <w:tcPr>
            <w:tcW w:w="454" w:type="pct"/>
            <w:vAlign w:val="center"/>
          </w:tcPr>
          <w:p w14:paraId="4DBE2E85">
            <w:pPr>
              <w:pStyle w:val="13"/>
              <w:jc w:val="center"/>
              <w:rPr>
                <w:rFonts w:ascii="宋体" w:hAnsi="宋体"/>
              </w:rPr>
            </w:pPr>
            <w:r>
              <w:rPr>
                <w:rFonts w:ascii="宋体" w:hAnsi="宋体"/>
              </w:rPr>
              <w:t>2218</w:t>
            </w:r>
          </w:p>
        </w:tc>
        <w:tc>
          <w:tcPr>
            <w:tcW w:w="454" w:type="pct"/>
            <w:vAlign w:val="center"/>
          </w:tcPr>
          <w:p w14:paraId="6390FE22">
            <w:pPr>
              <w:pStyle w:val="13"/>
              <w:jc w:val="center"/>
              <w:rPr>
                <w:rFonts w:ascii="宋体" w:hAnsi="宋体"/>
              </w:rPr>
            </w:pPr>
            <w:r>
              <w:rPr>
                <w:rFonts w:ascii="宋体" w:hAnsi="宋体"/>
              </w:rPr>
              <w:t>6.3</w:t>
            </w:r>
          </w:p>
        </w:tc>
        <w:tc>
          <w:tcPr>
            <w:tcW w:w="455" w:type="pct"/>
            <w:vAlign w:val="center"/>
          </w:tcPr>
          <w:p w14:paraId="3BD216DE">
            <w:pPr>
              <w:pStyle w:val="13"/>
              <w:jc w:val="center"/>
              <w:rPr>
                <w:rFonts w:ascii="宋体" w:hAnsi="宋体"/>
              </w:rPr>
            </w:pPr>
            <w:r>
              <w:rPr>
                <w:rFonts w:ascii="宋体" w:hAnsi="宋体"/>
              </w:rPr>
              <w:t>42</w:t>
            </w:r>
          </w:p>
        </w:tc>
        <w:tc>
          <w:tcPr>
            <w:tcW w:w="455" w:type="pct"/>
            <w:vAlign w:val="center"/>
          </w:tcPr>
          <w:p w14:paraId="5BE79F5F">
            <w:pPr>
              <w:pStyle w:val="13"/>
              <w:jc w:val="center"/>
              <w:rPr>
                <w:rFonts w:ascii="宋体" w:hAnsi="宋体"/>
              </w:rPr>
            </w:pPr>
            <w:r>
              <w:rPr>
                <w:rFonts w:ascii="宋体" w:hAnsi="宋体"/>
              </w:rPr>
              <w:t>0.1</w:t>
            </w:r>
          </w:p>
        </w:tc>
        <w:tc>
          <w:tcPr>
            <w:tcW w:w="455" w:type="pct"/>
            <w:vAlign w:val="center"/>
          </w:tcPr>
          <w:p w14:paraId="48E40F08">
            <w:pPr>
              <w:pStyle w:val="13"/>
              <w:jc w:val="center"/>
              <w:rPr>
                <w:rFonts w:ascii="宋体" w:hAnsi="宋体"/>
              </w:rPr>
            </w:pPr>
            <w:r>
              <w:rPr>
                <w:rFonts w:ascii="宋体" w:hAnsi="宋体"/>
              </w:rPr>
              <w:t>35453</w:t>
            </w:r>
          </w:p>
        </w:tc>
      </w:tr>
      <w:tr w14:paraId="0A649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vAlign w:val="center"/>
          </w:tcPr>
          <w:p w14:paraId="10DE734C">
            <w:pPr>
              <w:pStyle w:val="13"/>
              <w:jc w:val="center"/>
              <w:rPr>
                <w:rFonts w:ascii="宋体" w:hAnsi="宋体"/>
              </w:rPr>
            </w:pPr>
            <w:r>
              <w:rPr>
                <w:rFonts w:ascii="宋体" w:hAnsi="宋体"/>
              </w:rPr>
              <w:t>2004</w:t>
            </w:r>
          </w:p>
        </w:tc>
        <w:tc>
          <w:tcPr>
            <w:tcW w:w="454" w:type="pct"/>
            <w:vAlign w:val="center"/>
          </w:tcPr>
          <w:p w14:paraId="05A60BC8">
            <w:pPr>
              <w:pStyle w:val="13"/>
              <w:jc w:val="center"/>
              <w:rPr>
                <w:rFonts w:ascii="宋体" w:hAnsi="宋体"/>
              </w:rPr>
            </w:pPr>
            <w:r>
              <w:rPr>
                <w:rFonts w:ascii="宋体" w:hAnsi="宋体"/>
              </w:rPr>
              <w:t>25177</w:t>
            </w:r>
          </w:p>
        </w:tc>
        <w:tc>
          <w:tcPr>
            <w:tcW w:w="454" w:type="pct"/>
            <w:vAlign w:val="center"/>
          </w:tcPr>
          <w:p w14:paraId="7DF041D5">
            <w:pPr>
              <w:pStyle w:val="13"/>
              <w:jc w:val="center"/>
              <w:rPr>
                <w:rFonts w:ascii="宋体" w:hAnsi="宋体"/>
              </w:rPr>
            </w:pPr>
            <w:r>
              <w:rPr>
                <w:rFonts w:ascii="宋体" w:hAnsi="宋体"/>
              </w:rPr>
              <w:t>3868</w:t>
            </w:r>
          </w:p>
        </w:tc>
        <w:tc>
          <w:tcPr>
            <w:tcW w:w="454" w:type="pct"/>
            <w:vAlign w:val="center"/>
          </w:tcPr>
          <w:p w14:paraId="4A712D35">
            <w:pPr>
              <w:pStyle w:val="13"/>
              <w:jc w:val="center"/>
              <w:rPr>
                <w:rFonts w:ascii="宋体" w:hAnsi="宋体"/>
              </w:rPr>
            </w:pPr>
            <w:r>
              <w:rPr>
                <w:rFonts w:ascii="宋体" w:hAnsi="宋体"/>
              </w:rPr>
              <w:t>1319</w:t>
            </w:r>
          </w:p>
        </w:tc>
        <w:tc>
          <w:tcPr>
            <w:tcW w:w="454" w:type="pct"/>
            <w:vAlign w:val="center"/>
          </w:tcPr>
          <w:p w14:paraId="4BA35A07">
            <w:pPr>
              <w:pStyle w:val="13"/>
              <w:jc w:val="center"/>
              <w:rPr>
                <w:rFonts w:ascii="宋体" w:hAnsi="宋体"/>
              </w:rPr>
            </w:pPr>
            <w:r>
              <w:rPr>
                <w:rFonts w:ascii="宋体" w:hAnsi="宋体"/>
              </w:rPr>
              <w:t>94</w:t>
            </w:r>
          </w:p>
        </w:tc>
        <w:tc>
          <w:tcPr>
            <w:tcW w:w="454" w:type="pct"/>
            <w:vAlign w:val="center"/>
          </w:tcPr>
          <w:p w14:paraId="319D358E">
            <w:pPr>
              <w:pStyle w:val="13"/>
              <w:jc w:val="center"/>
              <w:rPr>
                <w:rFonts w:ascii="宋体" w:hAnsi="宋体"/>
              </w:rPr>
            </w:pPr>
            <w:r>
              <w:rPr>
                <w:rFonts w:ascii="宋体" w:hAnsi="宋体"/>
              </w:rPr>
              <w:t>93.1</w:t>
            </w:r>
          </w:p>
        </w:tc>
        <w:tc>
          <w:tcPr>
            <w:tcW w:w="454" w:type="pct"/>
            <w:vAlign w:val="center"/>
          </w:tcPr>
          <w:p w14:paraId="1F914D6F">
            <w:pPr>
              <w:pStyle w:val="13"/>
              <w:jc w:val="center"/>
              <w:rPr>
                <w:rFonts w:ascii="宋体" w:hAnsi="宋体"/>
              </w:rPr>
            </w:pPr>
            <w:r>
              <w:rPr>
                <w:rFonts w:ascii="宋体" w:hAnsi="宋体"/>
              </w:rPr>
              <w:t>2223</w:t>
            </w:r>
          </w:p>
        </w:tc>
        <w:tc>
          <w:tcPr>
            <w:tcW w:w="454" w:type="pct"/>
            <w:vAlign w:val="center"/>
          </w:tcPr>
          <w:p w14:paraId="1F397857">
            <w:pPr>
              <w:pStyle w:val="13"/>
              <w:jc w:val="center"/>
              <w:rPr>
                <w:rFonts w:ascii="宋体" w:hAnsi="宋体"/>
              </w:rPr>
            </w:pPr>
            <w:r>
              <w:rPr>
                <w:rFonts w:ascii="宋体" w:hAnsi="宋体"/>
              </w:rPr>
              <w:t>6.8</w:t>
            </w:r>
          </w:p>
        </w:tc>
        <w:tc>
          <w:tcPr>
            <w:tcW w:w="455" w:type="pct"/>
            <w:vAlign w:val="center"/>
          </w:tcPr>
          <w:p w14:paraId="66A25273">
            <w:pPr>
              <w:pStyle w:val="13"/>
              <w:jc w:val="center"/>
              <w:rPr>
                <w:rFonts w:ascii="宋体" w:hAnsi="宋体"/>
              </w:rPr>
            </w:pPr>
            <w:r>
              <w:rPr>
                <w:rFonts w:ascii="宋体" w:hAnsi="宋体"/>
              </w:rPr>
              <w:t>42</w:t>
            </w:r>
          </w:p>
        </w:tc>
        <w:tc>
          <w:tcPr>
            <w:tcW w:w="455" w:type="pct"/>
            <w:vAlign w:val="center"/>
          </w:tcPr>
          <w:p w14:paraId="43B518EB">
            <w:pPr>
              <w:pStyle w:val="13"/>
              <w:jc w:val="center"/>
              <w:rPr>
                <w:rFonts w:ascii="宋体" w:hAnsi="宋体"/>
              </w:rPr>
            </w:pPr>
            <w:r>
              <w:rPr>
                <w:rFonts w:ascii="宋体" w:hAnsi="宋体"/>
              </w:rPr>
              <w:t>0.1</w:t>
            </w:r>
          </w:p>
        </w:tc>
        <w:tc>
          <w:tcPr>
            <w:tcW w:w="455" w:type="pct"/>
            <w:vAlign w:val="center"/>
          </w:tcPr>
          <w:p w14:paraId="3A6354FF">
            <w:pPr>
              <w:pStyle w:val="13"/>
              <w:jc w:val="center"/>
              <w:rPr>
                <w:rFonts w:ascii="宋体" w:hAnsi="宋体"/>
              </w:rPr>
            </w:pPr>
            <w:r>
              <w:rPr>
                <w:rFonts w:ascii="宋体" w:hAnsi="宋体"/>
              </w:rPr>
              <w:t>32723</w:t>
            </w:r>
          </w:p>
        </w:tc>
      </w:tr>
      <w:tr w14:paraId="2C13E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vAlign w:val="center"/>
          </w:tcPr>
          <w:p w14:paraId="2FB4B9A3">
            <w:pPr>
              <w:pStyle w:val="13"/>
              <w:jc w:val="center"/>
              <w:rPr>
                <w:rFonts w:ascii="宋体" w:hAnsi="宋体"/>
              </w:rPr>
            </w:pPr>
            <w:r>
              <w:rPr>
                <w:rFonts w:ascii="宋体" w:hAnsi="宋体"/>
              </w:rPr>
              <w:t>2005</w:t>
            </w:r>
          </w:p>
        </w:tc>
        <w:tc>
          <w:tcPr>
            <w:tcW w:w="454" w:type="pct"/>
            <w:vAlign w:val="center"/>
          </w:tcPr>
          <w:p w14:paraId="485F25B4">
            <w:pPr>
              <w:pStyle w:val="13"/>
              <w:jc w:val="center"/>
              <w:rPr>
                <w:rFonts w:ascii="宋体" w:hAnsi="宋体"/>
              </w:rPr>
            </w:pPr>
            <w:r>
              <w:rPr>
                <w:rFonts w:ascii="宋体" w:hAnsi="宋体"/>
              </w:rPr>
              <w:t>27172</w:t>
            </w:r>
          </w:p>
        </w:tc>
        <w:tc>
          <w:tcPr>
            <w:tcW w:w="454" w:type="pct"/>
            <w:vAlign w:val="center"/>
          </w:tcPr>
          <w:p w14:paraId="2539E619">
            <w:pPr>
              <w:pStyle w:val="13"/>
              <w:jc w:val="center"/>
              <w:rPr>
                <w:rFonts w:ascii="宋体" w:hAnsi="宋体"/>
              </w:rPr>
            </w:pPr>
            <w:r>
              <w:rPr>
                <w:rFonts w:ascii="宋体" w:hAnsi="宋体"/>
              </w:rPr>
              <w:t>3865</w:t>
            </w:r>
          </w:p>
        </w:tc>
        <w:tc>
          <w:tcPr>
            <w:tcW w:w="454" w:type="pct"/>
            <w:vAlign w:val="center"/>
          </w:tcPr>
          <w:p w14:paraId="61E961AF">
            <w:pPr>
              <w:pStyle w:val="13"/>
              <w:jc w:val="center"/>
              <w:rPr>
                <w:rFonts w:ascii="宋体" w:hAnsi="宋体"/>
              </w:rPr>
            </w:pPr>
            <w:r>
              <w:rPr>
                <w:rFonts w:ascii="宋体" w:hAnsi="宋体"/>
              </w:rPr>
              <w:t>1339</w:t>
            </w:r>
          </w:p>
        </w:tc>
        <w:tc>
          <w:tcPr>
            <w:tcW w:w="454" w:type="pct"/>
            <w:vAlign w:val="center"/>
          </w:tcPr>
          <w:p w14:paraId="5B850EDD">
            <w:pPr>
              <w:pStyle w:val="13"/>
              <w:jc w:val="center"/>
              <w:rPr>
                <w:rFonts w:ascii="宋体" w:hAnsi="宋体"/>
              </w:rPr>
            </w:pPr>
            <w:r>
              <w:rPr>
                <w:rFonts w:ascii="宋体" w:hAnsi="宋体"/>
              </w:rPr>
              <w:t>94</w:t>
            </w:r>
          </w:p>
        </w:tc>
        <w:tc>
          <w:tcPr>
            <w:tcW w:w="454" w:type="pct"/>
            <w:vAlign w:val="center"/>
          </w:tcPr>
          <w:p w14:paraId="735CCAC6">
            <w:pPr>
              <w:pStyle w:val="13"/>
              <w:jc w:val="center"/>
              <w:rPr>
                <w:rFonts w:ascii="宋体" w:hAnsi="宋体"/>
              </w:rPr>
            </w:pPr>
            <w:r>
              <w:rPr>
                <w:rFonts w:ascii="宋体" w:hAnsi="宋体"/>
              </w:rPr>
              <w:t>93.5</w:t>
            </w:r>
          </w:p>
        </w:tc>
        <w:tc>
          <w:tcPr>
            <w:tcW w:w="454" w:type="pct"/>
            <w:vAlign w:val="center"/>
          </w:tcPr>
          <w:p w14:paraId="0157C138">
            <w:pPr>
              <w:pStyle w:val="13"/>
              <w:jc w:val="center"/>
              <w:rPr>
                <w:rFonts w:ascii="宋体" w:hAnsi="宋体"/>
              </w:rPr>
            </w:pPr>
            <w:r>
              <w:rPr>
                <w:rFonts w:ascii="宋体" w:hAnsi="宋体"/>
              </w:rPr>
              <w:t>2232</w:t>
            </w:r>
          </w:p>
        </w:tc>
        <w:tc>
          <w:tcPr>
            <w:tcW w:w="454" w:type="pct"/>
            <w:vAlign w:val="center"/>
          </w:tcPr>
          <w:p w14:paraId="072FE300">
            <w:pPr>
              <w:pStyle w:val="13"/>
              <w:jc w:val="center"/>
              <w:rPr>
                <w:rFonts w:ascii="宋体" w:hAnsi="宋体"/>
              </w:rPr>
            </w:pPr>
            <w:r>
              <w:rPr>
                <w:rFonts w:ascii="宋体" w:hAnsi="宋体"/>
              </w:rPr>
              <w:t>6.4</w:t>
            </w:r>
          </w:p>
        </w:tc>
        <w:tc>
          <w:tcPr>
            <w:tcW w:w="455" w:type="pct"/>
            <w:vAlign w:val="center"/>
          </w:tcPr>
          <w:p w14:paraId="0F9D4DB8">
            <w:pPr>
              <w:pStyle w:val="13"/>
              <w:jc w:val="center"/>
              <w:rPr>
                <w:rFonts w:ascii="宋体" w:hAnsi="宋体"/>
              </w:rPr>
            </w:pPr>
            <w:r>
              <w:rPr>
                <w:rFonts w:ascii="宋体" w:hAnsi="宋体"/>
              </w:rPr>
              <w:t>42</w:t>
            </w:r>
          </w:p>
        </w:tc>
        <w:tc>
          <w:tcPr>
            <w:tcW w:w="455" w:type="pct"/>
            <w:vAlign w:val="center"/>
          </w:tcPr>
          <w:p w14:paraId="1A523555">
            <w:pPr>
              <w:pStyle w:val="13"/>
              <w:jc w:val="center"/>
              <w:rPr>
                <w:rFonts w:ascii="宋体" w:hAnsi="宋体"/>
              </w:rPr>
            </w:pPr>
            <w:r>
              <w:rPr>
                <w:rFonts w:ascii="宋体" w:hAnsi="宋体"/>
              </w:rPr>
              <w:t>0.1</w:t>
            </w:r>
          </w:p>
        </w:tc>
        <w:tc>
          <w:tcPr>
            <w:tcW w:w="455" w:type="pct"/>
            <w:vAlign w:val="center"/>
          </w:tcPr>
          <w:p w14:paraId="46FB7AD3">
            <w:pPr>
              <w:pStyle w:val="13"/>
              <w:jc w:val="center"/>
              <w:rPr>
                <w:rFonts w:ascii="宋体" w:hAnsi="宋体"/>
              </w:rPr>
            </w:pPr>
            <w:r>
              <w:rPr>
                <w:rFonts w:ascii="宋体" w:hAnsi="宋体"/>
              </w:rPr>
              <w:t>34743</w:t>
            </w:r>
          </w:p>
        </w:tc>
      </w:tr>
      <w:tr w14:paraId="6E313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vAlign w:val="center"/>
          </w:tcPr>
          <w:p w14:paraId="7E927579">
            <w:pPr>
              <w:pStyle w:val="13"/>
              <w:jc w:val="center"/>
              <w:rPr>
                <w:rFonts w:ascii="宋体" w:hAnsi="宋体"/>
              </w:rPr>
            </w:pPr>
            <w:r>
              <w:rPr>
                <w:rFonts w:ascii="宋体" w:hAnsi="宋体"/>
              </w:rPr>
              <w:t>2006</w:t>
            </w:r>
          </w:p>
        </w:tc>
        <w:tc>
          <w:tcPr>
            <w:tcW w:w="454" w:type="pct"/>
            <w:vAlign w:val="center"/>
          </w:tcPr>
          <w:p w14:paraId="7E7BF784">
            <w:pPr>
              <w:pStyle w:val="13"/>
              <w:jc w:val="center"/>
              <w:rPr>
                <w:rFonts w:ascii="宋体" w:hAnsi="宋体"/>
              </w:rPr>
            </w:pPr>
            <w:r>
              <w:rPr>
                <w:rFonts w:ascii="宋体" w:hAnsi="宋体"/>
              </w:rPr>
              <w:t>25569</w:t>
            </w:r>
          </w:p>
        </w:tc>
        <w:tc>
          <w:tcPr>
            <w:tcW w:w="454" w:type="pct"/>
            <w:vAlign w:val="center"/>
          </w:tcPr>
          <w:p w14:paraId="72723B52">
            <w:pPr>
              <w:pStyle w:val="13"/>
              <w:jc w:val="center"/>
              <w:rPr>
                <w:rFonts w:ascii="宋体" w:hAnsi="宋体"/>
              </w:rPr>
            </w:pPr>
            <w:r>
              <w:rPr>
                <w:rFonts w:ascii="宋体" w:hAnsi="宋体"/>
              </w:rPr>
              <w:t>3898</w:t>
            </w:r>
          </w:p>
        </w:tc>
        <w:tc>
          <w:tcPr>
            <w:tcW w:w="454" w:type="pct"/>
            <w:vAlign w:val="center"/>
          </w:tcPr>
          <w:p w14:paraId="5199787C">
            <w:pPr>
              <w:pStyle w:val="13"/>
              <w:jc w:val="center"/>
              <w:rPr>
                <w:rFonts w:ascii="宋体" w:hAnsi="宋体"/>
              </w:rPr>
            </w:pPr>
            <w:r>
              <w:rPr>
                <w:rFonts w:ascii="宋体" w:hAnsi="宋体"/>
              </w:rPr>
              <w:t>1802</w:t>
            </w:r>
          </w:p>
        </w:tc>
        <w:tc>
          <w:tcPr>
            <w:tcW w:w="454" w:type="pct"/>
            <w:vAlign w:val="center"/>
          </w:tcPr>
          <w:p w14:paraId="2E41AC5E">
            <w:pPr>
              <w:pStyle w:val="13"/>
              <w:jc w:val="center"/>
              <w:rPr>
                <w:rFonts w:ascii="宋体" w:hAnsi="宋体"/>
              </w:rPr>
            </w:pPr>
            <w:r>
              <w:rPr>
                <w:rFonts w:ascii="宋体" w:hAnsi="宋体"/>
              </w:rPr>
              <w:t>190</w:t>
            </w:r>
          </w:p>
        </w:tc>
        <w:tc>
          <w:tcPr>
            <w:tcW w:w="454" w:type="pct"/>
            <w:vAlign w:val="center"/>
          </w:tcPr>
          <w:p w14:paraId="6662322C">
            <w:pPr>
              <w:pStyle w:val="13"/>
              <w:jc w:val="center"/>
              <w:rPr>
                <w:rFonts w:ascii="宋体" w:hAnsi="宋体"/>
              </w:rPr>
            </w:pPr>
            <w:r>
              <w:rPr>
                <w:rFonts w:ascii="宋体" w:hAnsi="宋体"/>
              </w:rPr>
              <w:t>93.2</w:t>
            </w:r>
          </w:p>
        </w:tc>
        <w:tc>
          <w:tcPr>
            <w:tcW w:w="454" w:type="pct"/>
            <w:vAlign w:val="center"/>
          </w:tcPr>
          <w:p w14:paraId="56EDA981">
            <w:pPr>
              <w:pStyle w:val="13"/>
              <w:jc w:val="center"/>
              <w:rPr>
                <w:rFonts w:ascii="宋体" w:hAnsi="宋体"/>
              </w:rPr>
            </w:pPr>
            <w:r>
              <w:rPr>
                <w:rFonts w:ascii="宋体" w:hAnsi="宋体"/>
              </w:rPr>
              <w:t>2248</w:t>
            </w:r>
          </w:p>
        </w:tc>
        <w:tc>
          <w:tcPr>
            <w:tcW w:w="454" w:type="pct"/>
            <w:vAlign w:val="center"/>
          </w:tcPr>
          <w:p w14:paraId="6B1317BF">
            <w:pPr>
              <w:pStyle w:val="13"/>
              <w:jc w:val="center"/>
              <w:rPr>
                <w:rFonts w:ascii="宋体" w:hAnsi="宋体"/>
              </w:rPr>
            </w:pPr>
            <w:r>
              <w:rPr>
                <w:rFonts w:ascii="宋体" w:hAnsi="宋体"/>
              </w:rPr>
              <w:t>6.7</w:t>
            </w:r>
          </w:p>
        </w:tc>
        <w:tc>
          <w:tcPr>
            <w:tcW w:w="455" w:type="pct"/>
            <w:vAlign w:val="center"/>
          </w:tcPr>
          <w:p w14:paraId="36603703">
            <w:pPr>
              <w:pStyle w:val="13"/>
              <w:jc w:val="center"/>
              <w:rPr>
                <w:rFonts w:ascii="宋体" w:hAnsi="宋体"/>
              </w:rPr>
            </w:pPr>
            <w:r>
              <w:rPr>
                <w:rFonts w:ascii="宋体" w:hAnsi="宋体"/>
              </w:rPr>
              <w:t>42</w:t>
            </w:r>
          </w:p>
        </w:tc>
        <w:tc>
          <w:tcPr>
            <w:tcW w:w="455" w:type="pct"/>
            <w:vAlign w:val="center"/>
          </w:tcPr>
          <w:p w14:paraId="507D4CCB">
            <w:pPr>
              <w:pStyle w:val="13"/>
              <w:jc w:val="center"/>
              <w:rPr>
                <w:rFonts w:ascii="宋体" w:hAnsi="宋体"/>
              </w:rPr>
            </w:pPr>
            <w:r>
              <w:rPr>
                <w:rFonts w:ascii="宋体" w:hAnsi="宋体"/>
              </w:rPr>
              <w:t>0.1</w:t>
            </w:r>
          </w:p>
        </w:tc>
        <w:tc>
          <w:tcPr>
            <w:tcW w:w="455" w:type="pct"/>
            <w:vAlign w:val="center"/>
          </w:tcPr>
          <w:p w14:paraId="7106AC86">
            <w:pPr>
              <w:pStyle w:val="13"/>
              <w:jc w:val="center"/>
              <w:rPr>
                <w:rFonts w:ascii="宋体" w:hAnsi="宋体"/>
              </w:rPr>
            </w:pPr>
            <w:r>
              <w:rPr>
                <w:rFonts w:ascii="宋体" w:hAnsi="宋体"/>
              </w:rPr>
              <w:t>33749</w:t>
            </w:r>
          </w:p>
        </w:tc>
      </w:tr>
      <w:tr w14:paraId="2A98F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vAlign w:val="center"/>
          </w:tcPr>
          <w:p w14:paraId="3C679D85">
            <w:pPr>
              <w:pStyle w:val="13"/>
              <w:jc w:val="center"/>
              <w:rPr>
                <w:rFonts w:ascii="宋体" w:hAnsi="宋体"/>
              </w:rPr>
            </w:pPr>
            <w:r>
              <w:rPr>
                <w:rFonts w:ascii="宋体" w:hAnsi="宋体"/>
              </w:rPr>
              <w:t>2007</w:t>
            </w:r>
          </w:p>
        </w:tc>
        <w:tc>
          <w:tcPr>
            <w:tcW w:w="454" w:type="pct"/>
            <w:vAlign w:val="center"/>
          </w:tcPr>
          <w:p w14:paraId="78CBF882">
            <w:pPr>
              <w:pStyle w:val="13"/>
              <w:jc w:val="center"/>
              <w:rPr>
                <w:rFonts w:ascii="宋体" w:hAnsi="宋体"/>
              </w:rPr>
            </w:pPr>
            <w:r>
              <w:rPr>
                <w:rFonts w:ascii="宋体" w:hAnsi="宋体"/>
              </w:rPr>
              <w:t>25526</w:t>
            </w:r>
          </w:p>
        </w:tc>
        <w:tc>
          <w:tcPr>
            <w:tcW w:w="454" w:type="pct"/>
            <w:vAlign w:val="center"/>
          </w:tcPr>
          <w:p w14:paraId="6F411691">
            <w:pPr>
              <w:pStyle w:val="13"/>
              <w:jc w:val="center"/>
              <w:rPr>
                <w:rFonts w:ascii="宋体" w:hAnsi="宋体"/>
              </w:rPr>
            </w:pPr>
            <w:r>
              <w:rPr>
                <w:rFonts w:ascii="宋体" w:hAnsi="宋体"/>
              </w:rPr>
              <w:t>3863</w:t>
            </w:r>
          </w:p>
        </w:tc>
        <w:tc>
          <w:tcPr>
            <w:tcW w:w="454" w:type="pct"/>
            <w:vAlign w:val="center"/>
          </w:tcPr>
          <w:p w14:paraId="56188681">
            <w:pPr>
              <w:pStyle w:val="13"/>
              <w:jc w:val="center"/>
              <w:rPr>
                <w:rFonts w:ascii="宋体" w:hAnsi="宋体"/>
              </w:rPr>
            </w:pPr>
            <w:r>
              <w:rPr>
                <w:rFonts w:ascii="宋体" w:hAnsi="宋体"/>
              </w:rPr>
              <w:t>2597</w:t>
            </w:r>
          </w:p>
        </w:tc>
        <w:tc>
          <w:tcPr>
            <w:tcW w:w="454" w:type="pct"/>
            <w:vAlign w:val="center"/>
          </w:tcPr>
          <w:p w14:paraId="46DC0B0E">
            <w:pPr>
              <w:pStyle w:val="13"/>
              <w:jc w:val="center"/>
              <w:rPr>
                <w:rFonts w:ascii="宋体" w:hAnsi="宋体"/>
              </w:rPr>
            </w:pPr>
            <w:r>
              <w:rPr>
                <w:rFonts w:ascii="宋体" w:hAnsi="宋体"/>
              </w:rPr>
              <w:t>190</w:t>
            </w:r>
          </w:p>
        </w:tc>
        <w:tc>
          <w:tcPr>
            <w:tcW w:w="454" w:type="pct"/>
            <w:vAlign w:val="center"/>
          </w:tcPr>
          <w:p w14:paraId="77FBFD4C">
            <w:pPr>
              <w:pStyle w:val="13"/>
              <w:jc w:val="center"/>
              <w:rPr>
                <w:rFonts w:ascii="宋体" w:hAnsi="宋体"/>
              </w:rPr>
            </w:pPr>
            <w:r>
              <w:rPr>
                <w:rFonts w:ascii="宋体" w:hAnsi="宋体"/>
              </w:rPr>
              <w:t>93.9</w:t>
            </w:r>
          </w:p>
        </w:tc>
        <w:tc>
          <w:tcPr>
            <w:tcW w:w="454" w:type="pct"/>
            <w:vAlign w:val="center"/>
          </w:tcPr>
          <w:p w14:paraId="671CB96E">
            <w:pPr>
              <w:pStyle w:val="13"/>
              <w:jc w:val="center"/>
              <w:rPr>
                <w:rFonts w:ascii="宋体" w:hAnsi="宋体"/>
              </w:rPr>
            </w:pPr>
            <w:r>
              <w:rPr>
                <w:rFonts w:ascii="宋体" w:hAnsi="宋体"/>
              </w:rPr>
              <w:t>2032</w:t>
            </w:r>
          </w:p>
        </w:tc>
        <w:tc>
          <w:tcPr>
            <w:tcW w:w="454" w:type="pct"/>
            <w:vAlign w:val="center"/>
          </w:tcPr>
          <w:p w14:paraId="32E80E07">
            <w:pPr>
              <w:pStyle w:val="13"/>
              <w:jc w:val="center"/>
              <w:rPr>
                <w:rFonts w:ascii="宋体" w:hAnsi="宋体"/>
              </w:rPr>
            </w:pPr>
            <w:r>
              <w:rPr>
                <w:rFonts w:ascii="宋体" w:hAnsi="宋体"/>
              </w:rPr>
              <w:t>5.9</w:t>
            </w:r>
          </w:p>
        </w:tc>
        <w:tc>
          <w:tcPr>
            <w:tcW w:w="455" w:type="pct"/>
            <w:vAlign w:val="center"/>
          </w:tcPr>
          <w:p w14:paraId="11C8EFB2">
            <w:pPr>
              <w:pStyle w:val="13"/>
              <w:jc w:val="center"/>
              <w:rPr>
                <w:rFonts w:ascii="宋体" w:hAnsi="宋体"/>
              </w:rPr>
            </w:pPr>
            <w:r>
              <w:rPr>
                <w:rFonts w:ascii="宋体" w:hAnsi="宋体"/>
              </w:rPr>
              <w:t>42</w:t>
            </w:r>
          </w:p>
        </w:tc>
        <w:tc>
          <w:tcPr>
            <w:tcW w:w="455" w:type="pct"/>
            <w:vAlign w:val="center"/>
          </w:tcPr>
          <w:p w14:paraId="18EB9C93">
            <w:pPr>
              <w:pStyle w:val="13"/>
              <w:jc w:val="center"/>
              <w:rPr>
                <w:rFonts w:ascii="宋体" w:hAnsi="宋体"/>
              </w:rPr>
            </w:pPr>
            <w:r>
              <w:rPr>
                <w:rFonts w:ascii="宋体" w:hAnsi="宋体"/>
              </w:rPr>
              <w:t>0.1</w:t>
            </w:r>
          </w:p>
        </w:tc>
        <w:tc>
          <w:tcPr>
            <w:tcW w:w="455" w:type="pct"/>
            <w:vAlign w:val="center"/>
          </w:tcPr>
          <w:p w14:paraId="6A789F9D">
            <w:pPr>
              <w:pStyle w:val="13"/>
              <w:jc w:val="center"/>
              <w:rPr>
                <w:rFonts w:ascii="宋体" w:hAnsi="宋体"/>
              </w:rPr>
            </w:pPr>
            <w:r>
              <w:rPr>
                <w:rFonts w:ascii="宋体" w:hAnsi="宋体"/>
              </w:rPr>
              <w:t>34250</w:t>
            </w:r>
          </w:p>
        </w:tc>
      </w:tr>
      <w:tr w14:paraId="58107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vAlign w:val="center"/>
          </w:tcPr>
          <w:p w14:paraId="06D6DD1A">
            <w:pPr>
              <w:pStyle w:val="13"/>
              <w:jc w:val="center"/>
              <w:rPr>
                <w:rFonts w:ascii="宋体" w:hAnsi="宋体"/>
              </w:rPr>
            </w:pPr>
            <w:r>
              <w:rPr>
                <w:rFonts w:ascii="宋体" w:hAnsi="宋体"/>
              </w:rPr>
              <w:t>2008</w:t>
            </w:r>
          </w:p>
        </w:tc>
        <w:tc>
          <w:tcPr>
            <w:tcW w:w="454" w:type="pct"/>
            <w:vAlign w:val="center"/>
          </w:tcPr>
          <w:p w14:paraId="174B3260">
            <w:pPr>
              <w:pStyle w:val="13"/>
              <w:jc w:val="center"/>
              <w:rPr>
                <w:rFonts w:ascii="宋体" w:hAnsi="宋体"/>
              </w:rPr>
            </w:pPr>
            <w:r>
              <w:rPr>
                <w:rFonts w:ascii="宋体" w:hAnsi="宋体"/>
              </w:rPr>
              <w:t>25453</w:t>
            </w:r>
          </w:p>
        </w:tc>
        <w:tc>
          <w:tcPr>
            <w:tcW w:w="454" w:type="pct"/>
            <w:vAlign w:val="center"/>
          </w:tcPr>
          <w:p w14:paraId="67C4C0D0">
            <w:pPr>
              <w:pStyle w:val="13"/>
              <w:jc w:val="center"/>
              <w:rPr>
                <w:rFonts w:ascii="宋体" w:hAnsi="宋体"/>
              </w:rPr>
            </w:pPr>
            <w:r>
              <w:rPr>
                <w:rFonts w:ascii="宋体" w:hAnsi="宋体"/>
              </w:rPr>
              <w:t>3647</w:t>
            </w:r>
          </w:p>
        </w:tc>
        <w:tc>
          <w:tcPr>
            <w:tcW w:w="454" w:type="pct"/>
            <w:vAlign w:val="center"/>
          </w:tcPr>
          <w:p w14:paraId="1B918872">
            <w:pPr>
              <w:pStyle w:val="13"/>
              <w:jc w:val="center"/>
              <w:rPr>
                <w:rFonts w:ascii="宋体" w:hAnsi="宋体"/>
              </w:rPr>
            </w:pPr>
            <w:r>
              <w:rPr>
                <w:rFonts w:ascii="宋体" w:hAnsi="宋体"/>
              </w:rPr>
              <w:t>1661</w:t>
            </w:r>
          </w:p>
        </w:tc>
        <w:tc>
          <w:tcPr>
            <w:tcW w:w="454" w:type="pct"/>
            <w:vAlign w:val="center"/>
          </w:tcPr>
          <w:p w14:paraId="7A9912F2">
            <w:pPr>
              <w:pStyle w:val="13"/>
              <w:jc w:val="center"/>
              <w:rPr>
                <w:rFonts w:ascii="宋体" w:hAnsi="宋体"/>
              </w:rPr>
            </w:pPr>
            <w:r>
              <w:rPr>
                <w:rFonts w:ascii="宋体" w:hAnsi="宋体"/>
              </w:rPr>
              <w:t>220</w:t>
            </w:r>
          </w:p>
        </w:tc>
        <w:tc>
          <w:tcPr>
            <w:tcW w:w="454" w:type="pct"/>
            <w:vAlign w:val="center"/>
          </w:tcPr>
          <w:p w14:paraId="5C00164B">
            <w:pPr>
              <w:pStyle w:val="13"/>
              <w:jc w:val="center"/>
              <w:rPr>
                <w:rFonts w:ascii="宋体" w:hAnsi="宋体"/>
              </w:rPr>
            </w:pPr>
            <w:r>
              <w:rPr>
                <w:rFonts w:ascii="宋体" w:hAnsi="宋体"/>
              </w:rPr>
              <w:t>94.7</w:t>
            </w:r>
          </w:p>
        </w:tc>
        <w:tc>
          <w:tcPr>
            <w:tcW w:w="454" w:type="pct"/>
            <w:vAlign w:val="center"/>
          </w:tcPr>
          <w:p w14:paraId="60EE4DBC">
            <w:pPr>
              <w:pStyle w:val="13"/>
              <w:jc w:val="center"/>
              <w:rPr>
                <w:rFonts w:ascii="宋体" w:hAnsi="宋体"/>
              </w:rPr>
            </w:pPr>
            <w:r>
              <w:rPr>
                <w:rFonts w:ascii="宋体" w:hAnsi="宋体"/>
              </w:rPr>
              <w:t>1702</w:t>
            </w:r>
          </w:p>
        </w:tc>
        <w:tc>
          <w:tcPr>
            <w:tcW w:w="454" w:type="pct"/>
            <w:vAlign w:val="center"/>
          </w:tcPr>
          <w:p w14:paraId="1BDEAAE4">
            <w:pPr>
              <w:pStyle w:val="13"/>
              <w:jc w:val="center"/>
              <w:rPr>
                <w:rFonts w:ascii="宋体" w:hAnsi="宋体"/>
              </w:rPr>
            </w:pPr>
            <w:r>
              <w:rPr>
                <w:rFonts w:ascii="宋体" w:hAnsi="宋体"/>
              </w:rPr>
              <w:t>5.2</w:t>
            </w:r>
          </w:p>
        </w:tc>
        <w:tc>
          <w:tcPr>
            <w:tcW w:w="455" w:type="pct"/>
            <w:vAlign w:val="center"/>
          </w:tcPr>
          <w:p w14:paraId="0D24EEF1">
            <w:pPr>
              <w:pStyle w:val="13"/>
              <w:jc w:val="center"/>
              <w:rPr>
                <w:rFonts w:ascii="宋体" w:hAnsi="宋体"/>
              </w:rPr>
            </w:pPr>
            <w:r>
              <w:rPr>
                <w:rFonts w:ascii="宋体" w:hAnsi="宋体"/>
              </w:rPr>
              <w:t>42</w:t>
            </w:r>
          </w:p>
        </w:tc>
        <w:tc>
          <w:tcPr>
            <w:tcW w:w="455" w:type="pct"/>
            <w:vAlign w:val="center"/>
          </w:tcPr>
          <w:p w14:paraId="2B0BA0DC">
            <w:pPr>
              <w:pStyle w:val="13"/>
              <w:jc w:val="center"/>
              <w:rPr>
                <w:rFonts w:ascii="宋体" w:hAnsi="宋体"/>
              </w:rPr>
            </w:pPr>
            <w:r>
              <w:rPr>
                <w:rFonts w:ascii="宋体" w:hAnsi="宋体"/>
              </w:rPr>
              <w:t>0.1</w:t>
            </w:r>
          </w:p>
        </w:tc>
        <w:tc>
          <w:tcPr>
            <w:tcW w:w="455" w:type="pct"/>
            <w:vAlign w:val="center"/>
          </w:tcPr>
          <w:p w14:paraId="232523B2">
            <w:pPr>
              <w:pStyle w:val="13"/>
              <w:jc w:val="center"/>
              <w:rPr>
                <w:rFonts w:ascii="宋体" w:hAnsi="宋体"/>
              </w:rPr>
            </w:pPr>
            <w:r>
              <w:rPr>
                <w:rFonts w:ascii="宋体" w:hAnsi="宋体"/>
              </w:rPr>
              <w:t>32724</w:t>
            </w:r>
          </w:p>
        </w:tc>
      </w:tr>
      <w:tr w14:paraId="37E0D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vAlign w:val="center"/>
          </w:tcPr>
          <w:p w14:paraId="6C8EC144">
            <w:pPr>
              <w:pStyle w:val="13"/>
              <w:jc w:val="center"/>
              <w:rPr>
                <w:rFonts w:ascii="宋体" w:hAnsi="宋体"/>
              </w:rPr>
            </w:pPr>
            <w:r>
              <w:rPr>
                <w:rFonts w:ascii="宋体" w:hAnsi="宋体"/>
              </w:rPr>
              <w:t>2009</w:t>
            </w:r>
          </w:p>
        </w:tc>
        <w:tc>
          <w:tcPr>
            <w:tcW w:w="454" w:type="pct"/>
            <w:vAlign w:val="center"/>
          </w:tcPr>
          <w:p w14:paraId="2140ADD0">
            <w:pPr>
              <w:pStyle w:val="13"/>
              <w:jc w:val="center"/>
              <w:rPr>
                <w:rFonts w:ascii="宋体" w:hAnsi="宋体"/>
              </w:rPr>
            </w:pPr>
            <w:r>
              <w:rPr>
                <w:rFonts w:ascii="宋体" w:hAnsi="宋体"/>
              </w:rPr>
              <w:t>27157</w:t>
            </w:r>
          </w:p>
        </w:tc>
        <w:tc>
          <w:tcPr>
            <w:tcW w:w="454" w:type="pct"/>
            <w:vAlign w:val="center"/>
          </w:tcPr>
          <w:p w14:paraId="09E05814">
            <w:pPr>
              <w:pStyle w:val="13"/>
              <w:jc w:val="center"/>
              <w:rPr>
                <w:rFonts w:ascii="宋体" w:hAnsi="宋体"/>
              </w:rPr>
            </w:pPr>
            <w:r>
              <w:rPr>
                <w:rFonts w:ascii="宋体" w:hAnsi="宋体"/>
              </w:rPr>
              <w:t>3472</w:t>
            </w:r>
          </w:p>
        </w:tc>
        <w:tc>
          <w:tcPr>
            <w:tcW w:w="454" w:type="pct"/>
            <w:vAlign w:val="center"/>
          </w:tcPr>
          <w:p w14:paraId="1853AC4E">
            <w:pPr>
              <w:pStyle w:val="13"/>
              <w:jc w:val="center"/>
              <w:rPr>
                <w:rFonts w:ascii="宋体" w:hAnsi="宋体"/>
              </w:rPr>
            </w:pPr>
            <w:r>
              <w:rPr>
                <w:rFonts w:ascii="宋体" w:hAnsi="宋体"/>
              </w:rPr>
              <w:t>1805</w:t>
            </w:r>
          </w:p>
        </w:tc>
        <w:tc>
          <w:tcPr>
            <w:tcW w:w="454" w:type="pct"/>
            <w:vAlign w:val="center"/>
          </w:tcPr>
          <w:p w14:paraId="1592903C">
            <w:pPr>
              <w:pStyle w:val="13"/>
              <w:jc w:val="center"/>
              <w:rPr>
                <w:rFonts w:ascii="宋体" w:hAnsi="宋体"/>
              </w:rPr>
            </w:pPr>
            <w:r>
              <w:rPr>
                <w:rFonts w:ascii="宋体" w:hAnsi="宋体"/>
              </w:rPr>
              <w:t>188</w:t>
            </w:r>
          </w:p>
        </w:tc>
        <w:tc>
          <w:tcPr>
            <w:tcW w:w="454" w:type="pct"/>
            <w:vAlign w:val="center"/>
          </w:tcPr>
          <w:p w14:paraId="39418140">
            <w:pPr>
              <w:pStyle w:val="13"/>
              <w:jc w:val="center"/>
              <w:rPr>
                <w:rFonts w:ascii="宋体" w:hAnsi="宋体"/>
              </w:rPr>
            </w:pPr>
            <w:r>
              <w:rPr>
                <w:rFonts w:ascii="宋体" w:hAnsi="宋体"/>
              </w:rPr>
              <w:t>94.7</w:t>
            </w:r>
          </w:p>
        </w:tc>
        <w:tc>
          <w:tcPr>
            <w:tcW w:w="454" w:type="pct"/>
            <w:vAlign w:val="center"/>
          </w:tcPr>
          <w:p w14:paraId="779EA7FA">
            <w:pPr>
              <w:pStyle w:val="13"/>
              <w:jc w:val="center"/>
              <w:rPr>
                <w:rFonts w:ascii="宋体" w:hAnsi="宋体"/>
              </w:rPr>
            </w:pPr>
            <w:r>
              <w:rPr>
                <w:rFonts w:ascii="宋体" w:hAnsi="宋体"/>
              </w:rPr>
              <w:t>1737</w:t>
            </w:r>
          </w:p>
        </w:tc>
        <w:tc>
          <w:tcPr>
            <w:tcW w:w="454" w:type="pct"/>
            <w:vAlign w:val="center"/>
          </w:tcPr>
          <w:p w14:paraId="658EB5C9">
            <w:pPr>
              <w:pStyle w:val="13"/>
              <w:jc w:val="center"/>
              <w:rPr>
                <w:rFonts w:ascii="宋体" w:hAnsi="宋体"/>
              </w:rPr>
            </w:pPr>
            <w:r>
              <w:rPr>
                <w:rFonts w:ascii="宋体" w:hAnsi="宋体"/>
              </w:rPr>
              <w:t>5.0</w:t>
            </w:r>
          </w:p>
        </w:tc>
        <w:tc>
          <w:tcPr>
            <w:tcW w:w="455" w:type="pct"/>
            <w:vAlign w:val="center"/>
          </w:tcPr>
          <w:p w14:paraId="0033494C">
            <w:pPr>
              <w:pStyle w:val="13"/>
              <w:jc w:val="center"/>
              <w:rPr>
                <w:rFonts w:ascii="宋体" w:hAnsi="宋体"/>
              </w:rPr>
            </w:pPr>
            <w:r>
              <w:rPr>
                <w:rFonts w:ascii="宋体" w:hAnsi="宋体"/>
              </w:rPr>
              <w:t>102</w:t>
            </w:r>
          </w:p>
        </w:tc>
        <w:tc>
          <w:tcPr>
            <w:tcW w:w="455" w:type="pct"/>
            <w:vAlign w:val="center"/>
          </w:tcPr>
          <w:p w14:paraId="011B7917">
            <w:pPr>
              <w:pStyle w:val="13"/>
              <w:jc w:val="center"/>
              <w:rPr>
                <w:rFonts w:ascii="宋体" w:hAnsi="宋体"/>
              </w:rPr>
            </w:pPr>
            <w:r>
              <w:rPr>
                <w:rFonts w:ascii="宋体" w:hAnsi="宋体"/>
              </w:rPr>
              <w:t>0.3</w:t>
            </w:r>
          </w:p>
        </w:tc>
        <w:tc>
          <w:tcPr>
            <w:tcW w:w="455" w:type="pct"/>
            <w:vAlign w:val="center"/>
          </w:tcPr>
          <w:p w14:paraId="47D0AA51">
            <w:pPr>
              <w:pStyle w:val="13"/>
              <w:jc w:val="center"/>
              <w:rPr>
                <w:rFonts w:ascii="宋体" w:hAnsi="宋体"/>
              </w:rPr>
            </w:pPr>
            <w:r>
              <w:rPr>
                <w:rFonts w:ascii="宋体" w:hAnsi="宋体"/>
              </w:rPr>
              <w:t>34461</w:t>
            </w:r>
          </w:p>
        </w:tc>
      </w:tr>
      <w:tr w14:paraId="4DB66C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vAlign w:val="center"/>
          </w:tcPr>
          <w:p w14:paraId="25171760">
            <w:pPr>
              <w:pStyle w:val="13"/>
              <w:jc w:val="center"/>
              <w:rPr>
                <w:rFonts w:ascii="宋体" w:hAnsi="宋体"/>
              </w:rPr>
            </w:pPr>
            <w:r>
              <w:rPr>
                <w:rFonts w:ascii="宋体" w:hAnsi="宋体"/>
              </w:rPr>
              <w:t>2010</w:t>
            </w:r>
          </w:p>
        </w:tc>
        <w:tc>
          <w:tcPr>
            <w:tcW w:w="454" w:type="pct"/>
            <w:vAlign w:val="center"/>
          </w:tcPr>
          <w:p w14:paraId="1E1F36C9">
            <w:pPr>
              <w:pStyle w:val="13"/>
              <w:jc w:val="center"/>
              <w:rPr>
                <w:rFonts w:ascii="宋体" w:hAnsi="宋体"/>
              </w:rPr>
            </w:pPr>
            <w:r>
              <w:rPr>
                <w:rFonts w:ascii="宋体" w:hAnsi="宋体"/>
              </w:rPr>
              <w:t>29662</w:t>
            </w:r>
          </w:p>
        </w:tc>
        <w:tc>
          <w:tcPr>
            <w:tcW w:w="454" w:type="pct"/>
            <w:vAlign w:val="center"/>
          </w:tcPr>
          <w:p w14:paraId="1DC00261">
            <w:pPr>
              <w:pStyle w:val="13"/>
              <w:jc w:val="center"/>
              <w:rPr>
                <w:rFonts w:ascii="宋体" w:hAnsi="宋体"/>
              </w:rPr>
            </w:pPr>
            <w:r>
              <w:rPr>
                <w:rFonts w:ascii="宋体" w:hAnsi="宋体"/>
              </w:rPr>
              <w:t>3436</w:t>
            </w:r>
          </w:p>
        </w:tc>
        <w:tc>
          <w:tcPr>
            <w:tcW w:w="454" w:type="pct"/>
            <w:vAlign w:val="center"/>
          </w:tcPr>
          <w:p w14:paraId="55240008">
            <w:pPr>
              <w:pStyle w:val="13"/>
              <w:jc w:val="center"/>
              <w:rPr>
                <w:rFonts w:ascii="宋体" w:hAnsi="宋体"/>
              </w:rPr>
            </w:pPr>
            <w:r>
              <w:rPr>
                <w:rFonts w:ascii="宋体" w:hAnsi="宋体"/>
              </w:rPr>
              <w:t>2439</w:t>
            </w:r>
          </w:p>
        </w:tc>
        <w:tc>
          <w:tcPr>
            <w:tcW w:w="454" w:type="pct"/>
            <w:vAlign w:val="center"/>
          </w:tcPr>
          <w:p w14:paraId="3A8A5B16">
            <w:pPr>
              <w:pStyle w:val="13"/>
              <w:jc w:val="center"/>
              <w:rPr>
                <w:rFonts w:ascii="宋体" w:hAnsi="宋体"/>
              </w:rPr>
            </w:pPr>
            <w:r>
              <w:rPr>
                <w:rFonts w:ascii="宋体" w:hAnsi="宋体"/>
              </w:rPr>
              <w:t>570</w:t>
            </w:r>
          </w:p>
        </w:tc>
        <w:tc>
          <w:tcPr>
            <w:tcW w:w="454" w:type="pct"/>
            <w:vAlign w:val="center"/>
          </w:tcPr>
          <w:p w14:paraId="463BC387">
            <w:pPr>
              <w:pStyle w:val="13"/>
              <w:jc w:val="center"/>
              <w:rPr>
                <w:rFonts w:ascii="宋体" w:hAnsi="宋体"/>
              </w:rPr>
            </w:pPr>
            <w:r>
              <w:rPr>
                <w:rFonts w:ascii="宋体" w:hAnsi="宋体"/>
              </w:rPr>
              <w:t>94.2</w:t>
            </w:r>
          </w:p>
        </w:tc>
        <w:tc>
          <w:tcPr>
            <w:tcW w:w="454" w:type="pct"/>
            <w:vAlign w:val="center"/>
          </w:tcPr>
          <w:p w14:paraId="73EC748A">
            <w:pPr>
              <w:pStyle w:val="13"/>
              <w:jc w:val="center"/>
              <w:rPr>
                <w:rFonts w:ascii="宋体" w:hAnsi="宋体"/>
              </w:rPr>
            </w:pPr>
            <w:r>
              <w:rPr>
                <w:rFonts w:ascii="宋体" w:hAnsi="宋体"/>
              </w:rPr>
              <w:t>2100</w:t>
            </w:r>
          </w:p>
        </w:tc>
        <w:tc>
          <w:tcPr>
            <w:tcW w:w="454" w:type="pct"/>
            <w:vAlign w:val="center"/>
          </w:tcPr>
          <w:p w14:paraId="6373B460">
            <w:pPr>
              <w:pStyle w:val="13"/>
              <w:jc w:val="center"/>
              <w:rPr>
                <w:rFonts w:ascii="宋体" w:hAnsi="宋体"/>
              </w:rPr>
            </w:pPr>
            <w:r>
              <w:rPr>
                <w:rFonts w:ascii="宋体" w:hAnsi="宋体"/>
              </w:rPr>
              <w:t>5.5</w:t>
            </w:r>
          </w:p>
        </w:tc>
        <w:tc>
          <w:tcPr>
            <w:tcW w:w="455" w:type="pct"/>
            <w:vAlign w:val="center"/>
          </w:tcPr>
          <w:p w14:paraId="61279A9F">
            <w:pPr>
              <w:pStyle w:val="13"/>
              <w:jc w:val="center"/>
              <w:rPr>
                <w:rFonts w:ascii="宋体" w:hAnsi="宋体"/>
              </w:rPr>
            </w:pPr>
            <w:r>
              <w:rPr>
                <w:rFonts w:ascii="宋体" w:hAnsi="宋体"/>
              </w:rPr>
              <w:t>110</w:t>
            </w:r>
          </w:p>
        </w:tc>
        <w:tc>
          <w:tcPr>
            <w:tcW w:w="455" w:type="pct"/>
            <w:vAlign w:val="center"/>
          </w:tcPr>
          <w:p w14:paraId="1C174496">
            <w:pPr>
              <w:pStyle w:val="13"/>
              <w:jc w:val="center"/>
              <w:rPr>
                <w:rFonts w:ascii="宋体" w:hAnsi="宋体"/>
              </w:rPr>
            </w:pPr>
            <w:r>
              <w:rPr>
                <w:rFonts w:ascii="宋体" w:hAnsi="宋体"/>
              </w:rPr>
              <w:t>0.3</w:t>
            </w:r>
          </w:p>
        </w:tc>
        <w:tc>
          <w:tcPr>
            <w:tcW w:w="455" w:type="pct"/>
            <w:vAlign w:val="center"/>
          </w:tcPr>
          <w:p w14:paraId="20C503B7">
            <w:pPr>
              <w:pStyle w:val="13"/>
              <w:jc w:val="center"/>
              <w:rPr>
                <w:rFonts w:hint="eastAsia" w:ascii="宋体" w:hAnsi="宋体"/>
              </w:rPr>
            </w:pPr>
            <w:r>
              <w:rPr>
                <w:rFonts w:ascii="宋体" w:hAnsi="宋体"/>
              </w:rPr>
              <w:t>38320</w:t>
            </w:r>
          </w:p>
        </w:tc>
      </w:tr>
    </w:tbl>
    <w:p w14:paraId="6A1BEB8C">
      <w:pPr>
        <w:ind w:firstLine="0" w:firstLineChars="0"/>
        <w:jc w:val="center"/>
        <w:rPr>
          <w:rFonts w:hint="eastAsia" w:ascii="宋体" w:hAnsi="宋体"/>
          <w:b/>
        </w:rPr>
      </w:pPr>
      <w:r>
        <w:rPr>
          <w:rFonts w:hint="eastAsia" w:ascii="宋体" w:hAnsi="宋体"/>
          <w:b/>
        </w:rPr>
        <w:t>表3-6  南雄市耕地类型面积及构成表</w:t>
      </w:r>
    </w:p>
    <w:p w14:paraId="0BA0A53F">
      <w:pPr>
        <w:ind w:firstLine="422"/>
        <w:jc w:val="right"/>
        <w:rPr>
          <w:rFonts w:hint="eastAsia" w:ascii="宋体" w:hAnsi="宋体"/>
          <w:b/>
        </w:rPr>
      </w:pPr>
      <w:r>
        <w:rPr>
          <w:rFonts w:hint="eastAsia" w:ascii="宋体" w:hAnsi="宋体"/>
          <w:b/>
        </w:rPr>
        <w:t>面积：公顷</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2490"/>
        <w:gridCol w:w="2491"/>
        <w:gridCol w:w="2491"/>
      </w:tblGrid>
      <w:tr w14:paraId="69C83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Merge w:val="restart"/>
            <w:vAlign w:val="center"/>
          </w:tcPr>
          <w:p w14:paraId="48B43DC0">
            <w:pPr>
              <w:pStyle w:val="13"/>
              <w:jc w:val="center"/>
              <w:rPr>
                <w:rFonts w:hint="eastAsia" w:ascii="宋体" w:hAnsi="宋体"/>
                <w:b/>
              </w:rPr>
            </w:pPr>
            <w:r>
              <w:rPr>
                <w:rFonts w:hint="eastAsia" w:ascii="宋体" w:hAnsi="宋体"/>
                <w:b/>
              </w:rPr>
              <w:t>耕地</w:t>
            </w:r>
          </w:p>
        </w:tc>
        <w:tc>
          <w:tcPr>
            <w:tcW w:w="3750" w:type="pct"/>
            <w:gridSpan w:val="3"/>
            <w:vAlign w:val="center"/>
          </w:tcPr>
          <w:p w14:paraId="65C45394">
            <w:pPr>
              <w:pStyle w:val="13"/>
              <w:jc w:val="center"/>
              <w:rPr>
                <w:rFonts w:hint="eastAsia" w:ascii="宋体" w:hAnsi="宋体"/>
                <w:b/>
              </w:rPr>
            </w:pPr>
            <w:r>
              <w:rPr>
                <w:rFonts w:hint="eastAsia" w:ascii="宋体" w:hAnsi="宋体"/>
                <w:b/>
              </w:rPr>
              <w:t>其中</w:t>
            </w:r>
          </w:p>
        </w:tc>
      </w:tr>
      <w:tr w14:paraId="2C2591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Merge w:val="continue"/>
            <w:vAlign w:val="center"/>
          </w:tcPr>
          <w:p w14:paraId="36DC8301">
            <w:pPr>
              <w:pStyle w:val="13"/>
              <w:jc w:val="center"/>
              <w:rPr>
                <w:rFonts w:hint="eastAsia" w:ascii="宋体" w:hAnsi="宋体"/>
                <w:b/>
              </w:rPr>
            </w:pPr>
          </w:p>
        </w:tc>
        <w:tc>
          <w:tcPr>
            <w:tcW w:w="1250" w:type="pct"/>
            <w:vAlign w:val="center"/>
          </w:tcPr>
          <w:p w14:paraId="6899CA17">
            <w:pPr>
              <w:pStyle w:val="13"/>
              <w:jc w:val="center"/>
              <w:rPr>
                <w:rFonts w:hint="eastAsia" w:ascii="宋体" w:hAnsi="宋体"/>
                <w:b/>
              </w:rPr>
            </w:pPr>
            <w:r>
              <w:rPr>
                <w:rFonts w:hint="eastAsia" w:ascii="宋体" w:hAnsi="宋体"/>
                <w:b/>
              </w:rPr>
              <w:t>水田（011）</w:t>
            </w:r>
          </w:p>
        </w:tc>
        <w:tc>
          <w:tcPr>
            <w:tcW w:w="1250" w:type="pct"/>
            <w:vAlign w:val="center"/>
          </w:tcPr>
          <w:p w14:paraId="2F6D41F4">
            <w:pPr>
              <w:pStyle w:val="13"/>
              <w:jc w:val="center"/>
              <w:rPr>
                <w:rFonts w:hint="eastAsia" w:ascii="宋体" w:hAnsi="宋体"/>
                <w:b/>
              </w:rPr>
            </w:pPr>
            <w:r>
              <w:rPr>
                <w:rFonts w:hint="eastAsia" w:ascii="宋体" w:hAnsi="宋体"/>
                <w:b/>
              </w:rPr>
              <w:t>水浇地（012）</w:t>
            </w:r>
          </w:p>
        </w:tc>
        <w:tc>
          <w:tcPr>
            <w:tcW w:w="1250" w:type="pct"/>
            <w:vAlign w:val="center"/>
          </w:tcPr>
          <w:p w14:paraId="09731003">
            <w:pPr>
              <w:pStyle w:val="13"/>
              <w:jc w:val="center"/>
              <w:rPr>
                <w:rFonts w:hint="eastAsia" w:ascii="宋体" w:hAnsi="宋体"/>
                <w:b/>
              </w:rPr>
            </w:pPr>
            <w:r>
              <w:rPr>
                <w:rFonts w:hint="eastAsia" w:ascii="宋体" w:hAnsi="宋体"/>
                <w:b/>
              </w:rPr>
              <w:t>旱地（013）</w:t>
            </w:r>
          </w:p>
        </w:tc>
      </w:tr>
      <w:tr w14:paraId="6DFA1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C554525">
            <w:pPr>
              <w:pStyle w:val="13"/>
              <w:jc w:val="center"/>
              <w:rPr>
                <w:rFonts w:ascii="宋体" w:hAnsi="宋体"/>
              </w:rPr>
            </w:pPr>
            <w:r>
              <w:rPr>
                <w:rFonts w:ascii="宋体" w:hAnsi="宋体"/>
              </w:rPr>
              <w:t>43126.66</w:t>
            </w:r>
          </w:p>
        </w:tc>
        <w:tc>
          <w:tcPr>
            <w:tcW w:w="1250" w:type="pct"/>
            <w:vAlign w:val="center"/>
          </w:tcPr>
          <w:p w14:paraId="3CD101BD">
            <w:pPr>
              <w:pStyle w:val="13"/>
              <w:jc w:val="center"/>
              <w:rPr>
                <w:rFonts w:ascii="宋体" w:hAnsi="宋体"/>
              </w:rPr>
            </w:pPr>
            <w:r>
              <w:rPr>
                <w:rFonts w:ascii="宋体" w:hAnsi="宋体"/>
              </w:rPr>
              <w:t>29403.57</w:t>
            </w:r>
          </w:p>
        </w:tc>
        <w:tc>
          <w:tcPr>
            <w:tcW w:w="1250" w:type="pct"/>
            <w:vAlign w:val="center"/>
          </w:tcPr>
          <w:p w14:paraId="4A8DCDFB">
            <w:pPr>
              <w:pStyle w:val="13"/>
              <w:jc w:val="center"/>
              <w:rPr>
                <w:rFonts w:ascii="宋体" w:hAnsi="宋体"/>
              </w:rPr>
            </w:pPr>
            <w:r>
              <w:rPr>
                <w:rFonts w:ascii="宋体" w:hAnsi="宋体"/>
              </w:rPr>
              <w:t>77.79</w:t>
            </w:r>
          </w:p>
        </w:tc>
        <w:tc>
          <w:tcPr>
            <w:tcW w:w="1250" w:type="pct"/>
            <w:vAlign w:val="center"/>
          </w:tcPr>
          <w:p w14:paraId="73C84B73">
            <w:pPr>
              <w:pStyle w:val="13"/>
              <w:jc w:val="center"/>
              <w:rPr>
                <w:rFonts w:hint="eastAsia" w:ascii="宋体" w:hAnsi="宋体"/>
              </w:rPr>
            </w:pPr>
            <w:r>
              <w:rPr>
                <w:rFonts w:ascii="宋体" w:hAnsi="宋体"/>
              </w:rPr>
              <w:t>13645.30</w:t>
            </w:r>
          </w:p>
        </w:tc>
      </w:tr>
    </w:tbl>
    <w:p w14:paraId="56DC1B2C">
      <w:pPr>
        <w:pStyle w:val="2"/>
      </w:pPr>
      <w:r>
        <w:rPr>
          <w:rFonts w:hint="eastAsia"/>
        </w:rPr>
        <w:t>人口、语言</w:t>
      </w:r>
    </w:p>
    <w:p w14:paraId="4183E242">
      <w:pPr>
        <w:pStyle w:val="4"/>
      </w:pPr>
      <w:r>
        <w:rPr>
          <w:rFonts w:hint="eastAsia"/>
        </w:rPr>
        <w:t>【人口】</w:t>
      </w:r>
    </w:p>
    <w:p w14:paraId="6D2077D0">
      <w:pPr>
        <w:ind w:firstLine="420"/>
        <w:rPr>
          <w:rFonts w:ascii="宋体" w:hAnsi="宋体"/>
        </w:rPr>
      </w:pPr>
      <w:r>
        <w:rPr>
          <w:rFonts w:ascii="宋体" w:hAnsi="宋体"/>
        </w:rPr>
        <w:t>2010年末全市总人口47.09万人，</w:t>
      </w:r>
      <w:r>
        <w:rPr>
          <w:rFonts w:hint="eastAsia" w:ascii="宋体" w:hAnsi="宋体"/>
        </w:rPr>
        <w:t>其中：农业人口</w:t>
      </w:r>
      <w:r>
        <w:rPr>
          <w:rFonts w:ascii="宋体" w:hAnsi="宋体"/>
        </w:rPr>
        <w:t>38.49万人，占总人口81.7%；非农业人口8.61万人，占总人口18.3%。男性人口24.1万人，占总人口50.98%；女性人口23.08万人，占总人口49.02%。全市常住人口38.09万人。</w:t>
      </w:r>
    </w:p>
    <w:p w14:paraId="7C7A98DB">
      <w:pPr>
        <w:pStyle w:val="4"/>
      </w:pPr>
      <w:r>
        <w:rPr>
          <w:rFonts w:hint="eastAsia"/>
        </w:rPr>
        <w:t>【语言】</w:t>
      </w:r>
    </w:p>
    <w:p w14:paraId="0737B7E3">
      <w:pPr>
        <w:ind w:firstLine="420"/>
        <w:rPr>
          <w:rFonts w:ascii="宋体" w:hAnsi="宋体"/>
        </w:rPr>
      </w:pPr>
      <w:r>
        <w:rPr>
          <w:rFonts w:hint="eastAsia" w:ascii="宋体" w:hAnsi="宋体"/>
        </w:rPr>
        <w:t>南雄境内方言极为复杂，大体可以分为四大片：城关话、上方话、下方话和北山话。</w:t>
      </w:r>
    </w:p>
    <w:p w14:paraId="002E90B4">
      <w:pPr>
        <w:ind w:firstLine="420"/>
        <w:rPr>
          <w:rFonts w:ascii="宋体" w:hAnsi="宋体"/>
        </w:rPr>
      </w:pPr>
      <w:r>
        <w:rPr>
          <w:rFonts w:hint="eastAsia" w:ascii="宋体" w:hAnsi="宋体"/>
        </w:rPr>
        <w:t>城关话只在县城雄州镇及近郊范围内通行，使用人口约</w:t>
      </w:r>
      <w:r>
        <w:rPr>
          <w:rFonts w:ascii="宋体" w:hAnsi="宋体"/>
        </w:rPr>
        <w:t>8万人，占全县总人口的19.5%。上方话在油山、乌迳、坪田、界址</w:t>
      </w:r>
      <w:r>
        <w:rPr>
          <w:rFonts w:hint="eastAsia" w:ascii="宋体" w:hAnsi="宋体"/>
        </w:rPr>
        <w:t>等镇通行，使用人口约</w:t>
      </w:r>
      <w:r>
        <w:rPr>
          <w:rFonts w:ascii="宋体" w:hAnsi="宋体"/>
        </w:rPr>
        <w:t>10万人，占全县总人</w:t>
      </w:r>
      <w:r>
        <w:rPr>
          <w:rFonts w:hint="eastAsia" w:ascii="宋体" w:hAnsi="宋体"/>
        </w:rPr>
        <w:t>口的</w:t>
      </w:r>
      <w:r>
        <w:rPr>
          <w:rFonts w:ascii="宋体" w:hAnsi="宋体"/>
        </w:rPr>
        <w:t>24.4%。下方话在湖口、珠玑、水口</w:t>
      </w:r>
      <w:r>
        <w:rPr>
          <w:rFonts w:hint="eastAsia" w:ascii="宋体" w:hAnsi="宋体"/>
        </w:rPr>
        <w:t>、江头、主田、古市、全安等镇通行，使用人口约</w:t>
      </w:r>
      <w:r>
        <w:rPr>
          <w:rFonts w:ascii="宋体" w:hAnsi="宋体"/>
        </w:rPr>
        <w:t>20万人，占全县总人口的48.8%。北山</w:t>
      </w:r>
      <w:r>
        <w:rPr>
          <w:rFonts w:hint="eastAsia" w:ascii="宋体" w:hAnsi="宋体"/>
        </w:rPr>
        <w:t>话在百顺、帽子峰、澜河等镇通行，使用人口约</w:t>
      </w:r>
      <w:r>
        <w:rPr>
          <w:rFonts w:ascii="宋体" w:hAnsi="宋体"/>
        </w:rPr>
        <w:t>3万人，占全县总人口的7.3%。</w:t>
      </w:r>
    </w:p>
    <w:p w14:paraId="595F971F">
      <w:pPr>
        <w:ind w:firstLine="420"/>
        <w:rPr>
          <w:rFonts w:ascii="宋体" w:hAnsi="宋体"/>
        </w:rPr>
      </w:pPr>
      <w:r>
        <w:rPr>
          <w:rFonts w:hint="eastAsia" w:ascii="宋体" w:hAnsi="宋体"/>
        </w:rPr>
        <w:t>城关话自成一体，跟其他三片有较大的差别，究竟应该归入哪个大方言还有待进一步研究。上方话以乌迳为代表点，下方话以湖口为代表点，北山话以百顺为代表点。这三片地区的乡民大多自称祖上从江西或福建迁来，与客家关系密切。从语音特征看，这些地方的土语既有与客家话相一致的地方，也有与客家话不同的地方。如在湖口话和乌迳话中，古全浊声母字不论平仄都读送气清音，“婆”湖口读，</w:t>
      </w:r>
      <w:r>
        <w:rPr>
          <w:rFonts w:ascii="宋体" w:hAnsi="宋体"/>
        </w:rPr>
        <w:t>[p‘o</w:t>
      </w:r>
      <w:r>
        <w:rPr>
          <w:rFonts w:ascii="宋体" w:hAnsi="宋体"/>
          <w:vertAlign w:val="superscript"/>
        </w:rPr>
        <w:t>21</w:t>
      </w:r>
      <w:r>
        <w:rPr>
          <w:rFonts w:ascii="宋体" w:hAnsi="宋体"/>
        </w:rPr>
        <w:t>]，鸟迳读[p</w:t>
      </w:r>
      <w:r>
        <w:rPr>
          <w:rFonts w:hint="eastAsia" w:ascii="宋体" w:hAnsi="宋体"/>
        </w:rPr>
        <w:t>‘</w:t>
      </w:r>
      <w:r>
        <w:rPr>
          <w:rFonts w:ascii="宋体" w:hAnsi="宋体"/>
        </w:rPr>
        <w:t>o</w:t>
      </w:r>
      <w:r>
        <w:rPr>
          <w:rFonts w:ascii="宋体" w:hAnsi="宋体"/>
          <w:vertAlign w:val="superscript"/>
        </w:rPr>
        <w:t>31</w:t>
      </w:r>
      <w:r>
        <w:rPr>
          <w:rFonts w:ascii="宋体" w:hAnsi="宋体"/>
        </w:rPr>
        <w:t>]</w:t>
      </w:r>
      <w:r>
        <w:rPr>
          <w:rFonts w:hint="eastAsia" w:ascii="宋体" w:hAnsi="宋体"/>
        </w:rPr>
        <w:t>“</w:t>
      </w:r>
      <w:r>
        <w:rPr>
          <w:rFonts w:ascii="宋体" w:hAnsi="宋体"/>
        </w:rPr>
        <w:t>步</w:t>
      </w:r>
      <w:r>
        <w:rPr>
          <w:rFonts w:hint="eastAsia" w:ascii="宋体" w:hAnsi="宋体"/>
        </w:rPr>
        <w:t>”</w:t>
      </w:r>
      <w:r>
        <w:rPr>
          <w:rFonts w:ascii="宋体" w:hAnsi="宋体"/>
        </w:rPr>
        <w:t>湖口读[p</w:t>
      </w:r>
      <w:r>
        <w:rPr>
          <w:rFonts w:hint="eastAsia" w:ascii="宋体" w:hAnsi="宋体"/>
        </w:rPr>
        <w:t>´</w:t>
      </w:r>
      <w:r>
        <w:rPr>
          <w:rFonts w:ascii="宋体" w:hAnsi="宋体"/>
        </w:rPr>
        <w:t>u</w:t>
      </w:r>
      <w:r>
        <w:rPr>
          <w:rFonts w:hint="eastAsia" w:ascii="宋体" w:hAnsi="宋体"/>
          <w:vertAlign w:val="superscript"/>
        </w:rPr>
        <w:t>53</w:t>
      </w:r>
      <w:r>
        <w:rPr>
          <w:rFonts w:ascii="宋体" w:hAnsi="宋体"/>
        </w:rPr>
        <w:t>]，乌迳读[p</w:t>
      </w:r>
      <w:r>
        <w:rPr>
          <w:rFonts w:hint="eastAsia" w:ascii="宋体" w:hAnsi="宋体"/>
        </w:rPr>
        <w:t>‘</w:t>
      </w:r>
      <w:r>
        <w:rPr>
          <w:rFonts w:ascii="宋体" w:hAnsi="宋体"/>
        </w:rPr>
        <w:t>0</w:t>
      </w:r>
      <w:r>
        <w:rPr>
          <w:rFonts w:ascii="宋体" w:hAnsi="宋体"/>
          <w:vertAlign w:val="superscript"/>
        </w:rPr>
        <w:t>35</w:t>
      </w:r>
      <w:r>
        <w:rPr>
          <w:rFonts w:ascii="宋体" w:hAnsi="宋体"/>
        </w:rPr>
        <w:t>]，这是跟客家话相同的。但湖口和乌迳</w:t>
      </w:r>
      <w:r>
        <w:rPr>
          <w:rFonts w:hint="eastAsia" w:ascii="宋体" w:hAnsi="宋体"/>
        </w:rPr>
        <w:t>都有两到三个撮口呼韵母。韵母总数目较少，乌迳的鼻化韵发达；在入声问题上，湖口话的入声韵尾变成了喉塞韵尾一？，而乌迳话则没有入声调类，古入声字已分派到阴平和阳去调中，如“杀”同“纱”，“石”同“射”，这些都跟客家话不同。百顺话无撮口呼韵母，这跟客家话一致，但古全浊声母字仄声读送气清音，平声读不送气清音，如“步”读</w:t>
      </w:r>
      <w:r>
        <w:rPr>
          <w:rFonts w:ascii="宋体" w:hAnsi="宋体"/>
        </w:rPr>
        <w:t>[p</w:t>
      </w:r>
      <w:r>
        <w:rPr>
          <w:rFonts w:hint="eastAsia" w:ascii="宋体" w:hAnsi="宋体"/>
        </w:rPr>
        <w:t>‘</w:t>
      </w:r>
      <w:r>
        <w:rPr>
          <w:rFonts w:ascii="宋体" w:hAnsi="宋体"/>
        </w:rPr>
        <w:t>u</w:t>
      </w:r>
      <w:r>
        <w:rPr>
          <w:rFonts w:ascii="宋体" w:hAnsi="宋体"/>
          <w:vertAlign w:val="superscript"/>
        </w:rPr>
        <w:t>45</w:t>
      </w:r>
      <w:r>
        <w:rPr>
          <w:rFonts w:ascii="宋体" w:hAnsi="宋体"/>
        </w:rPr>
        <w:t>]，</w:t>
      </w:r>
      <w:r>
        <w:rPr>
          <w:rFonts w:hint="eastAsia" w:ascii="宋体" w:hAnsi="宋体"/>
        </w:rPr>
        <w:t>“</w:t>
      </w:r>
      <w:r>
        <w:rPr>
          <w:rFonts w:ascii="宋体" w:hAnsi="宋体"/>
        </w:rPr>
        <w:t>婆</w:t>
      </w:r>
      <w:r>
        <w:rPr>
          <w:rFonts w:hint="eastAsia" w:ascii="宋体" w:hAnsi="宋体"/>
        </w:rPr>
        <w:t>”</w:t>
      </w:r>
      <w:r>
        <w:rPr>
          <w:rFonts w:ascii="宋体" w:hAnsi="宋体"/>
        </w:rPr>
        <w:t>读[po</w:t>
      </w:r>
      <w:r>
        <w:rPr>
          <w:rFonts w:ascii="宋体" w:hAnsi="宋体"/>
          <w:vertAlign w:val="superscript"/>
        </w:rPr>
        <w:t>52</w:t>
      </w:r>
      <w:r>
        <w:rPr>
          <w:rFonts w:ascii="宋体" w:hAnsi="宋体"/>
        </w:rPr>
        <w:t>]；韵母总数只有28</w:t>
      </w:r>
      <w:r>
        <w:rPr>
          <w:rFonts w:hint="eastAsia" w:ascii="宋体" w:hAnsi="宋体"/>
        </w:rPr>
        <w:t>个；入声自成调类。是一个升降型的曲折调，不促化，这些跟客家话又有所不同。总的说来，湖口话离客家话还比较近，乌迳、百顺离客家话则比较远，他们的系属问题同样需要继续研究。</w:t>
      </w:r>
    </w:p>
    <w:p w14:paraId="52E2DDFC">
      <w:pPr>
        <w:pStyle w:val="3"/>
      </w:pPr>
      <w:r>
        <w:rPr>
          <w:rFonts w:hint="eastAsia"/>
        </w:rPr>
        <w:t>民族、宗教</w:t>
      </w:r>
    </w:p>
    <w:p w14:paraId="5739A101">
      <w:pPr>
        <w:pStyle w:val="4"/>
      </w:pPr>
      <w:r>
        <w:rPr>
          <w:rFonts w:hint="eastAsia"/>
        </w:rPr>
        <w:t>【民族】</w:t>
      </w:r>
    </w:p>
    <w:p w14:paraId="278443C1">
      <w:pPr>
        <w:ind w:firstLine="420"/>
        <w:rPr>
          <w:rFonts w:ascii="宋体" w:hAnsi="宋体"/>
        </w:rPr>
      </w:pPr>
      <w:r>
        <w:rPr>
          <w:rFonts w:hint="eastAsia" w:ascii="宋体" w:hAnsi="宋体"/>
        </w:rPr>
        <w:t>南雄市本土世居的少数民族主要是畲族，分别为雷、蓝两姓。主要分布在</w:t>
      </w:r>
      <w:r>
        <w:rPr>
          <w:rFonts w:ascii="宋体" w:hAnsi="宋体"/>
        </w:rPr>
        <w:t>17乡</w:t>
      </w:r>
      <w:r>
        <w:rPr>
          <w:rFonts w:hint="eastAsia" w:ascii="宋体" w:hAnsi="宋体"/>
        </w:rPr>
        <w:t>镇（街道）、</w:t>
      </w:r>
      <w:r>
        <w:rPr>
          <w:rFonts w:ascii="宋体" w:hAnsi="宋体"/>
        </w:rPr>
        <w:t>47个行政村、72个村落，共有6500人。</w:t>
      </w:r>
    </w:p>
    <w:p w14:paraId="7260ECCF">
      <w:pPr>
        <w:ind w:firstLine="420"/>
        <w:rPr>
          <w:rFonts w:ascii="宋体" w:hAnsi="宋体"/>
        </w:rPr>
      </w:pPr>
      <w:r>
        <w:rPr>
          <w:rFonts w:hint="eastAsia" w:ascii="宋体" w:hAnsi="宋体"/>
        </w:rPr>
        <w:t>支持少数民族发展，做好帮扶济困工作自</w:t>
      </w:r>
      <w:r>
        <w:rPr>
          <w:rFonts w:ascii="宋体" w:hAnsi="宋体"/>
        </w:rPr>
        <w:t>2006年以来，争取上级部门及港澳人士资</w:t>
      </w:r>
      <w:r>
        <w:rPr>
          <w:rFonts w:hint="eastAsia" w:ascii="宋体" w:hAnsi="宋体"/>
        </w:rPr>
        <w:t>金人民币</w:t>
      </w:r>
      <w:r>
        <w:rPr>
          <w:rFonts w:ascii="宋体" w:hAnsi="宋体"/>
        </w:rPr>
        <w:t>228万元，帮助少数民族地区开展</w:t>
      </w:r>
      <w:r>
        <w:rPr>
          <w:rFonts w:hint="eastAsia" w:ascii="宋体" w:hAnsi="宋体"/>
        </w:rPr>
        <w:t>生产帮扶济困工作，为少数民族群众脱贫奔康创造条件。</w:t>
      </w:r>
      <w:r>
        <w:rPr>
          <w:rFonts w:ascii="宋体" w:hAnsi="宋体"/>
        </w:rPr>
        <w:t>2010年，民宗局积极深入到各</w:t>
      </w:r>
      <w:r>
        <w:rPr>
          <w:rFonts w:hint="eastAsia" w:ascii="宋体" w:hAnsi="宋体"/>
        </w:rPr>
        <w:t>少数民族聚居村进行调研，汇合调研的情况，争取上级帮扶的少数民族发展资金项目</w:t>
      </w:r>
      <w:r>
        <w:rPr>
          <w:rFonts w:ascii="宋体" w:hAnsi="宋体"/>
        </w:rPr>
        <w:t>2个，</w:t>
      </w:r>
      <w:r>
        <w:rPr>
          <w:rFonts w:hint="eastAsia" w:ascii="宋体" w:hAnsi="宋体"/>
        </w:rPr>
        <w:t>即：主田镇高峰村委会至青嶂山畲族村公路工程和黄坑镇杨梅坑修桥工程。</w:t>
      </w:r>
    </w:p>
    <w:p w14:paraId="5FAE8936">
      <w:pPr>
        <w:ind w:firstLine="420"/>
        <w:rPr>
          <w:rFonts w:ascii="宋体" w:hAnsi="宋体"/>
        </w:rPr>
      </w:pPr>
      <w:r>
        <w:rPr>
          <w:rFonts w:hint="eastAsia" w:ascii="宋体" w:hAnsi="宋体"/>
        </w:rPr>
        <w:t>贯彻落实党的民族政策，做好少数民族考生的报考工作</w:t>
      </w:r>
      <w:r>
        <w:rPr>
          <w:rFonts w:ascii="宋体" w:hAnsi="宋体"/>
        </w:rPr>
        <w:t>5年来，帮助121名畲族学生</w:t>
      </w:r>
      <w:r>
        <w:rPr>
          <w:rFonts w:hint="eastAsia" w:ascii="宋体" w:hAnsi="宋体"/>
        </w:rPr>
        <w:t>办理享受减免贫困生学杂费，争取港、澳、珠三角地区等热心人士的支持，资助扶贫助学资金</w:t>
      </w:r>
      <w:r>
        <w:rPr>
          <w:rFonts w:ascii="宋体" w:hAnsi="宋体"/>
        </w:rPr>
        <w:t>15万元，资助近180名贫困学生学习。</w:t>
      </w:r>
      <w:r>
        <w:rPr>
          <w:rFonts w:hint="eastAsia" w:ascii="宋体" w:hAnsi="宋体"/>
        </w:rPr>
        <w:t>民宗局帮助</w:t>
      </w:r>
      <w:r>
        <w:rPr>
          <w:rFonts w:ascii="宋体" w:hAnsi="宋体"/>
        </w:rPr>
        <w:t>1000多名畲族和少数民族聚居区</w:t>
      </w:r>
      <w:r>
        <w:rPr>
          <w:rFonts w:hint="eastAsia" w:ascii="宋体" w:hAnsi="宋体"/>
        </w:rPr>
        <w:t>汉族考生办理了普通高校报考手续。</w:t>
      </w:r>
    </w:p>
    <w:p w14:paraId="35D07321">
      <w:pPr>
        <w:pStyle w:val="4"/>
      </w:pPr>
      <w:r>
        <w:rPr>
          <w:rFonts w:hint="eastAsia"/>
        </w:rPr>
        <w:t>【宗教】</w:t>
      </w:r>
    </w:p>
    <w:p w14:paraId="52A7DEEC">
      <w:pPr>
        <w:ind w:firstLine="420"/>
        <w:rPr>
          <w:rFonts w:ascii="宋体" w:hAnsi="宋体"/>
        </w:rPr>
      </w:pPr>
      <w:r>
        <w:rPr>
          <w:rFonts w:hint="eastAsia" w:ascii="宋体" w:hAnsi="宋体"/>
        </w:rPr>
        <w:t>南雄市现有佛教、道教、基督教、天主教</w:t>
      </w:r>
      <w:r>
        <w:rPr>
          <w:rFonts w:ascii="宋体" w:hAnsi="宋体"/>
        </w:rPr>
        <w:t>4个宗教，宗教活动场所7个，即洞真</w:t>
      </w:r>
      <w:r>
        <w:rPr>
          <w:rFonts w:hint="eastAsia" w:ascii="宋体" w:hAnsi="宋体"/>
        </w:rPr>
        <w:t>古观（道教）、大雄禅寺（佛教）、莲开净寺（佛教）、万善庵（佛教）、南雄天主堂、荆岗天主堂（天主教）、南雄福音堂（基督教）。</w:t>
      </w:r>
    </w:p>
    <w:p w14:paraId="4F285100">
      <w:pPr>
        <w:ind w:firstLine="420"/>
        <w:rPr>
          <w:rFonts w:ascii="宋体" w:hAnsi="宋体"/>
        </w:rPr>
      </w:pPr>
      <w:r>
        <w:rPr>
          <w:rFonts w:hint="eastAsia" w:ascii="宋体" w:hAnsi="宋体"/>
        </w:rPr>
        <w:t>提高依法管理宗教事务的能力，依法加强对宗教活动场所的管理依照国务院《宗教活动场所检查办法》，建立健全人员、财务、会计、治安、消防、文物保护、卫生防疫等七项管理制度，维护了信教公民的合法权益，使各宗教活动场所正常、有序地运作。</w:t>
      </w:r>
    </w:p>
    <w:p w14:paraId="5F19DBBB">
      <w:pPr>
        <w:ind w:firstLine="420"/>
        <w:rPr>
          <w:rFonts w:ascii="宋体" w:hAnsi="宋体"/>
        </w:rPr>
      </w:pPr>
      <w:r>
        <w:rPr>
          <w:rFonts w:hint="eastAsia" w:ascii="宋体" w:hAnsi="宋体"/>
        </w:rPr>
        <w:t>协助宗教活动场所做好基础建设工作一是引进资金</w:t>
      </w:r>
      <w:r>
        <w:rPr>
          <w:rFonts w:ascii="宋体" w:hAnsi="宋体"/>
        </w:rPr>
        <w:t>2000多万元，完善大雄禅寺二期</w:t>
      </w:r>
      <w:r>
        <w:rPr>
          <w:rFonts w:hint="eastAsia" w:ascii="宋体" w:hAnsi="宋体"/>
        </w:rPr>
        <w:t>工程（千佛殿）建设；二是争取政府有关部门支持，协助莲开净寺征用土地</w:t>
      </w:r>
      <w:r>
        <w:rPr>
          <w:rFonts w:ascii="宋体" w:hAnsi="宋体"/>
        </w:rPr>
        <w:t>60亩，完善</w:t>
      </w:r>
      <w:r>
        <w:rPr>
          <w:rFonts w:hint="eastAsia" w:ascii="宋体" w:hAnsi="宋体"/>
        </w:rPr>
        <w:t>莲开净寺活动场所建设；三是依据国家有关政策，帮助钟鼓岩景区道教洞真古观土地和房产政策的落实。</w:t>
      </w:r>
    </w:p>
    <w:p w14:paraId="04C68E4B">
      <w:pPr>
        <w:ind w:firstLine="420"/>
        <w:rPr>
          <w:rFonts w:ascii="宋体" w:hAnsi="宋体"/>
        </w:rPr>
      </w:pPr>
      <w:r>
        <w:rPr>
          <w:rFonts w:hint="eastAsia" w:ascii="宋体" w:hAnsi="宋体"/>
        </w:rPr>
        <w:t>引导宗教与社会主义相适应，</w:t>
      </w:r>
      <w:r>
        <w:rPr>
          <w:rFonts w:ascii="宋体" w:hAnsi="宋体"/>
        </w:rPr>
        <w:t>2006年</w:t>
      </w:r>
      <w:r>
        <w:rPr>
          <w:rFonts w:hint="eastAsia" w:ascii="宋体" w:hAnsi="宋体"/>
        </w:rPr>
        <w:t>，莲开净寺、大雄禅寺、万善庵等宗教场所及港澳人士和社会热心人士赈灾扶贫，捐出善款</w:t>
      </w:r>
      <w:r>
        <w:rPr>
          <w:rFonts w:ascii="宋体" w:hAnsi="宋体"/>
        </w:rPr>
        <w:t>16万多元、大米近千斤、花生油500多斤，</w:t>
      </w:r>
      <w:r>
        <w:rPr>
          <w:rFonts w:hint="eastAsia" w:ascii="宋体" w:hAnsi="宋体"/>
        </w:rPr>
        <w:t>衣物一大批，帮助受灾群众重建家园以及扶助贫困学生学习。</w:t>
      </w:r>
      <w:r>
        <w:rPr>
          <w:rFonts w:ascii="宋体" w:hAnsi="宋体"/>
        </w:rPr>
        <w:t>2008年，宗教界为四川地</w:t>
      </w:r>
      <w:r>
        <w:rPr>
          <w:rFonts w:hint="eastAsia" w:ascii="宋体" w:hAnsi="宋体"/>
        </w:rPr>
        <w:t>震灾区捐款</w:t>
      </w:r>
      <w:r>
        <w:rPr>
          <w:rFonts w:ascii="宋体" w:hAnsi="宋体"/>
        </w:rPr>
        <w:t>5万多元。</w:t>
      </w:r>
    </w:p>
    <w:p w14:paraId="0515C601">
      <w:pPr>
        <w:ind w:firstLine="420"/>
        <w:jc w:val="right"/>
        <w:rPr>
          <w:rFonts w:ascii="宋体" w:hAnsi="宋体"/>
        </w:rPr>
      </w:pPr>
      <w:r>
        <w:rPr>
          <w:rFonts w:hint="eastAsia" w:ascii="宋体" w:hAnsi="宋体"/>
        </w:rPr>
        <w:t>（董祖明、华春君）</w:t>
      </w:r>
    </w:p>
    <w:p w14:paraId="443B751C">
      <w:pPr>
        <w:pStyle w:val="3"/>
      </w:pPr>
      <w:r>
        <w:rPr>
          <w:rFonts w:hint="eastAsia"/>
        </w:rPr>
        <w:t>环境质量</w:t>
      </w:r>
    </w:p>
    <w:p w14:paraId="42FCA428">
      <w:pPr>
        <w:pStyle w:val="4"/>
      </w:pPr>
      <w:r>
        <w:rPr>
          <w:rFonts w:hint="eastAsia"/>
        </w:rPr>
        <w:t>【概况】</w:t>
      </w:r>
    </w:p>
    <w:p w14:paraId="0FADE3C1">
      <w:pPr>
        <w:ind w:firstLine="420"/>
        <w:rPr>
          <w:rFonts w:ascii="宋体" w:hAnsi="宋体"/>
        </w:rPr>
      </w:pPr>
      <w:r>
        <w:rPr>
          <w:rFonts w:ascii="宋体" w:hAnsi="宋体"/>
        </w:rPr>
        <w:t>2010年全市环境质量总体良好，</w:t>
      </w:r>
      <w:r>
        <w:rPr>
          <w:rFonts w:hint="eastAsia" w:ascii="宋体" w:hAnsi="宋体"/>
        </w:rPr>
        <w:t>呈现经济建设与环境保护协调发展势头。城市空气质量继续保持1</w:t>
      </w:r>
      <w:r>
        <w:rPr>
          <w:rFonts w:ascii="宋体" w:hAnsi="宋体"/>
        </w:rPr>
        <w:t>级，全年达到空气质</w:t>
      </w:r>
      <w:r>
        <w:rPr>
          <w:rFonts w:hint="eastAsia" w:ascii="宋体" w:hAnsi="宋体"/>
        </w:rPr>
        <w:t>量优、良等级的天数比例为</w:t>
      </w:r>
      <w:r>
        <w:rPr>
          <w:rFonts w:ascii="宋体" w:hAnsi="宋体"/>
        </w:rPr>
        <w:t>100%，空气中主</w:t>
      </w:r>
      <w:r>
        <w:rPr>
          <w:rFonts w:hint="eastAsia" w:ascii="宋体" w:hAnsi="宋体"/>
        </w:rPr>
        <w:t>要污染物（可吸入颗粒物、</w:t>
      </w:r>
      <w:r>
        <w:rPr>
          <w:rFonts w:ascii="宋体" w:hAnsi="宋体"/>
        </w:rPr>
        <w:t>S</w:t>
      </w:r>
      <w:r>
        <w:rPr>
          <w:rFonts w:hint="eastAsia" w:ascii="宋体" w:hAnsi="宋体"/>
        </w:rPr>
        <w:t>O</w:t>
      </w:r>
      <w:r>
        <w:rPr>
          <w:rFonts w:ascii="宋体" w:hAnsi="宋体"/>
          <w:vertAlign w:val="subscript"/>
        </w:rPr>
        <w:t>2</w:t>
      </w:r>
      <w:r>
        <w:rPr>
          <w:rFonts w:ascii="宋体" w:hAnsi="宋体"/>
        </w:rPr>
        <w:t>、NO</w:t>
      </w:r>
      <w:r>
        <w:rPr>
          <w:rFonts w:ascii="宋体" w:hAnsi="宋体"/>
          <w:vertAlign w:val="subscript"/>
        </w:rPr>
        <w:t>2</w:t>
      </w:r>
      <w:r>
        <w:rPr>
          <w:rFonts w:ascii="宋体" w:hAnsi="宋体"/>
        </w:rPr>
        <w:t>）年平</w:t>
      </w:r>
      <w:r>
        <w:rPr>
          <w:rFonts w:hint="eastAsia" w:ascii="宋体" w:hAnsi="宋体"/>
        </w:rPr>
        <w:t>均值达到省级标准，饮用水源水质达标率</w:t>
      </w:r>
      <w:r>
        <w:rPr>
          <w:rFonts w:ascii="宋体" w:hAnsi="宋体"/>
        </w:rPr>
        <w:t>100%，河流水质达标率100%，城市区域环</w:t>
      </w:r>
      <w:r>
        <w:rPr>
          <w:rFonts w:hint="eastAsia" w:ascii="宋体" w:hAnsi="宋体"/>
        </w:rPr>
        <w:t>境噪声与交通干线噪声平均值达标率</w:t>
      </w:r>
      <w:r>
        <w:rPr>
          <w:rFonts w:ascii="宋体" w:hAnsi="宋体"/>
        </w:rPr>
        <w:t>100%</w:t>
      </w:r>
      <w:r>
        <w:rPr>
          <w:rFonts w:hint="eastAsia" w:ascii="宋体" w:hAnsi="宋体"/>
        </w:rPr>
        <w:t>，达到《城市区域环境噪声标准》（</w:t>
      </w:r>
      <w:r>
        <w:rPr>
          <w:rFonts w:ascii="宋体" w:hAnsi="宋体"/>
        </w:rPr>
        <w:t>GB3096</w:t>
      </w:r>
      <w:r>
        <w:rPr>
          <w:rFonts w:hint="eastAsia" w:ascii="宋体" w:hAnsi="宋体"/>
        </w:rPr>
        <w:t>-</w:t>
      </w:r>
      <w:r>
        <w:rPr>
          <w:rFonts w:ascii="宋体" w:hAnsi="宋体"/>
        </w:rPr>
        <w:t>93），城市环境综合整</w:t>
      </w:r>
      <w:r>
        <w:rPr>
          <w:rFonts w:hint="eastAsia" w:ascii="宋体" w:hAnsi="宋体"/>
        </w:rPr>
        <w:t>治</w:t>
      </w:r>
      <w:r>
        <w:rPr>
          <w:rFonts w:ascii="宋体" w:hAnsi="宋体"/>
        </w:rPr>
        <w:t>定量考核顺利通过，</w:t>
      </w:r>
      <w:r>
        <w:rPr>
          <w:rFonts w:hint="eastAsia" w:ascii="宋体" w:hAnsi="宋体"/>
        </w:rPr>
        <w:t>考核等级为合格。</w:t>
      </w:r>
    </w:p>
    <w:p w14:paraId="3D28A524">
      <w:pPr>
        <w:pStyle w:val="4"/>
      </w:pPr>
      <w:r>
        <w:rPr>
          <w:rFonts w:hint="eastAsia"/>
        </w:rPr>
        <w:t>【水环境质量】</w:t>
      </w:r>
    </w:p>
    <w:p w14:paraId="5C20AAC2">
      <w:pPr>
        <w:ind w:firstLine="420"/>
        <w:rPr>
          <w:rFonts w:ascii="宋体" w:hAnsi="宋体"/>
        </w:rPr>
      </w:pPr>
      <w:r>
        <w:rPr>
          <w:rFonts w:ascii="宋体" w:hAnsi="宋体"/>
        </w:rPr>
        <w:t>1、饮用水源情况2010年环</w:t>
      </w:r>
      <w:r>
        <w:rPr>
          <w:rFonts w:hint="eastAsia" w:ascii="宋体" w:hAnsi="宋体"/>
        </w:rPr>
        <w:t>保局监测站对饮用水源瀑布水库库坝、塘坪两个断面进行常规监测，结果表明，两个断面年均值满足《地表水环境质量标准》（</w:t>
      </w:r>
      <w:r>
        <w:rPr>
          <w:rFonts w:ascii="宋体" w:hAnsi="宋体"/>
        </w:rPr>
        <w:t>GB3838-2002）</w:t>
      </w:r>
      <w:r>
        <w:rPr>
          <w:rFonts w:hint="eastAsia" w:ascii="宋体" w:hAnsi="宋体"/>
        </w:rPr>
        <w:t>Ⅱ</w:t>
      </w:r>
      <w:r>
        <w:rPr>
          <w:rFonts w:ascii="宋体" w:hAnsi="宋体"/>
        </w:rPr>
        <w:t>类标准。见表12、河流地表水质情况2010年对市区</w:t>
      </w:r>
      <w:r>
        <w:rPr>
          <w:rFonts w:hint="eastAsia" w:ascii="宋体" w:hAnsi="宋体"/>
        </w:rPr>
        <w:t>浈江河段</w:t>
      </w:r>
      <w:r>
        <w:rPr>
          <w:rFonts w:ascii="宋体" w:hAnsi="宋体"/>
        </w:rPr>
        <w:t>4个断面（河坪、判官塘、河南桥</w:t>
      </w:r>
      <w:r>
        <w:rPr>
          <w:rFonts w:hint="eastAsia" w:ascii="宋体" w:hAnsi="宋体"/>
        </w:rPr>
        <w:t>、古市）和凌江河凌江口断面进行监测，全河段整体水质符合《地表水环境质量标准》（</w:t>
      </w:r>
      <w:r>
        <w:rPr>
          <w:rFonts w:ascii="宋体" w:hAnsi="宋体"/>
        </w:rPr>
        <w:t>GB3838-2002）</w:t>
      </w:r>
      <w:r>
        <w:rPr>
          <w:rFonts w:hint="eastAsia" w:ascii="宋体" w:hAnsi="宋体"/>
        </w:rPr>
        <w:t>Ⅲ</w:t>
      </w:r>
      <w:r>
        <w:rPr>
          <w:rFonts w:ascii="宋体" w:hAnsi="宋体"/>
        </w:rPr>
        <w:t>类标准，水质状况良好。</w:t>
      </w:r>
      <w:r>
        <w:rPr>
          <w:rFonts w:hint="eastAsia" w:ascii="宋体" w:hAnsi="宋体"/>
        </w:rPr>
        <w:t>对比上年度水质情况，市区河流水质状况渐趋变好。见表</w:t>
      </w:r>
      <w:r>
        <w:rPr>
          <w:rFonts w:ascii="宋体" w:hAnsi="宋体"/>
        </w:rPr>
        <w:t>3-11、图3-1。</w:t>
      </w:r>
    </w:p>
    <w:p w14:paraId="750AA4ED">
      <w:pPr>
        <w:ind w:firstLine="0" w:firstLineChars="0"/>
        <w:jc w:val="center"/>
        <w:rPr>
          <w:rFonts w:hint="eastAsia" w:ascii="宋体" w:hAnsi="宋体"/>
          <w:b/>
          <w:kern w:val="0"/>
        </w:rPr>
      </w:pPr>
      <w:commentRangeStart w:id="5"/>
      <w:r>
        <w:rPr>
          <w:rFonts w:hint="eastAsia" w:ascii="宋体" w:hAnsi="宋体"/>
          <w:b/>
          <w:kern w:val="0"/>
        </w:rPr>
        <w:t xml:space="preserve">表3-7  </w:t>
      </w:r>
      <w:r>
        <w:rPr>
          <w:rFonts w:ascii="宋体" w:hAnsi="宋体"/>
          <w:b/>
          <w:kern w:val="0"/>
        </w:rPr>
        <w:t>2010</w:t>
      </w:r>
      <w:r>
        <w:rPr>
          <w:rFonts w:hint="eastAsia" w:ascii="宋体" w:hAnsi="宋体"/>
          <w:b/>
          <w:kern w:val="0"/>
        </w:rPr>
        <w:t>年南雄市地表水浈江河段水</w:t>
      </w:r>
      <w:r>
        <w:rPr>
          <w:rFonts w:hint="eastAsia" w:ascii="宋体" w:hAnsi="宋体" w:cs="宋体"/>
          <w:b/>
          <w:kern w:val="0"/>
        </w:rPr>
        <w:t>质</w:t>
      </w:r>
      <w:r>
        <w:rPr>
          <w:rFonts w:hint="eastAsia" w:ascii="宋体" w:hAnsi="宋体" w:cs="MS Gothic"/>
          <w:b/>
          <w:kern w:val="0"/>
        </w:rPr>
        <w:t>平均</w:t>
      </w:r>
      <w:r>
        <w:rPr>
          <w:rFonts w:hint="eastAsia" w:ascii="宋体" w:hAnsi="宋体" w:cs="宋体"/>
          <w:b/>
          <w:kern w:val="0"/>
        </w:rPr>
        <w:t>污</w:t>
      </w:r>
      <w:r>
        <w:rPr>
          <w:rFonts w:hint="eastAsia" w:ascii="宋体" w:hAnsi="宋体" w:cs="MS Gothic"/>
          <w:b/>
          <w:kern w:val="0"/>
        </w:rPr>
        <w:t>染指</w:t>
      </w:r>
      <w:r>
        <w:rPr>
          <w:rFonts w:hint="eastAsia" w:ascii="宋体" w:hAnsi="宋体"/>
          <w:b/>
          <w:kern w:val="0"/>
        </w:rPr>
        <w:t>数</w:t>
      </w:r>
      <w:commentRangeEnd w:id="5"/>
      <w:r>
        <w:rPr>
          <w:rStyle w:val="12"/>
          <w:rFonts w:ascii="宋体" w:hAnsi="宋体"/>
        </w:rPr>
        <w:commentReference w:id="5"/>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0"/>
        <w:gridCol w:w="1660"/>
        <w:gridCol w:w="1660"/>
        <w:gridCol w:w="1660"/>
        <w:gridCol w:w="1661"/>
        <w:gridCol w:w="1661"/>
      </w:tblGrid>
      <w:tr w14:paraId="5EA2B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61977838">
            <w:pPr>
              <w:pStyle w:val="13"/>
              <w:jc w:val="center"/>
              <w:rPr>
                <w:rFonts w:hint="eastAsia" w:ascii="宋体" w:hAnsi="宋体"/>
                <w:b/>
              </w:rPr>
            </w:pPr>
            <w:r>
              <w:rPr>
                <w:rFonts w:hint="eastAsia" w:ascii="宋体" w:hAnsi="宋体"/>
                <w:b/>
              </w:rPr>
              <w:t>年度</w:t>
            </w:r>
          </w:p>
        </w:tc>
        <w:tc>
          <w:tcPr>
            <w:tcW w:w="833" w:type="pct"/>
            <w:vAlign w:val="center"/>
          </w:tcPr>
          <w:p w14:paraId="12A1AA94">
            <w:pPr>
              <w:pStyle w:val="13"/>
              <w:jc w:val="center"/>
              <w:rPr>
                <w:rFonts w:hint="eastAsia" w:ascii="宋体" w:hAnsi="宋体"/>
                <w:b/>
              </w:rPr>
            </w:pPr>
            <w:r>
              <w:rPr>
                <w:rFonts w:hint="eastAsia" w:ascii="宋体" w:hAnsi="宋体"/>
                <w:b/>
              </w:rPr>
              <w:t>河坪</w:t>
            </w:r>
          </w:p>
        </w:tc>
        <w:tc>
          <w:tcPr>
            <w:tcW w:w="833" w:type="pct"/>
            <w:vAlign w:val="center"/>
          </w:tcPr>
          <w:p w14:paraId="0800E6DE">
            <w:pPr>
              <w:pStyle w:val="13"/>
              <w:jc w:val="center"/>
              <w:rPr>
                <w:rFonts w:hint="eastAsia" w:ascii="宋体" w:hAnsi="宋体"/>
                <w:b/>
              </w:rPr>
            </w:pPr>
            <w:r>
              <w:rPr>
                <w:rFonts w:hint="eastAsia" w:ascii="宋体" w:hAnsi="宋体"/>
                <w:b/>
              </w:rPr>
              <w:t>判官塘</w:t>
            </w:r>
          </w:p>
        </w:tc>
        <w:tc>
          <w:tcPr>
            <w:tcW w:w="833" w:type="pct"/>
            <w:vAlign w:val="center"/>
          </w:tcPr>
          <w:p w14:paraId="19117AC8">
            <w:pPr>
              <w:pStyle w:val="13"/>
              <w:jc w:val="center"/>
              <w:rPr>
                <w:rFonts w:hint="eastAsia" w:ascii="宋体" w:hAnsi="宋体"/>
                <w:b/>
              </w:rPr>
            </w:pPr>
            <w:r>
              <w:rPr>
                <w:rFonts w:hint="eastAsia" w:ascii="宋体" w:hAnsi="宋体"/>
                <w:b/>
              </w:rPr>
              <w:t>河南桥</w:t>
            </w:r>
          </w:p>
        </w:tc>
        <w:tc>
          <w:tcPr>
            <w:tcW w:w="833" w:type="pct"/>
            <w:vAlign w:val="center"/>
          </w:tcPr>
          <w:p w14:paraId="177F7520">
            <w:pPr>
              <w:pStyle w:val="13"/>
              <w:jc w:val="center"/>
              <w:rPr>
                <w:rFonts w:hint="eastAsia" w:ascii="宋体" w:hAnsi="宋体"/>
                <w:b/>
              </w:rPr>
            </w:pPr>
            <w:r>
              <w:rPr>
                <w:rFonts w:hint="eastAsia" w:ascii="宋体" w:hAnsi="宋体"/>
                <w:b/>
              </w:rPr>
              <w:t>古市</w:t>
            </w:r>
          </w:p>
        </w:tc>
        <w:tc>
          <w:tcPr>
            <w:tcW w:w="833" w:type="pct"/>
            <w:vAlign w:val="center"/>
          </w:tcPr>
          <w:p w14:paraId="4128B799">
            <w:pPr>
              <w:pStyle w:val="13"/>
              <w:jc w:val="center"/>
              <w:rPr>
                <w:rFonts w:hint="eastAsia" w:ascii="宋体" w:hAnsi="宋体"/>
                <w:b/>
              </w:rPr>
            </w:pPr>
            <w:r>
              <w:rPr>
                <w:rFonts w:hint="eastAsia" w:ascii="宋体" w:hAnsi="宋体"/>
                <w:b/>
              </w:rPr>
              <w:t>全河段</w:t>
            </w:r>
          </w:p>
        </w:tc>
      </w:tr>
      <w:tr w14:paraId="665FD6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1B6AB0EF">
            <w:pPr>
              <w:pStyle w:val="13"/>
              <w:jc w:val="center"/>
              <w:rPr>
                <w:rFonts w:ascii="宋体" w:hAnsi="宋体"/>
              </w:rPr>
            </w:pPr>
            <w:r>
              <w:rPr>
                <w:rFonts w:ascii="宋体" w:hAnsi="宋体"/>
              </w:rPr>
              <w:t>2009</w:t>
            </w:r>
          </w:p>
        </w:tc>
        <w:tc>
          <w:tcPr>
            <w:tcW w:w="833" w:type="pct"/>
            <w:vAlign w:val="center"/>
          </w:tcPr>
          <w:p w14:paraId="24EE2238">
            <w:pPr>
              <w:pStyle w:val="13"/>
              <w:jc w:val="center"/>
              <w:rPr>
                <w:rFonts w:ascii="宋体" w:hAnsi="宋体"/>
              </w:rPr>
            </w:pPr>
            <w:r>
              <w:rPr>
                <w:rFonts w:ascii="宋体" w:hAnsi="宋体"/>
              </w:rPr>
              <w:t>0.54</w:t>
            </w:r>
          </w:p>
        </w:tc>
        <w:tc>
          <w:tcPr>
            <w:tcW w:w="833" w:type="pct"/>
            <w:vAlign w:val="center"/>
          </w:tcPr>
          <w:p w14:paraId="447F6FE0">
            <w:pPr>
              <w:pStyle w:val="13"/>
              <w:jc w:val="center"/>
              <w:rPr>
                <w:rFonts w:ascii="宋体" w:hAnsi="宋体"/>
              </w:rPr>
            </w:pPr>
            <w:r>
              <w:rPr>
                <w:rFonts w:ascii="宋体" w:hAnsi="宋体"/>
              </w:rPr>
              <w:t>0.51</w:t>
            </w:r>
          </w:p>
        </w:tc>
        <w:tc>
          <w:tcPr>
            <w:tcW w:w="833" w:type="pct"/>
            <w:vAlign w:val="center"/>
          </w:tcPr>
          <w:p w14:paraId="753D0728">
            <w:pPr>
              <w:pStyle w:val="13"/>
              <w:jc w:val="center"/>
              <w:rPr>
                <w:rFonts w:ascii="宋体" w:hAnsi="宋体"/>
              </w:rPr>
            </w:pPr>
            <w:r>
              <w:rPr>
                <w:rFonts w:ascii="宋体" w:hAnsi="宋体"/>
              </w:rPr>
              <w:t>0.38</w:t>
            </w:r>
          </w:p>
        </w:tc>
        <w:tc>
          <w:tcPr>
            <w:tcW w:w="833" w:type="pct"/>
            <w:vAlign w:val="center"/>
          </w:tcPr>
          <w:p w14:paraId="13CCCF51">
            <w:pPr>
              <w:pStyle w:val="13"/>
              <w:jc w:val="center"/>
              <w:rPr>
                <w:rFonts w:ascii="宋体" w:hAnsi="宋体"/>
              </w:rPr>
            </w:pPr>
            <w:r>
              <w:rPr>
                <w:rFonts w:ascii="宋体" w:hAnsi="宋体"/>
              </w:rPr>
              <w:t>0.22</w:t>
            </w:r>
          </w:p>
        </w:tc>
        <w:tc>
          <w:tcPr>
            <w:tcW w:w="833" w:type="pct"/>
            <w:vAlign w:val="center"/>
          </w:tcPr>
          <w:p w14:paraId="425F0C74">
            <w:pPr>
              <w:pStyle w:val="13"/>
              <w:jc w:val="center"/>
              <w:rPr>
                <w:rFonts w:ascii="宋体" w:hAnsi="宋体"/>
              </w:rPr>
            </w:pPr>
            <w:r>
              <w:rPr>
                <w:rFonts w:ascii="宋体" w:hAnsi="宋体"/>
              </w:rPr>
              <w:t>0.41</w:t>
            </w:r>
          </w:p>
        </w:tc>
      </w:tr>
      <w:tr w14:paraId="0FD060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29D0C293">
            <w:pPr>
              <w:pStyle w:val="13"/>
              <w:jc w:val="center"/>
              <w:rPr>
                <w:rFonts w:ascii="宋体" w:hAnsi="宋体"/>
              </w:rPr>
            </w:pPr>
            <w:r>
              <w:rPr>
                <w:rFonts w:ascii="宋体" w:hAnsi="宋体"/>
              </w:rPr>
              <w:t>2010</w:t>
            </w:r>
          </w:p>
        </w:tc>
        <w:tc>
          <w:tcPr>
            <w:tcW w:w="833" w:type="pct"/>
            <w:vAlign w:val="center"/>
          </w:tcPr>
          <w:p w14:paraId="6ABE19C2">
            <w:pPr>
              <w:pStyle w:val="13"/>
              <w:jc w:val="center"/>
              <w:rPr>
                <w:rFonts w:ascii="宋体" w:hAnsi="宋体"/>
              </w:rPr>
            </w:pPr>
            <w:r>
              <w:rPr>
                <w:rFonts w:ascii="宋体" w:hAnsi="宋体"/>
              </w:rPr>
              <w:t>0.37</w:t>
            </w:r>
          </w:p>
        </w:tc>
        <w:tc>
          <w:tcPr>
            <w:tcW w:w="833" w:type="pct"/>
            <w:vAlign w:val="center"/>
          </w:tcPr>
          <w:p w14:paraId="172E2DAD">
            <w:pPr>
              <w:pStyle w:val="13"/>
              <w:jc w:val="center"/>
              <w:rPr>
                <w:rFonts w:ascii="宋体" w:hAnsi="宋体"/>
              </w:rPr>
            </w:pPr>
            <w:r>
              <w:rPr>
                <w:rFonts w:ascii="宋体" w:hAnsi="宋体"/>
              </w:rPr>
              <w:t>0.36</w:t>
            </w:r>
          </w:p>
        </w:tc>
        <w:tc>
          <w:tcPr>
            <w:tcW w:w="833" w:type="pct"/>
            <w:vAlign w:val="center"/>
          </w:tcPr>
          <w:p w14:paraId="6CF6EB76">
            <w:pPr>
              <w:pStyle w:val="13"/>
              <w:jc w:val="center"/>
              <w:rPr>
                <w:rFonts w:ascii="宋体" w:hAnsi="宋体"/>
              </w:rPr>
            </w:pPr>
            <w:r>
              <w:rPr>
                <w:rFonts w:ascii="宋体" w:hAnsi="宋体"/>
              </w:rPr>
              <w:t>0.45</w:t>
            </w:r>
          </w:p>
        </w:tc>
        <w:tc>
          <w:tcPr>
            <w:tcW w:w="833" w:type="pct"/>
            <w:vAlign w:val="center"/>
          </w:tcPr>
          <w:p w14:paraId="5B3FE6F5">
            <w:pPr>
              <w:pStyle w:val="13"/>
              <w:jc w:val="center"/>
              <w:rPr>
                <w:rFonts w:ascii="宋体" w:hAnsi="宋体"/>
              </w:rPr>
            </w:pPr>
            <w:r>
              <w:rPr>
                <w:rFonts w:ascii="宋体" w:hAnsi="宋体"/>
              </w:rPr>
              <w:t>0.25</w:t>
            </w:r>
          </w:p>
        </w:tc>
        <w:tc>
          <w:tcPr>
            <w:tcW w:w="833" w:type="pct"/>
            <w:vAlign w:val="center"/>
          </w:tcPr>
          <w:p w14:paraId="6A15C6F9">
            <w:pPr>
              <w:pStyle w:val="13"/>
              <w:jc w:val="center"/>
              <w:rPr>
                <w:rFonts w:ascii="宋体" w:hAnsi="宋体"/>
              </w:rPr>
            </w:pPr>
            <w:r>
              <w:rPr>
                <w:rFonts w:ascii="宋体" w:hAnsi="宋体"/>
              </w:rPr>
              <w:t>0.36</w:t>
            </w:r>
          </w:p>
        </w:tc>
      </w:tr>
      <w:tr w14:paraId="76922F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3" w:type="pct"/>
            <w:vAlign w:val="center"/>
          </w:tcPr>
          <w:p w14:paraId="382C3E29">
            <w:pPr>
              <w:pStyle w:val="13"/>
              <w:jc w:val="center"/>
              <w:rPr>
                <w:rFonts w:hint="eastAsia" w:ascii="宋体" w:hAnsi="宋体"/>
              </w:rPr>
            </w:pPr>
            <w:r>
              <w:rPr>
                <w:rFonts w:hint="eastAsia" w:ascii="宋体" w:hAnsi="宋体"/>
              </w:rPr>
              <w:t>2010变幅</w:t>
            </w:r>
          </w:p>
        </w:tc>
        <w:tc>
          <w:tcPr>
            <w:tcW w:w="833" w:type="pct"/>
            <w:vAlign w:val="center"/>
          </w:tcPr>
          <w:p w14:paraId="1E9C8151">
            <w:pPr>
              <w:pStyle w:val="13"/>
              <w:jc w:val="center"/>
              <w:rPr>
                <w:rFonts w:hint="eastAsia" w:ascii="宋体" w:hAnsi="宋体"/>
              </w:rPr>
            </w:pPr>
            <w:r>
              <w:rPr>
                <w:rFonts w:hint="eastAsia" w:ascii="宋体" w:hAnsi="宋体"/>
              </w:rPr>
              <w:t>-31.5%</w:t>
            </w:r>
          </w:p>
        </w:tc>
        <w:tc>
          <w:tcPr>
            <w:tcW w:w="833" w:type="pct"/>
            <w:vAlign w:val="center"/>
          </w:tcPr>
          <w:p w14:paraId="0FE17F30">
            <w:pPr>
              <w:pStyle w:val="13"/>
              <w:jc w:val="center"/>
              <w:rPr>
                <w:rFonts w:hint="eastAsia" w:ascii="宋体" w:hAnsi="宋体"/>
              </w:rPr>
            </w:pPr>
            <w:r>
              <w:rPr>
                <w:rFonts w:hint="eastAsia" w:ascii="宋体" w:hAnsi="宋体"/>
              </w:rPr>
              <w:t>-29.4%</w:t>
            </w:r>
          </w:p>
        </w:tc>
        <w:tc>
          <w:tcPr>
            <w:tcW w:w="833" w:type="pct"/>
            <w:vAlign w:val="center"/>
          </w:tcPr>
          <w:p w14:paraId="4D1081F4">
            <w:pPr>
              <w:pStyle w:val="13"/>
              <w:jc w:val="center"/>
              <w:rPr>
                <w:rFonts w:hint="eastAsia" w:ascii="宋体" w:hAnsi="宋体"/>
              </w:rPr>
            </w:pPr>
            <w:r>
              <w:rPr>
                <w:rFonts w:hint="eastAsia" w:ascii="宋体" w:hAnsi="宋体"/>
              </w:rPr>
              <w:t>18.4%</w:t>
            </w:r>
          </w:p>
        </w:tc>
        <w:tc>
          <w:tcPr>
            <w:tcW w:w="833" w:type="pct"/>
            <w:vAlign w:val="center"/>
          </w:tcPr>
          <w:p w14:paraId="64FF6788">
            <w:pPr>
              <w:pStyle w:val="13"/>
              <w:jc w:val="center"/>
              <w:rPr>
                <w:rFonts w:hint="eastAsia" w:ascii="宋体" w:hAnsi="宋体"/>
              </w:rPr>
            </w:pPr>
            <w:r>
              <w:rPr>
                <w:rFonts w:hint="eastAsia" w:ascii="宋体" w:hAnsi="宋体"/>
              </w:rPr>
              <w:t>13.6%</w:t>
            </w:r>
          </w:p>
        </w:tc>
        <w:tc>
          <w:tcPr>
            <w:tcW w:w="833" w:type="pct"/>
            <w:vAlign w:val="center"/>
          </w:tcPr>
          <w:p w14:paraId="016D8F5E">
            <w:pPr>
              <w:pStyle w:val="13"/>
              <w:jc w:val="center"/>
              <w:rPr>
                <w:rFonts w:hint="eastAsia" w:ascii="宋体" w:hAnsi="宋体"/>
              </w:rPr>
            </w:pPr>
            <w:r>
              <w:rPr>
                <w:rFonts w:hint="eastAsia" w:ascii="宋体" w:hAnsi="宋体"/>
              </w:rPr>
              <w:t>-12.8%</w:t>
            </w:r>
          </w:p>
        </w:tc>
      </w:tr>
    </w:tbl>
    <w:p w14:paraId="6FDFCDF1">
      <w:pPr>
        <w:ind w:firstLine="0" w:firstLineChars="0"/>
        <w:rPr>
          <w:rFonts w:hint="eastAsia" w:ascii="宋体" w:hAnsi="宋体"/>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0C2A6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531E6B49">
            <w:pPr>
              <w:ind w:firstLine="0" w:firstLineChars="0"/>
              <w:jc w:val="center"/>
              <w:rPr>
                <w:rFonts w:ascii="宋体" w:hAnsi="宋体"/>
              </w:rPr>
            </w:pPr>
            <w:r>
              <w:rPr>
                <w:rFonts w:ascii="宋体" w:hAnsi="宋体"/>
              </w:rPr>
              <w:drawing>
                <wp:inline distT="0" distB="0" distL="114300" distR="114300">
                  <wp:extent cx="6181090" cy="2962910"/>
                  <wp:effectExtent l="0" t="0" r="10160" b="8890"/>
                  <wp:docPr id="22" name="图片 3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6" descr="0"/>
                          <pic:cNvPicPr>
                            <a:picLocks noChangeAspect="1"/>
                          </pic:cNvPicPr>
                        </pic:nvPicPr>
                        <pic:blipFill>
                          <a:blip r:embed="rId128"/>
                          <a:stretch>
                            <a:fillRect/>
                          </a:stretch>
                        </pic:blipFill>
                        <pic:spPr>
                          <a:xfrm>
                            <a:off x="0" y="0"/>
                            <a:ext cx="6181090" cy="2962910"/>
                          </a:xfrm>
                          <a:prstGeom prst="rect">
                            <a:avLst/>
                          </a:prstGeom>
                          <a:noFill/>
                          <a:ln>
                            <a:noFill/>
                          </a:ln>
                        </pic:spPr>
                      </pic:pic>
                    </a:graphicData>
                  </a:graphic>
                </wp:inline>
              </w:drawing>
            </w:r>
          </w:p>
        </w:tc>
      </w:tr>
      <w:tr w14:paraId="2DC328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C9425CC">
            <w:pPr>
              <w:ind w:firstLine="422"/>
              <w:jc w:val="center"/>
              <w:rPr>
                <w:rFonts w:ascii="宋体" w:hAnsi="宋体"/>
                <w:b/>
              </w:rPr>
            </w:pPr>
            <w:r>
              <w:rPr>
                <w:rFonts w:ascii="宋体" w:hAnsi="宋体"/>
                <w:b/>
              </w:rPr>
              <w:t>南雄市浈江河段水质平均污染指数对比趋势图</w:t>
            </w:r>
          </w:p>
        </w:tc>
      </w:tr>
    </w:tbl>
    <w:p w14:paraId="7497BD05">
      <w:pPr>
        <w:pStyle w:val="4"/>
      </w:pPr>
      <w:r>
        <w:rPr>
          <w:rFonts w:hint="eastAsia"/>
        </w:rPr>
        <w:t>【大气环境质量】</w:t>
      </w:r>
    </w:p>
    <w:p w14:paraId="7157171A">
      <w:pPr>
        <w:ind w:firstLine="420"/>
        <w:rPr>
          <w:rFonts w:ascii="宋体" w:hAnsi="宋体"/>
        </w:rPr>
      </w:pPr>
      <w:r>
        <w:rPr>
          <w:rFonts w:ascii="宋体" w:hAnsi="宋体"/>
        </w:rPr>
        <w:t>1、空气质量状况，2010</w:t>
      </w:r>
      <w:r>
        <w:rPr>
          <w:rFonts w:hint="eastAsia" w:ascii="宋体" w:hAnsi="宋体"/>
        </w:rPr>
        <w:t>年南雄市区环境空气质量继续保持良好，</w:t>
      </w:r>
      <w:r>
        <w:rPr>
          <w:rFonts w:ascii="宋体" w:hAnsi="宋体"/>
        </w:rPr>
        <w:t>SO</w:t>
      </w:r>
      <w:r>
        <w:rPr>
          <w:rFonts w:ascii="宋体" w:hAnsi="宋体"/>
          <w:vertAlign w:val="subscript"/>
        </w:rPr>
        <w:t>2</w:t>
      </w:r>
      <w:r>
        <w:rPr>
          <w:rFonts w:hint="eastAsia" w:ascii="宋体" w:hAnsi="宋体"/>
        </w:rPr>
        <w:t>年均值</w:t>
      </w:r>
      <w:r>
        <w:rPr>
          <w:rFonts w:ascii="宋体" w:hAnsi="宋体"/>
        </w:rPr>
        <w:t>0.022mg</w:t>
      </w:r>
      <w:r>
        <w:rPr>
          <w:rFonts w:hint="eastAsia" w:ascii="宋体" w:hAnsi="宋体"/>
        </w:rPr>
        <w:t>/</w:t>
      </w:r>
      <w:r>
        <w:rPr>
          <w:rFonts w:ascii="宋体" w:hAnsi="宋体"/>
        </w:rPr>
        <w:t>m</w:t>
      </w:r>
      <w:r>
        <w:rPr>
          <w:rFonts w:ascii="宋体" w:hAnsi="宋体"/>
          <w:vertAlign w:val="superscript"/>
        </w:rPr>
        <w:t>3</w:t>
      </w:r>
      <w:r>
        <w:rPr>
          <w:rFonts w:ascii="宋体" w:hAnsi="宋体"/>
        </w:rPr>
        <w:t>，NO</w:t>
      </w:r>
      <w:r>
        <w:rPr>
          <w:rFonts w:ascii="宋体" w:hAnsi="宋体"/>
          <w:vertAlign w:val="subscript"/>
        </w:rPr>
        <w:t>2</w:t>
      </w:r>
      <w:r>
        <w:rPr>
          <w:rFonts w:ascii="宋体" w:hAnsi="宋体"/>
        </w:rPr>
        <w:t>年均值0.035mgm</w:t>
      </w:r>
      <w:r>
        <w:rPr>
          <w:rFonts w:ascii="宋体" w:hAnsi="宋体"/>
          <w:vertAlign w:val="superscript"/>
        </w:rPr>
        <w:t>3</w:t>
      </w:r>
      <w:r>
        <w:rPr>
          <w:rFonts w:ascii="宋体" w:hAnsi="宋体"/>
        </w:rPr>
        <w:t>，可吸入颗粒物年均值0.037mg</w:t>
      </w:r>
      <w:r>
        <w:rPr>
          <w:rFonts w:hint="eastAsia" w:ascii="宋体" w:hAnsi="宋体"/>
        </w:rPr>
        <w:t>/</w:t>
      </w:r>
      <w:r>
        <w:rPr>
          <w:rFonts w:ascii="宋体" w:hAnsi="宋体"/>
        </w:rPr>
        <w:t>m</w:t>
      </w:r>
      <w:r>
        <w:rPr>
          <w:rFonts w:ascii="宋体" w:hAnsi="宋体"/>
          <w:vertAlign w:val="superscript"/>
        </w:rPr>
        <w:t>3</w:t>
      </w:r>
      <w:r>
        <w:rPr>
          <w:rFonts w:ascii="宋体" w:hAnsi="宋体"/>
        </w:rPr>
        <w:t>，均优</w:t>
      </w:r>
      <w:r>
        <w:rPr>
          <w:rFonts w:hint="eastAsia" w:ascii="宋体" w:hAnsi="宋体"/>
        </w:rPr>
        <w:t>于国家环境空气质量一级标准。见表</w:t>
      </w:r>
      <w:r>
        <w:rPr>
          <w:rFonts w:ascii="宋体" w:hAnsi="宋体"/>
        </w:rPr>
        <w:t>3-12。</w:t>
      </w:r>
    </w:p>
    <w:p w14:paraId="6D7C4C80">
      <w:pPr>
        <w:ind w:firstLine="0" w:firstLineChars="0"/>
        <w:jc w:val="center"/>
        <w:rPr>
          <w:rFonts w:hint="eastAsia" w:ascii="宋体" w:hAnsi="宋体" w:cs="宋体"/>
          <w:kern w:val="0"/>
        </w:rPr>
      </w:pPr>
      <w:commentRangeStart w:id="6"/>
      <w:r>
        <w:rPr>
          <w:rFonts w:hint="eastAsia" w:ascii="宋体" w:hAnsi="宋体"/>
          <w:b/>
          <w:kern w:val="0"/>
        </w:rPr>
        <w:t>表3-8  2010年（1-9月）南雄市区大气</w:t>
      </w:r>
      <w:r>
        <w:rPr>
          <w:rFonts w:hint="eastAsia" w:ascii="宋体" w:hAnsi="宋体" w:cs="宋体"/>
          <w:b/>
          <w:kern w:val="0"/>
        </w:rPr>
        <w:t>监测结</w:t>
      </w:r>
      <w:r>
        <w:rPr>
          <w:rFonts w:hint="eastAsia" w:ascii="宋体" w:hAnsi="宋体" w:cs="MS Gothic"/>
          <w:b/>
          <w:kern w:val="0"/>
        </w:rPr>
        <w:t>果</w:t>
      </w:r>
      <w:r>
        <w:rPr>
          <w:rFonts w:hint="eastAsia" w:ascii="宋体" w:hAnsi="宋体" w:cs="宋体"/>
          <w:b/>
          <w:kern w:val="0"/>
        </w:rPr>
        <w:t>统计</w:t>
      </w:r>
      <w:commentRangeEnd w:id="6"/>
      <w:r>
        <w:rPr>
          <w:rStyle w:val="12"/>
          <w:rFonts w:ascii="宋体" w:hAnsi="宋体"/>
        </w:rPr>
        <w:commentReference w:id="6"/>
      </w:r>
    </w:p>
    <w:p w14:paraId="7855BCCB">
      <w:pPr>
        <w:ind w:firstLine="422"/>
        <w:jc w:val="right"/>
        <w:rPr>
          <w:rFonts w:hint="eastAsia" w:ascii="宋体" w:hAnsi="宋体"/>
          <w:b/>
          <w:vertAlign w:val="superscript"/>
        </w:rPr>
      </w:pPr>
      <w:r>
        <w:rPr>
          <w:rFonts w:ascii="宋体" w:hAnsi="宋体"/>
          <w:b/>
        </w:rPr>
        <w:t>单位</w:t>
      </w:r>
      <w:r>
        <w:rPr>
          <w:rFonts w:hint="eastAsia" w:ascii="宋体" w:hAnsi="宋体"/>
          <w:b/>
        </w:rPr>
        <w:t>：</w:t>
      </w:r>
      <w:r>
        <w:rPr>
          <w:rFonts w:ascii="宋体" w:hAnsi="宋体"/>
          <w:b/>
        </w:rPr>
        <w:t>mg</w:t>
      </w:r>
      <w:r>
        <w:rPr>
          <w:rFonts w:hint="eastAsia" w:ascii="宋体" w:hAnsi="宋体"/>
          <w:b/>
        </w:rPr>
        <w:t>/m</w:t>
      </w:r>
      <w:r>
        <w:rPr>
          <w:rFonts w:hint="eastAsia" w:ascii="宋体" w:hAnsi="宋体"/>
          <w:b/>
          <w:vertAlign w:val="superscript"/>
        </w:rPr>
        <w:t>3</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0"/>
        <w:gridCol w:w="868"/>
        <w:gridCol w:w="868"/>
        <w:gridCol w:w="869"/>
        <w:gridCol w:w="869"/>
        <w:gridCol w:w="869"/>
        <w:gridCol w:w="869"/>
        <w:gridCol w:w="869"/>
        <w:gridCol w:w="869"/>
        <w:gridCol w:w="869"/>
        <w:gridCol w:w="863"/>
      </w:tblGrid>
      <w:tr w14:paraId="31BF3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3" w:type="pct"/>
            <w:vAlign w:val="center"/>
          </w:tcPr>
          <w:p w14:paraId="15F25887">
            <w:pPr>
              <w:pStyle w:val="13"/>
              <w:jc w:val="center"/>
              <w:rPr>
                <w:rFonts w:hint="eastAsia" w:ascii="宋体" w:hAnsi="宋体"/>
                <w:b/>
              </w:rPr>
            </w:pPr>
            <w:r>
              <w:rPr>
                <w:rFonts w:hint="eastAsia" w:ascii="宋体" w:hAnsi="宋体"/>
                <w:b/>
              </w:rPr>
              <w:t>月份</w:t>
            </w:r>
          </w:p>
          <w:p w14:paraId="56037579">
            <w:pPr>
              <w:pStyle w:val="13"/>
              <w:jc w:val="center"/>
              <w:rPr>
                <w:rFonts w:hint="eastAsia" w:ascii="宋体" w:hAnsi="宋体"/>
                <w:b/>
              </w:rPr>
            </w:pPr>
            <w:r>
              <w:rPr>
                <w:rFonts w:hint="eastAsia" w:ascii="宋体" w:hAnsi="宋体"/>
                <w:b/>
              </w:rPr>
              <w:t>月平均值</w:t>
            </w:r>
          </w:p>
        </w:tc>
        <w:tc>
          <w:tcPr>
            <w:tcW w:w="436" w:type="pct"/>
            <w:vAlign w:val="center"/>
          </w:tcPr>
          <w:p w14:paraId="2DE0FF31">
            <w:pPr>
              <w:pStyle w:val="13"/>
              <w:jc w:val="center"/>
              <w:rPr>
                <w:rFonts w:hint="eastAsia" w:ascii="宋体" w:hAnsi="宋体"/>
                <w:b/>
              </w:rPr>
            </w:pPr>
            <w:r>
              <w:rPr>
                <w:rFonts w:hint="eastAsia" w:ascii="宋体" w:hAnsi="宋体"/>
                <w:b/>
              </w:rPr>
              <w:t>1</w:t>
            </w:r>
          </w:p>
        </w:tc>
        <w:tc>
          <w:tcPr>
            <w:tcW w:w="436" w:type="pct"/>
            <w:vAlign w:val="center"/>
          </w:tcPr>
          <w:p w14:paraId="307C9F56">
            <w:pPr>
              <w:pStyle w:val="13"/>
              <w:jc w:val="center"/>
              <w:rPr>
                <w:rFonts w:hint="eastAsia" w:ascii="宋体" w:hAnsi="宋体"/>
                <w:b/>
              </w:rPr>
            </w:pPr>
            <w:r>
              <w:rPr>
                <w:rFonts w:hint="eastAsia" w:ascii="宋体" w:hAnsi="宋体"/>
                <w:b/>
              </w:rPr>
              <w:t>2</w:t>
            </w:r>
          </w:p>
        </w:tc>
        <w:tc>
          <w:tcPr>
            <w:tcW w:w="436" w:type="pct"/>
            <w:vAlign w:val="center"/>
          </w:tcPr>
          <w:p w14:paraId="12286DC5">
            <w:pPr>
              <w:pStyle w:val="13"/>
              <w:jc w:val="center"/>
              <w:rPr>
                <w:rFonts w:hint="eastAsia" w:ascii="宋体" w:hAnsi="宋体"/>
                <w:b/>
              </w:rPr>
            </w:pPr>
            <w:r>
              <w:rPr>
                <w:rFonts w:hint="eastAsia" w:ascii="宋体" w:hAnsi="宋体"/>
                <w:b/>
              </w:rPr>
              <w:t>3</w:t>
            </w:r>
          </w:p>
        </w:tc>
        <w:tc>
          <w:tcPr>
            <w:tcW w:w="436" w:type="pct"/>
            <w:vAlign w:val="center"/>
          </w:tcPr>
          <w:p w14:paraId="1C0332BF">
            <w:pPr>
              <w:pStyle w:val="13"/>
              <w:jc w:val="center"/>
              <w:rPr>
                <w:rFonts w:hint="eastAsia" w:ascii="宋体" w:hAnsi="宋体"/>
                <w:b/>
              </w:rPr>
            </w:pPr>
            <w:r>
              <w:rPr>
                <w:rFonts w:hint="eastAsia" w:ascii="宋体" w:hAnsi="宋体"/>
                <w:b/>
              </w:rPr>
              <w:t>4</w:t>
            </w:r>
          </w:p>
        </w:tc>
        <w:tc>
          <w:tcPr>
            <w:tcW w:w="436" w:type="pct"/>
            <w:vAlign w:val="center"/>
          </w:tcPr>
          <w:p w14:paraId="3D2434C7">
            <w:pPr>
              <w:pStyle w:val="13"/>
              <w:jc w:val="center"/>
              <w:rPr>
                <w:rFonts w:hint="eastAsia" w:ascii="宋体" w:hAnsi="宋体"/>
                <w:b/>
              </w:rPr>
            </w:pPr>
            <w:r>
              <w:rPr>
                <w:rFonts w:hint="eastAsia" w:ascii="宋体" w:hAnsi="宋体"/>
                <w:b/>
              </w:rPr>
              <w:t>5</w:t>
            </w:r>
          </w:p>
        </w:tc>
        <w:tc>
          <w:tcPr>
            <w:tcW w:w="436" w:type="pct"/>
            <w:vAlign w:val="center"/>
          </w:tcPr>
          <w:p w14:paraId="65CBAE6E">
            <w:pPr>
              <w:pStyle w:val="13"/>
              <w:jc w:val="center"/>
              <w:rPr>
                <w:rFonts w:hint="eastAsia" w:ascii="宋体" w:hAnsi="宋体"/>
                <w:b/>
              </w:rPr>
            </w:pPr>
            <w:r>
              <w:rPr>
                <w:rFonts w:hint="eastAsia" w:ascii="宋体" w:hAnsi="宋体"/>
                <w:b/>
              </w:rPr>
              <w:t>6</w:t>
            </w:r>
          </w:p>
        </w:tc>
        <w:tc>
          <w:tcPr>
            <w:tcW w:w="436" w:type="pct"/>
            <w:vAlign w:val="center"/>
          </w:tcPr>
          <w:p w14:paraId="24FDD47F">
            <w:pPr>
              <w:pStyle w:val="13"/>
              <w:jc w:val="center"/>
              <w:rPr>
                <w:rFonts w:hint="eastAsia" w:ascii="宋体" w:hAnsi="宋体"/>
                <w:b/>
              </w:rPr>
            </w:pPr>
            <w:r>
              <w:rPr>
                <w:rFonts w:hint="eastAsia" w:ascii="宋体" w:hAnsi="宋体"/>
                <w:b/>
              </w:rPr>
              <w:t>7</w:t>
            </w:r>
          </w:p>
        </w:tc>
        <w:tc>
          <w:tcPr>
            <w:tcW w:w="436" w:type="pct"/>
            <w:vAlign w:val="center"/>
          </w:tcPr>
          <w:p w14:paraId="71DD5FAF">
            <w:pPr>
              <w:pStyle w:val="13"/>
              <w:jc w:val="center"/>
              <w:rPr>
                <w:rFonts w:hint="eastAsia" w:ascii="宋体" w:hAnsi="宋体"/>
                <w:b/>
              </w:rPr>
            </w:pPr>
            <w:r>
              <w:rPr>
                <w:rFonts w:hint="eastAsia" w:ascii="宋体" w:hAnsi="宋体"/>
                <w:b/>
              </w:rPr>
              <w:t>8</w:t>
            </w:r>
          </w:p>
        </w:tc>
        <w:tc>
          <w:tcPr>
            <w:tcW w:w="436" w:type="pct"/>
            <w:vAlign w:val="center"/>
          </w:tcPr>
          <w:p w14:paraId="02501D4F">
            <w:pPr>
              <w:pStyle w:val="13"/>
              <w:jc w:val="center"/>
              <w:rPr>
                <w:rFonts w:hint="eastAsia" w:ascii="宋体" w:hAnsi="宋体"/>
                <w:b/>
              </w:rPr>
            </w:pPr>
            <w:r>
              <w:rPr>
                <w:rFonts w:hint="eastAsia" w:ascii="宋体" w:hAnsi="宋体"/>
                <w:b/>
              </w:rPr>
              <w:t>9</w:t>
            </w:r>
          </w:p>
        </w:tc>
        <w:tc>
          <w:tcPr>
            <w:tcW w:w="436" w:type="pct"/>
            <w:vAlign w:val="center"/>
          </w:tcPr>
          <w:p w14:paraId="4920DE63">
            <w:pPr>
              <w:pStyle w:val="13"/>
              <w:jc w:val="center"/>
              <w:rPr>
                <w:rFonts w:hint="eastAsia" w:ascii="宋体" w:hAnsi="宋体"/>
                <w:b/>
              </w:rPr>
            </w:pPr>
            <w:r>
              <w:rPr>
                <w:rFonts w:hint="eastAsia" w:ascii="宋体" w:hAnsi="宋体"/>
                <w:b/>
              </w:rPr>
              <w:t>年均值</w:t>
            </w:r>
          </w:p>
        </w:tc>
      </w:tr>
      <w:tr w14:paraId="55715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3" w:type="pct"/>
            <w:vAlign w:val="center"/>
          </w:tcPr>
          <w:p w14:paraId="5E38C0A1">
            <w:pPr>
              <w:pStyle w:val="13"/>
              <w:jc w:val="center"/>
              <w:rPr>
                <w:rFonts w:hint="eastAsia" w:ascii="宋体" w:hAnsi="宋体"/>
              </w:rPr>
            </w:pPr>
            <w:r>
              <w:rPr>
                <w:rFonts w:hint="eastAsia" w:ascii="宋体" w:hAnsi="宋体"/>
              </w:rPr>
              <w:t>二氧化硫（SO</w:t>
            </w:r>
            <w:r>
              <w:rPr>
                <w:rFonts w:hint="eastAsia" w:ascii="宋体" w:hAnsi="宋体"/>
                <w:vertAlign w:val="subscript"/>
              </w:rPr>
              <w:t>2</w:t>
            </w:r>
            <w:r>
              <w:rPr>
                <w:rFonts w:hint="eastAsia" w:ascii="宋体" w:hAnsi="宋体"/>
              </w:rPr>
              <w:t>）</w:t>
            </w:r>
          </w:p>
        </w:tc>
        <w:tc>
          <w:tcPr>
            <w:tcW w:w="436" w:type="pct"/>
            <w:vAlign w:val="center"/>
          </w:tcPr>
          <w:p w14:paraId="7A692C0A">
            <w:pPr>
              <w:pStyle w:val="13"/>
              <w:jc w:val="center"/>
              <w:rPr>
                <w:rFonts w:hint="eastAsia" w:ascii="宋体" w:hAnsi="宋体"/>
              </w:rPr>
            </w:pPr>
            <w:r>
              <w:rPr>
                <w:rFonts w:hint="eastAsia" w:ascii="宋体" w:hAnsi="宋体"/>
              </w:rPr>
              <w:t>0.025</w:t>
            </w:r>
          </w:p>
        </w:tc>
        <w:tc>
          <w:tcPr>
            <w:tcW w:w="436" w:type="pct"/>
            <w:vAlign w:val="center"/>
          </w:tcPr>
          <w:p w14:paraId="75913C08">
            <w:pPr>
              <w:pStyle w:val="13"/>
              <w:jc w:val="center"/>
              <w:rPr>
                <w:rFonts w:hint="eastAsia" w:ascii="宋体" w:hAnsi="宋体"/>
              </w:rPr>
            </w:pPr>
            <w:r>
              <w:rPr>
                <w:rFonts w:hint="eastAsia" w:ascii="宋体" w:hAnsi="宋体"/>
              </w:rPr>
              <w:t>0.026</w:t>
            </w:r>
          </w:p>
        </w:tc>
        <w:tc>
          <w:tcPr>
            <w:tcW w:w="436" w:type="pct"/>
            <w:vAlign w:val="center"/>
          </w:tcPr>
          <w:p w14:paraId="3DAD69EA">
            <w:pPr>
              <w:pStyle w:val="13"/>
              <w:jc w:val="center"/>
              <w:rPr>
                <w:rFonts w:hint="eastAsia" w:ascii="宋体" w:hAnsi="宋体"/>
              </w:rPr>
            </w:pPr>
            <w:r>
              <w:rPr>
                <w:rFonts w:hint="eastAsia" w:ascii="宋体" w:hAnsi="宋体"/>
              </w:rPr>
              <w:t>0.023</w:t>
            </w:r>
          </w:p>
        </w:tc>
        <w:tc>
          <w:tcPr>
            <w:tcW w:w="436" w:type="pct"/>
            <w:vAlign w:val="center"/>
          </w:tcPr>
          <w:p w14:paraId="066B840C">
            <w:pPr>
              <w:pStyle w:val="13"/>
              <w:jc w:val="center"/>
              <w:rPr>
                <w:rFonts w:hint="eastAsia" w:ascii="宋体" w:hAnsi="宋体"/>
              </w:rPr>
            </w:pPr>
            <w:r>
              <w:rPr>
                <w:rFonts w:hint="eastAsia" w:ascii="宋体" w:hAnsi="宋体"/>
              </w:rPr>
              <w:t>0.023</w:t>
            </w:r>
          </w:p>
        </w:tc>
        <w:tc>
          <w:tcPr>
            <w:tcW w:w="436" w:type="pct"/>
            <w:vAlign w:val="center"/>
          </w:tcPr>
          <w:p w14:paraId="602FD015">
            <w:pPr>
              <w:pStyle w:val="13"/>
              <w:jc w:val="center"/>
              <w:rPr>
                <w:rFonts w:hint="eastAsia" w:ascii="宋体" w:hAnsi="宋体"/>
              </w:rPr>
            </w:pPr>
            <w:r>
              <w:rPr>
                <w:rFonts w:hint="eastAsia" w:ascii="宋体" w:hAnsi="宋体"/>
              </w:rPr>
              <w:t>0.021</w:t>
            </w:r>
          </w:p>
        </w:tc>
        <w:tc>
          <w:tcPr>
            <w:tcW w:w="436" w:type="pct"/>
            <w:vAlign w:val="center"/>
          </w:tcPr>
          <w:p w14:paraId="7B2AE932">
            <w:pPr>
              <w:pStyle w:val="13"/>
              <w:jc w:val="center"/>
              <w:rPr>
                <w:rFonts w:hint="eastAsia" w:ascii="宋体" w:hAnsi="宋体"/>
              </w:rPr>
            </w:pPr>
            <w:r>
              <w:rPr>
                <w:rFonts w:hint="eastAsia" w:ascii="宋体" w:hAnsi="宋体"/>
              </w:rPr>
              <w:t>0.018</w:t>
            </w:r>
          </w:p>
        </w:tc>
        <w:tc>
          <w:tcPr>
            <w:tcW w:w="436" w:type="pct"/>
            <w:vAlign w:val="center"/>
          </w:tcPr>
          <w:p w14:paraId="56BDD781">
            <w:pPr>
              <w:pStyle w:val="13"/>
              <w:jc w:val="center"/>
              <w:rPr>
                <w:rFonts w:hint="eastAsia" w:ascii="宋体" w:hAnsi="宋体"/>
              </w:rPr>
            </w:pPr>
            <w:r>
              <w:rPr>
                <w:rFonts w:hint="eastAsia" w:ascii="宋体" w:hAnsi="宋体"/>
              </w:rPr>
              <w:t>0.021</w:t>
            </w:r>
          </w:p>
        </w:tc>
        <w:tc>
          <w:tcPr>
            <w:tcW w:w="436" w:type="pct"/>
            <w:vAlign w:val="center"/>
          </w:tcPr>
          <w:p w14:paraId="043C4E87">
            <w:pPr>
              <w:pStyle w:val="13"/>
              <w:jc w:val="center"/>
              <w:rPr>
                <w:rFonts w:hint="eastAsia" w:ascii="宋体" w:hAnsi="宋体"/>
              </w:rPr>
            </w:pPr>
            <w:r>
              <w:rPr>
                <w:rFonts w:hint="eastAsia" w:ascii="宋体" w:hAnsi="宋体"/>
              </w:rPr>
              <w:t>0.020</w:t>
            </w:r>
          </w:p>
        </w:tc>
        <w:tc>
          <w:tcPr>
            <w:tcW w:w="436" w:type="pct"/>
            <w:vAlign w:val="center"/>
          </w:tcPr>
          <w:p w14:paraId="0CCF4BBD">
            <w:pPr>
              <w:pStyle w:val="13"/>
              <w:jc w:val="center"/>
              <w:rPr>
                <w:rFonts w:hint="eastAsia" w:ascii="宋体" w:hAnsi="宋体"/>
              </w:rPr>
            </w:pPr>
            <w:r>
              <w:rPr>
                <w:rFonts w:hint="eastAsia" w:ascii="宋体" w:hAnsi="宋体"/>
              </w:rPr>
              <w:t>0.025</w:t>
            </w:r>
          </w:p>
        </w:tc>
        <w:tc>
          <w:tcPr>
            <w:tcW w:w="436" w:type="pct"/>
            <w:vAlign w:val="center"/>
          </w:tcPr>
          <w:p w14:paraId="6C022337">
            <w:pPr>
              <w:pStyle w:val="13"/>
              <w:jc w:val="center"/>
              <w:rPr>
                <w:rFonts w:hint="eastAsia" w:ascii="宋体" w:hAnsi="宋体"/>
              </w:rPr>
            </w:pPr>
            <w:r>
              <w:rPr>
                <w:rFonts w:hint="eastAsia" w:ascii="宋体" w:hAnsi="宋体"/>
              </w:rPr>
              <w:t>0.022</w:t>
            </w:r>
          </w:p>
        </w:tc>
      </w:tr>
      <w:tr w14:paraId="2E00B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3" w:type="pct"/>
            <w:vAlign w:val="center"/>
          </w:tcPr>
          <w:p w14:paraId="3DE443CA">
            <w:pPr>
              <w:pStyle w:val="13"/>
              <w:jc w:val="center"/>
              <w:rPr>
                <w:rFonts w:hint="eastAsia" w:ascii="宋体" w:hAnsi="宋体"/>
              </w:rPr>
            </w:pPr>
            <w:r>
              <w:rPr>
                <w:rFonts w:hint="eastAsia" w:ascii="宋体" w:hAnsi="宋体"/>
              </w:rPr>
              <w:t>可吸入颗粒物（PM10）</w:t>
            </w:r>
          </w:p>
        </w:tc>
        <w:tc>
          <w:tcPr>
            <w:tcW w:w="436" w:type="pct"/>
            <w:vAlign w:val="center"/>
          </w:tcPr>
          <w:p w14:paraId="519040EC">
            <w:pPr>
              <w:pStyle w:val="13"/>
              <w:jc w:val="center"/>
              <w:rPr>
                <w:rFonts w:hint="eastAsia" w:ascii="宋体" w:hAnsi="宋体"/>
              </w:rPr>
            </w:pPr>
            <w:r>
              <w:rPr>
                <w:rFonts w:hint="eastAsia" w:ascii="宋体" w:hAnsi="宋体"/>
              </w:rPr>
              <w:t>0.046</w:t>
            </w:r>
          </w:p>
        </w:tc>
        <w:tc>
          <w:tcPr>
            <w:tcW w:w="436" w:type="pct"/>
            <w:vAlign w:val="center"/>
          </w:tcPr>
          <w:p w14:paraId="2A9378EB">
            <w:pPr>
              <w:pStyle w:val="13"/>
              <w:jc w:val="center"/>
              <w:rPr>
                <w:rFonts w:hint="eastAsia" w:ascii="宋体" w:hAnsi="宋体"/>
              </w:rPr>
            </w:pPr>
            <w:r>
              <w:rPr>
                <w:rFonts w:hint="eastAsia" w:ascii="宋体" w:hAnsi="宋体"/>
              </w:rPr>
              <w:t>0.050</w:t>
            </w:r>
          </w:p>
        </w:tc>
        <w:tc>
          <w:tcPr>
            <w:tcW w:w="436" w:type="pct"/>
            <w:vAlign w:val="center"/>
          </w:tcPr>
          <w:p w14:paraId="199337D8">
            <w:pPr>
              <w:pStyle w:val="13"/>
              <w:jc w:val="center"/>
              <w:rPr>
                <w:rFonts w:hint="eastAsia" w:ascii="宋体" w:hAnsi="宋体"/>
              </w:rPr>
            </w:pPr>
            <w:r>
              <w:rPr>
                <w:rFonts w:hint="eastAsia" w:ascii="宋体" w:hAnsi="宋体"/>
              </w:rPr>
              <w:t>0.039</w:t>
            </w:r>
          </w:p>
        </w:tc>
        <w:tc>
          <w:tcPr>
            <w:tcW w:w="436" w:type="pct"/>
            <w:vAlign w:val="center"/>
          </w:tcPr>
          <w:p w14:paraId="10DFFD67">
            <w:pPr>
              <w:pStyle w:val="13"/>
              <w:jc w:val="center"/>
              <w:rPr>
                <w:rFonts w:hint="eastAsia" w:ascii="宋体" w:hAnsi="宋体"/>
              </w:rPr>
            </w:pPr>
            <w:r>
              <w:rPr>
                <w:rFonts w:hint="eastAsia" w:ascii="宋体" w:hAnsi="宋体"/>
              </w:rPr>
              <w:t>0.048</w:t>
            </w:r>
          </w:p>
        </w:tc>
        <w:tc>
          <w:tcPr>
            <w:tcW w:w="436" w:type="pct"/>
            <w:vAlign w:val="center"/>
          </w:tcPr>
          <w:p w14:paraId="0E1E0D36">
            <w:pPr>
              <w:pStyle w:val="13"/>
              <w:jc w:val="center"/>
              <w:rPr>
                <w:rFonts w:hint="eastAsia" w:ascii="宋体" w:hAnsi="宋体"/>
              </w:rPr>
            </w:pPr>
            <w:r>
              <w:rPr>
                <w:rFonts w:hint="eastAsia" w:ascii="宋体" w:hAnsi="宋体"/>
              </w:rPr>
              <w:t>0.026</w:t>
            </w:r>
          </w:p>
        </w:tc>
        <w:tc>
          <w:tcPr>
            <w:tcW w:w="436" w:type="pct"/>
            <w:vAlign w:val="center"/>
          </w:tcPr>
          <w:p w14:paraId="5649A407">
            <w:pPr>
              <w:pStyle w:val="13"/>
              <w:jc w:val="center"/>
              <w:rPr>
                <w:rFonts w:hint="eastAsia" w:ascii="宋体" w:hAnsi="宋体"/>
              </w:rPr>
            </w:pPr>
            <w:r>
              <w:rPr>
                <w:rFonts w:hint="eastAsia" w:ascii="宋体" w:hAnsi="宋体"/>
              </w:rPr>
              <w:t>0.021</w:t>
            </w:r>
          </w:p>
        </w:tc>
        <w:tc>
          <w:tcPr>
            <w:tcW w:w="436" w:type="pct"/>
            <w:vAlign w:val="center"/>
          </w:tcPr>
          <w:p w14:paraId="629E400E">
            <w:pPr>
              <w:pStyle w:val="13"/>
              <w:jc w:val="center"/>
              <w:rPr>
                <w:rFonts w:hint="eastAsia" w:ascii="宋体" w:hAnsi="宋体"/>
              </w:rPr>
            </w:pPr>
            <w:r>
              <w:rPr>
                <w:rFonts w:hint="eastAsia" w:ascii="宋体" w:hAnsi="宋体"/>
              </w:rPr>
              <w:t>0.042</w:t>
            </w:r>
          </w:p>
        </w:tc>
        <w:tc>
          <w:tcPr>
            <w:tcW w:w="436" w:type="pct"/>
            <w:vAlign w:val="center"/>
          </w:tcPr>
          <w:p w14:paraId="071E8299">
            <w:pPr>
              <w:pStyle w:val="13"/>
              <w:jc w:val="center"/>
              <w:rPr>
                <w:rFonts w:hint="eastAsia" w:ascii="宋体" w:hAnsi="宋体"/>
              </w:rPr>
            </w:pPr>
            <w:r>
              <w:rPr>
                <w:rFonts w:hint="eastAsia" w:ascii="宋体" w:hAnsi="宋体"/>
              </w:rPr>
              <w:t>0.030</w:t>
            </w:r>
          </w:p>
        </w:tc>
        <w:tc>
          <w:tcPr>
            <w:tcW w:w="436" w:type="pct"/>
            <w:vAlign w:val="center"/>
          </w:tcPr>
          <w:p w14:paraId="4B69EA12">
            <w:pPr>
              <w:pStyle w:val="13"/>
              <w:jc w:val="center"/>
              <w:rPr>
                <w:rFonts w:hint="eastAsia" w:ascii="宋体" w:hAnsi="宋体"/>
              </w:rPr>
            </w:pPr>
            <w:r>
              <w:rPr>
                <w:rFonts w:hint="eastAsia" w:ascii="宋体" w:hAnsi="宋体"/>
              </w:rPr>
              <w:t>0.032</w:t>
            </w:r>
          </w:p>
        </w:tc>
        <w:tc>
          <w:tcPr>
            <w:tcW w:w="436" w:type="pct"/>
            <w:vAlign w:val="center"/>
          </w:tcPr>
          <w:p w14:paraId="66C0328B">
            <w:pPr>
              <w:pStyle w:val="13"/>
              <w:jc w:val="center"/>
              <w:rPr>
                <w:rFonts w:hint="eastAsia" w:ascii="宋体" w:hAnsi="宋体"/>
              </w:rPr>
            </w:pPr>
            <w:r>
              <w:rPr>
                <w:rFonts w:hint="eastAsia" w:ascii="宋体" w:hAnsi="宋体"/>
              </w:rPr>
              <w:t>0.037</w:t>
            </w:r>
          </w:p>
        </w:tc>
      </w:tr>
      <w:tr w14:paraId="41CD5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3" w:type="pct"/>
            <w:vAlign w:val="center"/>
          </w:tcPr>
          <w:p w14:paraId="1D4F8D22">
            <w:pPr>
              <w:pStyle w:val="13"/>
              <w:jc w:val="center"/>
              <w:rPr>
                <w:rFonts w:hint="eastAsia" w:ascii="宋体" w:hAnsi="宋体"/>
              </w:rPr>
            </w:pPr>
            <w:r>
              <w:rPr>
                <w:rFonts w:hint="eastAsia" w:ascii="宋体" w:hAnsi="宋体"/>
              </w:rPr>
              <w:t>氮氮化物（NO</w:t>
            </w:r>
            <w:r>
              <w:rPr>
                <w:rFonts w:hint="eastAsia" w:ascii="宋体" w:hAnsi="宋体"/>
                <w:vertAlign w:val="subscript"/>
              </w:rPr>
              <w:t>2</w:t>
            </w:r>
            <w:r>
              <w:rPr>
                <w:rFonts w:hint="eastAsia" w:ascii="宋体" w:hAnsi="宋体"/>
              </w:rPr>
              <w:t>）</w:t>
            </w:r>
          </w:p>
        </w:tc>
        <w:tc>
          <w:tcPr>
            <w:tcW w:w="436" w:type="pct"/>
            <w:vAlign w:val="center"/>
          </w:tcPr>
          <w:p w14:paraId="379922FE">
            <w:pPr>
              <w:pStyle w:val="13"/>
              <w:jc w:val="center"/>
              <w:rPr>
                <w:rFonts w:hint="eastAsia" w:ascii="宋体" w:hAnsi="宋体"/>
              </w:rPr>
            </w:pPr>
            <w:r>
              <w:rPr>
                <w:rFonts w:hint="eastAsia" w:ascii="宋体" w:hAnsi="宋体"/>
              </w:rPr>
              <w:t>0.033</w:t>
            </w:r>
          </w:p>
        </w:tc>
        <w:tc>
          <w:tcPr>
            <w:tcW w:w="436" w:type="pct"/>
            <w:vAlign w:val="center"/>
          </w:tcPr>
          <w:p w14:paraId="6FC39CB4">
            <w:pPr>
              <w:pStyle w:val="13"/>
              <w:jc w:val="center"/>
              <w:rPr>
                <w:rFonts w:hint="eastAsia" w:ascii="宋体" w:hAnsi="宋体"/>
              </w:rPr>
            </w:pPr>
            <w:r>
              <w:rPr>
                <w:rFonts w:hint="eastAsia" w:ascii="宋体" w:hAnsi="宋体"/>
              </w:rPr>
              <w:t>0.029</w:t>
            </w:r>
          </w:p>
        </w:tc>
        <w:tc>
          <w:tcPr>
            <w:tcW w:w="436" w:type="pct"/>
            <w:vAlign w:val="center"/>
          </w:tcPr>
          <w:p w14:paraId="53813C8E">
            <w:pPr>
              <w:pStyle w:val="13"/>
              <w:jc w:val="center"/>
              <w:rPr>
                <w:rFonts w:hint="eastAsia" w:ascii="宋体" w:hAnsi="宋体"/>
              </w:rPr>
            </w:pPr>
            <w:r>
              <w:rPr>
                <w:rFonts w:hint="eastAsia" w:ascii="宋体" w:hAnsi="宋体"/>
              </w:rPr>
              <w:t>0.031</w:t>
            </w:r>
          </w:p>
        </w:tc>
        <w:tc>
          <w:tcPr>
            <w:tcW w:w="436" w:type="pct"/>
            <w:vAlign w:val="center"/>
          </w:tcPr>
          <w:p w14:paraId="78677FE3">
            <w:pPr>
              <w:pStyle w:val="13"/>
              <w:jc w:val="center"/>
              <w:rPr>
                <w:rFonts w:hint="eastAsia" w:ascii="宋体" w:hAnsi="宋体"/>
              </w:rPr>
            </w:pPr>
            <w:r>
              <w:rPr>
                <w:rFonts w:hint="eastAsia" w:ascii="宋体" w:hAnsi="宋体"/>
              </w:rPr>
              <w:t>0.034</w:t>
            </w:r>
          </w:p>
        </w:tc>
        <w:tc>
          <w:tcPr>
            <w:tcW w:w="436" w:type="pct"/>
            <w:vAlign w:val="center"/>
          </w:tcPr>
          <w:p w14:paraId="1C8A5F08">
            <w:pPr>
              <w:pStyle w:val="13"/>
              <w:jc w:val="center"/>
              <w:rPr>
                <w:rFonts w:hint="eastAsia" w:ascii="宋体" w:hAnsi="宋体"/>
              </w:rPr>
            </w:pPr>
            <w:r>
              <w:rPr>
                <w:rFonts w:hint="eastAsia" w:ascii="宋体" w:hAnsi="宋体"/>
              </w:rPr>
              <w:t>0.032</w:t>
            </w:r>
          </w:p>
        </w:tc>
        <w:tc>
          <w:tcPr>
            <w:tcW w:w="436" w:type="pct"/>
            <w:vAlign w:val="center"/>
          </w:tcPr>
          <w:p w14:paraId="2DBEAB05">
            <w:pPr>
              <w:pStyle w:val="13"/>
              <w:jc w:val="center"/>
              <w:rPr>
                <w:rFonts w:hint="eastAsia" w:ascii="宋体" w:hAnsi="宋体"/>
              </w:rPr>
            </w:pPr>
            <w:r>
              <w:rPr>
                <w:rFonts w:hint="eastAsia" w:ascii="宋体" w:hAnsi="宋体"/>
              </w:rPr>
              <w:t>0.038</w:t>
            </w:r>
          </w:p>
        </w:tc>
        <w:tc>
          <w:tcPr>
            <w:tcW w:w="436" w:type="pct"/>
            <w:vAlign w:val="center"/>
          </w:tcPr>
          <w:p w14:paraId="7388166F">
            <w:pPr>
              <w:pStyle w:val="13"/>
              <w:jc w:val="center"/>
              <w:rPr>
                <w:rFonts w:hint="eastAsia" w:ascii="宋体" w:hAnsi="宋体"/>
              </w:rPr>
            </w:pPr>
            <w:r>
              <w:rPr>
                <w:rFonts w:hint="eastAsia" w:ascii="宋体" w:hAnsi="宋体"/>
              </w:rPr>
              <w:t>0.042</w:t>
            </w:r>
          </w:p>
        </w:tc>
        <w:tc>
          <w:tcPr>
            <w:tcW w:w="436" w:type="pct"/>
            <w:vAlign w:val="center"/>
          </w:tcPr>
          <w:p w14:paraId="76CC667D">
            <w:pPr>
              <w:pStyle w:val="13"/>
              <w:jc w:val="center"/>
              <w:rPr>
                <w:rFonts w:hint="eastAsia" w:ascii="宋体" w:hAnsi="宋体"/>
              </w:rPr>
            </w:pPr>
            <w:r>
              <w:rPr>
                <w:rFonts w:hint="eastAsia" w:ascii="宋体" w:hAnsi="宋体"/>
              </w:rPr>
              <w:t>0.040</w:t>
            </w:r>
          </w:p>
        </w:tc>
        <w:tc>
          <w:tcPr>
            <w:tcW w:w="436" w:type="pct"/>
            <w:vAlign w:val="center"/>
          </w:tcPr>
          <w:p w14:paraId="0FAB797B">
            <w:pPr>
              <w:pStyle w:val="13"/>
              <w:jc w:val="center"/>
              <w:rPr>
                <w:rFonts w:hint="eastAsia" w:ascii="宋体" w:hAnsi="宋体"/>
              </w:rPr>
            </w:pPr>
            <w:r>
              <w:rPr>
                <w:rFonts w:hint="eastAsia" w:ascii="宋体" w:hAnsi="宋体"/>
              </w:rPr>
              <w:t>0.038</w:t>
            </w:r>
          </w:p>
        </w:tc>
        <w:tc>
          <w:tcPr>
            <w:tcW w:w="436" w:type="pct"/>
            <w:vAlign w:val="center"/>
          </w:tcPr>
          <w:p w14:paraId="4ED58537">
            <w:pPr>
              <w:pStyle w:val="13"/>
              <w:jc w:val="center"/>
              <w:rPr>
                <w:rFonts w:hint="eastAsia" w:ascii="宋体" w:hAnsi="宋体"/>
              </w:rPr>
            </w:pPr>
            <w:r>
              <w:rPr>
                <w:rFonts w:hint="eastAsia" w:ascii="宋体" w:hAnsi="宋体"/>
              </w:rPr>
              <w:t>0.035</w:t>
            </w:r>
          </w:p>
        </w:tc>
      </w:tr>
    </w:tbl>
    <w:p w14:paraId="0A79C115">
      <w:pPr>
        <w:ind w:firstLine="420"/>
        <w:rPr>
          <w:rFonts w:ascii="宋体" w:hAnsi="宋体"/>
        </w:rPr>
      </w:pPr>
      <w:r>
        <w:rPr>
          <w:rFonts w:ascii="宋体" w:hAnsi="宋体"/>
        </w:rPr>
        <w:t>2、市区降水质量环保局监测站做到逢雨</w:t>
      </w:r>
      <w:r>
        <w:rPr>
          <w:rFonts w:hint="eastAsia" w:ascii="宋体" w:hAnsi="宋体"/>
        </w:rPr>
        <w:t>必测，从</w:t>
      </w:r>
      <w:r>
        <w:rPr>
          <w:rFonts w:ascii="宋体" w:hAnsi="宋体"/>
        </w:rPr>
        <w:t>2010年1-8月降雨情况看，降雨量839.3毫米，降雨PH值范围在4.8-5.6之</w:t>
      </w:r>
      <w:r>
        <w:rPr>
          <w:rFonts w:hint="eastAsia" w:ascii="宋体" w:hAnsi="宋体"/>
        </w:rPr>
        <w:t>间，</w:t>
      </w:r>
      <w:r>
        <w:rPr>
          <w:rFonts w:ascii="宋体" w:hAnsi="宋体"/>
        </w:rPr>
        <w:t>PH值平均值为4.87，见表3-13。对比</w:t>
      </w:r>
      <w:r>
        <w:rPr>
          <w:rFonts w:hint="eastAsia" w:ascii="宋体" w:hAnsi="宋体"/>
        </w:rPr>
        <w:t>上年降雨情况，</w:t>
      </w:r>
      <w:r>
        <w:rPr>
          <w:rFonts w:ascii="宋体" w:hAnsi="宋体"/>
        </w:rPr>
        <w:t>PH值略有下降，酸雨污染有</w:t>
      </w:r>
      <w:r>
        <w:rPr>
          <w:rFonts w:hint="eastAsia" w:ascii="宋体" w:hAnsi="宋体"/>
        </w:rPr>
        <w:t>所减轻。</w:t>
      </w:r>
    </w:p>
    <w:p w14:paraId="5E666386">
      <w:pPr>
        <w:ind w:firstLine="0" w:firstLineChars="0"/>
        <w:jc w:val="center"/>
        <w:rPr>
          <w:rFonts w:hint="eastAsia" w:ascii="宋体" w:hAnsi="宋体" w:cs="宋体"/>
          <w:b/>
          <w:kern w:val="0"/>
        </w:rPr>
      </w:pPr>
      <w:commentRangeStart w:id="7"/>
      <w:r>
        <w:rPr>
          <w:rFonts w:ascii="宋体" w:hAnsi="宋体"/>
          <w:b/>
          <w:kern w:val="0"/>
        </w:rPr>
        <w:t>表</w:t>
      </w:r>
      <w:r>
        <w:rPr>
          <w:rFonts w:hint="eastAsia" w:ascii="宋体" w:hAnsi="宋体"/>
          <w:b/>
          <w:kern w:val="0"/>
        </w:rPr>
        <w:t xml:space="preserve">3-9  </w:t>
      </w:r>
      <w:r>
        <w:rPr>
          <w:rFonts w:ascii="宋体" w:hAnsi="宋体"/>
          <w:b/>
          <w:kern w:val="0"/>
        </w:rPr>
        <w:t>2010</w:t>
      </w:r>
      <w:r>
        <w:rPr>
          <w:rFonts w:hint="eastAsia" w:ascii="宋体" w:hAnsi="宋体"/>
          <w:b/>
          <w:kern w:val="0"/>
        </w:rPr>
        <w:t>年南雄市区降水</w:t>
      </w:r>
      <w:r>
        <w:rPr>
          <w:rFonts w:hint="eastAsia" w:ascii="宋体" w:hAnsi="宋体" w:cs="宋体"/>
          <w:b/>
          <w:kern w:val="0"/>
        </w:rPr>
        <w:t>质</w:t>
      </w:r>
      <w:r>
        <w:rPr>
          <w:rFonts w:hint="eastAsia" w:ascii="宋体" w:hAnsi="宋体" w:cs="MS Gothic"/>
          <w:b/>
          <w:kern w:val="0"/>
        </w:rPr>
        <w:t>量</w:t>
      </w:r>
      <w:r>
        <w:rPr>
          <w:rFonts w:hint="eastAsia" w:ascii="宋体" w:hAnsi="宋体" w:cs="宋体"/>
          <w:b/>
          <w:kern w:val="0"/>
        </w:rPr>
        <w:t>统计</w:t>
      </w:r>
      <w:commentRangeEnd w:id="7"/>
      <w:r>
        <w:rPr>
          <w:rStyle w:val="12"/>
          <w:rFonts w:ascii="宋体" w:hAnsi="宋体"/>
        </w:rPr>
        <w:commentReference w:id="7"/>
      </w: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98"/>
        <w:gridCol w:w="1040"/>
        <w:gridCol w:w="1249"/>
        <w:gridCol w:w="2355"/>
        <w:gridCol w:w="1660"/>
        <w:gridCol w:w="1660"/>
      </w:tblGrid>
      <w:tr w14:paraId="30734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3" w:type="pct"/>
            <w:vAlign w:val="center"/>
          </w:tcPr>
          <w:p w14:paraId="10D8975E">
            <w:pPr>
              <w:pStyle w:val="13"/>
              <w:jc w:val="center"/>
              <w:rPr>
                <w:rFonts w:hint="eastAsia" w:ascii="宋体" w:hAnsi="宋体"/>
                <w:b/>
              </w:rPr>
            </w:pPr>
            <w:r>
              <w:rPr>
                <w:rFonts w:hint="eastAsia" w:ascii="宋体" w:hAnsi="宋体"/>
                <w:b/>
              </w:rPr>
              <w:t>测点名称</w:t>
            </w:r>
          </w:p>
        </w:tc>
        <w:tc>
          <w:tcPr>
            <w:tcW w:w="522" w:type="pct"/>
            <w:vAlign w:val="center"/>
          </w:tcPr>
          <w:p w14:paraId="2716C63B">
            <w:pPr>
              <w:pStyle w:val="13"/>
              <w:jc w:val="center"/>
              <w:rPr>
                <w:rFonts w:hint="eastAsia" w:ascii="宋体" w:hAnsi="宋体"/>
                <w:b/>
              </w:rPr>
            </w:pPr>
            <w:r>
              <w:rPr>
                <w:rFonts w:hint="eastAsia" w:ascii="宋体" w:hAnsi="宋体"/>
                <w:b/>
              </w:rPr>
              <w:t>月份</w:t>
            </w:r>
          </w:p>
        </w:tc>
        <w:tc>
          <w:tcPr>
            <w:tcW w:w="627" w:type="pct"/>
            <w:vAlign w:val="center"/>
          </w:tcPr>
          <w:p w14:paraId="4D56C3DA">
            <w:pPr>
              <w:pStyle w:val="13"/>
              <w:jc w:val="center"/>
              <w:rPr>
                <w:rFonts w:hint="eastAsia" w:ascii="宋体" w:hAnsi="宋体"/>
                <w:b/>
              </w:rPr>
            </w:pPr>
            <w:r>
              <w:rPr>
                <w:rFonts w:hint="eastAsia" w:ascii="宋体" w:hAnsi="宋体"/>
                <w:b/>
              </w:rPr>
              <w:t>样品数</w:t>
            </w:r>
          </w:p>
        </w:tc>
        <w:tc>
          <w:tcPr>
            <w:tcW w:w="1182" w:type="pct"/>
            <w:vAlign w:val="center"/>
          </w:tcPr>
          <w:p w14:paraId="6059EE91">
            <w:pPr>
              <w:pStyle w:val="13"/>
              <w:jc w:val="center"/>
              <w:rPr>
                <w:rFonts w:hint="eastAsia" w:ascii="宋体" w:hAnsi="宋体"/>
                <w:b/>
              </w:rPr>
            </w:pPr>
            <w:r>
              <w:rPr>
                <w:rFonts w:hint="eastAsia" w:ascii="宋体" w:hAnsi="宋体"/>
                <w:b/>
              </w:rPr>
              <w:t>降水pH值（平均值）</w:t>
            </w:r>
          </w:p>
        </w:tc>
        <w:tc>
          <w:tcPr>
            <w:tcW w:w="833" w:type="pct"/>
            <w:vAlign w:val="center"/>
          </w:tcPr>
          <w:p w14:paraId="444D27AC">
            <w:pPr>
              <w:pStyle w:val="13"/>
              <w:jc w:val="center"/>
              <w:rPr>
                <w:rFonts w:hint="eastAsia" w:ascii="宋体" w:hAnsi="宋体"/>
                <w:b/>
              </w:rPr>
            </w:pPr>
            <w:r>
              <w:rPr>
                <w:rFonts w:hint="eastAsia" w:ascii="宋体" w:hAnsi="宋体"/>
                <w:b/>
              </w:rPr>
              <w:t>降雨量（mm）</w:t>
            </w:r>
          </w:p>
        </w:tc>
        <w:tc>
          <w:tcPr>
            <w:tcW w:w="833" w:type="pct"/>
            <w:vAlign w:val="center"/>
          </w:tcPr>
          <w:p w14:paraId="59629821">
            <w:pPr>
              <w:pStyle w:val="13"/>
              <w:jc w:val="center"/>
              <w:rPr>
                <w:rFonts w:hint="eastAsia" w:ascii="宋体" w:hAnsi="宋体"/>
                <w:b/>
              </w:rPr>
            </w:pPr>
            <w:r>
              <w:rPr>
                <w:rFonts w:hint="eastAsia" w:ascii="宋体" w:hAnsi="宋体"/>
                <w:b/>
              </w:rPr>
              <w:t>电导率(mS/m)</w:t>
            </w:r>
          </w:p>
        </w:tc>
      </w:tr>
      <w:tr w14:paraId="6B920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3" w:type="pct"/>
            <w:vAlign w:val="center"/>
          </w:tcPr>
          <w:p w14:paraId="0DD405C3">
            <w:pPr>
              <w:pStyle w:val="13"/>
              <w:jc w:val="center"/>
              <w:rPr>
                <w:rFonts w:hint="eastAsia" w:ascii="宋体" w:hAnsi="宋体"/>
              </w:rPr>
            </w:pPr>
            <w:r>
              <w:rPr>
                <w:rFonts w:hint="eastAsia" w:ascii="宋体" w:hAnsi="宋体"/>
              </w:rPr>
              <w:t>南雄市监测大楼</w:t>
            </w:r>
          </w:p>
        </w:tc>
        <w:tc>
          <w:tcPr>
            <w:tcW w:w="522" w:type="pct"/>
            <w:vAlign w:val="center"/>
          </w:tcPr>
          <w:p w14:paraId="286123D0">
            <w:pPr>
              <w:pStyle w:val="13"/>
              <w:jc w:val="center"/>
              <w:rPr>
                <w:rFonts w:hint="eastAsia" w:ascii="宋体" w:hAnsi="宋体"/>
              </w:rPr>
            </w:pPr>
            <w:r>
              <w:rPr>
                <w:rFonts w:hint="eastAsia" w:ascii="宋体" w:hAnsi="宋体"/>
              </w:rPr>
              <w:t>1</w:t>
            </w:r>
          </w:p>
        </w:tc>
        <w:tc>
          <w:tcPr>
            <w:tcW w:w="627" w:type="pct"/>
            <w:vAlign w:val="center"/>
          </w:tcPr>
          <w:p w14:paraId="39C21B0B">
            <w:pPr>
              <w:pStyle w:val="13"/>
              <w:jc w:val="center"/>
              <w:rPr>
                <w:rFonts w:hint="eastAsia" w:ascii="宋体" w:hAnsi="宋体"/>
              </w:rPr>
            </w:pPr>
            <w:r>
              <w:rPr>
                <w:rFonts w:hint="eastAsia" w:ascii="宋体" w:hAnsi="宋体"/>
              </w:rPr>
              <w:t>4</w:t>
            </w:r>
          </w:p>
        </w:tc>
        <w:tc>
          <w:tcPr>
            <w:tcW w:w="1182" w:type="pct"/>
            <w:vAlign w:val="center"/>
          </w:tcPr>
          <w:p w14:paraId="1FC77000">
            <w:pPr>
              <w:pStyle w:val="13"/>
              <w:jc w:val="center"/>
              <w:rPr>
                <w:rFonts w:hint="eastAsia" w:ascii="宋体" w:hAnsi="宋体"/>
              </w:rPr>
            </w:pPr>
            <w:r>
              <w:rPr>
                <w:rFonts w:hint="eastAsia" w:ascii="宋体" w:hAnsi="宋体"/>
              </w:rPr>
              <w:t>4.89</w:t>
            </w:r>
          </w:p>
        </w:tc>
        <w:tc>
          <w:tcPr>
            <w:tcW w:w="833" w:type="pct"/>
            <w:vAlign w:val="center"/>
          </w:tcPr>
          <w:p w14:paraId="3173C470">
            <w:pPr>
              <w:pStyle w:val="13"/>
              <w:jc w:val="center"/>
              <w:rPr>
                <w:rFonts w:hint="eastAsia" w:ascii="宋体" w:hAnsi="宋体"/>
              </w:rPr>
            </w:pPr>
            <w:r>
              <w:rPr>
                <w:rFonts w:hint="eastAsia" w:ascii="宋体" w:hAnsi="宋体"/>
              </w:rPr>
              <w:t>28.3</w:t>
            </w:r>
          </w:p>
        </w:tc>
        <w:tc>
          <w:tcPr>
            <w:tcW w:w="833" w:type="pct"/>
            <w:vAlign w:val="center"/>
          </w:tcPr>
          <w:p w14:paraId="2B598565">
            <w:pPr>
              <w:pStyle w:val="13"/>
              <w:jc w:val="center"/>
              <w:rPr>
                <w:rFonts w:hint="eastAsia" w:ascii="宋体" w:hAnsi="宋体"/>
              </w:rPr>
            </w:pPr>
            <w:r>
              <w:rPr>
                <w:rFonts w:hint="eastAsia" w:ascii="宋体" w:hAnsi="宋体"/>
              </w:rPr>
              <w:t>3.3</w:t>
            </w:r>
          </w:p>
        </w:tc>
      </w:tr>
      <w:tr w14:paraId="40E0CD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3" w:type="pct"/>
            <w:vAlign w:val="center"/>
          </w:tcPr>
          <w:p w14:paraId="1FE052C0">
            <w:pPr>
              <w:pStyle w:val="13"/>
              <w:jc w:val="center"/>
              <w:rPr>
                <w:rFonts w:hint="eastAsia" w:ascii="宋体" w:hAnsi="宋体"/>
              </w:rPr>
            </w:pPr>
            <w:r>
              <w:rPr>
                <w:rFonts w:hint="eastAsia" w:ascii="宋体" w:hAnsi="宋体"/>
              </w:rPr>
              <w:t>南雄市监测大楼</w:t>
            </w:r>
          </w:p>
        </w:tc>
        <w:tc>
          <w:tcPr>
            <w:tcW w:w="522" w:type="pct"/>
            <w:vAlign w:val="center"/>
          </w:tcPr>
          <w:p w14:paraId="03BE6E79">
            <w:pPr>
              <w:pStyle w:val="13"/>
              <w:jc w:val="center"/>
              <w:rPr>
                <w:rFonts w:hint="eastAsia" w:ascii="宋体" w:hAnsi="宋体"/>
              </w:rPr>
            </w:pPr>
            <w:r>
              <w:rPr>
                <w:rFonts w:hint="eastAsia" w:ascii="宋体" w:hAnsi="宋体"/>
              </w:rPr>
              <w:t>2</w:t>
            </w:r>
          </w:p>
        </w:tc>
        <w:tc>
          <w:tcPr>
            <w:tcW w:w="627" w:type="pct"/>
            <w:vAlign w:val="center"/>
          </w:tcPr>
          <w:p w14:paraId="155BA672">
            <w:pPr>
              <w:pStyle w:val="13"/>
              <w:jc w:val="center"/>
              <w:rPr>
                <w:rFonts w:hint="eastAsia" w:ascii="宋体" w:hAnsi="宋体"/>
              </w:rPr>
            </w:pPr>
            <w:r>
              <w:rPr>
                <w:rFonts w:hint="eastAsia" w:ascii="宋体" w:hAnsi="宋体"/>
              </w:rPr>
              <w:t>7</w:t>
            </w:r>
          </w:p>
        </w:tc>
        <w:tc>
          <w:tcPr>
            <w:tcW w:w="1182" w:type="pct"/>
            <w:vAlign w:val="center"/>
          </w:tcPr>
          <w:p w14:paraId="632C92C5">
            <w:pPr>
              <w:pStyle w:val="13"/>
              <w:jc w:val="center"/>
              <w:rPr>
                <w:rFonts w:hint="eastAsia" w:ascii="宋体" w:hAnsi="宋体"/>
              </w:rPr>
            </w:pPr>
            <w:r>
              <w:rPr>
                <w:rFonts w:hint="eastAsia" w:ascii="宋体" w:hAnsi="宋体"/>
              </w:rPr>
              <w:t>4.84</w:t>
            </w:r>
          </w:p>
        </w:tc>
        <w:tc>
          <w:tcPr>
            <w:tcW w:w="833" w:type="pct"/>
            <w:vAlign w:val="center"/>
          </w:tcPr>
          <w:p w14:paraId="61C14476">
            <w:pPr>
              <w:pStyle w:val="13"/>
              <w:jc w:val="center"/>
              <w:rPr>
                <w:rFonts w:hint="eastAsia" w:ascii="宋体" w:hAnsi="宋体"/>
              </w:rPr>
            </w:pPr>
            <w:r>
              <w:rPr>
                <w:rFonts w:hint="eastAsia" w:ascii="宋体" w:hAnsi="宋体"/>
              </w:rPr>
              <w:t>79</w:t>
            </w:r>
          </w:p>
        </w:tc>
        <w:tc>
          <w:tcPr>
            <w:tcW w:w="833" w:type="pct"/>
            <w:vAlign w:val="center"/>
          </w:tcPr>
          <w:p w14:paraId="2824B65C">
            <w:pPr>
              <w:pStyle w:val="13"/>
              <w:jc w:val="center"/>
              <w:rPr>
                <w:rFonts w:hint="eastAsia" w:ascii="宋体" w:hAnsi="宋体"/>
              </w:rPr>
            </w:pPr>
            <w:r>
              <w:rPr>
                <w:rFonts w:hint="eastAsia" w:ascii="宋体" w:hAnsi="宋体"/>
              </w:rPr>
              <w:t>2.6</w:t>
            </w:r>
          </w:p>
        </w:tc>
      </w:tr>
      <w:tr w14:paraId="32D6D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3" w:type="pct"/>
            <w:vAlign w:val="center"/>
          </w:tcPr>
          <w:p w14:paraId="3EF564AD">
            <w:pPr>
              <w:pStyle w:val="13"/>
              <w:jc w:val="center"/>
              <w:rPr>
                <w:rFonts w:hint="eastAsia" w:ascii="宋体" w:hAnsi="宋体"/>
              </w:rPr>
            </w:pPr>
            <w:r>
              <w:rPr>
                <w:rFonts w:hint="eastAsia" w:ascii="宋体" w:hAnsi="宋体"/>
              </w:rPr>
              <w:t>南雄市监测大楼</w:t>
            </w:r>
          </w:p>
        </w:tc>
        <w:tc>
          <w:tcPr>
            <w:tcW w:w="522" w:type="pct"/>
            <w:vAlign w:val="center"/>
          </w:tcPr>
          <w:p w14:paraId="624B0F5E">
            <w:pPr>
              <w:pStyle w:val="13"/>
              <w:jc w:val="center"/>
              <w:rPr>
                <w:rFonts w:hint="eastAsia" w:ascii="宋体" w:hAnsi="宋体"/>
              </w:rPr>
            </w:pPr>
            <w:r>
              <w:rPr>
                <w:rFonts w:hint="eastAsia" w:ascii="宋体" w:hAnsi="宋体"/>
              </w:rPr>
              <w:t>3</w:t>
            </w:r>
          </w:p>
        </w:tc>
        <w:tc>
          <w:tcPr>
            <w:tcW w:w="627" w:type="pct"/>
            <w:vAlign w:val="center"/>
          </w:tcPr>
          <w:p w14:paraId="216B0D81">
            <w:pPr>
              <w:pStyle w:val="13"/>
              <w:jc w:val="center"/>
              <w:rPr>
                <w:rFonts w:hint="eastAsia" w:ascii="宋体" w:hAnsi="宋体"/>
              </w:rPr>
            </w:pPr>
            <w:r>
              <w:rPr>
                <w:rFonts w:hint="eastAsia" w:ascii="宋体" w:hAnsi="宋体"/>
              </w:rPr>
              <w:t>8</w:t>
            </w:r>
          </w:p>
        </w:tc>
        <w:tc>
          <w:tcPr>
            <w:tcW w:w="1182" w:type="pct"/>
            <w:vAlign w:val="center"/>
          </w:tcPr>
          <w:p w14:paraId="6436E6C9">
            <w:pPr>
              <w:pStyle w:val="13"/>
              <w:jc w:val="center"/>
              <w:rPr>
                <w:rFonts w:hint="eastAsia" w:ascii="宋体" w:hAnsi="宋体"/>
              </w:rPr>
            </w:pPr>
            <w:r>
              <w:rPr>
                <w:rFonts w:hint="eastAsia" w:ascii="宋体" w:hAnsi="宋体"/>
              </w:rPr>
              <w:t>5.02</w:t>
            </w:r>
          </w:p>
        </w:tc>
        <w:tc>
          <w:tcPr>
            <w:tcW w:w="833" w:type="pct"/>
            <w:vAlign w:val="center"/>
          </w:tcPr>
          <w:p w14:paraId="781CAEDA">
            <w:pPr>
              <w:pStyle w:val="13"/>
              <w:jc w:val="center"/>
              <w:rPr>
                <w:rFonts w:hint="eastAsia" w:ascii="宋体" w:hAnsi="宋体"/>
              </w:rPr>
            </w:pPr>
            <w:r>
              <w:rPr>
                <w:rFonts w:hint="eastAsia" w:ascii="宋体" w:hAnsi="宋体"/>
              </w:rPr>
              <w:t>103.9</w:t>
            </w:r>
          </w:p>
        </w:tc>
        <w:tc>
          <w:tcPr>
            <w:tcW w:w="833" w:type="pct"/>
            <w:vAlign w:val="center"/>
          </w:tcPr>
          <w:p w14:paraId="205C7391">
            <w:pPr>
              <w:pStyle w:val="13"/>
              <w:jc w:val="center"/>
              <w:rPr>
                <w:rFonts w:hint="eastAsia" w:ascii="宋体" w:hAnsi="宋体"/>
              </w:rPr>
            </w:pPr>
            <w:r>
              <w:rPr>
                <w:rFonts w:hint="eastAsia" w:ascii="宋体" w:hAnsi="宋体"/>
              </w:rPr>
              <w:t>4.5</w:t>
            </w:r>
          </w:p>
        </w:tc>
      </w:tr>
      <w:tr w14:paraId="2A9EF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3" w:type="pct"/>
            <w:vAlign w:val="center"/>
          </w:tcPr>
          <w:p w14:paraId="47C0A551">
            <w:pPr>
              <w:pStyle w:val="13"/>
              <w:jc w:val="center"/>
              <w:rPr>
                <w:rFonts w:hint="eastAsia" w:ascii="宋体" w:hAnsi="宋体"/>
              </w:rPr>
            </w:pPr>
            <w:r>
              <w:rPr>
                <w:rFonts w:hint="eastAsia" w:ascii="宋体" w:hAnsi="宋体"/>
              </w:rPr>
              <w:t>南雄市监测大楼</w:t>
            </w:r>
          </w:p>
        </w:tc>
        <w:tc>
          <w:tcPr>
            <w:tcW w:w="522" w:type="pct"/>
            <w:vAlign w:val="center"/>
          </w:tcPr>
          <w:p w14:paraId="105A60A9">
            <w:pPr>
              <w:pStyle w:val="13"/>
              <w:jc w:val="center"/>
              <w:rPr>
                <w:rFonts w:hint="eastAsia" w:ascii="宋体" w:hAnsi="宋体"/>
              </w:rPr>
            </w:pPr>
            <w:r>
              <w:rPr>
                <w:rFonts w:hint="eastAsia" w:ascii="宋体" w:hAnsi="宋体"/>
              </w:rPr>
              <w:t>4</w:t>
            </w:r>
          </w:p>
        </w:tc>
        <w:tc>
          <w:tcPr>
            <w:tcW w:w="627" w:type="pct"/>
            <w:vAlign w:val="center"/>
          </w:tcPr>
          <w:p w14:paraId="2CB9F17A">
            <w:pPr>
              <w:pStyle w:val="13"/>
              <w:jc w:val="center"/>
              <w:rPr>
                <w:rFonts w:hint="eastAsia" w:ascii="宋体" w:hAnsi="宋体"/>
              </w:rPr>
            </w:pPr>
            <w:r>
              <w:rPr>
                <w:rFonts w:hint="eastAsia" w:ascii="宋体" w:hAnsi="宋体"/>
              </w:rPr>
              <w:t>6</w:t>
            </w:r>
          </w:p>
        </w:tc>
        <w:tc>
          <w:tcPr>
            <w:tcW w:w="1182" w:type="pct"/>
            <w:vAlign w:val="center"/>
          </w:tcPr>
          <w:p w14:paraId="7DCAED96">
            <w:pPr>
              <w:pStyle w:val="13"/>
              <w:jc w:val="center"/>
              <w:rPr>
                <w:rFonts w:hint="eastAsia" w:ascii="宋体" w:hAnsi="宋体"/>
              </w:rPr>
            </w:pPr>
            <w:r>
              <w:rPr>
                <w:rFonts w:hint="eastAsia" w:ascii="宋体" w:hAnsi="宋体"/>
              </w:rPr>
              <w:t>4.89</w:t>
            </w:r>
          </w:p>
        </w:tc>
        <w:tc>
          <w:tcPr>
            <w:tcW w:w="833" w:type="pct"/>
            <w:vAlign w:val="center"/>
          </w:tcPr>
          <w:p w14:paraId="5B4B06CE">
            <w:pPr>
              <w:pStyle w:val="13"/>
              <w:jc w:val="center"/>
              <w:rPr>
                <w:rFonts w:hint="eastAsia" w:ascii="宋体" w:hAnsi="宋体"/>
              </w:rPr>
            </w:pPr>
            <w:r>
              <w:rPr>
                <w:rFonts w:hint="eastAsia" w:ascii="宋体" w:hAnsi="宋体"/>
              </w:rPr>
              <w:t>55</w:t>
            </w:r>
          </w:p>
        </w:tc>
        <w:tc>
          <w:tcPr>
            <w:tcW w:w="833" w:type="pct"/>
            <w:vAlign w:val="center"/>
          </w:tcPr>
          <w:p w14:paraId="256AE4D6">
            <w:pPr>
              <w:pStyle w:val="13"/>
              <w:jc w:val="center"/>
              <w:rPr>
                <w:rFonts w:hint="eastAsia" w:ascii="宋体" w:hAnsi="宋体"/>
              </w:rPr>
            </w:pPr>
            <w:r>
              <w:rPr>
                <w:rFonts w:hint="eastAsia" w:ascii="宋体" w:hAnsi="宋体"/>
              </w:rPr>
              <w:t>1.6</w:t>
            </w:r>
          </w:p>
        </w:tc>
      </w:tr>
      <w:tr w14:paraId="6CBF5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3" w:type="pct"/>
            <w:vAlign w:val="center"/>
          </w:tcPr>
          <w:p w14:paraId="056F74FB">
            <w:pPr>
              <w:pStyle w:val="13"/>
              <w:jc w:val="center"/>
              <w:rPr>
                <w:rFonts w:hint="eastAsia" w:ascii="宋体" w:hAnsi="宋体"/>
              </w:rPr>
            </w:pPr>
            <w:r>
              <w:rPr>
                <w:rFonts w:hint="eastAsia" w:ascii="宋体" w:hAnsi="宋体"/>
              </w:rPr>
              <w:t>南雄市监测大楼</w:t>
            </w:r>
          </w:p>
        </w:tc>
        <w:tc>
          <w:tcPr>
            <w:tcW w:w="522" w:type="pct"/>
            <w:vAlign w:val="center"/>
          </w:tcPr>
          <w:p w14:paraId="7B727D05">
            <w:pPr>
              <w:pStyle w:val="13"/>
              <w:jc w:val="center"/>
              <w:rPr>
                <w:rFonts w:hint="eastAsia" w:ascii="宋体" w:hAnsi="宋体"/>
              </w:rPr>
            </w:pPr>
            <w:r>
              <w:rPr>
                <w:rFonts w:hint="eastAsia" w:ascii="宋体" w:hAnsi="宋体"/>
              </w:rPr>
              <w:t>5</w:t>
            </w:r>
          </w:p>
        </w:tc>
        <w:tc>
          <w:tcPr>
            <w:tcW w:w="627" w:type="pct"/>
            <w:vAlign w:val="center"/>
          </w:tcPr>
          <w:p w14:paraId="2DB9E2DB">
            <w:pPr>
              <w:pStyle w:val="13"/>
              <w:jc w:val="center"/>
              <w:rPr>
                <w:rFonts w:hint="eastAsia" w:ascii="宋体" w:hAnsi="宋体"/>
              </w:rPr>
            </w:pPr>
            <w:r>
              <w:rPr>
                <w:rFonts w:hint="eastAsia" w:ascii="宋体" w:hAnsi="宋体"/>
              </w:rPr>
              <w:t>15</w:t>
            </w:r>
          </w:p>
        </w:tc>
        <w:tc>
          <w:tcPr>
            <w:tcW w:w="1182" w:type="pct"/>
            <w:vAlign w:val="center"/>
          </w:tcPr>
          <w:p w14:paraId="52AB389B">
            <w:pPr>
              <w:pStyle w:val="13"/>
              <w:jc w:val="center"/>
              <w:rPr>
                <w:rFonts w:hint="eastAsia" w:ascii="宋体" w:hAnsi="宋体"/>
              </w:rPr>
            </w:pPr>
            <w:r>
              <w:rPr>
                <w:rFonts w:hint="eastAsia" w:ascii="宋体" w:hAnsi="宋体"/>
              </w:rPr>
              <w:t>4.87</w:t>
            </w:r>
          </w:p>
        </w:tc>
        <w:tc>
          <w:tcPr>
            <w:tcW w:w="833" w:type="pct"/>
            <w:vAlign w:val="center"/>
          </w:tcPr>
          <w:p w14:paraId="0268924D">
            <w:pPr>
              <w:pStyle w:val="13"/>
              <w:jc w:val="center"/>
              <w:rPr>
                <w:rFonts w:hint="eastAsia" w:ascii="宋体" w:hAnsi="宋体"/>
              </w:rPr>
            </w:pPr>
            <w:r>
              <w:rPr>
                <w:rFonts w:hint="eastAsia" w:ascii="宋体" w:hAnsi="宋体"/>
              </w:rPr>
              <w:t>438.6</w:t>
            </w:r>
          </w:p>
        </w:tc>
        <w:tc>
          <w:tcPr>
            <w:tcW w:w="833" w:type="pct"/>
            <w:vAlign w:val="center"/>
          </w:tcPr>
          <w:p w14:paraId="4D80F1FF">
            <w:pPr>
              <w:pStyle w:val="13"/>
              <w:jc w:val="center"/>
              <w:rPr>
                <w:rFonts w:hint="eastAsia" w:ascii="宋体" w:hAnsi="宋体"/>
              </w:rPr>
            </w:pPr>
            <w:r>
              <w:rPr>
                <w:rFonts w:hint="eastAsia" w:ascii="宋体" w:hAnsi="宋体"/>
              </w:rPr>
              <w:t>2.1</w:t>
            </w:r>
          </w:p>
        </w:tc>
      </w:tr>
      <w:tr w14:paraId="6E3C1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3" w:type="pct"/>
            <w:vAlign w:val="center"/>
          </w:tcPr>
          <w:p w14:paraId="5CF16122">
            <w:pPr>
              <w:pStyle w:val="13"/>
              <w:jc w:val="center"/>
              <w:rPr>
                <w:rFonts w:hint="eastAsia" w:ascii="宋体" w:hAnsi="宋体"/>
              </w:rPr>
            </w:pPr>
            <w:r>
              <w:rPr>
                <w:rFonts w:hint="eastAsia" w:ascii="宋体" w:hAnsi="宋体"/>
              </w:rPr>
              <w:t>南雄市监测大楼</w:t>
            </w:r>
          </w:p>
        </w:tc>
        <w:tc>
          <w:tcPr>
            <w:tcW w:w="522" w:type="pct"/>
            <w:vAlign w:val="center"/>
          </w:tcPr>
          <w:p w14:paraId="755C9BF0">
            <w:pPr>
              <w:pStyle w:val="13"/>
              <w:jc w:val="center"/>
              <w:rPr>
                <w:rFonts w:hint="eastAsia" w:ascii="宋体" w:hAnsi="宋体"/>
              </w:rPr>
            </w:pPr>
            <w:r>
              <w:rPr>
                <w:rFonts w:hint="eastAsia" w:ascii="宋体" w:hAnsi="宋体"/>
              </w:rPr>
              <w:t>7</w:t>
            </w:r>
          </w:p>
        </w:tc>
        <w:tc>
          <w:tcPr>
            <w:tcW w:w="627" w:type="pct"/>
            <w:vAlign w:val="center"/>
          </w:tcPr>
          <w:p w14:paraId="3A7F914F">
            <w:pPr>
              <w:pStyle w:val="13"/>
              <w:jc w:val="center"/>
              <w:rPr>
                <w:rFonts w:hint="eastAsia" w:ascii="宋体" w:hAnsi="宋体"/>
              </w:rPr>
            </w:pPr>
            <w:r>
              <w:rPr>
                <w:rFonts w:hint="eastAsia" w:ascii="宋体" w:hAnsi="宋体"/>
              </w:rPr>
              <w:t>7</w:t>
            </w:r>
          </w:p>
        </w:tc>
        <w:tc>
          <w:tcPr>
            <w:tcW w:w="1182" w:type="pct"/>
            <w:vAlign w:val="center"/>
          </w:tcPr>
          <w:p w14:paraId="40CF89B2">
            <w:pPr>
              <w:pStyle w:val="13"/>
              <w:jc w:val="center"/>
              <w:rPr>
                <w:rFonts w:hint="eastAsia" w:ascii="宋体" w:hAnsi="宋体"/>
              </w:rPr>
            </w:pPr>
            <w:r>
              <w:rPr>
                <w:rFonts w:hint="eastAsia" w:ascii="宋体" w:hAnsi="宋体"/>
              </w:rPr>
              <w:t>4.71</w:t>
            </w:r>
          </w:p>
        </w:tc>
        <w:tc>
          <w:tcPr>
            <w:tcW w:w="833" w:type="pct"/>
            <w:vAlign w:val="center"/>
          </w:tcPr>
          <w:p w14:paraId="0B306899">
            <w:pPr>
              <w:pStyle w:val="13"/>
              <w:jc w:val="center"/>
              <w:rPr>
                <w:rFonts w:hint="eastAsia" w:ascii="宋体" w:hAnsi="宋体"/>
              </w:rPr>
            </w:pPr>
            <w:r>
              <w:rPr>
                <w:rFonts w:hint="eastAsia" w:ascii="宋体" w:hAnsi="宋体"/>
              </w:rPr>
              <w:t>45.7</w:t>
            </w:r>
          </w:p>
        </w:tc>
        <w:tc>
          <w:tcPr>
            <w:tcW w:w="833" w:type="pct"/>
            <w:vAlign w:val="center"/>
          </w:tcPr>
          <w:p w14:paraId="0C984EEB">
            <w:pPr>
              <w:pStyle w:val="13"/>
              <w:jc w:val="center"/>
              <w:rPr>
                <w:rFonts w:hint="eastAsia" w:ascii="宋体" w:hAnsi="宋体"/>
              </w:rPr>
            </w:pPr>
            <w:r>
              <w:rPr>
                <w:rFonts w:hint="eastAsia" w:ascii="宋体" w:hAnsi="宋体"/>
              </w:rPr>
              <w:t>2.3</w:t>
            </w:r>
          </w:p>
        </w:tc>
      </w:tr>
      <w:tr w14:paraId="2C276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3" w:type="pct"/>
            <w:vAlign w:val="center"/>
          </w:tcPr>
          <w:p w14:paraId="5B335002">
            <w:pPr>
              <w:pStyle w:val="13"/>
              <w:jc w:val="center"/>
              <w:rPr>
                <w:rFonts w:hint="eastAsia" w:ascii="宋体" w:hAnsi="宋体"/>
              </w:rPr>
            </w:pPr>
            <w:r>
              <w:rPr>
                <w:rFonts w:hint="eastAsia" w:ascii="宋体" w:hAnsi="宋体"/>
              </w:rPr>
              <w:t>南雄市监测大楼</w:t>
            </w:r>
          </w:p>
        </w:tc>
        <w:tc>
          <w:tcPr>
            <w:tcW w:w="522" w:type="pct"/>
            <w:vAlign w:val="center"/>
          </w:tcPr>
          <w:p w14:paraId="1533B4A9">
            <w:pPr>
              <w:pStyle w:val="13"/>
              <w:jc w:val="center"/>
              <w:rPr>
                <w:rFonts w:hint="eastAsia" w:ascii="宋体" w:hAnsi="宋体"/>
              </w:rPr>
            </w:pPr>
            <w:r>
              <w:rPr>
                <w:rFonts w:hint="eastAsia" w:ascii="宋体" w:hAnsi="宋体"/>
              </w:rPr>
              <w:t>8</w:t>
            </w:r>
          </w:p>
        </w:tc>
        <w:tc>
          <w:tcPr>
            <w:tcW w:w="627" w:type="pct"/>
            <w:vAlign w:val="center"/>
          </w:tcPr>
          <w:p w14:paraId="1AA389F9">
            <w:pPr>
              <w:pStyle w:val="13"/>
              <w:jc w:val="center"/>
              <w:rPr>
                <w:rFonts w:hint="eastAsia" w:ascii="宋体" w:hAnsi="宋体"/>
              </w:rPr>
            </w:pPr>
            <w:r>
              <w:rPr>
                <w:rFonts w:hint="eastAsia" w:ascii="宋体" w:hAnsi="宋体"/>
              </w:rPr>
              <w:t>5</w:t>
            </w:r>
          </w:p>
        </w:tc>
        <w:tc>
          <w:tcPr>
            <w:tcW w:w="1182" w:type="pct"/>
            <w:vAlign w:val="center"/>
          </w:tcPr>
          <w:p w14:paraId="76B88B89">
            <w:pPr>
              <w:pStyle w:val="13"/>
              <w:jc w:val="center"/>
              <w:rPr>
                <w:rFonts w:hint="eastAsia" w:ascii="宋体" w:hAnsi="宋体"/>
              </w:rPr>
            </w:pPr>
            <w:r>
              <w:rPr>
                <w:rFonts w:hint="eastAsia" w:ascii="宋体" w:hAnsi="宋体"/>
              </w:rPr>
              <w:t>4.85</w:t>
            </w:r>
          </w:p>
        </w:tc>
        <w:tc>
          <w:tcPr>
            <w:tcW w:w="833" w:type="pct"/>
            <w:vAlign w:val="center"/>
          </w:tcPr>
          <w:p w14:paraId="2886C1B4">
            <w:pPr>
              <w:pStyle w:val="13"/>
              <w:jc w:val="center"/>
              <w:rPr>
                <w:rFonts w:hint="eastAsia" w:ascii="宋体" w:hAnsi="宋体"/>
              </w:rPr>
            </w:pPr>
            <w:r>
              <w:rPr>
                <w:rFonts w:hint="eastAsia" w:ascii="宋体" w:hAnsi="宋体"/>
              </w:rPr>
              <w:t>88.8</w:t>
            </w:r>
          </w:p>
        </w:tc>
        <w:tc>
          <w:tcPr>
            <w:tcW w:w="833" w:type="pct"/>
            <w:vAlign w:val="center"/>
          </w:tcPr>
          <w:p w14:paraId="5FDB0F8E">
            <w:pPr>
              <w:pStyle w:val="13"/>
              <w:jc w:val="center"/>
              <w:rPr>
                <w:rFonts w:hint="eastAsia" w:ascii="宋体" w:hAnsi="宋体"/>
              </w:rPr>
            </w:pPr>
            <w:r>
              <w:rPr>
                <w:rFonts w:hint="eastAsia" w:ascii="宋体" w:hAnsi="宋体"/>
              </w:rPr>
              <w:t>2.4</w:t>
            </w:r>
          </w:p>
        </w:tc>
      </w:tr>
      <w:tr w14:paraId="74D36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3" w:type="pct"/>
            <w:vAlign w:val="center"/>
          </w:tcPr>
          <w:p w14:paraId="5AEBAB1C">
            <w:pPr>
              <w:pStyle w:val="13"/>
              <w:jc w:val="center"/>
              <w:rPr>
                <w:rFonts w:hint="eastAsia" w:ascii="宋体" w:hAnsi="宋体"/>
              </w:rPr>
            </w:pPr>
            <w:r>
              <w:rPr>
                <w:rFonts w:hint="eastAsia" w:ascii="宋体" w:hAnsi="宋体"/>
              </w:rPr>
              <w:t>1-8月统计</w:t>
            </w:r>
          </w:p>
        </w:tc>
        <w:tc>
          <w:tcPr>
            <w:tcW w:w="522" w:type="pct"/>
            <w:vAlign w:val="center"/>
          </w:tcPr>
          <w:p w14:paraId="29B71920">
            <w:pPr>
              <w:pStyle w:val="13"/>
              <w:jc w:val="center"/>
              <w:rPr>
                <w:rFonts w:hint="eastAsia" w:ascii="宋体" w:hAnsi="宋体"/>
              </w:rPr>
            </w:pPr>
          </w:p>
        </w:tc>
        <w:tc>
          <w:tcPr>
            <w:tcW w:w="627" w:type="pct"/>
            <w:vAlign w:val="center"/>
          </w:tcPr>
          <w:p w14:paraId="094DD468">
            <w:pPr>
              <w:pStyle w:val="13"/>
              <w:jc w:val="center"/>
              <w:rPr>
                <w:rFonts w:hint="eastAsia" w:ascii="宋体" w:hAnsi="宋体"/>
              </w:rPr>
            </w:pPr>
            <w:r>
              <w:rPr>
                <w:rFonts w:hint="eastAsia" w:ascii="宋体" w:hAnsi="宋体"/>
              </w:rPr>
              <w:t>52</w:t>
            </w:r>
          </w:p>
        </w:tc>
        <w:tc>
          <w:tcPr>
            <w:tcW w:w="1182" w:type="pct"/>
            <w:vAlign w:val="center"/>
          </w:tcPr>
          <w:p w14:paraId="6E2D3E69">
            <w:pPr>
              <w:pStyle w:val="13"/>
              <w:jc w:val="center"/>
              <w:rPr>
                <w:rFonts w:hint="eastAsia" w:ascii="宋体" w:hAnsi="宋体"/>
              </w:rPr>
            </w:pPr>
            <w:r>
              <w:rPr>
                <w:rFonts w:hint="eastAsia" w:ascii="宋体" w:hAnsi="宋体"/>
              </w:rPr>
              <w:t>4.87</w:t>
            </w:r>
          </w:p>
        </w:tc>
        <w:tc>
          <w:tcPr>
            <w:tcW w:w="833" w:type="pct"/>
            <w:vAlign w:val="center"/>
          </w:tcPr>
          <w:p w14:paraId="067FF686">
            <w:pPr>
              <w:pStyle w:val="13"/>
              <w:jc w:val="center"/>
              <w:rPr>
                <w:rFonts w:hint="eastAsia" w:ascii="宋体" w:hAnsi="宋体"/>
              </w:rPr>
            </w:pPr>
            <w:r>
              <w:rPr>
                <w:rFonts w:hint="eastAsia" w:ascii="宋体" w:hAnsi="宋体"/>
              </w:rPr>
              <w:t>839.3</w:t>
            </w:r>
          </w:p>
        </w:tc>
        <w:tc>
          <w:tcPr>
            <w:tcW w:w="833" w:type="pct"/>
            <w:vAlign w:val="center"/>
          </w:tcPr>
          <w:p w14:paraId="4371889E">
            <w:pPr>
              <w:pStyle w:val="13"/>
              <w:jc w:val="center"/>
              <w:rPr>
                <w:rFonts w:hint="eastAsia" w:ascii="宋体" w:hAnsi="宋体"/>
              </w:rPr>
            </w:pPr>
            <w:r>
              <w:rPr>
                <w:rFonts w:hint="eastAsia" w:ascii="宋体" w:hAnsi="宋体"/>
              </w:rPr>
              <w:t>2.5</w:t>
            </w:r>
          </w:p>
        </w:tc>
      </w:tr>
    </w:tbl>
    <w:p w14:paraId="2E17CDDF">
      <w:pPr>
        <w:pStyle w:val="4"/>
      </w:pPr>
      <w:r>
        <w:rPr>
          <w:rFonts w:hint="eastAsia"/>
        </w:rPr>
        <w:t>【辐射环境质量】</w:t>
      </w:r>
    </w:p>
    <w:p w14:paraId="30C7C4C5">
      <w:pPr>
        <w:ind w:firstLine="420"/>
        <w:rPr>
          <w:rFonts w:ascii="宋体" w:hAnsi="宋体"/>
        </w:rPr>
      </w:pPr>
      <w:r>
        <w:rPr>
          <w:rFonts w:ascii="宋体" w:hAnsi="宋体"/>
        </w:rPr>
        <w:t>2010年全市辐射环境状</w:t>
      </w:r>
      <w:r>
        <w:rPr>
          <w:rFonts w:hint="eastAsia" w:ascii="宋体" w:hAnsi="宋体"/>
        </w:rPr>
        <w:t>况正常，没有发生涉核放射性环境污染事故。涉源单位珠玑纸业有放射源</w:t>
      </w:r>
      <w:r>
        <w:rPr>
          <w:rFonts w:ascii="宋体" w:hAnsi="宋体"/>
        </w:rPr>
        <w:t>4枚，彤置富水</w:t>
      </w:r>
      <w:r>
        <w:rPr>
          <w:rFonts w:hint="eastAsia" w:ascii="宋体" w:hAnsi="宋体"/>
        </w:rPr>
        <w:t>泥厂有放射源</w:t>
      </w:r>
      <w:r>
        <w:rPr>
          <w:rFonts w:ascii="宋体" w:hAnsi="宋体"/>
        </w:rPr>
        <w:t>2枚，均按国家《放射性污染</w:t>
      </w:r>
      <w:r>
        <w:rPr>
          <w:rFonts w:hint="eastAsia" w:ascii="宋体" w:hAnsi="宋体"/>
        </w:rPr>
        <w:t>防治法》规定建立放射源档案，签定辐射安全责任书，专人保管，备案使用，定期检查。</w:t>
      </w:r>
    </w:p>
    <w:p w14:paraId="48CB5513">
      <w:pPr>
        <w:pStyle w:val="4"/>
      </w:pPr>
      <w:r>
        <w:rPr>
          <w:rFonts w:hint="eastAsia"/>
        </w:rPr>
        <w:t>【生态环境质量】</w:t>
      </w:r>
    </w:p>
    <w:p w14:paraId="5F0B1ABC">
      <w:pPr>
        <w:ind w:firstLine="420"/>
        <w:rPr>
          <w:rFonts w:ascii="宋体" w:hAnsi="宋体"/>
        </w:rPr>
      </w:pPr>
      <w:r>
        <w:rPr>
          <w:rFonts w:hint="eastAsia" w:ascii="宋体" w:hAnsi="宋体"/>
        </w:rPr>
        <w:t>开展乡村“清洁美”工程和城乡环境综合整治，实行“以奖代补”激励机制，完成全安、湖口两个生态示范村镇创建，正在开展帽子峰、主田两镇“清洁美”先行镇创建，累计投放资金</w:t>
      </w:r>
      <w:r>
        <w:rPr>
          <w:rFonts w:ascii="宋体" w:hAnsi="宋体"/>
        </w:rPr>
        <w:t>50多万元，建立</w:t>
      </w:r>
      <w:r>
        <w:rPr>
          <w:rFonts w:hint="eastAsia" w:ascii="宋体" w:hAnsi="宋体"/>
        </w:rPr>
        <w:t>镇村卫生保洁队伍，新建垃圾池，配备垃圾桶，发放生态文明建设读本</w:t>
      </w:r>
      <w:r>
        <w:rPr>
          <w:rFonts w:ascii="宋体" w:hAnsi="宋体"/>
        </w:rPr>
        <w:t>2000册，农村环</w:t>
      </w:r>
      <w:r>
        <w:rPr>
          <w:rFonts w:hint="eastAsia" w:ascii="宋体" w:hAnsi="宋体"/>
        </w:rPr>
        <w:t>境面貌得到改善。</w:t>
      </w:r>
    </w:p>
    <w:p w14:paraId="091C1B32">
      <w:pPr>
        <w:ind w:firstLine="420"/>
        <w:jc w:val="right"/>
        <w:rPr>
          <w:rFonts w:ascii="宋体" w:hAnsi="宋体"/>
        </w:rPr>
      </w:pPr>
      <w:r>
        <w:rPr>
          <w:rFonts w:hint="eastAsia" w:ascii="宋体" w:hAnsi="宋体"/>
        </w:rPr>
        <w:t>（何  高）</w:t>
      </w:r>
    </w:p>
    <w:p w14:paraId="74737143">
      <w:pPr>
        <w:ind w:firstLine="0" w:firstLineChars="0"/>
        <w:jc w:val="center"/>
        <w:rPr>
          <w:rFonts w:hint="eastAsia" w:ascii="宋体" w:hAnsi="宋体"/>
          <w:b/>
          <w:kern w:val="0"/>
        </w:rPr>
      </w:pPr>
      <w:commentRangeStart w:id="8"/>
      <w:r>
        <w:rPr>
          <w:rFonts w:hint="eastAsia" w:ascii="宋体" w:hAnsi="宋体"/>
          <w:b/>
          <w:kern w:val="0"/>
        </w:rPr>
        <w:t xml:space="preserve">表3-10  </w:t>
      </w:r>
      <w:r>
        <w:rPr>
          <w:rFonts w:ascii="宋体" w:hAnsi="宋体"/>
          <w:b/>
          <w:kern w:val="0"/>
        </w:rPr>
        <w:t>2010</w:t>
      </w:r>
      <w:r>
        <w:rPr>
          <w:rFonts w:hint="eastAsia" w:ascii="宋体" w:hAnsi="宋体"/>
          <w:b/>
          <w:kern w:val="0"/>
        </w:rPr>
        <w:t>年</w:t>
      </w:r>
      <w:r>
        <w:rPr>
          <w:rFonts w:hint="eastAsia" w:ascii="宋体" w:hAnsi="宋体" w:cs="宋体"/>
          <w:b/>
          <w:kern w:val="0"/>
        </w:rPr>
        <w:t>饮</w:t>
      </w:r>
      <w:r>
        <w:rPr>
          <w:rFonts w:hint="eastAsia" w:ascii="宋体" w:hAnsi="宋体" w:cs="MS Gothic"/>
          <w:b/>
          <w:kern w:val="0"/>
        </w:rPr>
        <w:t>用水源水</w:t>
      </w:r>
      <w:r>
        <w:rPr>
          <w:rFonts w:hint="eastAsia" w:ascii="宋体" w:hAnsi="宋体" w:cs="宋体"/>
          <w:b/>
          <w:kern w:val="0"/>
        </w:rPr>
        <w:t>质监测结</w:t>
      </w:r>
      <w:r>
        <w:rPr>
          <w:rFonts w:hint="eastAsia" w:ascii="宋体" w:hAnsi="宋体" w:cs="MS Gothic"/>
          <w:b/>
          <w:kern w:val="0"/>
        </w:rPr>
        <w:t>果</w:t>
      </w:r>
      <w:r>
        <w:rPr>
          <w:rFonts w:hint="eastAsia" w:ascii="宋体" w:hAnsi="宋体" w:cs="宋体"/>
          <w:b/>
          <w:kern w:val="0"/>
        </w:rPr>
        <w:t>统计</w:t>
      </w:r>
      <w:r>
        <w:rPr>
          <w:rFonts w:hint="eastAsia" w:ascii="宋体" w:hAnsi="宋体"/>
          <w:b/>
          <w:kern w:val="0"/>
        </w:rPr>
        <w:t>表</w:t>
      </w:r>
      <w:commentRangeEnd w:id="8"/>
      <w:r>
        <w:rPr>
          <w:rStyle w:val="12"/>
          <w:rFonts w:ascii="宋体" w:hAnsi="宋体"/>
        </w:rPr>
        <w:commentReference w:id="8"/>
      </w:r>
    </w:p>
    <w:p w14:paraId="4E527C08">
      <w:pPr>
        <w:ind w:firstLine="0" w:firstLineChars="0"/>
        <w:jc w:val="right"/>
        <w:rPr>
          <w:rFonts w:hint="eastAsia" w:ascii="宋体" w:hAnsi="宋体"/>
          <w:b/>
          <w:kern w:val="0"/>
        </w:rPr>
      </w:pPr>
      <w:r>
        <w:rPr>
          <w:rFonts w:ascii="宋体" w:hAnsi="宋体"/>
          <w:b/>
          <w:kern w:val="0"/>
        </w:rPr>
        <w:t>单位</w:t>
      </w:r>
      <w:r>
        <w:rPr>
          <w:rFonts w:hint="eastAsia" w:ascii="宋体" w:hAnsi="宋体"/>
          <w:b/>
          <w:kern w:val="0"/>
        </w:rPr>
        <w:t>：，m</w:t>
      </w:r>
      <w:r>
        <w:rPr>
          <w:rFonts w:ascii="宋体" w:hAnsi="宋体"/>
          <w:b/>
          <w:kern w:val="0"/>
        </w:rPr>
        <w:t>g</w:t>
      </w:r>
      <w:r>
        <w:rPr>
          <w:rFonts w:hint="eastAsia" w:ascii="宋体" w:hAnsi="宋体"/>
          <w:b/>
          <w:kern w:val="0"/>
        </w:rPr>
        <w:t>/L（pH值：无量纲；粪大肠菌群：个/升；叶绿素a：mg/m</w:t>
      </w:r>
      <w:r>
        <w:rPr>
          <w:rFonts w:hint="eastAsia" w:ascii="宋体" w:hAnsi="宋体"/>
          <w:b/>
          <w:kern w:val="0"/>
          <w:vertAlign w:val="superscript"/>
        </w:rPr>
        <w:t>3</w:t>
      </w:r>
      <w:r>
        <w:rPr>
          <w:rFonts w:hint="eastAsia" w:ascii="宋体" w:hAnsi="宋体"/>
          <w:b/>
          <w:kern w:val="0"/>
        </w:rPr>
        <w:t>;透明度：米）</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611"/>
        <w:gridCol w:w="611"/>
        <w:gridCol w:w="611"/>
        <w:gridCol w:w="611"/>
        <w:gridCol w:w="611"/>
        <w:gridCol w:w="611"/>
        <w:gridCol w:w="612"/>
        <w:gridCol w:w="612"/>
        <w:gridCol w:w="614"/>
        <w:gridCol w:w="614"/>
        <w:gridCol w:w="614"/>
        <w:gridCol w:w="614"/>
        <w:gridCol w:w="614"/>
        <w:gridCol w:w="614"/>
        <w:gridCol w:w="614"/>
        <w:gridCol w:w="614"/>
      </w:tblGrid>
      <w:tr w14:paraId="31E2C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12" w:type="pct"/>
            <w:vAlign w:val="center"/>
          </w:tcPr>
          <w:p w14:paraId="682FE96E">
            <w:pPr>
              <w:pStyle w:val="13"/>
              <w:jc w:val="center"/>
              <w:rPr>
                <w:rFonts w:hint="eastAsia" w:ascii="宋体" w:hAnsi="宋体"/>
                <w:b/>
                <w:w w:val="80"/>
                <w:szCs w:val="21"/>
              </w:rPr>
            </w:pPr>
            <w:r>
              <w:rPr>
                <w:rFonts w:hint="eastAsia" w:ascii="宋体" w:hAnsi="宋体"/>
                <w:b/>
                <w:w w:val="80"/>
                <w:szCs w:val="21"/>
              </w:rPr>
              <w:t>水</w:t>
            </w:r>
          </w:p>
          <w:p w14:paraId="53A395CC">
            <w:pPr>
              <w:pStyle w:val="13"/>
              <w:jc w:val="center"/>
              <w:rPr>
                <w:rFonts w:hint="eastAsia" w:ascii="宋体" w:hAnsi="宋体"/>
                <w:b/>
                <w:w w:val="80"/>
                <w:szCs w:val="21"/>
              </w:rPr>
            </w:pPr>
            <w:r>
              <w:rPr>
                <w:rFonts w:hint="eastAsia" w:ascii="宋体" w:hAnsi="宋体"/>
                <w:b/>
                <w:w w:val="80"/>
                <w:szCs w:val="21"/>
              </w:rPr>
              <w:t>源</w:t>
            </w:r>
          </w:p>
          <w:p w14:paraId="7299F559">
            <w:pPr>
              <w:pStyle w:val="13"/>
              <w:jc w:val="center"/>
              <w:rPr>
                <w:rFonts w:hint="eastAsia" w:ascii="宋体" w:hAnsi="宋体"/>
                <w:b/>
                <w:w w:val="80"/>
                <w:szCs w:val="21"/>
              </w:rPr>
            </w:pPr>
            <w:r>
              <w:rPr>
                <w:rFonts w:hint="eastAsia" w:ascii="宋体" w:hAnsi="宋体"/>
                <w:b/>
                <w:w w:val="80"/>
                <w:szCs w:val="21"/>
              </w:rPr>
              <w:t>地</w:t>
            </w:r>
          </w:p>
          <w:p w14:paraId="2FA237BB">
            <w:pPr>
              <w:pStyle w:val="13"/>
              <w:jc w:val="center"/>
              <w:rPr>
                <w:rFonts w:hint="eastAsia" w:ascii="宋体" w:hAnsi="宋体"/>
                <w:b/>
                <w:w w:val="80"/>
                <w:szCs w:val="21"/>
              </w:rPr>
            </w:pPr>
            <w:r>
              <w:rPr>
                <w:rFonts w:hint="eastAsia" w:ascii="宋体" w:hAnsi="宋体"/>
                <w:b/>
                <w:w w:val="80"/>
                <w:szCs w:val="21"/>
              </w:rPr>
              <w:t>名</w:t>
            </w:r>
          </w:p>
          <w:p w14:paraId="4B8F9055">
            <w:pPr>
              <w:pStyle w:val="13"/>
              <w:jc w:val="center"/>
              <w:rPr>
                <w:rFonts w:hint="eastAsia" w:ascii="宋体" w:hAnsi="宋体"/>
                <w:b/>
                <w:w w:val="80"/>
                <w:szCs w:val="21"/>
              </w:rPr>
            </w:pPr>
            <w:r>
              <w:rPr>
                <w:rFonts w:hint="eastAsia" w:ascii="宋体" w:hAnsi="宋体"/>
                <w:b/>
                <w:w w:val="80"/>
                <w:szCs w:val="21"/>
              </w:rPr>
              <w:t>称</w:t>
            </w:r>
          </w:p>
        </w:tc>
        <w:tc>
          <w:tcPr>
            <w:tcW w:w="312" w:type="pct"/>
            <w:vAlign w:val="center"/>
          </w:tcPr>
          <w:p w14:paraId="1AD7CBF1">
            <w:pPr>
              <w:pStyle w:val="13"/>
              <w:jc w:val="center"/>
              <w:rPr>
                <w:rFonts w:hint="eastAsia" w:ascii="宋体" w:hAnsi="宋体"/>
                <w:b/>
                <w:w w:val="80"/>
                <w:szCs w:val="21"/>
              </w:rPr>
            </w:pPr>
            <w:r>
              <w:rPr>
                <w:rFonts w:hint="eastAsia" w:ascii="宋体" w:hAnsi="宋体"/>
                <w:b/>
                <w:w w:val="80"/>
                <w:szCs w:val="21"/>
              </w:rPr>
              <w:t>指</w:t>
            </w:r>
          </w:p>
          <w:p w14:paraId="7256D249">
            <w:pPr>
              <w:pStyle w:val="13"/>
              <w:jc w:val="center"/>
              <w:rPr>
                <w:rFonts w:hint="eastAsia" w:ascii="宋体" w:hAnsi="宋体"/>
                <w:b/>
                <w:w w:val="80"/>
                <w:szCs w:val="21"/>
              </w:rPr>
            </w:pPr>
            <w:r>
              <w:rPr>
                <w:rFonts w:hint="eastAsia" w:ascii="宋体" w:hAnsi="宋体"/>
                <w:b/>
                <w:w w:val="80"/>
                <w:szCs w:val="21"/>
              </w:rPr>
              <w:t>标</w:t>
            </w:r>
          </w:p>
        </w:tc>
        <w:tc>
          <w:tcPr>
            <w:tcW w:w="312" w:type="pct"/>
            <w:vAlign w:val="center"/>
          </w:tcPr>
          <w:p w14:paraId="1BA9A4D6">
            <w:pPr>
              <w:pStyle w:val="13"/>
              <w:jc w:val="center"/>
              <w:rPr>
                <w:rFonts w:hint="eastAsia" w:ascii="宋体" w:hAnsi="宋体"/>
                <w:b/>
                <w:w w:val="80"/>
                <w:szCs w:val="21"/>
              </w:rPr>
            </w:pPr>
            <w:r>
              <w:rPr>
                <w:rFonts w:ascii="宋体" w:hAnsi="宋体"/>
                <w:b/>
                <w:w w:val="80"/>
                <w:szCs w:val="21"/>
              </w:rPr>
              <w:t>P</w:t>
            </w:r>
          </w:p>
          <w:p w14:paraId="524B83D0">
            <w:pPr>
              <w:pStyle w:val="13"/>
              <w:jc w:val="center"/>
              <w:rPr>
                <w:rFonts w:hint="eastAsia" w:ascii="宋体" w:hAnsi="宋体"/>
                <w:b/>
                <w:w w:val="80"/>
                <w:szCs w:val="21"/>
              </w:rPr>
            </w:pPr>
            <w:r>
              <w:rPr>
                <w:rFonts w:hint="eastAsia" w:ascii="宋体" w:hAnsi="宋体"/>
                <w:b/>
                <w:w w:val="80"/>
                <w:szCs w:val="21"/>
              </w:rPr>
              <w:t>H</w:t>
            </w:r>
          </w:p>
          <w:p w14:paraId="2CA93A9F">
            <w:pPr>
              <w:pStyle w:val="13"/>
              <w:jc w:val="center"/>
              <w:rPr>
                <w:rFonts w:hint="eastAsia" w:ascii="宋体" w:hAnsi="宋体"/>
                <w:b/>
                <w:w w:val="80"/>
                <w:szCs w:val="21"/>
              </w:rPr>
            </w:pPr>
            <w:r>
              <w:rPr>
                <w:rFonts w:hint="eastAsia" w:ascii="宋体" w:hAnsi="宋体"/>
                <w:b/>
                <w:w w:val="80"/>
                <w:szCs w:val="21"/>
              </w:rPr>
              <w:t>值</w:t>
            </w:r>
          </w:p>
        </w:tc>
        <w:tc>
          <w:tcPr>
            <w:tcW w:w="312" w:type="pct"/>
            <w:vAlign w:val="center"/>
          </w:tcPr>
          <w:p w14:paraId="6178E875">
            <w:pPr>
              <w:pStyle w:val="13"/>
              <w:jc w:val="center"/>
              <w:rPr>
                <w:rFonts w:hint="eastAsia" w:ascii="宋体" w:hAnsi="宋体"/>
                <w:b/>
                <w:w w:val="80"/>
                <w:szCs w:val="21"/>
              </w:rPr>
            </w:pPr>
            <w:r>
              <w:rPr>
                <w:rFonts w:hint="eastAsia" w:ascii="宋体" w:hAnsi="宋体"/>
                <w:b/>
                <w:w w:val="80"/>
                <w:szCs w:val="21"/>
              </w:rPr>
              <w:t>溶</w:t>
            </w:r>
          </w:p>
          <w:p w14:paraId="7A6DFFFA">
            <w:pPr>
              <w:pStyle w:val="13"/>
              <w:jc w:val="center"/>
              <w:rPr>
                <w:rFonts w:hint="eastAsia" w:ascii="宋体" w:hAnsi="宋体"/>
                <w:b/>
                <w:w w:val="80"/>
                <w:szCs w:val="21"/>
              </w:rPr>
            </w:pPr>
            <w:r>
              <w:rPr>
                <w:rFonts w:hint="eastAsia" w:ascii="宋体" w:hAnsi="宋体"/>
                <w:b/>
                <w:w w:val="80"/>
                <w:szCs w:val="21"/>
              </w:rPr>
              <w:t>解</w:t>
            </w:r>
          </w:p>
          <w:p w14:paraId="529BF3DA">
            <w:pPr>
              <w:pStyle w:val="13"/>
              <w:jc w:val="center"/>
              <w:rPr>
                <w:rFonts w:hint="eastAsia" w:ascii="宋体" w:hAnsi="宋体"/>
                <w:b/>
                <w:w w:val="80"/>
                <w:szCs w:val="21"/>
              </w:rPr>
            </w:pPr>
            <w:r>
              <w:rPr>
                <w:rFonts w:hint="eastAsia" w:ascii="宋体" w:hAnsi="宋体"/>
                <w:b/>
                <w:w w:val="80"/>
                <w:szCs w:val="21"/>
              </w:rPr>
              <w:t>氧</w:t>
            </w:r>
          </w:p>
        </w:tc>
        <w:tc>
          <w:tcPr>
            <w:tcW w:w="312" w:type="pct"/>
            <w:vAlign w:val="center"/>
          </w:tcPr>
          <w:p w14:paraId="33275D1C">
            <w:pPr>
              <w:pStyle w:val="13"/>
              <w:jc w:val="center"/>
              <w:rPr>
                <w:rFonts w:hint="eastAsia" w:ascii="宋体" w:hAnsi="宋体"/>
                <w:b/>
                <w:w w:val="80"/>
                <w:szCs w:val="21"/>
              </w:rPr>
            </w:pPr>
            <w:r>
              <w:rPr>
                <w:rFonts w:hint="eastAsia" w:ascii="宋体" w:hAnsi="宋体"/>
                <w:b/>
                <w:w w:val="80"/>
                <w:szCs w:val="21"/>
              </w:rPr>
              <w:t>高</w:t>
            </w:r>
          </w:p>
          <w:p w14:paraId="5B0A9990">
            <w:pPr>
              <w:pStyle w:val="13"/>
              <w:jc w:val="center"/>
              <w:rPr>
                <w:rFonts w:hint="eastAsia" w:ascii="宋体" w:hAnsi="宋体"/>
                <w:b/>
                <w:w w:val="80"/>
                <w:szCs w:val="21"/>
              </w:rPr>
            </w:pPr>
            <w:r>
              <w:rPr>
                <w:rFonts w:hint="eastAsia" w:ascii="宋体" w:hAnsi="宋体"/>
                <w:b/>
                <w:w w:val="80"/>
                <w:szCs w:val="21"/>
              </w:rPr>
              <w:t>锰</w:t>
            </w:r>
          </w:p>
          <w:p w14:paraId="5D22D879">
            <w:pPr>
              <w:pStyle w:val="13"/>
              <w:jc w:val="center"/>
              <w:rPr>
                <w:rFonts w:hint="eastAsia" w:ascii="宋体" w:hAnsi="宋体"/>
                <w:b/>
                <w:w w:val="80"/>
                <w:szCs w:val="21"/>
              </w:rPr>
            </w:pPr>
            <w:r>
              <w:rPr>
                <w:rFonts w:hint="eastAsia" w:ascii="宋体" w:hAnsi="宋体"/>
                <w:b/>
                <w:w w:val="80"/>
                <w:szCs w:val="21"/>
              </w:rPr>
              <w:t>酸</w:t>
            </w:r>
          </w:p>
          <w:p w14:paraId="63309D64">
            <w:pPr>
              <w:pStyle w:val="13"/>
              <w:jc w:val="center"/>
              <w:rPr>
                <w:rFonts w:hint="eastAsia" w:ascii="宋体" w:hAnsi="宋体"/>
                <w:b/>
                <w:w w:val="80"/>
                <w:szCs w:val="21"/>
              </w:rPr>
            </w:pPr>
            <w:r>
              <w:rPr>
                <w:rFonts w:hint="eastAsia" w:ascii="宋体" w:hAnsi="宋体"/>
                <w:b/>
                <w:w w:val="80"/>
                <w:szCs w:val="21"/>
              </w:rPr>
              <w:t>盐</w:t>
            </w:r>
          </w:p>
          <w:p w14:paraId="771C0607">
            <w:pPr>
              <w:pStyle w:val="13"/>
              <w:jc w:val="center"/>
              <w:rPr>
                <w:rFonts w:hint="eastAsia" w:ascii="宋体" w:hAnsi="宋体"/>
                <w:b/>
                <w:w w:val="80"/>
                <w:szCs w:val="21"/>
              </w:rPr>
            </w:pPr>
            <w:r>
              <w:rPr>
                <w:rFonts w:hint="eastAsia" w:ascii="宋体" w:hAnsi="宋体"/>
                <w:b/>
                <w:w w:val="80"/>
                <w:szCs w:val="21"/>
              </w:rPr>
              <w:t>指</w:t>
            </w:r>
          </w:p>
          <w:p w14:paraId="1C2F1CAE">
            <w:pPr>
              <w:pStyle w:val="13"/>
              <w:jc w:val="center"/>
              <w:rPr>
                <w:rFonts w:hint="eastAsia" w:ascii="宋体" w:hAnsi="宋体"/>
                <w:b/>
                <w:w w:val="80"/>
                <w:szCs w:val="21"/>
              </w:rPr>
            </w:pPr>
            <w:r>
              <w:rPr>
                <w:rFonts w:hint="eastAsia" w:ascii="宋体" w:hAnsi="宋体"/>
                <w:b/>
                <w:w w:val="80"/>
                <w:szCs w:val="21"/>
              </w:rPr>
              <w:t>数</w:t>
            </w:r>
          </w:p>
        </w:tc>
        <w:tc>
          <w:tcPr>
            <w:tcW w:w="312" w:type="pct"/>
            <w:vAlign w:val="center"/>
          </w:tcPr>
          <w:p w14:paraId="28AABBD4">
            <w:pPr>
              <w:pStyle w:val="13"/>
              <w:jc w:val="center"/>
              <w:rPr>
                <w:rFonts w:hint="eastAsia" w:ascii="宋体" w:hAnsi="宋体"/>
                <w:b/>
                <w:w w:val="80"/>
                <w:szCs w:val="21"/>
              </w:rPr>
            </w:pPr>
            <w:r>
              <w:rPr>
                <w:rFonts w:hint="eastAsia" w:ascii="宋体" w:hAnsi="宋体"/>
                <w:b/>
                <w:w w:val="80"/>
                <w:szCs w:val="21"/>
              </w:rPr>
              <w:t>五</w:t>
            </w:r>
          </w:p>
          <w:p w14:paraId="2E2D9022">
            <w:pPr>
              <w:pStyle w:val="13"/>
              <w:jc w:val="center"/>
              <w:rPr>
                <w:rFonts w:hint="eastAsia" w:ascii="宋体" w:hAnsi="宋体"/>
                <w:b/>
                <w:w w:val="80"/>
                <w:szCs w:val="21"/>
              </w:rPr>
            </w:pPr>
            <w:r>
              <w:rPr>
                <w:rFonts w:hint="eastAsia" w:ascii="宋体" w:hAnsi="宋体"/>
                <w:b/>
                <w:w w:val="80"/>
                <w:szCs w:val="21"/>
              </w:rPr>
              <w:t>日</w:t>
            </w:r>
          </w:p>
          <w:p w14:paraId="36A8A37D">
            <w:pPr>
              <w:pStyle w:val="13"/>
              <w:jc w:val="center"/>
              <w:rPr>
                <w:rFonts w:hint="eastAsia" w:ascii="宋体" w:hAnsi="宋体"/>
                <w:b/>
                <w:w w:val="80"/>
                <w:szCs w:val="21"/>
              </w:rPr>
            </w:pPr>
            <w:r>
              <w:rPr>
                <w:rFonts w:hint="eastAsia" w:ascii="宋体" w:hAnsi="宋体"/>
                <w:b/>
                <w:w w:val="80"/>
                <w:szCs w:val="21"/>
              </w:rPr>
              <w:t>生</w:t>
            </w:r>
          </w:p>
          <w:p w14:paraId="38BCEFEA">
            <w:pPr>
              <w:pStyle w:val="13"/>
              <w:jc w:val="center"/>
              <w:rPr>
                <w:rFonts w:hint="eastAsia" w:ascii="宋体" w:hAnsi="宋体"/>
                <w:b/>
                <w:w w:val="80"/>
                <w:szCs w:val="21"/>
              </w:rPr>
            </w:pPr>
            <w:r>
              <w:rPr>
                <w:rFonts w:hint="eastAsia" w:ascii="宋体" w:hAnsi="宋体"/>
                <w:b/>
                <w:w w:val="80"/>
                <w:szCs w:val="21"/>
              </w:rPr>
              <w:t>化</w:t>
            </w:r>
          </w:p>
          <w:p w14:paraId="1F15B140">
            <w:pPr>
              <w:pStyle w:val="13"/>
              <w:jc w:val="center"/>
              <w:rPr>
                <w:rFonts w:hint="eastAsia" w:ascii="宋体" w:hAnsi="宋体"/>
                <w:b/>
                <w:w w:val="80"/>
                <w:szCs w:val="21"/>
              </w:rPr>
            </w:pPr>
            <w:r>
              <w:rPr>
                <w:rFonts w:hint="eastAsia" w:ascii="宋体" w:hAnsi="宋体"/>
                <w:b/>
                <w:w w:val="80"/>
                <w:szCs w:val="21"/>
              </w:rPr>
              <w:t>需</w:t>
            </w:r>
          </w:p>
          <w:p w14:paraId="0DD4241C">
            <w:pPr>
              <w:pStyle w:val="13"/>
              <w:jc w:val="center"/>
              <w:rPr>
                <w:rFonts w:hint="eastAsia" w:ascii="宋体" w:hAnsi="宋体"/>
                <w:b/>
                <w:w w:val="80"/>
                <w:szCs w:val="21"/>
              </w:rPr>
            </w:pPr>
            <w:r>
              <w:rPr>
                <w:rFonts w:hint="eastAsia" w:ascii="宋体" w:hAnsi="宋体"/>
                <w:b/>
                <w:w w:val="80"/>
                <w:szCs w:val="21"/>
              </w:rPr>
              <w:t>氧</w:t>
            </w:r>
          </w:p>
          <w:p w14:paraId="3174B224">
            <w:pPr>
              <w:pStyle w:val="13"/>
              <w:jc w:val="center"/>
              <w:rPr>
                <w:rFonts w:hint="eastAsia" w:ascii="宋体" w:hAnsi="宋体"/>
                <w:b/>
                <w:w w:val="80"/>
                <w:szCs w:val="21"/>
              </w:rPr>
            </w:pPr>
            <w:r>
              <w:rPr>
                <w:rFonts w:hint="eastAsia" w:ascii="宋体" w:hAnsi="宋体"/>
                <w:b/>
                <w:w w:val="80"/>
                <w:szCs w:val="21"/>
              </w:rPr>
              <w:t>量</w:t>
            </w:r>
          </w:p>
        </w:tc>
        <w:tc>
          <w:tcPr>
            <w:tcW w:w="312" w:type="pct"/>
            <w:vAlign w:val="center"/>
          </w:tcPr>
          <w:p w14:paraId="0E9F19AD">
            <w:pPr>
              <w:pStyle w:val="13"/>
              <w:jc w:val="center"/>
              <w:rPr>
                <w:rFonts w:hint="eastAsia" w:ascii="宋体" w:hAnsi="宋体"/>
                <w:b/>
                <w:w w:val="80"/>
                <w:szCs w:val="21"/>
              </w:rPr>
            </w:pPr>
            <w:r>
              <w:rPr>
                <w:rFonts w:hint="eastAsia" w:ascii="宋体" w:hAnsi="宋体"/>
                <w:b/>
                <w:w w:val="80"/>
                <w:szCs w:val="21"/>
              </w:rPr>
              <w:t>氨</w:t>
            </w:r>
          </w:p>
          <w:p w14:paraId="25A86CEA">
            <w:pPr>
              <w:pStyle w:val="13"/>
              <w:jc w:val="center"/>
              <w:rPr>
                <w:rFonts w:hint="eastAsia" w:ascii="宋体" w:hAnsi="宋体"/>
                <w:b/>
                <w:w w:val="80"/>
                <w:szCs w:val="21"/>
              </w:rPr>
            </w:pPr>
            <w:r>
              <w:rPr>
                <w:rFonts w:hint="eastAsia" w:ascii="宋体" w:hAnsi="宋体"/>
                <w:b/>
                <w:w w:val="80"/>
                <w:szCs w:val="21"/>
              </w:rPr>
              <w:t>氮</w:t>
            </w:r>
          </w:p>
        </w:tc>
        <w:tc>
          <w:tcPr>
            <w:tcW w:w="312" w:type="pct"/>
            <w:vAlign w:val="center"/>
          </w:tcPr>
          <w:p w14:paraId="1CD6B984">
            <w:pPr>
              <w:pStyle w:val="13"/>
              <w:jc w:val="center"/>
              <w:rPr>
                <w:rFonts w:hint="eastAsia" w:ascii="宋体" w:hAnsi="宋体"/>
                <w:b/>
                <w:w w:val="80"/>
                <w:szCs w:val="21"/>
              </w:rPr>
            </w:pPr>
            <w:r>
              <w:rPr>
                <w:rFonts w:hint="eastAsia" w:ascii="宋体" w:hAnsi="宋体"/>
                <w:b/>
                <w:w w:val="80"/>
                <w:szCs w:val="21"/>
              </w:rPr>
              <w:t>总</w:t>
            </w:r>
          </w:p>
          <w:p w14:paraId="4651CD2E">
            <w:pPr>
              <w:pStyle w:val="13"/>
              <w:jc w:val="center"/>
              <w:rPr>
                <w:rFonts w:hint="eastAsia" w:ascii="宋体" w:hAnsi="宋体"/>
                <w:b/>
                <w:w w:val="80"/>
                <w:szCs w:val="21"/>
              </w:rPr>
            </w:pPr>
            <w:r>
              <w:rPr>
                <w:rFonts w:hint="eastAsia" w:ascii="宋体" w:hAnsi="宋体"/>
                <w:b/>
                <w:w w:val="80"/>
                <w:szCs w:val="21"/>
              </w:rPr>
              <w:t>磷</w:t>
            </w:r>
          </w:p>
        </w:tc>
        <w:tc>
          <w:tcPr>
            <w:tcW w:w="313" w:type="pct"/>
            <w:vAlign w:val="center"/>
          </w:tcPr>
          <w:p w14:paraId="698BDB88">
            <w:pPr>
              <w:pStyle w:val="13"/>
              <w:jc w:val="center"/>
              <w:rPr>
                <w:rFonts w:hint="eastAsia" w:ascii="宋体" w:hAnsi="宋体"/>
                <w:b/>
                <w:w w:val="80"/>
                <w:szCs w:val="21"/>
              </w:rPr>
            </w:pPr>
            <w:r>
              <w:rPr>
                <w:rFonts w:hint="eastAsia" w:ascii="宋体" w:hAnsi="宋体"/>
                <w:b/>
                <w:w w:val="80"/>
                <w:szCs w:val="21"/>
              </w:rPr>
              <w:t>铜</w:t>
            </w:r>
          </w:p>
        </w:tc>
        <w:tc>
          <w:tcPr>
            <w:tcW w:w="313" w:type="pct"/>
            <w:vAlign w:val="center"/>
          </w:tcPr>
          <w:p w14:paraId="235139A1">
            <w:pPr>
              <w:pStyle w:val="13"/>
              <w:jc w:val="center"/>
              <w:rPr>
                <w:rFonts w:hint="eastAsia" w:ascii="宋体" w:hAnsi="宋体"/>
                <w:b/>
                <w:w w:val="80"/>
                <w:szCs w:val="21"/>
              </w:rPr>
            </w:pPr>
            <w:r>
              <w:rPr>
                <w:rFonts w:hint="eastAsia" w:ascii="宋体" w:hAnsi="宋体"/>
                <w:b/>
                <w:w w:val="80"/>
                <w:szCs w:val="21"/>
              </w:rPr>
              <w:t>锌</w:t>
            </w:r>
          </w:p>
        </w:tc>
        <w:tc>
          <w:tcPr>
            <w:tcW w:w="313" w:type="pct"/>
            <w:vAlign w:val="center"/>
          </w:tcPr>
          <w:p w14:paraId="4F017EC9">
            <w:pPr>
              <w:pStyle w:val="13"/>
              <w:jc w:val="center"/>
              <w:rPr>
                <w:rFonts w:hint="eastAsia" w:ascii="宋体" w:hAnsi="宋体"/>
                <w:b/>
                <w:w w:val="80"/>
                <w:szCs w:val="21"/>
              </w:rPr>
            </w:pPr>
            <w:r>
              <w:rPr>
                <w:rFonts w:hint="eastAsia" w:ascii="宋体" w:hAnsi="宋体"/>
                <w:b/>
                <w:w w:val="80"/>
                <w:szCs w:val="21"/>
              </w:rPr>
              <w:t>氟</w:t>
            </w:r>
          </w:p>
          <w:p w14:paraId="72618FB9">
            <w:pPr>
              <w:pStyle w:val="13"/>
              <w:jc w:val="center"/>
              <w:rPr>
                <w:rFonts w:hint="eastAsia" w:ascii="宋体" w:hAnsi="宋体"/>
                <w:b/>
                <w:w w:val="80"/>
                <w:szCs w:val="21"/>
              </w:rPr>
            </w:pPr>
            <w:r>
              <w:rPr>
                <w:rFonts w:hint="eastAsia" w:ascii="宋体" w:hAnsi="宋体"/>
                <w:b/>
                <w:w w:val="80"/>
                <w:szCs w:val="21"/>
              </w:rPr>
              <w:t>化</w:t>
            </w:r>
          </w:p>
          <w:p w14:paraId="353AF341">
            <w:pPr>
              <w:pStyle w:val="13"/>
              <w:jc w:val="center"/>
              <w:rPr>
                <w:rFonts w:hint="eastAsia" w:ascii="宋体" w:hAnsi="宋体"/>
                <w:b/>
                <w:w w:val="80"/>
                <w:szCs w:val="21"/>
              </w:rPr>
            </w:pPr>
            <w:r>
              <w:rPr>
                <w:rFonts w:hint="eastAsia" w:ascii="宋体" w:hAnsi="宋体"/>
                <w:b/>
                <w:w w:val="80"/>
                <w:szCs w:val="21"/>
              </w:rPr>
              <w:t>物</w:t>
            </w:r>
          </w:p>
        </w:tc>
        <w:tc>
          <w:tcPr>
            <w:tcW w:w="313" w:type="pct"/>
            <w:vAlign w:val="center"/>
          </w:tcPr>
          <w:p w14:paraId="41D7E5B7">
            <w:pPr>
              <w:pStyle w:val="13"/>
              <w:jc w:val="center"/>
              <w:rPr>
                <w:rFonts w:hint="eastAsia" w:ascii="宋体" w:hAnsi="宋体"/>
                <w:b/>
                <w:w w:val="80"/>
                <w:szCs w:val="21"/>
              </w:rPr>
            </w:pPr>
            <w:r>
              <w:rPr>
                <w:rFonts w:hint="eastAsia" w:ascii="宋体" w:hAnsi="宋体"/>
                <w:b/>
                <w:w w:val="80"/>
                <w:szCs w:val="21"/>
              </w:rPr>
              <w:t>硒</w:t>
            </w:r>
          </w:p>
        </w:tc>
        <w:tc>
          <w:tcPr>
            <w:tcW w:w="313" w:type="pct"/>
            <w:vAlign w:val="center"/>
          </w:tcPr>
          <w:p w14:paraId="0868313F">
            <w:pPr>
              <w:pStyle w:val="13"/>
              <w:jc w:val="center"/>
              <w:rPr>
                <w:rFonts w:hint="eastAsia" w:ascii="宋体" w:hAnsi="宋体"/>
                <w:b/>
                <w:w w:val="80"/>
                <w:szCs w:val="21"/>
              </w:rPr>
            </w:pPr>
            <w:r>
              <w:rPr>
                <w:rFonts w:hint="eastAsia" w:ascii="宋体" w:hAnsi="宋体"/>
                <w:b/>
                <w:w w:val="80"/>
                <w:szCs w:val="21"/>
              </w:rPr>
              <w:t>砷</w:t>
            </w:r>
          </w:p>
        </w:tc>
        <w:tc>
          <w:tcPr>
            <w:tcW w:w="313" w:type="pct"/>
            <w:vAlign w:val="center"/>
          </w:tcPr>
          <w:p w14:paraId="7863A571">
            <w:pPr>
              <w:pStyle w:val="13"/>
              <w:jc w:val="center"/>
              <w:rPr>
                <w:rFonts w:hint="eastAsia" w:ascii="宋体" w:hAnsi="宋体"/>
                <w:b/>
                <w:w w:val="80"/>
                <w:szCs w:val="21"/>
              </w:rPr>
            </w:pPr>
            <w:r>
              <w:rPr>
                <w:rFonts w:hint="eastAsia" w:ascii="宋体" w:hAnsi="宋体"/>
                <w:b/>
                <w:w w:val="80"/>
                <w:szCs w:val="21"/>
              </w:rPr>
              <w:t>汞</w:t>
            </w:r>
          </w:p>
        </w:tc>
        <w:tc>
          <w:tcPr>
            <w:tcW w:w="313" w:type="pct"/>
            <w:vAlign w:val="center"/>
          </w:tcPr>
          <w:p w14:paraId="5DBE484E">
            <w:pPr>
              <w:pStyle w:val="13"/>
              <w:jc w:val="center"/>
              <w:rPr>
                <w:rFonts w:hint="eastAsia" w:ascii="宋体" w:hAnsi="宋体"/>
                <w:b/>
                <w:w w:val="80"/>
                <w:szCs w:val="21"/>
              </w:rPr>
            </w:pPr>
            <w:r>
              <w:rPr>
                <w:rFonts w:hint="eastAsia" w:ascii="宋体" w:hAnsi="宋体"/>
                <w:b/>
                <w:w w:val="80"/>
                <w:szCs w:val="21"/>
              </w:rPr>
              <w:t>镉</w:t>
            </w:r>
          </w:p>
        </w:tc>
        <w:tc>
          <w:tcPr>
            <w:tcW w:w="313" w:type="pct"/>
            <w:vAlign w:val="center"/>
          </w:tcPr>
          <w:p w14:paraId="6DE00E56">
            <w:pPr>
              <w:pStyle w:val="13"/>
              <w:jc w:val="center"/>
              <w:rPr>
                <w:rFonts w:hint="eastAsia" w:ascii="宋体" w:hAnsi="宋体"/>
                <w:b/>
                <w:w w:val="80"/>
                <w:szCs w:val="21"/>
              </w:rPr>
            </w:pPr>
            <w:r>
              <w:rPr>
                <w:rFonts w:hint="eastAsia" w:ascii="宋体" w:hAnsi="宋体"/>
                <w:b/>
                <w:w w:val="80"/>
                <w:szCs w:val="21"/>
              </w:rPr>
              <w:t>六</w:t>
            </w:r>
          </w:p>
          <w:p w14:paraId="13408FDD">
            <w:pPr>
              <w:pStyle w:val="13"/>
              <w:jc w:val="center"/>
              <w:rPr>
                <w:rFonts w:hint="eastAsia" w:ascii="宋体" w:hAnsi="宋体"/>
                <w:b/>
                <w:w w:val="80"/>
                <w:szCs w:val="21"/>
              </w:rPr>
            </w:pPr>
            <w:r>
              <w:rPr>
                <w:rFonts w:hint="eastAsia" w:ascii="宋体" w:hAnsi="宋体"/>
                <w:b/>
                <w:w w:val="80"/>
                <w:szCs w:val="21"/>
              </w:rPr>
              <w:t>价</w:t>
            </w:r>
          </w:p>
          <w:p w14:paraId="1D79283E">
            <w:pPr>
              <w:pStyle w:val="13"/>
              <w:jc w:val="center"/>
              <w:rPr>
                <w:rFonts w:hint="eastAsia" w:ascii="宋体" w:hAnsi="宋体"/>
                <w:b/>
                <w:w w:val="80"/>
                <w:szCs w:val="21"/>
              </w:rPr>
            </w:pPr>
            <w:r>
              <w:rPr>
                <w:rFonts w:hint="eastAsia" w:ascii="宋体" w:hAnsi="宋体"/>
                <w:b/>
                <w:w w:val="80"/>
                <w:szCs w:val="21"/>
              </w:rPr>
              <w:t>铬</w:t>
            </w:r>
          </w:p>
        </w:tc>
      </w:tr>
      <w:tr w14:paraId="40A47D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12" w:type="pct"/>
            <w:vMerge w:val="restart"/>
            <w:vAlign w:val="center"/>
          </w:tcPr>
          <w:p w14:paraId="0B2B91DD">
            <w:pPr>
              <w:pStyle w:val="13"/>
              <w:jc w:val="center"/>
              <w:rPr>
                <w:rFonts w:hint="eastAsia" w:ascii="宋体" w:hAnsi="宋体"/>
                <w:w w:val="80"/>
                <w:szCs w:val="21"/>
              </w:rPr>
            </w:pPr>
            <w:r>
              <w:rPr>
                <w:rFonts w:hint="eastAsia" w:ascii="宋体" w:hAnsi="宋体"/>
                <w:w w:val="80"/>
                <w:szCs w:val="21"/>
              </w:rPr>
              <w:t>瀑</w:t>
            </w:r>
          </w:p>
          <w:p w14:paraId="07721779">
            <w:pPr>
              <w:pStyle w:val="13"/>
              <w:jc w:val="center"/>
              <w:rPr>
                <w:rFonts w:hint="eastAsia" w:ascii="宋体" w:hAnsi="宋体"/>
                <w:w w:val="80"/>
                <w:szCs w:val="21"/>
              </w:rPr>
            </w:pPr>
            <w:r>
              <w:rPr>
                <w:rFonts w:hint="eastAsia" w:ascii="宋体" w:hAnsi="宋体"/>
                <w:w w:val="80"/>
                <w:szCs w:val="21"/>
              </w:rPr>
              <w:t>布</w:t>
            </w:r>
          </w:p>
          <w:p w14:paraId="57994CAF">
            <w:pPr>
              <w:pStyle w:val="13"/>
              <w:jc w:val="center"/>
              <w:rPr>
                <w:rFonts w:hint="eastAsia" w:ascii="宋体" w:hAnsi="宋体"/>
                <w:w w:val="80"/>
                <w:szCs w:val="21"/>
              </w:rPr>
            </w:pPr>
            <w:r>
              <w:rPr>
                <w:rFonts w:hint="eastAsia" w:ascii="宋体" w:hAnsi="宋体"/>
                <w:w w:val="80"/>
                <w:szCs w:val="21"/>
              </w:rPr>
              <w:t>水</w:t>
            </w:r>
          </w:p>
          <w:p w14:paraId="61614565">
            <w:pPr>
              <w:pStyle w:val="13"/>
              <w:jc w:val="center"/>
              <w:rPr>
                <w:rFonts w:hint="eastAsia" w:ascii="宋体" w:hAnsi="宋体"/>
                <w:w w:val="80"/>
                <w:szCs w:val="21"/>
              </w:rPr>
            </w:pPr>
            <w:r>
              <w:rPr>
                <w:rFonts w:hint="eastAsia" w:ascii="宋体" w:hAnsi="宋体"/>
                <w:w w:val="80"/>
                <w:szCs w:val="21"/>
              </w:rPr>
              <w:t>库</w:t>
            </w:r>
          </w:p>
          <w:p w14:paraId="4AADD402">
            <w:pPr>
              <w:pStyle w:val="13"/>
              <w:jc w:val="center"/>
              <w:rPr>
                <w:rFonts w:hint="eastAsia" w:ascii="宋体" w:hAnsi="宋体"/>
                <w:w w:val="80"/>
                <w:szCs w:val="21"/>
              </w:rPr>
            </w:pPr>
            <w:r>
              <w:rPr>
                <w:rFonts w:hint="eastAsia" w:ascii="宋体" w:hAnsi="宋体"/>
                <w:w w:val="80"/>
                <w:szCs w:val="21"/>
              </w:rPr>
              <w:t>塘</w:t>
            </w:r>
          </w:p>
          <w:p w14:paraId="1D40C66D">
            <w:pPr>
              <w:pStyle w:val="13"/>
              <w:jc w:val="center"/>
              <w:rPr>
                <w:rFonts w:hint="eastAsia" w:ascii="宋体" w:hAnsi="宋体"/>
                <w:w w:val="80"/>
                <w:szCs w:val="21"/>
              </w:rPr>
            </w:pPr>
            <w:r>
              <w:rPr>
                <w:rFonts w:hint="eastAsia" w:ascii="宋体" w:hAnsi="宋体"/>
                <w:w w:val="80"/>
                <w:szCs w:val="21"/>
              </w:rPr>
              <w:t>坪</w:t>
            </w:r>
          </w:p>
        </w:tc>
        <w:tc>
          <w:tcPr>
            <w:tcW w:w="312" w:type="pct"/>
            <w:vAlign w:val="center"/>
          </w:tcPr>
          <w:p w14:paraId="59E1DC9F">
            <w:pPr>
              <w:pStyle w:val="13"/>
              <w:jc w:val="center"/>
              <w:rPr>
                <w:rFonts w:hint="eastAsia" w:ascii="宋体" w:hAnsi="宋体"/>
                <w:w w:val="80"/>
                <w:szCs w:val="21"/>
              </w:rPr>
            </w:pPr>
            <w:r>
              <w:rPr>
                <w:rFonts w:hint="eastAsia" w:ascii="宋体" w:hAnsi="宋体"/>
                <w:w w:val="80"/>
                <w:szCs w:val="21"/>
              </w:rPr>
              <w:t>最</w:t>
            </w:r>
          </w:p>
          <w:p w14:paraId="0856E951">
            <w:pPr>
              <w:pStyle w:val="13"/>
              <w:jc w:val="center"/>
              <w:rPr>
                <w:rFonts w:hint="eastAsia" w:ascii="宋体" w:hAnsi="宋体"/>
                <w:w w:val="80"/>
                <w:szCs w:val="21"/>
              </w:rPr>
            </w:pPr>
            <w:r>
              <w:rPr>
                <w:rFonts w:hint="eastAsia" w:ascii="宋体" w:hAnsi="宋体"/>
                <w:w w:val="80"/>
                <w:szCs w:val="21"/>
              </w:rPr>
              <w:t>大</w:t>
            </w:r>
          </w:p>
          <w:p w14:paraId="39B57FF8">
            <w:pPr>
              <w:pStyle w:val="13"/>
              <w:jc w:val="center"/>
              <w:rPr>
                <w:rFonts w:hint="eastAsia" w:ascii="宋体" w:hAnsi="宋体"/>
                <w:w w:val="80"/>
                <w:szCs w:val="21"/>
              </w:rPr>
            </w:pPr>
            <w:r>
              <w:rPr>
                <w:rFonts w:hint="eastAsia" w:ascii="宋体" w:hAnsi="宋体"/>
                <w:w w:val="80"/>
                <w:szCs w:val="21"/>
              </w:rPr>
              <w:t>值</w:t>
            </w:r>
          </w:p>
        </w:tc>
        <w:tc>
          <w:tcPr>
            <w:tcW w:w="312" w:type="pct"/>
            <w:vAlign w:val="center"/>
          </w:tcPr>
          <w:p w14:paraId="449006F3">
            <w:pPr>
              <w:pStyle w:val="13"/>
              <w:jc w:val="center"/>
              <w:rPr>
                <w:rFonts w:hint="eastAsia" w:ascii="宋体" w:hAnsi="宋体"/>
                <w:w w:val="80"/>
                <w:szCs w:val="21"/>
              </w:rPr>
            </w:pPr>
            <w:r>
              <w:rPr>
                <w:rFonts w:hint="eastAsia" w:ascii="宋体" w:hAnsi="宋体"/>
                <w:w w:val="80"/>
                <w:szCs w:val="21"/>
              </w:rPr>
              <w:t>7.74</w:t>
            </w:r>
          </w:p>
        </w:tc>
        <w:tc>
          <w:tcPr>
            <w:tcW w:w="312" w:type="pct"/>
            <w:vAlign w:val="center"/>
          </w:tcPr>
          <w:p w14:paraId="1F2A1CF1">
            <w:pPr>
              <w:pStyle w:val="13"/>
              <w:jc w:val="center"/>
              <w:rPr>
                <w:rFonts w:hint="eastAsia" w:ascii="宋体" w:hAnsi="宋体"/>
                <w:w w:val="80"/>
                <w:szCs w:val="21"/>
              </w:rPr>
            </w:pPr>
            <w:r>
              <w:rPr>
                <w:rFonts w:hint="eastAsia" w:ascii="宋体" w:hAnsi="宋体"/>
                <w:w w:val="80"/>
                <w:szCs w:val="21"/>
              </w:rPr>
              <w:t>11.0</w:t>
            </w:r>
          </w:p>
        </w:tc>
        <w:tc>
          <w:tcPr>
            <w:tcW w:w="312" w:type="pct"/>
            <w:vAlign w:val="center"/>
          </w:tcPr>
          <w:p w14:paraId="231F0990">
            <w:pPr>
              <w:pStyle w:val="13"/>
              <w:jc w:val="center"/>
              <w:rPr>
                <w:rFonts w:hint="eastAsia" w:ascii="宋体" w:hAnsi="宋体"/>
                <w:w w:val="80"/>
                <w:szCs w:val="21"/>
              </w:rPr>
            </w:pPr>
            <w:r>
              <w:rPr>
                <w:rFonts w:hint="eastAsia" w:ascii="宋体" w:hAnsi="宋体"/>
                <w:w w:val="80"/>
                <w:szCs w:val="21"/>
              </w:rPr>
              <w:t>3.7</w:t>
            </w:r>
          </w:p>
        </w:tc>
        <w:tc>
          <w:tcPr>
            <w:tcW w:w="312" w:type="pct"/>
            <w:vAlign w:val="center"/>
          </w:tcPr>
          <w:p w14:paraId="4C43AC83">
            <w:pPr>
              <w:pStyle w:val="13"/>
              <w:jc w:val="center"/>
              <w:rPr>
                <w:rFonts w:hint="eastAsia" w:ascii="宋体" w:hAnsi="宋体"/>
                <w:w w:val="80"/>
                <w:szCs w:val="21"/>
              </w:rPr>
            </w:pPr>
            <w:r>
              <w:rPr>
                <w:rFonts w:hint="eastAsia" w:ascii="宋体" w:hAnsi="宋体"/>
                <w:w w:val="80"/>
                <w:szCs w:val="21"/>
              </w:rPr>
              <w:t>2.8</w:t>
            </w:r>
          </w:p>
        </w:tc>
        <w:tc>
          <w:tcPr>
            <w:tcW w:w="312" w:type="pct"/>
            <w:vAlign w:val="center"/>
          </w:tcPr>
          <w:p w14:paraId="04847707">
            <w:pPr>
              <w:pStyle w:val="13"/>
              <w:jc w:val="center"/>
              <w:rPr>
                <w:rFonts w:hint="eastAsia" w:ascii="宋体" w:hAnsi="宋体"/>
                <w:w w:val="80"/>
                <w:szCs w:val="21"/>
              </w:rPr>
            </w:pPr>
            <w:r>
              <w:rPr>
                <w:rFonts w:hint="eastAsia" w:ascii="宋体" w:hAnsi="宋体"/>
                <w:w w:val="80"/>
                <w:szCs w:val="21"/>
              </w:rPr>
              <w:t>0.292</w:t>
            </w:r>
          </w:p>
        </w:tc>
        <w:tc>
          <w:tcPr>
            <w:tcW w:w="312" w:type="pct"/>
            <w:vAlign w:val="center"/>
          </w:tcPr>
          <w:p w14:paraId="2F0739D1">
            <w:pPr>
              <w:pStyle w:val="13"/>
              <w:jc w:val="center"/>
              <w:rPr>
                <w:rFonts w:hint="eastAsia" w:ascii="宋体" w:hAnsi="宋体"/>
                <w:w w:val="80"/>
                <w:szCs w:val="21"/>
              </w:rPr>
            </w:pPr>
            <w:r>
              <w:rPr>
                <w:rFonts w:hint="eastAsia" w:ascii="宋体" w:hAnsi="宋体"/>
                <w:w w:val="80"/>
                <w:szCs w:val="21"/>
              </w:rPr>
              <w:t>0.019</w:t>
            </w:r>
          </w:p>
        </w:tc>
        <w:tc>
          <w:tcPr>
            <w:tcW w:w="313" w:type="pct"/>
            <w:vAlign w:val="center"/>
          </w:tcPr>
          <w:p w14:paraId="75E0AB4A">
            <w:pPr>
              <w:pStyle w:val="13"/>
              <w:jc w:val="center"/>
              <w:rPr>
                <w:rFonts w:hint="eastAsia" w:ascii="宋体" w:hAnsi="宋体"/>
                <w:w w:val="80"/>
                <w:szCs w:val="21"/>
              </w:rPr>
            </w:pPr>
            <w:r>
              <w:rPr>
                <w:rFonts w:hint="eastAsia" w:ascii="宋体" w:hAnsi="宋体"/>
                <w:w w:val="80"/>
                <w:szCs w:val="21"/>
              </w:rPr>
              <w:t>0.005</w:t>
            </w:r>
          </w:p>
        </w:tc>
        <w:tc>
          <w:tcPr>
            <w:tcW w:w="313" w:type="pct"/>
            <w:vAlign w:val="center"/>
          </w:tcPr>
          <w:p w14:paraId="3A988927">
            <w:pPr>
              <w:pStyle w:val="13"/>
              <w:jc w:val="center"/>
              <w:rPr>
                <w:rFonts w:hint="eastAsia" w:ascii="宋体" w:hAnsi="宋体"/>
                <w:w w:val="80"/>
                <w:szCs w:val="21"/>
              </w:rPr>
            </w:pPr>
            <w:r>
              <w:rPr>
                <w:rFonts w:hint="eastAsia" w:ascii="宋体" w:hAnsi="宋体"/>
                <w:w w:val="80"/>
                <w:szCs w:val="21"/>
              </w:rPr>
              <w:t>0.024</w:t>
            </w:r>
          </w:p>
        </w:tc>
        <w:tc>
          <w:tcPr>
            <w:tcW w:w="313" w:type="pct"/>
            <w:vAlign w:val="center"/>
          </w:tcPr>
          <w:p w14:paraId="582BC76D">
            <w:pPr>
              <w:pStyle w:val="13"/>
              <w:jc w:val="center"/>
              <w:rPr>
                <w:rFonts w:hint="eastAsia" w:ascii="宋体" w:hAnsi="宋体"/>
                <w:w w:val="80"/>
                <w:szCs w:val="21"/>
              </w:rPr>
            </w:pPr>
            <w:r>
              <w:rPr>
                <w:rFonts w:hint="eastAsia" w:ascii="宋体" w:hAnsi="宋体"/>
                <w:w w:val="80"/>
                <w:szCs w:val="21"/>
              </w:rPr>
              <w:t>0.369</w:t>
            </w:r>
          </w:p>
        </w:tc>
        <w:tc>
          <w:tcPr>
            <w:tcW w:w="313" w:type="pct"/>
            <w:vAlign w:val="center"/>
          </w:tcPr>
          <w:p w14:paraId="4AE9D9D5">
            <w:pPr>
              <w:pStyle w:val="13"/>
              <w:jc w:val="center"/>
              <w:rPr>
                <w:rFonts w:hint="eastAsia" w:ascii="宋体" w:hAnsi="宋体"/>
                <w:w w:val="50"/>
                <w:szCs w:val="21"/>
              </w:rPr>
            </w:pPr>
            <w:r>
              <w:rPr>
                <w:rFonts w:hint="eastAsia" w:ascii="宋体" w:hAnsi="宋体"/>
                <w:w w:val="50"/>
                <w:szCs w:val="21"/>
              </w:rPr>
              <w:t>0.00007L</w:t>
            </w:r>
          </w:p>
        </w:tc>
        <w:tc>
          <w:tcPr>
            <w:tcW w:w="313" w:type="pct"/>
            <w:vAlign w:val="center"/>
          </w:tcPr>
          <w:p w14:paraId="170F9303">
            <w:pPr>
              <w:pStyle w:val="13"/>
              <w:jc w:val="center"/>
              <w:rPr>
                <w:rFonts w:hint="eastAsia" w:ascii="宋体" w:hAnsi="宋体"/>
                <w:w w:val="50"/>
                <w:szCs w:val="21"/>
              </w:rPr>
            </w:pPr>
            <w:r>
              <w:rPr>
                <w:rFonts w:hint="eastAsia" w:ascii="宋体" w:hAnsi="宋体"/>
                <w:w w:val="50"/>
                <w:szCs w:val="21"/>
              </w:rPr>
              <w:t>0.00002L</w:t>
            </w:r>
          </w:p>
        </w:tc>
        <w:tc>
          <w:tcPr>
            <w:tcW w:w="313" w:type="pct"/>
            <w:vAlign w:val="center"/>
          </w:tcPr>
          <w:p w14:paraId="31555A2A">
            <w:pPr>
              <w:pStyle w:val="13"/>
              <w:jc w:val="center"/>
              <w:rPr>
                <w:rFonts w:hint="eastAsia" w:ascii="宋体" w:hAnsi="宋体"/>
                <w:w w:val="50"/>
                <w:szCs w:val="21"/>
              </w:rPr>
            </w:pPr>
            <w:r>
              <w:rPr>
                <w:rFonts w:hint="eastAsia" w:ascii="宋体" w:hAnsi="宋体"/>
                <w:w w:val="50"/>
                <w:szCs w:val="21"/>
              </w:rPr>
              <w:t>0.00002L</w:t>
            </w:r>
          </w:p>
        </w:tc>
        <w:tc>
          <w:tcPr>
            <w:tcW w:w="313" w:type="pct"/>
            <w:vAlign w:val="center"/>
          </w:tcPr>
          <w:p w14:paraId="616E5ECF">
            <w:pPr>
              <w:pStyle w:val="13"/>
              <w:jc w:val="center"/>
              <w:rPr>
                <w:rFonts w:hint="eastAsia" w:ascii="宋体" w:hAnsi="宋体"/>
                <w:w w:val="80"/>
                <w:szCs w:val="21"/>
              </w:rPr>
            </w:pPr>
            <w:r>
              <w:rPr>
                <w:rFonts w:hint="eastAsia" w:ascii="宋体" w:hAnsi="宋体"/>
                <w:w w:val="80"/>
                <w:szCs w:val="21"/>
              </w:rPr>
              <w:t>0.004L</w:t>
            </w:r>
          </w:p>
        </w:tc>
        <w:tc>
          <w:tcPr>
            <w:tcW w:w="313" w:type="pct"/>
            <w:vAlign w:val="center"/>
          </w:tcPr>
          <w:p w14:paraId="2F01DC0D">
            <w:pPr>
              <w:pStyle w:val="13"/>
              <w:jc w:val="center"/>
              <w:rPr>
                <w:rFonts w:hint="eastAsia" w:ascii="宋体" w:hAnsi="宋体"/>
                <w:w w:val="80"/>
                <w:szCs w:val="21"/>
              </w:rPr>
            </w:pPr>
            <w:r>
              <w:rPr>
                <w:rFonts w:hint="eastAsia" w:ascii="宋体" w:hAnsi="宋体"/>
                <w:w w:val="80"/>
                <w:szCs w:val="21"/>
              </w:rPr>
              <w:t>0.005</w:t>
            </w:r>
          </w:p>
        </w:tc>
      </w:tr>
      <w:tr w14:paraId="6B005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12" w:type="pct"/>
            <w:vMerge w:val="continue"/>
            <w:vAlign w:val="center"/>
          </w:tcPr>
          <w:p w14:paraId="5D853D36">
            <w:pPr>
              <w:pStyle w:val="13"/>
              <w:jc w:val="center"/>
              <w:rPr>
                <w:rFonts w:hint="eastAsia" w:ascii="宋体" w:hAnsi="宋体"/>
                <w:w w:val="80"/>
                <w:szCs w:val="21"/>
              </w:rPr>
            </w:pPr>
          </w:p>
        </w:tc>
        <w:tc>
          <w:tcPr>
            <w:tcW w:w="312" w:type="pct"/>
            <w:vAlign w:val="center"/>
          </w:tcPr>
          <w:p w14:paraId="68295843">
            <w:pPr>
              <w:pStyle w:val="13"/>
              <w:jc w:val="center"/>
              <w:rPr>
                <w:rFonts w:hint="eastAsia" w:ascii="宋体" w:hAnsi="宋体"/>
                <w:w w:val="80"/>
                <w:szCs w:val="21"/>
              </w:rPr>
            </w:pPr>
            <w:r>
              <w:rPr>
                <w:rFonts w:hint="eastAsia" w:ascii="宋体" w:hAnsi="宋体"/>
                <w:w w:val="80"/>
                <w:szCs w:val="21"/>
              </w:rPr>
              <w:t>最</w:t>
            </w:r>
          </w:p>
          <w:p w14:paraId="04224011">
            <w:pPr>
              <w:pStyle w:val="13"/>
              <w:jc w:val="center"/>
              <w:rPr>
                <w:rFonts w:hint="eastAsia" w:ascii="宋体" w:hAnsi="宋体"/>
                <w:w w:val="80"/>
                <w:szCs w:val="21"/>
              </w:rPr>
            </w:pPr>
            <w:r>
              <w:rPr>
                <w:rFonts w:hint="eastAsia" w:ascii="宋体" w:hAnsi="宋体"/>
                <w:w w:val="80"/>
                <w:szCs w:val="21"/>
              </w:rPr>
              <w:t>小</w:t>
            </w:r>
          </w:p>
          <w:p w14:paraId="15B255C3">
            <w:pPr>
              <w:pStyle w:val="13"/>
              <w:jc w:val="center"/>
              <w:rPr>
                <w:rFonts w:hint="eastAsia" w:ascii="宋体" w:hAnsi="宋体"/>
                <w:w w:val="80"/>
                <w:szCs w:val="21"/>
              </w:rPr>
            </w:pPr>
            <w:r>
              <w:rPr>
                <w:rFonts w:hint="eastAsia" w:ascii="宋体" w:hAnsi="宋体"/>
                <w:w w:val="80"/>
                <w:szCs w:val="21"/>
              </w:rPr>
              <w:t>值</w:t>
            </w:r>
          </w:p>
        </w:tc>
        <w:tc>
          <w:tcPr>
            <w:tcW w:w="312" w:type="pct"/>
            <w:vAlign w:val="center"/>
          </w:tcPr>
          <w:p w14:paraId="34CE9081">
            <w:pPr>
              <w:pStyle w:val="13"/>
              <w:jc w:val="center"/>
              <w:rPr>
                <w:rFonts w:hint="eastAsia" w:ascii="宋体" w:hAnsi="宋体"/>
                <w:w w:val="80"/>
                <w:szCs w:val="21"/>
              </w:rPr>
            </w:pPr>
            <w:r>
              <w:rPr>
                <w:rFonts w:hint="eastAsia" w:ascii="宋体" w:hAnsi="宋体"/>
                <w:w w:val="80"/>
                <w:szCs w:val="21"/>
              </w:rPr>
              <w:t>6.72</w:t>
            </w:r>
          </w:p>
        </w:tc>
        <w:tc>
          <w:tcPr>
            <w:tcW w:w="312" w:type="pct"/>
            <w:vAlign w:val="center"/>
          </w:tcPr>
          <w:p w14:paraId="60CCBD06">
            <w:pPr>
              <w:pStyle w:val="13"/>
              <w:jc w:val="center"/>
              <w:rPr>
                <w:rFonts w:hint="eastAsia" w:ascii="宋体" w:hAnsi="宋体"/>
                <w:w w:val="80"/>
                <w:szCs w:val="21"/>
              </w:rPr>
            </w:pPr>
            <w:r>
              <w:rPr>
                <w:rFonts w:hint="eastAsia" w:ascii="宋体" w:hAnsi="宋体"/>
                <w:w w:val="80"/>
                <w:szCs w:val="21"/>
              </w:rPr>
              <w:t>7.2</w:t>
            </w:r>
          </w:p>
        </w:tc>
        <w:tc>
          <w:tcPr>
            <w:tcW w:w="312" w:type="pct"/>
            <w:vAlign w:val="center"/>
          </w:tcPr>
          <w:p w14:paraId="407E48EC">
            <w:pPr>
              <w:pStyle w:val="13"/>
              <w:jc w:val="center"/>
              <w:rPr>
                <w:rFonts w:hint="eastAsia" w:ascii="宋体" w:hAnsi="宋体"/>
                <w:w w:val="80"/>
                <w:szCs w:val="21"/>
              </w:rPr>
            </w:pPr>
            <w:r>
              <w:rPr>
                <w:rFonts w:hint="eastAsia" w:ascii="宋体" w:hAnsi="宋体"/>
                <w:w w:val="80"/>
                <w:szCs w:val="21"/>
              </w:rPr>
              <w:t>1.4</w:t>
            </w:r>
          </w:p>
        </w:tc>
        <w:tc>
          <w:tcPr>
            <w:tcW w:w="312" w:type="pct"/>
            <w:vAlign w:val="center"/>
          </w:tcPr>
          <w:p w14:paraId="7AFED8F8">
            <w:pPr>
              <w:pStyle w:val="13"/>
              <w:jc w:val="center"/>
              <w:rPr>
                <w:rFonts w:hint="eastAsia" w:ascii="宋体" w:hAnsi="宋体"/>
                <w:w w:val="80"/>
                <w:szCs w:val="21"/>
              </w:rPr>
            </w:pPr>
            <w:r>
              <w:rPr>
                <w:rFonts w:hint="eastAsia" w:ascii="宋体" w:hAnsi="宋体"/>
                <w:w w:val="80"/>
                <w:szCs w:val="21"/>
              </w:rPr>
              <w:t>2.2</w:t>
            </w:r>
          </w:p>
        </w:tc>
        <w:tc>
          <w:tcPr>
            <w:tcW w:w="312" w:type="pct"/>
            <w:vAlign w:val="center"/>
          </w:tcPr>
          <w:p w14:paraId="109E1044">
            <w:pPr>
              <w:pStyle w:val="13"/>
              <w:jc w:val="center"/>
              <w:rPr>
                <w:rFonts w:hint="eastAsia" w:ascii="宋体" w:hAnsi="宋体"/>
                <w:w w:val="80"/>
                <w:szCs w:val="21"/>
              </w:rPr>
            </w:pPr>
            <w:r>
              <w:rPr>
                <w:rFonts w:hint="eastAsia" w:ascii="宋体" w:hAnsi="宋体"/>
                <w:w w:val="80"/>
                <w:szCs w:val="21"/>
              </w:rPr>
              <w:t>0.086</w:t>
            </w:r>
          </w:p>
        </w:tc>
        <w:tc>
          <w:tcPr>
            <w:tcW w:w="312" w:type="pct"/>
            <w:vAlign w:val="center"/>
          </w:tcPr>
          <w:p w14:paraId="02A0909B">
            <w:pPr>
              <w:pStyle w:val="13"/>
              <w:jc w:val="center"/>
              <w:rPr>
                <w:rFonts w:hint="eastAsia" w:ascii="宋体" w:hAnsi="宋体"/>
                <w:w w:val="80"/>
                <w:szCs w:val="21"/>
              </w:rPr>
            </w:pPr>
            <w:r>
              <w:rPr>
                <w:rFonts w:hint="eastAsia" w:ascii="宋体" w:hAnsi="宋体"/>
                <w:w w:val="80"/>
                <w:szCs w:val="21"/>
              </w:rPr>
              <w:t>0.01L</w:t>
            </w:r>
          </w:p>
        </w:tc>
        <w:tc>
          <w:tcPr>
            <w:tcW w:w="313" w:type="pct"/>
            <w:vAlign w:val="center"/>
          </w:tcPr>
          <w:p w14:paraId="07E6B9D5">
            <w:pPr>
              <w:pStyle w:val="13"/>
              <w:jc w:val="center"/>
              <w:rPr>
                <w:rFonts w:hint="eastAsia" w:ascii="宋体" w:hAnsi="宋体"/>
                <w:w w:val="80"/>
                <w:szCs w:val="21"/>
              </w:rPr>
            </w:pPr>
            <w:r>
              <w:rPr>
                <w:rFonts w:hint="eastAsia" w:ascii="宋体" w:hAnsi="宋体"/>
                <w:w w:val="80"/>
                <w:szCs w:val="21"/>
              </w:rPr>
              <w:t>0.004L</w:t>
            </w:r>
          </w:p>
        </w:tc>
        <w:tc>
          <w:tcPr>
            <w:tcW w:w="313" w:type="pct"/>
            <w:vAlign w:val="center"/>
          </w:tcPr>
          <w:p w14:paraId="58C9360F">
            <w:pPr>
              <w:pStyle w:val="13"/>
              <w:jc w:val="center"/>
              <w:rPr>
                <w:rFonts w:hint="eastAsia" w:ascii="宋体" w:hAnsi="宋体"/>
                <w:w w:val="80"/>
                <w:szCs w:val="21"/>
              </w:rPr>
            </w:pPr>
            <w:r>
              <w:rPr>
                <w:rFonts w:hint="eastAsia" w:ascii="宋体" w:hAnsi="宋体"/>
                <w:w w:val="80"/>
                <w:szCs w:val="21"/>
              </w:rPr>
              <w:t>0.001L</w:t>
            </w:r>
          </w:p>
        </w:tc>
        <w:tc>
          <w:tcPr>
            <w:tcW w:w="313" w:type="pct"/>
            <w:vAlign w:val="center"/>
          </w:tcPr>
          <w:p w14:paraId="40205233">
            <w:pPr>
              <w:pStyle w:val="13"/>
              <w:jc w:val="center"/>
              <w:rPr>
                <w:rFonts w:hint="eastAsia" w:ascii="宋体" w:hAnsi="宋体"/>
                <w:w w:val="80"/>
                <w:szCs w:val="21"/>
              </w:rPr>
            </w:pPr>
            <w:r>
              <w:rPr>
                <w:rFonts w:hint="eastAsia" w:ascii="宋体" w:hAnsi="宋体"/>
                <w:w w:val="80"/>
                <w:szCs w:val="21"/>
              </w:rPr>
              <w:t>0.254</w:t>
            </w:r>
          </w:p>
        </w:tc>
        <w:tc>
          <w:tcPr>
            <w:tcW w:w="313" w:type="pct"/>
            <w:vAlign w:val="center"/>
          </w:tcPr>
          <w:p w14:paraId="78EEB8E2">
            <w:pPr>
              <w:pStyle w:val="13"/>
              <w:jc w:val="center"/>
              <w:rPr>
                <w:rFonts w:hint="eastAsia" w:ascii="宋体" w:hAnsi="宋体"/>
                <w:w w:val="50"/>
                <w:szCs w:val="21"/>
              </w:rPr>
            </w:pPr>
            <w:r>
              <w:rPr>
                <w:rFonts w:hint="eastAsia" w:ascii="宋体" w:hAnsi="宋体"/>
                <w:w w:val="50"/>
                <w:szCs w:val="21"/>
              </w:rPr>
              <w:t>0.00007L</w:t>
            </w:r>
          </w:p>
        </w:tc>
        <w:tc>
          <w:tcPr>
            <w:tcW w:w="313" w:type="pct"/>
            <w:vAlign w:val="center"/>
          </w:tcPr>
          <w:p w14:paraId="6B3894BF">
            <w:pPr>
              <w:pStyle w:val="13"/>
              <w:jc w:val="center"/>
              <w:rPr>
                <w:rFonts w:hint="eastAsia" w:ascii="宋体" w:hAnsi="宋体"/>
                <w:w w:val="50"/>
                <w:szCs w:val="21"/>
              </w:rPr>
            </w:pPr>
            <w:r>
              <w:rPr>
                <w:rFonts w:hint="eastAsia" w:ascii="宋体" w:hAnsi="宋体"/>
                <w:w w:val="50"/>
                <w:szCs w:val="21"/>
              </w:rPr>
              <w:t>0.00002L</w:t>
            </w:r>
          </w:p>
        </w:tc>
        <w:tc>
          <w:tcPr>
            <w:tcW w:w="313" w:type="pct"/>
            <w:vAlign w:val="center"/>
          </w:tcPr>
          <w:p w14:paraId="7662981B">
            <w:pPr>
              <w:pStyle w:val="13"/>
              <w:jc w:val="center"/>
              <w:rPr>
                <w:rFonts w:hint="eastAsia" w:ascii="宋体" w:hAnsi="宋体"/>
                <w:w w:val="50"/>
                <w:szCs w:val="21"/>
              </w:rPr>
            </w:pPr>
            <w:r>
              <w:rPr>
                <w:rFonts w:hint="eastAsia" w:ascii="宋体" w:hAnsi="宋体"/>
                <w:w w:val="50"/>
                <w:szCs w:val="21"/>
              </w:rPr>
              <w:t>0.00002L</w:t>
            </w:r>
          </w:p>
        </w:tc>
        <w:tc>
          <w:tcPr>
            <w:tcW w:w="313" w:type="pct"/>
            <w:vAlign w:val="center"/>
          </w:tcPr>
          <w:p w14:paraId="30FE9036">
            <w:pPr>
              <w:pStyle w:val="13"/>
              <w:jc w:val="center"/>
              <w:rPr>
                <w:rFonts w:hint="eastAsia" w:ascii="宋体" w:hAnsi="宋体"/>
                <w:w w:val="80"/>
                <w:szCs w:val="21"/>
              </w:rPr>
            </w:pPr>
            <w:r>
              <w:rPr>
                <w:rFonts w:hint="eastAsia" w:ascii="宋体" w:hAnsi="宋体"/>
                <w:w w:val="80"/>
                <w:szCs w:val="21"/>
              </w:rPr>
              <w:t>0.004L</w:t>
            </w:r>
          </w:p>
        </w:tc>
        <w:tc>
          <w:tcPr>
            <w:tcW w:w="313" w:type="pct"/>
            <w:vAlign w:val="center"/>
          </w:tcPr>
          <w:p w14:paraId="47FED0D7">
            <w:pPr>
              <w:pStyle w:val="13"/>
              <w:jc w:val="center"/>
              <w:rPr>
                <w:rFonts w:hint="eastAsia" w:ascii="宋体" w:hAnsi="宋体"/>
                <w:w w:val="80"/>
                <w:szCs w:val="21"/>
              </w:rPr>
            </w:pPr>
            <w:r>
              <w:rPr>
                <w:rFonts w:hint="eastAsia" w:ascii="宋体" w:hAnsi="宋体"/>
                <w:w w:val="80"/>
                <w:szCs w:val="21"/>
              </w:rPr>
              <w:t>0.003</w:t>
            </w:r>
          </w:p>
        </w:tc>
      </w:tr>
      <w:tr w14:paraId="7B842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12" w:type="pct"/>
            <w:vMerge w:val="continue"/>
            <w:vAlign w:val="center"/>
          </w:tcPr>
          <w:p w14:paraId="1A33D052">
            <w:pPr>
              <w:pStyle w:val="13"/>
              <w:jc w:val="center"/>
              <w:rPr>
                <w:rFonts w:hint="eastAsia" w:ascii="宋体" w:hAnsi="宋体"/>
                <w:w w:val="80"/>
                <w:szCs w:val="21"/>
              </w:rPr>
            </w:pPr>
          </w:p>
        </w:tc>
        <w:tc>
          <w:tcPr>
            <w:tcW w:w="312" w:type="pct"/>
            <w:vAlign w:val="center"/>
          </w:tcPr>
          <w:p w14:paraId="7A32DA99">
            <w:pPr>
              <w:pStyle w:val="13"/>
              <w:jc w:val="center"/>
              <w:rPr>
                <w:rFonts w:hint="eastAsia" w:ascii="宋体" w:hAnsi="宋体"/>
                <w:w w:val="80"/>
                <w:szCs w:val="21"/>
              </w:rPr>
            </w:pPr>
            <w:r>
              <w:rPr>
                <w:rFonts w:hint="eastAsia" w:ascii="宋体" w:hAnsi="宋体"/>
                <w:w w:val="80"/>
                <w:szCs w:val="21"/>
              </w:rPr>
              <w:t>平</w:t>
            </w:r>
          </w:p>
          <w:p w14:paraId="788ADD26">
            <w:pPr>
              <w:pStyle w:val="13"/>
              <w:jc w:val="center"/>
              <w:rPr>
                <w:rFonts w:hint="eastAsia" w:ascii="宋体" w:hAnsi="宋体"/>
                <w:w w:val="80"/>
                <w:szCs w:val="21"/>
              </w:rPr>
            </w:pPr>
            <w:r>
              <w:rPr>
                <w:rFonts w:hint="eastAsia" w:ascii="宋体" w:hAnsi="宋体"/>
                <w:w w:val="80"/>
                <w:szCs w:val="21"/>
              </w:rPr>
              <w:t>均</w:t>
            </w:r>
          </w:p>
          <w:p w14:paraId="0AE1A039">
            <w:pPr>
              <w:pStyle w:val="13"/>
              <w:jc w:val="center"/>
              <w:rPr>
                <w:rFonts w:hint="eastAsia" w:ascii="宋体" w:hAnsi="宋体"/>
                <w:w w:val="80"/>
                <w:szCs w:val="21"/>
              </w:rPr>
            </w:pPr>
            <w:r>
              <w:rPr>
                <w:rFonts w:hint="eastAsia" w:ascii="宋体" w:hAnsi="宋体"/>
                <w:w w:val="80"/>
                <w:szCs w:val="21"/>
              </w:rPr>
              <w:t>值</w:t>
            </w:r>
          </w:p>
        </w:tc>
        <w:tc>
          <w:tcPr>
            <w:tcW w:w="312" w:type="pct"/>
            <w:vAlign w:val="center"/>
          </w:tcPr>
          <w:p w14:paraId="43E30F1F">
            <w:pPr>
              <w:pStyle w:val="13"/>
              <w:jc w:val="center"/>
              <w:rPr>
                <w:rFonts w:hint="eastAsia" w:ascii="宋体" w:hAnsi="宋体"/>
                <w:w w:val="80"/>
                <w:szCs w:val="21"/>
              </w:rPr>
            </w:pPr>
            <w:r>
              <w:rPr>
                <w:rFonts w:hint="eastAsia" w:ascii="宋体" w:hAnsi="宋体"/>
                <w:w w:val="80"/>
                <w:szCs w:val="21"/>
              </w:rPr>
              <w:t>7.47</w:t>
            </w:r>
          </w:p>
        </w:tc>
        <w:tc>
          <w:tcPr>
            <w:tcW w:w="312" w:type="pct"/>
            <w:vAlign w:val="center"/>
          </w:tcPr>
          <w:p w14:paraId="49C8380C">
            <w:pPr>
              <w:pStyle w:val="13"/>
              <w:jc w:val="center"/>
              <w:rPr>
                <w:rFonts w:hint="eastAsia" w:ascii="宋体" w:hAnsi="宋体"/>
                <w:w w:val="80"/>
                <w:szCs w:val="21"/>
              </w:rPr>
            </w:pPr>
            <w:r>
              <w:rPr>
                <w:rFonts w:hint="eastAsia" w:ascii="宋体" w:hAnsi="宋体"/>
                <w:w w:val="80"/>
                <w:szCs w:val="21"/>
              </w:rPr>
              <w:t>8.7</w:t>
            </w:r>
          </w:p>
        </w:tc>
        <w:tc>
          <w:tcPr>
            <w:tcW w:w="312" w:type="pct"/>
            <w:vAlign w:val="center"/>
          </w:tcPr>
          <w:p w14:paraId="42B7F410">
            <w:pPr>
              <w:pStyle w:val="13"/>
              <w:jc w:val="center"/>
              <w:rPr>
                <w:rFonts w:hint="eastAsia" w:ascii="宋体" w:hAnsi="宋体"/>
                <w:w w:val="80"/>
                <w:szCs w:val="21"/>
              </w:rPr>
            </w:pPr>
            <w:r>
              <w:rPr>
                <w:rFonts w:hint="eastAsia" w:ascii="宋体" w:hAnsi="宋体"/>
                <w:w w:val="80"/>
                <w:szCs w:val="21"/>
              </w:rPr>
              <w:t>2.3</w:t>
            </w:r>
          </w:p>
        </w:tc>
        <w:tc>
          <w:tcPr>
            <w:tcW w:w="312" w:type="pct"/>
            <w:vAlign w:val="center"/>
          </w:tcPr>
          <w:p w14:paraId="17F5E802">
            <w:pPr>
              <w:pStyle w:val="13"/>
              <w:jc w:val="center"/>
              <w:rPr>
                <w:rFonts w:hint="eastAsia" w:ascii="宋体" w:hAnsi="宋体"/>
                <w:w w:val="80"/>
                <w:szCs w:val="21"/>
              </w:rPr>
            </w:pPr>
            <w:r>
              <w:rPr>
                <w:rFonts w:hint="eastAsia" w:ascii="宋体" w:hAnsi="宋体"/>
                <w:w w:val="80"/>
                <w:szCs w:val="21"/>
              </w:rPr>
              <w:t>2.5</w:t>
            </w:r>
          </w:p>
        </w:tc>
        <w:tc>
          <w:tcPr>
            <w:tcW w:w="312" w:type="pct"/>
            <w:vAlign w:val="center"/>
          </w:tcPr>
          <w:p w14:paraId="1D9FF28E">
            <w:pPr>
              <w:pStyle w:val="13"/>
              <w:jc w:val="center"/>
              <w:rPr>
                <w:rFonts w:hint="eastAsia" w:ascii="宋体" w:hAnsi="宋体"/>
                <w:w w:val="80"/>
                <w:szCs w:val="21"/>
              </w:rPr>
            </w:pPr>
            <w:r>
              <w:rPr>
                <w:rFonts w:hint="eastAsia" w:ascii="宋体" w:hAnsi="宋体"/>
                <w:w w:val="80"/>
                <w:szCs w:val="21"/>
              </w:rPr>
              <w:t>0.131</w:t>
            </w:r>
          </w:p>
        </w:tc>
        <w:tc>
          <w:tcPr>
            <w:tcW w:w="312" w:type="pct"/>
            <w:vAlign w:val="center"/>
          </w:tcPr>
          <w:p w14:paraId="3B024C36">
            <w:pPr>
              <w:pStyle w:val="13"/>
              <w:jc w:val="center"/>
              <w:rPr>
                <w:rFonts w:hint="eastAsia" w:ascii="宋体" w:hAnsi="宋体"/>
                <w:w w:val="80"/>
                <w:szCs w:val="21"/>
              </w:rPr>
            </w:pPr>
            <w:r>
              <w:rPr>
                <w:rFonts w:hint="eastAsia" w:ascii="宋体" w:hAnsi="宋体"/>
                <w:w w:val="80"/>
                <w:szCs w:val="21"/>
              </w:rPr>
              <w:t>0.01L</w:t>
            </w:r>
          </w:p>
        </w:tc>
        <w:tc>
          <w:tcPr>
            <w:tcW w:w="313" w:type="pct"/>
            <w:vAlign w:val="center"/>
          </w:tcPr>
          <w:p w14:paraId="52EDFF91">
            <w:pPr>
              <w:pStyle w:val="13"/>
              <w:jc w:val="center"/>
              <w:rPr>
                <w:rFonts w:hint="eastAsia" w:ascii="宋体" w:hAnsi="宋体"/>
                <w:w w:val="80"/>
                <w:szCs w:val="21"/>
              </w:rPr>
            </w:pPr>
            <w:r>
              <w:rPr>
                <w:rFonts w:hint="eastAsia" w:ascii="宋体" w:hAnsi="宋体"/>
                <w:w w:val="80"/>
                <w:szCs w:val="21"/>
              </w:rPr>
              <w:t>0.004L</w:t>
            </w:r>
          </w:p>
        </w:tc>
        <w:tc>
          <w:tcPr>
            <w:tcW w:w="313" w:type="pct"/>
            <w:vAlign w:val="center"/>
          </w:tcPr>
          <w:p w14:paraId="6A7A3377">
            <w:pPr>
              <w:pStyle w:val="13"/>
              <w:jc w:val="center"/>
              <w:rPr>
                <w:rFonts w:hint="eastAsia" w:ascii="宋体" w:hAnsi="宋体"/>
                <w:w w:val="80"/>
                <w:szCs w:val="21"/>
              </w:rPr>
            </w:pPr>
            <w:r>
              <w:rPr>
                <w:rFonts w:hint="eastAsia" w:ascii="宋体" w:hAnsi="宋体"/>
                <w:w w:val="80"/>
                <w:szCs w:val="21"/>
              </w:rPr>
              <w:t>0.019</w:t>
            </w:r>
          </w:p>
        </w:tc>
        <w:tc>
          <w:tcPr>
            <w:tcW w:w="313" w:type="pct"/>
            <w:vAlign w:val="center"/>
          </w:tcPr>
          <w:p w14:paraId="396707E0">
            <w:pPr>
              <w:pStyle w:val="13"/>
              <w:jc w:val="center"/>
              <w:rPr>
                <w:rFonts w:hint="eastAsia" w:ascii="宋体" w:hAnsi="宋体"/>
                <w:w w:val="80"/>
                <w:szCs w:val="21"/>
              </w:rPr>
            </w:pPr>
            <w:r>
              <w:rPr>
                <w:rFonts w:hint="eastAsia" w:ascii="宋体" w:hAnsi="宋体"/>
                <w:w w:val="80"/>
                <w:szCs w:val="21"/>
              </w:rPr>
              <w:t>0.289</w:t>
            </w:r>
          </w:p>
        </w:tc>
        <w:tc>
          <w:tcPr>
            <w:tcW w:w="313" w:type="pct"/>
            <w:vAlign w:val="center"/>
          </w:tcPr>
          <w:p w14:paraId="27C1B1BB">
            <w:pPr>
              <w:pStyle w:val="13"/>
              <w:jc w:val="center"/>
              <w:rPr>
                <w:rFonts w:hint="eastAsia" w:ascii="宋体" w:hAnsi="宋体"/>
                <w:w w:val="50"/>
                <w:szCs w:val="21"/>
              </w:rPr>
            </w:pPr>
            <w:r>
              <w:rPr>
                <w:rFonts w:hint="eastAsia" w:ascii="宋体" w:hAnsi="宋体"/>
                <w:w w:val="50"/>
                <w:szCs w:val="21"/>
              </w:rPr>
              <w:t>0.00007L</w:t>
            </w:r>
          </w:p>
        </w:tc>
        <w:tc>
          <w:tcPr>
            <w:tcW w:w="313" w:type="pct"/>
            <w:vAlign w:val="center"/>
          </w:tcPr>
          <w:p w14:paraId="3899212E">
            <w:pPr>
              <w:pStyle w:val="13"/>
              <w:jc w:val="center"/>
              <w:rPr>
                <w:rFonts w:hint="eastAsia" w:ascii="宋体" w:hAnsi="宋体"/>
                <w:w w:val="50"/>
                <w:szCs w:val="21"/>
              </w:rPr>
            </w:pPr>
            <w:r>
              <w:rPr>
                <w:rFonts w:hint="eastAsia" w:ascii="宋体" w:hAnsi="宋体"/>
                <w:w w:val="50"/>
                <w:szCs w:val="21"/>
              </w:rPr>
              <w:t>0.00002L</w:t>
            </w:r>
          </w:p>
        </w:tc>
        <w:tc>
          <w:tcPr>
            <w:tcW w:w="313" w:type="pct"/>
            <w:vAlign w:val="center"/>
          </w:tcPr>
          <w:p w14:paraId="5F3BA239">
            <w:pPr>
              <w:pStyle w:val="13"/>
              <w:jc w:val="center"/>
              <w:rPr>
                <w:rFonts w:hint="eastAsia" w:ascii="宋体" w:hAnsi="宋体"/>
                <w:w w:val="50"/>
                <w:szCs w:val="21"/>
              </w:rPr>
            </w:pPr>
            <w:r>
              <w:rPr>
                <w:rFonts w:hint="eastAsia" w:ascii="宋体" w:hAnsi="宋体"/>
                <w:w w:val="50"/>
                <w:szCs w:val="21"/>
              </w:rPr>
              <w:t>0.00002L</w:t>
            </w:r>
          </w:p>
        </w:tc>
        <w:tc>
          <w:tcPr>
            <w:tcW w:w="313" w:type="pct"/>
            <w:vAlign w:val="center"/>
          </w:tcPr>
          <w:p w14:paraId="46EB4CE5">
            <w:pPr>
              <w:pStyle w:val="13"/>
              <w:jc w:val="center"/>
              <w:rPr>
                <w:rFonts w:hint="eastAsia" w:ascii="宋体" w:hAnsi="宋体"/>
                <w:w w:val="80"/>
                <w:szCs w:val="21"/>
              </w:rPr>
            </w:pPr>
            <w:r>
              <w:rPr>
                <w:rFonts w:hint="eastAsia" w:ascii="宋体" w:hAnsi="宋体"/>
                <w:w w:val="80"/>
                <w:szCs w:val="21"/>
              </w:rPr>
              <w:t>0.004L</w:t>
            </w:r>
          </w:p>
        </w:tc>
        <w:tc>
          <w:tcPr>
            <w:tcW w:w="313" w:type="pct"/>
            <w:vAlign w:val="center"/>
          </w:tcPr>
          <w:p w14:paraId="1833E3BD">
            <w:pPr>
              <w:pStyle w:val="13"/>
              <w:jc w:val="center"/>
              <w:rPr>
                <w:rFonts w:hint="eastAsia" w:ascii="宋体" w:hAnsi="宋体"/>
                <w:w w:val="80"/>
                <w:szCs w:val="21"/>
              </w:rPr>
            </w:pPr>
            <w:r>
              <w:rPr>
                <w:rFonts w:hint="eastAsia" w:ascii="宋体" w:hAnsi="宋体"/>
                <w:w w:val="80"/>
                <w:szCs w:val="21"/>
              </w:rPr>
              <w:t>0.004</w:t>
            </w:r>
          </w:p>
        </w:tc>
      </w:tr>
      <w:tr w14:paraId="5598B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12" w:type="pct"/>
            <w:vMerge w:val="continue"/>
            <w:vAlign w:val="center"/>
          </w:tcPr>
          <w:p w14:paraId="37068CE4">
            <w:pPr>
              <w:pStyle w:val="13"/>
              <w:jc w:val="center"/>
              <w:rPr>
                <w:rFonts w:hint="eastAsia" w:ascii="宋体" w:hAnsi="宋体"/>
                <w:w w:val="80"/>
                <w:szCs w:val="21"/>
              </w:rPr>
            </w:pPr>
          </w:p>
        </w:tc>
        <w:tc>
          <w:tcPr>
            <w:tcW w:w="312" w:type="pct"/>
            <w:vAlign w:val="center"/>
          </w:tcPr>
          <w:p w14:paraId="465479CB">
            <w:pPr>
              <w:pStyle w:val="13"/>
              <w:jc w:val="center"/>
              <w:rPr>
                <w:rFonts w:hint="eastAsia" w:ascii="宋体" w:hAnsi="宋体"/>
                <w:w w:val="80"/>
                <w:szCs w:val="21"/>
              </w:rPr>
            </w:pPr>
            <w:r>
              <w:rPr>
                <w:rFonts w:hint="eastAsia" w:ascii="宋体" w:hAnsi="宋体"/>
                <w:w w:val="80"/>
                <w:szCs w:val="21"/>
              </w:rPr>
              <w:t>超</w:t>
            </w:r>
          </w:p>
          <w:p w14:paraId="411DCE69">
            <w:pPr>
              <w:pStyle w:val="13"/>
              <w:jc w:val="center"/>
              <w:rPr>
                <w:rFonts w:hint="eastAsia" w:ascii="宋体" w:hAnsi="宋体"/>
                <w:w w:val="80"/>
                <w:szCs w:val="21"/>
              </w:rPr>
            </w:pPr>
            <w:r>
              <w:rPr>
                <w:rFonts w:hint="eastAsia" w:ascii="宋体" w:hAnsi="宋体"/>
                <w:w w:val="80"/>
                <w:szCs w:val="21"/>
              </w:rPr>
              <w:t>标</w:t>
            </w:r>
          </w:p>
          <w:p w14:paraId="4920B5BF">
            <w:pPr>
              <w:pStyle w:val="13"/>
              <w:jc w:val="center"/>
              <w:rPr>
                <w:rFonts w:hint="eastAsia" w:ascii="宋体" w:hAnsi="宋体"/>
                <w:w w:val="80"/>
                <w:szCs w:val="21"/>
              </w:rPr>
            </w:pPr>
            <w:r>
              <w:rPr>
                <w:rFonts w:hint="eastAsia" w:ascii="宋体" w:hAnsi="宋体"/>
                <w:w w:val="80"/>
                <w:szCs w:val="21"/>
              </w:rPr>
              <w:t>率</w:t>
            </w:r>
          </w:p>
          <w:p w14:paraId="698CF5BA">
            <w:pPr>
              <w:pStyle w:val="13"/>
              <w:jc w:val="center"/>
              <w:rPr>
                <w:rFonts w:hint="eastAsia" w:ascii="宋体" w:hAnsi="宋体"/>
                <w:w w:val="80"/>
                <w:szCs w:val="21"/>
              </w:rPr>
            </w:pPr>
            <w:r>
              <w:rPr>
                <w:rFonts w:hint="eastAsia" w:ascii="宋体" w:hAnsi="宋体"/>
                <w:w w:val="80"/>
                <w:szCs w:val="21"/>
              </w:rPr>
              <w:t>（%）</w:t>
            </w:r>
          </w:p>
        </w:tc>
        <w:tc>
          <w:tcPr>
            <w:tcW w:w="312" w:type="pct"/>
            <w:vAlign w:val="center"/>
          </w:tcPr>
          <w:p w14:paraId="51FE8B63">
            <w:pPr>
              <w:pStyle w:val="13"/>
              <w:jc w:val="center"/>
              <w:rPr>
                <w:rFonts w:hint="eastAsia" w:ascii="宋体" w:hAnsi="宋体"/>
                <w:w w:val="80"/>
                <w:szCs w:val="21"/>
              </w:rPr>
            </w:pPr>
            <w:r>
              <w:rPr>
                <w:rFonts w:hint="eastAsia" w:ascii="宋体" w:hAnsi="宋体"/>
                <w:w w:val="80"/>
                <w:szCs w:val="21"/>
              </w:rPr>
              <w:t>0.0</w:t>
            </w:r>
          </w:p>
        </w:tc>
        <w:tc>
          <w:tcPr>
            <w:tcW w:w="312" w:type="pct"/>
            <w:vAlign w:val="center"/>
          </w:tcPr>
          <w:p w14:paraId="47F85705">
            <w:pPr>
              <w:pStyle w:val="13"/>
              <w:jc w:val="center"/>
              <w:rPr>
                <w:rFonts w:hint="eastAsia" w:ascii="宋体" w:hAnsi="宋体"/>
                <w:w w:val="80"/>
                <w:szCs w:val="21"/>
              </w:rPr>
            </w:pPr>
            <w:r>
              <w:rPr>
                <w:rFonts w:hint="eastAsia" w:ascii="宋体" w:hAnsi="宋体"/>
                <w:w w:val="80"/>
                <w:szCs w:val="21"/>
              </w:rPr>
              <w:t>0.0</w:t>
            </w:r>
          </w:p>
        </w:tc>
        <w:tc>
          <w:tcPr>
            <w:tcW w:w="312" w:type="pct"/>
            <w:vAlign w:val="center"/>
          </w:tcPr>
          <w:p w14:paraId="13B6530A">
            <w:pPr>
              <w:pStyle w:val="13"/>
              <w:jc w:val="center"/>
              <w:rPr>
                <w:rFonts w:hint="eastAsia" w:ascii="宋体" w:hAnsi="宋体"/>
                <w:w w:val="80"/>
                <w:szCs w:val="21"/>
              </w:rPr>
            </w:pPr>
            <w:r>
              <w:rPr>
                <w:rFonts w:hint="eastAsia" w:ascii="宋体" w:hAnsi="宋体"/>
                <w:w w:val="80"/>
                <w:szCs w:val="21"/>
              </w:rPr>
              <w:t>0.0</w:t>
            </w:r>
          </w:p>
        </w:tc>
        <w:tc>
          <w:tcPr>
            <w:tcW w:w="312" w:type="pct"/>
            <w:vAlign w:val="center"/>
          </w:tcPr>
          <w:p w14:paraId="70504657">
            <w:pPr>
              <w:pStyle w:val="13"/>
              <w:jc w:val="center"/>
              <w:rPr>
                <w:rFonts w:hint="eastAsia" w:ascii="宋体" w:hAnsi="宋体"/>
                <w:w w:val="80"/>
                <w:szCs w:val="21"/>
              </w:rPr>
            </w:pPr>
            <w:r>
              <w:rPr>
                <w:rFonts w:hint="eastAsia" w:ascii="宋体" w:hAnsi="宋体"/>
                <w:w w:val="80"/>
                <w:szCs w:val="21"/>
              </w:rPr>
              <w:t>0.0</w:t>
            </w:r>
          </w:p>
        </w:tc>
        <w:tc>
          <w:tcPr>
            <w:tcW w:w="312" w:type="pct"/>
            <w:vAlign w:val="center"/>
          </w:tcPr>
          <w:p w14:paraId="2409C13D">
            <w:pPr>
              <w:pStyle w:val="13"/>
              <w:jc w:val="center"/>
              <w:rPr>
                <w:rFonts w:hint="eastAsia" w:ascii="宋体" w:hAnsi="宋体"/>
                <w:w w:val="80"/>
                <w:szCs w:val="21"/>
              </w:rPr>
            </w:pPr>
            <w:r>
              <w:rPr>
                <w:rFonts w:hint="eastAsia" w:ascii="宋体" w:hAnsi="宋体"/>
                <w:w w:val="80"/>
                <w:szCs w:val="21"/>
              </w:rPr>
              <w:t>0.0</w:t>
            </w:r>
          </w:p>
        </w:tc>
        <w:tc>
          <w:tcPr>
            <w:tcW w:w="312" w:type="pct"/>
            <w:vAlign w:val="center"/>
          </w:tcPr>
          <w:p w14:paraId="467DAF39">
            <w:pPr>
              <w:pStyle w:val="13"/>
              <w:jc w:val="center"/>
              <w:rPr>
                <w:rFonts w:hint="eastAsia" w:ascii="宋体" w:hAnsi="宋体"/>
                <w:w w:val="80"/>
                <w:szCs w:val="21"/>
              </w:rPr>
            </w:pPr>
            <w:r>
              <w:rPr>
                <w:rFonts w:hint="eastAsia" w:ascii="宋体" w:hAnsi="宋体"/>
                <w:w w:val="80"/>
                <w:szCs w:val="21"/>
              </w:rPr>
              <w:t>0.0</w:t>
            </w:r>
          </w:p>
        </w:tc>
        <w:tc>
          <w:tcPr>
            <w:tcW w:w="313" w:type="pct"/>
            <w:vAlign w:val="center"/>
          </w:tcPr>
          <w:p w14:paraId="4585953C">
            <w:pPr>
              <w:pStyle w:val="13"/>
              <w:jc w:val="center"/>
              <w:rPr>
                <w:rFonts w:hint="eastAsia" w:ascii="宋体" w:hAnsi="宋体"/>
                <w:w w:val="80"/>
                <w:szCs w:val="21"/>
              </w:rPr>
            </w:pPr>
            <w:r>
              <w:rPr>
                <w:rFonts w:hint="eastAsia" w:ascii="宋体" w:hAnsi="宋体"/>
                <w:w w:val="80"/>
                <w:szCs w:val="21"/>
              </w:rPr>
              <w:t>0.0</w:t>
            </w:r>
          </w:p>
        </w:tc>
        <w:tc>
          <w:tcPr>
            <w:tcW w:w="313" w:type="pct"/>
            <w:vAlign w:val="center"/>
          </w:tcPr>
          <w:p w14:paraId="24B3C7B3">
            <w:pPr>
              <w:pStyle w:val="13"/>
              <w:jc w:val="center"/>
              <w:rPr>
                <w:rFonts w:hint="eastAsia" w:ascii="宋体" w:hAnsi="宋体"/>
                <w:w w:val="80"/>
                <w:szCs w:val="21"/>
              </w:rPr>
            </w:pPr>
            <w:r>
              <w:rPr>
                <w:rFonts w:hint="eastAsia" w:ascii="宋体" w:hAnsi="宋体"/>
                <w:w w:val="80"/>
                <w:szCs w:val="21"/>
              </w:rPr>
              <w:t>0.0</w:t>
            </w:r>
          </w:p>
        </w:tc>
        <w:tc>
          <w:tcPr>
            <w:tcW w:w="313" w:type="pct"/>
            <w:vAlign w:val="center"/>
          </w:tcPr>
          <w:p w14:paraId="6775C7E2">
            <w:pPr>
              <w:pStyle w:val="13"/>
              <w:jc w:val="center"/>
              <w:rPr>
                <w:rFonts w:hint="eastAsia" w:ascii="宋体" w:hAnsi="宋体"/>
                <w:w w:val="80"/>
                <w:szCs w:val="21"/>
              </w:rPr>
            </w:pPr>
            <w:r>
              <w:rPr>
                <w:rFonts w:hint="eastAsia" w:ascii="宋体" w:hAnsi="宋体"/>
                <w:w w:val="80"/>
                <w:szCs w:val="21"/>
              </w:rPr>
              <w:t>0.0</w:t>
            </w:r>
          </w:p>
        </w:tc>
        <w:tc>
          <w:tcPr>
            <w:tcW w:w="313" w:type="pct"/>
            <w:vAlign w:val="center"/>
          </w:tcPr>
          <w:p w14:paraId="47531F5F">
            <w:pPr>
              <w:pStyle w:val="13"/>
              <w:jc w:val="center"/>
              <w:rPr>
                <w:rFonts w:hint="eastAsia" w:ascii="宋体" w:hAnsi="宋体"/>
                <w:w w:val="50"/>
                <w:szCs w:val="21"/>
              </w:rPr>
            </w:pPr>
            <w:r>
              <w:rPr>
                <w:rFonts w:hint="eastAsia" w:ascii="宋体" w:hAnsi="宋体"/>
                <w:w w:val="50"/>
                <w:szCs w:val="21"/>
              </w:rPr>
              <w:t>0.0</w:t>
            </w:r>
          </w:p>
        </w:tc>
        <w:tc>
          <w:tcPr>
            <w:tcW w:w="313" w:type="pct"/>
            <w:vAlign w:val="center"/>
          </w:tcPr>
          <w:p w14:paraId="2ECAF047">
            <w:pPr>
              <w:pStyle w:val="13"/>
              <w:jc w:val="center"/>
              <w:rPr>
                <w:rFonts w:hint="eastAsia" w:ascii="宋体" w:hAnsi="宋体"/>
                <w:w w:val="50"/>
                <w:szCs w:val="21"/>
              </w:rPr>
            </w:pPr>
            <w:r>
              <w:rPr>
                <w:rFonts w:hint="eastAsia" w:ascii="宋体" w:hAnsi="宋体"/>
                <w:w w:val="50"/>
                <w:szCs w:val="21"/>
              </w:rPr>
              <w:t>0.0</w:t>
            </w:r>
          </w:p>
        </w:tc>
        <w:tc>
          <w:tcPr>
            <w:tcW w:w="313" w:type="pct"/>
            <w:vAlign w:val="center"/>
          </w:tcPr>
          <w:p w14:paraId="40C87997">
            <w:pPr>
              <w:pStyle w:val="13"/>
              <w:jc w:val="center"/>
              <w:rPr>
                <w:rFonts w:hint="eastAsia" w:ascii="宋体" w:hAnsi="宋体"/>
                <w:w w:val="50"/>
                <w:szCs w:val="21"/>
              </w:rPr>
            </w:pPr>
            <w:r>
              <w:rPr>
                <w:rFonts w:hint="eastAsia" w:ascii="宋体" w:hAnsi="宋体"/>
                <w:w w:val="50"/>
                <w:szCs w:val="21"/>
              </w:rPr>
              <w:t>0.0</w:t>
            </w:r>
          </w:p>
        </w:tc>
        <w:tc>
          <w:tcPr>
            <w:tcW w:w="313" w:type="pct"/>
            <w:vAlign w:val="center"/>
          </w:tcPr>
          <w:p w14:paraId="201A7DD3">
            <w:pPr>
              <w:pStyle w:val="13"/>
              <w:jc w:val="center"/>
              <w:rPr>
                <w:rFonts w:hint="eastAsia" w:ascii="宋体" w:hAnsi="宋体"/>
                <w:w w:val="80"/>
                <w:szCs w:val="21"/>
              </w:rPr>
            </w:pPr>
            <w:r>
              <w:rPr>
                <w:rFonts w:hint="eastAsia" w:ascii="宋体" w:hAnsi="宋体"/>
                <w:w w:val="80"/>
                <w:szCs w:val="21"/>
              </w:rPr>
              <w:t>0.0</w:t>
            </w:r>
          </w:p>
        </w:tc>
        <w:tc>
          <w:tcPr>
            <w:tcW w:w="313" w:type="pct"/>
            <w:vAlign w:val="center"/>
          </w:tcPr>
          <w:p w14:paraId="0E3370D2">
            <w:pPr>
              <w:pStyle w:val="13"/>
              <w:jc w:val="center"/>
              <w:rPr>
                <w:rFonts w:ascii="宋体" w:hAnsi="宋体"/>
                <w:w w:val="80"/>
                <w:szCs w:val="21"/>
              </w:rPr>
            </w:pPr>
            <w:r>
              <w:rPr>
                <w:rFonts w:hint="eastAsia" w:ascii="宋体" w:hAnsi="宋体"/>
                <w:w w:val="80"/>
                <w:szCs w:val="21"/>
              </w:rPr>
              <w:t>0.0</w:t>
            </w:r>
          </w:p>
        </w:tc>
      </w:tr>
      <w:tr w14:paraId="34DC0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12" w:type="pct"/>
            <w:vMerge w:val="continue"/>
            <w:vAlign w:val="center"/>
          </w:tcPr>
          <w:p w14:paraId="346F84F5">
            <w:pPr>
              <w:pStyle w:val="13"/>
              <w:jc w:val="center"/>
              <w:rPr>
                <w:rFonts w:hint="eastAsia" w:ascii="宋体" w:hAnsi="宋体"/>
                <w:w w:val="80"/>
                <w:szCs w:val="21"/>
              </w:rPr>
            </w:pPr>
          </w:p>
        </w:tc>
        <w:tc>
          <w:tcPr>
            <w:tcW w:w="312" w:type="pct"/>
            <w:vAlign w:val="center"/>
          </w:tcPr>
          <w:p w14:paraId="08196F44">
            <w:pPr>
              <w:pStyle w:val="13"/>
              <w:jc w:val="center"/>
              <w:rPr>
                <w:rFonts w:hint="eastAsia" w:ascii="宋体" w:hAnsi="宋体"/>
                <w:w w:val="80"/>
                <w:szCs w:val="21"/>
              </w:rPr>
            </w:pPr>
            <w:r>
              <w:rPr>
                <w:rFonts w:hint="eastAsia" w:ascii="宋体" w:hAnsi="宋体"/>
                <w:w w:val="80"/>
                <w:szCs w:val="21"/>
              </w:rPr>
              <w:t>最</w:t>
            </w:r>
          </w:p>
          <w:p w14:paraId="38588AD0">
            <w:pPr>
              <w:pStyle w:val="13"/>
              <w:jc w:val="center"/>
              <w:rPr>
                <w:rFonts w:hint="eastAsia" w:ascii="宋体" w:hAnsi="宋体"/>
                <w:w w:val="80"/>
                <w:szCs w:val="21"/>
              </w:rPr>
            </w:pPr>
            <w:r>
              <w:rPr>
                <w:rFonts w:hint="eastAsia" w:ascii="宋体" w:hAnsi="宋体"/>
                <w:w w:val="80"/>
                <w:szCs w:val="21"/>
              </w:rPr>
              <w:t>大</w:t>
            </w:r>
          </w:p>
          <w:p w14:paraId="246E7F33">
            <w:pPr>
              <w:pStyle w:val="13"/>
              <w:jc w:val="center"/>
              <w:rPr>
                <w:rFonts w:hint="eastAsia" w:ascii="宋体" w:hAnsi="宋体"/>
                <w:w w:val="80"/>
                <w:szCs w:val="21"/>
              </w:rPr>
            </w:pPr>
            <w:r>
              <w:rPr>
                <w:rFonts w:hint="eastAsia" w:ascii="宋体" w:hAnsi="宋体"/>
                <w:w w:val="80"/>
                <w:szCs w:val="21"/>
              </w:rPr>
              <w:t>值</w:t>
            </w:r>
          </w:p>
        </w:tc>
        <w:tc>
          <w:tcPr>
            <w:tcW w:w="312" w:type="pct"/>
            <w:vAlign w:val="center"/>
          </w:tcPr>
          <w:p w14:paraId="32CA203B">
            <w:pPr>
              <w:pStyle w:val="13"/>
              <w:jc w:val="center"/>
              <w:rPr>
                <w:rFonts w:hint="eastAsia" w:ascii="宋体" w:hAnsi="宋体"/>
                <w:w w:val="80"/>
                <w:szCs w:val="21"/>
              </w:rPr>
            </w:pPr>
            <w:r>
              <w:rPr>
                <w:rFonts w:hint="eastAsia" w:ascii="宋体" w:hAnsi="宋体"/>
                <w:w w:val="80"/>
                <w:szCs w:val="21"/>
              </w:rPr>
              <w:t>7.74</w:t>
            </w:r>
          </w:p>
        </w:tc>
        <w:tc>
          <w:tcPr>
            <w:tcW w:w="312" w:type="pct"/>
            <w:vAlign w:val="center"/>
          </w:tcPr>
          <w:p w14:paraId="079540B4">
            <w:pPr>
              <w:pStyle w:val="13"/>
              <w:jc w:val="center"/>
              <w:rPr>
                <w:rFonts w:hint="eastAsia" w:ascii="宋体" w:hAnsi="宋体"/>
                <w:w w:val="80"/>
                <w:szCs w:val="21"/>
              </w:rPr>
            </w:pPr>
            <w:r>
              <w:rPr>
                <w:rFonts w:hint="eastAsia" w:ascii="宋体" w:hAnsi="宋体"/>
                <w:w w:val="80"/>
                <w:szCs w:val="21"/>
              </w:rPr>
              <w:t>11.0</w:t>
            </w:r>
          </w:p>
        </w:tc>
        <w:tc>
          <w:tcPr>
            <w:tcW w:w="312" w:type="pct"/>
            <w:vAlign w:val="center"/>
          </w:tcPr>
          <w:p w14:paraId="5262DE62">
            <w:pPr>
              <w:pStyle w:val="13"/>
              <w:jc w:val="center"/>
              <w:rPr>
                <w:rFonts w:hint="eastAsia" w:ascii="宋体" w:hAnsi="宋体"/>
                <w:w w:val="80"/>
                <w:szCs w:val="21"/>
              </w:rPr>
            </w:pPr>
            <w:r>
              <w:rPr>
                <w:rFonts w:hint="eastAsia" w:ascii="宋体" w:hAnsi="宋体"/>
                <w:w w:val="80"/>
                <w:szCs w:val="21"/>
              </w:rPr>
              <w:t>3.7</w:t>
            </w:r>
          </w:p>
        </w:tc>
        <w:tc>
          <w:tcPr>
            <w:tcW w:w="312" w:type="pct"/>
            <w:vAlign w:val="center"/>
          </w:tcPr>
          <w:p w14:paraId="50E3159A">
            <w:pPr>
              <w:pStyle w:val="13"/>
              <w:jc w:val="center"/>
              <w:rPr>
                <w:rFonts w:hint="eastAsia" w:ascii="宋体" w:hAnsi="宋体"/>
                <w:w w:val="80"/>
                <w:szCs w:val="21"/>
              </w:rPr>
            </w:pPr>
            <w:r>
              <w:rPr>
                <w:rFonts w:hint="eastAsia" w:ascii="宋体" w:hAnsi="宋体"/>
                <w:w w:val="80"/>
                <w:szCs w:val="21"/>
              </w:rPr>
              <w:t>2.8</w:t>
            </w:r>
          </w:p>
        </w:tc>
        <w:tc>
          <w:tcPr>
            <w:tcW w:w="312" w:type="pct"/>
            <w:vAlign w:val="center"/>
          </w:tcPr>
          <w:p w14:paraId="00F391E5">
            <w:pPr>
              <w:pStyle w:val="13"/>
              <w:jc w:val="center"/>
              <w:rPr>
                <w:rFonts w:hint="eastAsia" w:ascii="宋体" w:hAnsi="宋体"/>
                <w:w w:val="80"/>
                <w:szCs w:val="21"/>
              </w:rPr>
            </w:pPr>
            <w:r>
              <w:rPr>
                <w:rFonts w:hint="eastAsia" w:ascii="宋体" w:hAnsi="宋体"/>
                <w:w w:val="80"/>
                <w:szCs w:val="21"/>
              </w:rPr>
              <w:t>0.292</w:t>
            </w:r>
          </w:p>
        </w:tc>
        <w:tc>
          <w:tcPr>
            <w:tcW w:w="312" w:type="pct"/>
            <w:vAlign w:val="center"/>
          </w:tcPr>
          <w:p w14:paraId="557DB2A9">
            <w:pPr>
              <w:pStyle w:val="13"/>
              <w:jc w:val="center"/>
              <w:rPr>
                <w:rFonts w:hint="eastAsia" w:ascii="宋体" w:hAnsi="宋体"/>
                <w:w w:val="80"/>
                <w:szCs w:val="21"/>
              </w:rPr>
            </w:pPr>
            <w:r>
              <w:rPr>
                <w:rFonts w:hint="eastAsia" w:ascii="宋体" w:hAnsi="宋体"/>
                <w:w w:val="80"/>
                <w:szCs w:val="21"/>
              </w:rPr>
              <w:t>0.019</w:t>
            </w:r>
          </w:p>
        </w:tc>
        <w:tc>
          <w:tcPr>
            <w:tcW w:w="313" w:type="pct"/>
            <w:vAlign w:val="center"/>
          </w:tcPr>
          <w:p w14:paraId="5F87C60D">
            <w:pPr>
              <w:pStyle w:val="13"/>
              <w:jc w:val="center"/>
              <w:rPr>
                <w:rFonts w:hint="eastAsia" w:ascii="宋体" w:hAnsi="宋体"/>
                <w:w w:val="80"/>
                <w:szCs w:val="21"/>
              </w:rPr>
            </w:pPr>
            <w:r>
              <w:rPr>
                <w:rFonts w:hint="eastAsia" w:ascii="宋体" w:hAnsi="宋体"/>
                <w:w w:val="80"/>
                <w:szCs w:val="21"/>
              </w:rPr>
              <w:t>0.005</w:t>
            </w:r>
          </w:p>
        </w:tc>
        <w:tc>
          <w:tcPr>
            <w:tcW w:w="313" w:type="pct"/>
            <w:vAlign w:val="center"/>
          </w:tcPr>
          <w:p w14:paraId="4FF8D99F">
            <w:pPr>
              <w:pStyle w:val="13"/>
              <w:jc w:val="center"/>
              <w:rPr>
                <w:rFonts w:hint="eastAsia" w:ascii="宋体" w:hAnsi="宋体"/>
                <w:w w:val="80"/>
                <w:szCs w:val="21"/>
              </w:rPr>
            </w:pPr>
            <w:r>
              <w:rPr>
                <w:rFonts w:hint="eastAsia" w:ascii="宋体" w:hAnsi="宋体"/>
                <w:w w:val="80"/>
                <w:szCs w:val="21"/>
              </w:rPr>
              <w:t>0.024</w:t>
            </w:r>
          </w:p>
        </w:tc>
        <w:tc>
          <w:tcPr>
            <w:tcW w:w="313" w:type="pct"/>
            <w:vAlign w:val="center"/>
          </w:tcPr>
          <w:p w14:paraId="7FE1C122">
            <w:pPr>
              <w:pStyle w:val="13"/>
              <w:jc w:val="center"/>
              <w:rPr>
                <w:rFonts w:hint="eastAsia" w:ascii="宋体" w:hAnsi="宋体"/>
                <w:w w:val="80"/>
                <w:szCs w:val="21"/>
              </w:rPr>
            </w:pPr>
            <w:r>
              <w:rPr>
                <w:rFonts w:hint="eastAsia" w:ascii="宋体" w:hAnsi="宋体"/>
                <w:w w:val="80"/>
                <w:szCs w:val="21"/>
              </w:rPr>
              <w:t>0.369</w:t>
            </w:r>
          </w:p>
        </w:tc>
        <w:tc>
          <w:tcPr>
            <w:tcW w:w="313" w:type="pct"/>
            <w:vAlign w:val="center"/>
          </w:tcPr>
          <w:p w14:paraId="62BC6C57">
            <w:pPr>
              <w:pStyle w:val="13"/>
              <w:jc w:val="center"/>
              <w:rPr>
                <w:rFonts w:hint="eastAsia" w:ascii="宋体" w:hAnsi="宋体"/>
                <w:w w:val="50"/>
                <w:szCs w:val="21"/>
              </w:rPr>
            </w:pPr>
            <w:r>
              <w:rPr>
                <w:rFonts w:hint="eastAsia" w:ascii="宋体" w:hAnsi="宋体"/>
                <w:w w:val="50"/>
                <w:szCs w:val="21"/>
              </w:rPr>
              <w:t>0.00007L</w:t>
            </w:r>
          </w:p>
        </w:tc>
        <w:tc>
          <w:tcPr>
            <w:tcW w:w="313" w:type="pct"/>
            <w:vAlign w:val="center"/>
          </w:tcPr>
          <w:p w14:paraId="0FDB8C35">
            <w:pPr>
              <w:pStyle w:val="13"/>
              <w:jc w:val="center"/>
              <w:rPr>
                <w:rFonts w:hint="eastAsia" w:ascii="宋体" w:hAnsi="宋体"/>
                <w:w w:val="50"/>
                <w:szCs w:val="21"/>
              </w:rPr>
            </w:pPr>
            <w:r>
              <w:rPr>
                <w:rFonts w:hint="eastAsia" w:ascii="宋体" w:hAnsi="宋体"/>
                <w:w w:val="50"/>
                <w:szCs w:val="21"/>
              </w:rPr>
              <w:t>0.00002L</w:t>
            </w:r>
          </w:p>
        </w:tc>
        <w:tc>
          <w:tcPr>
            <w:tcW w:w="313" w:type="pct"/>
            <w:vAlign w:val="center"/>
          </w:tcPr>
          <w:p w14:paraId="4D6D2E3F">
            <w:pPr>
              <w:pStyle w:val="13"/>
              <w:jc w:val="center"/>
              <w:rPr>
                <w:rFonts w:hint="eastAsia" w:ascii="宋体" w:hAnsi="宋体"/>
                <w:w w:val="50"/>
                <w:szCs w:val="21"/>
              </w:rPr>
            </w:pPr>
            <w:r>
              <w:rPr>
                <w:rFonts w:hint="eastAsia" w:ascii="宋体" w:hAnsi="宋体"/>
                <w:w w:val="50"/>
                <w:szCs w:val="21"/>
              </w:rPr>
              <w:t>0.00002L</w:t>
            </w:r>
          </w:p>
        </w:tc>
        <w:tc>
          <w:tcPr>
            <w:tcW w:w="313" w:type="pct"/>
            <w:vAlign w:val="center"/>
          </w:tcPr>
          <w:p w14:paraId="1D09A23F">
            <w:pPr>
              <w:pStyle w:val="13"/>
              <w:jc w:val="center"/>
              <w:rPr>
                <w:rFonts w:hint="eastAsia" w:ascii="宋体" w:hAnsi="宋体"/>
                <w:w w:val="80"/>
                <w:szCs w:val="21"/>
              </w:rPr>
            </w:pPr>
            <w:r>
              <w:rPr>
                <w:rFonts w:hint="eastAsia" w:ascii="宋体" w:hAnsi="宋体"/>
                <w:w w:val="80"/>
                <w:szCs w:val="21"/>
              </w:rPr>
              <w:t>0.004L</w:t>
            </w:r>
          </w:p>
        </w:tc>
        <w:tc>
          <w:tcPr>
            <w:tcW w:w="313" w:type="pct"/>
            <w:vAlign w:val="center"/>
          </w:tcPr>
          <w:p w14:paraId="6EB532EE">
            <w:pPr>
              <w:pStyle w:val="13"/>
              <w:jc w:val="center"/>
              <w:rPr>
                <w:rFonts w:hint="eastAsia" w:ascii="宋体" w:hAnsi="宋体"/>
                <w:w w:val="80"/>
                <w:szCs w:val="21"/>
              </w:rPr>
            </w:pPr>
            <w:r>
              <w:rPr>
                <w:rFonts w:hint="eastAsia" w:ascii="宋体" w:hAnsi="宋体"/>
                <w:w w:val="80"/>
                <w:szCs w:val="21"/>
              </w:rPr>
              <w:t>0.005</w:t>
            </w:r>
          </w:p>
        </w:tc>
      </w:tr>
      <w:tr w14:paraId="2B16FA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12" w:type="pct"/>
            <w:vMerge w:val="restart"/>
            <w:vAlign w:val="center"/>
          </w:tcPr>
          <w:p w14:paraId="11BF5A66">
            <w:pPr>
              <w:pStyle w:val="13"/>
              <w:jc w:val="center"/>
              <w:rPr>
                <w:rFonts w:hint="eastAsia" w:ascii="宋体" w:hAnsi="宋体"/>
                <w:w w:val="80"/>
                <w:szCs w:val="21"/>
              </w:rPr>
            </w:pPr>
            <w:r>
              <w:rPr>
                <w:rFonts w:hint="eastAsia" w:ascii="宋体" w:hAnsi="宋体"/>
                <w:w w:val="80"/>
                <w:szCs w:val="21"/>
              </w:rPr>
              <w:t>瀑</w:t>
            </w:r>
          </w:p>
          <w:p w14:paraId="15D5DCAC">
            <w:pPr>
              <w:pStyle w:val="13"/>
              <w:jc w:val="center"/>
              <w:rPr>
                <w:rFonts w:hint="eastAsia" w:ascii="宋体" w:hAnsi="宋体"/>
                <w:w w:val="80"/>
                <w:szCs w:val="21"/>
              </w:rPr>
            </w:pPr>
            <w:r>
              <w:rPr>
                <w:rFonts w:hint="eastAsia" w:ascii="宋体" w:hAnsi="宋体"/>
                <w:w w:val="80"/>
                <w:szCs w:val="21"/>
              </w:rPr>
              <w:t>布</w:t>
            </w:r>
          </w:p>
          <w:p w14:paraId="37766F3C">
            <w:pPr>
              <w:pStyle w:val="13"/>
              <w:jc w:val="center"/>
              <w:rPr>
                <w:rFonts w:hint="eastAsia" w:ascii="宋体" w:hAnsi="宋体"/>
                <w:w w:val="80"/>
                <w:szCs w:val="21"/>
              </w:rPr>
            </w:pPr>
            <w:r>
              <w:rPr>
                <w:rFonts w:hint="eastAsia" w:ascii="宋体" w:hAnsi="宋体"/>
                <w:w w:val="80"/>
                <w:szCs w:val="21"/>
              </w:rPr>
              <w:t>水</w:t>
            </w:r>
          </w:p>
          <w:p w14:paraId="47CF643C">
            <w:pPr>
              <w:pStyle w:val="13"/>
              <w:jc w:val="center"/>
              <w:rPr>
                <w:rFonts w:hint="eastAsia" w:ascii="宋体" w:hAnsi="宋体"/>
                <w:w w:val="80"/>
                <w:szCs w:val="21"/>
              </w:rPr>
            </w:pPr>
            <w:r>
              <w:rPr>
                <w:rFonts w:hint="eastAsia" w:ascii="宋体" w:hAnsi="宋体"/>
                <w:w w:val="80"/>
                <w:szCs w:val="21"/>
              </w:rPr>
              <w:t>库</w:t>
            </w:r>
          </w:p>
          <w:p w14:paraId="011E77F3">
            <w:pPr>
              <w:pStyle w:val="13"/>
              <w:jc w:val="center"/>
              <w:rPr>
                <w:rFonts w:hint="eastAsia" w:ascii="宋体" w:hAnsi="宋体"/>
                <w:w w:val="80"/>
                <w:szCs w:val="21"/>
              </w:rPr>
            </w:pPr>
            <w:r>
              <w:rPr>
                <w:rFonts w:hint="eastAsia" w:ascii="宋体" w:hAnsi="宋体"/>
                <w:w w:val="80"/>
                <w:szCs w:val="21"/>
              </w:rPr>
              <w:t>库</w:t>
            </w:r>
          </w:p>
          <w:p w14:paraId="2470A4C5">
            <w:pPr>
              <w:pStyle w:val="13"/>
              <w:jc w:val="center"/>
              <w:rPr>
                <w:rFonts w:hint="eastAsia" w:ascii="宋体" w:hAnsi="宋体"/>
                <w:w w:val="80"/>
                <w:szCs w:val="21"/>
              </w:rPr>
            </w:pPr>
            <w:r>
              <w:rPr>
                <w:rFonts w:hint="eastAsia" w:ascii="宋体" w:hAnsi="宋体"/>
                <w:w w:val="80"/>
                <w:szCs w:val="21"/>
              </w:rPr>
              <w:t>坝</w:t>
            </w:r>
          </w:p>
        </w:tc>
        <w:tc>
          <w:tcPr>
            <w:tcW w:w="312" w:type="pct"/>
            <w:vAlign w:val="center"/>
          </w:tcPr>
          <w:p w14:paraId="6042B33F">
            <w:pPr>
              <w:pStyle w:val="13"/>
              <w:jc w:val="center"/>
              <w:rPr>
                <w:rFonts w:hint="eastAsia" w:ascii="宋体" w:hAnsi="宋体"/>
                <w:w w:val="80"/>
                <w:szCs w:val="21"/>
              </w:rPr>
            </w:pPr>
            <w:r>
              <w:rPr>
                <w:rFonts w:hint="eastAsia" w:ascii="宋体" w:hAnsi="宋体"/>
                <w:w w:val="80"/>
                <w:szCs w:val="21"/>
              </w:rPr>
              <w:t>最</w:t>
            </w:r>
          </w:p>
          <w:p w14:paraId="7E90D6C2">
            <w:pPr>
              <w:pStyle w:val="13"/>
              <w:jc w:val="center"/>
              <w:rPr>
                <w:rFonts w:hint="eastAsia" w:ascii="宋体" w:hAnsi="宋体"/>
                <w:w w:val="80"/>
                <w:szCs w:val="21"/>
              </w:rPr>
            </w:pPr>
            <w:r>
              <w:rPr>
                <w:rFonts w:hint="eastAsia" w:ascii="宋体" w:hAnsi="宋体"/>
                <w:w w:val="80"/>
                <w:szCs w:val="21"/>
              </w:rPr>
              <w:t>大</w:t>
            </w:r>
          </w:p>
          <w:p w14:paraId="33395F86">
            <w:pPr>
              <w:pStyle w:val="13"/>
              <w:jc w:val="center"/>
              <w:rPr>
                <w:rFonts w:hint="eastAsia" w:ascii="宋体" w:hAnsi="宋体"/>
                <w:w w:val="80"/>
                <w:szCs w:val="21"/>
              </w:rPr>
            </w:pPr>
            <w:r>
              <w:rPr>
                <w:rFonts w:hint="eastAsia" w:ascii="宋体" w:hAnsi="宋体"/>
                <w:w w:val="80"/>
                <w:szCs w:val="21"/>
              </w:rPr>
              <w:t>值</w:t>
            </w:r>
          </w:p>
        </w:tc>
        <w:tc>
          <w:tcPr>
            <w:tcW w:w="312" w:type="pct"/>
            <w:vAlign w:val="center"/>
          </w:tcPr>
          <w:p w14:paraId="131720C2">
            <w:pPr>
              <w:pStyle w:val="13"/>
              <w:jc w:val="center"/>
              <w:rPr>
                <w:rFonts w:hint="eastAsia" w:ascii="宋体" w:hAnsi="宋体"/>
                <w:w w:val="80"/>
                <w:szCs w:val="21"/>
              </w:rPr>
            </w:pPr>
            <w:r>
              <w:rPr>
                <w:rFonts w:hint="eastAsia" w:ascii="宋体" w:hAnsi="宋体"/>
                <w:w w:val="80"/>
                <w:szCs w:val="21"/>
              </w:rPr>
              <w:t>7.81</w:t>
            </w:r>
          </w:p>
        </w:tc>
        <w:tc>
          <w:tcPr>
            <w:tcW w:w="312" w:type="pct"/>
            <w:vAlign w:val="center"/>
          </w:tcPr>
          <w:p w14:paraId="30EDCBD7">
            <w:pPr>
              <w:pStyle w:val="13"/>
              <w:jc w:val="center"/>
              <w:rPr>
                <w:rFonts w:hint="eastAsia" w:ascii="宋体" w:hAnsi="宋体"/>
                <w:w w:val="80"/>
                <w:szCs w:val="21"/>
              </w:rPr>
            </w:pPr>
            <w:r>
              <w:rPr>
                <w:rFonts w:hint="eastAsia" w:ascii="宋体" w:hAnsi="宋体"/>
                <w:w w:val="80"/>
                <w:szCs w:val="21"/>
              </w:rPr>
              <w:t>10.8</w:t>
            </w:r>
          </w:p>
        </w:tc>
        <w:tc>
          <w:tcPr>
            <w:tcW w:w="312" w:type="pct"/>
            <w:vAlign w:val="center"/>
          </w:tcPr>
          <w:p w14:paraId="0225762A">
            <w:pPr>
              <w:pStyle w:val="13"/>
              <w:jc w:val="center"/>
              <w:rPr>
                <w:rFonts w:hint="eastAsia" w:ascii="宋体" w:hAnsi="宋体"/>
                <w:w w:val="80"/>
                <w:szCs w:val="21"/>
              </w:rPr>
            </w:pPr>
            <w:r>
              <w:rPr>
                <w:rFonts w:hint="eastAsia" w:ascii="宋体" w:hAnsi="宋体"/>
                <w:w w:val="80"/>
                <w:szCs w:val="21"/>
              </w:rPr>
              <w:t>4.0</w:t>
            </w:r>
          </w:p>
        </w:tc>
        <w:tc>
          <w:tcPr>
            <w:tcW w:w="312" w:type="pct"/>
            <w:vAlign w:val="center"/>
          </w:tcPr>
          <w:p w14:paraId="3362C849">
            <w:pPr>
              <w:pStyle w:val="13"/>
              <w:jc w:val="center"/>
              <w:rPr>
                <w:rFonts w:hint="eastAsia" w:ascii="宋体" w:hAnsi="宋体"/>
                <w:w w:val="80"/>
                <w:szCs w:val="21"/>
              </w:rPr>
            </w:pPr>
            <w:r>
              <w:rPr>
                <w:rFonts w:hint="eastAsia" w:ascii="宋体" w:hAnsi="宋体"/>
                <w:w w:val="80"/>
                <w:szCs w:val="21"/>
              </w:rPr>
              <w:t>3.2</w:t>
            </w:r>
          </w:p>
        </w:tc>
        <w:tc>
          <w:tcPr>
            <w:tcW w:w="312" w:type="pct"/>
            <w:vAlign w:val="center"/>
          </w:tcPr>
          <w:p w14:paraId="04298AE8">
            <w:pPr>
              <w:pStyle w:val="13"/>
              <w:jc w:val="center"/>
              <w:rPr>
                <w:rFonts w:hint="eastAsia" w:ascii="宋体" w:hAnsi="宋体"/>
                <w:w w:val="80"/>
                <w:szCs w:val="21"/>
              </w:rPr>
            </w:pPr>
            <w:r>
              <w:rPr>
                <w:rFonts w:hint="eastAsia" w:ascii="宋体" w:hAnsi="宋体"/>
                <w:w w:val="80"/>
                <w:szCs w:val="21"/>
              </w:rPr>
              <w:t>0.206</w:t>
            </w:r>
          </w:p>
        </w:tc>
        <w:tc>
          <w:tcPr>
            <w:tcW w:w="312" w:type="pct"/>
            <w:vAlign w:val="center"/>
          </w:tcPr>
          <w:p w14:paraId="0FC53077">
            <w:pPr>
              <w:pStyle w:val="13"/>
              <w:jc w:val="center"/>
              <w:rPr>
                <w:rFonts w:hint="eastAsia" w:ascii="宋体" w:hAnsi="宋体"/>
                <w:w w:val="80"/>
                <w:szCs w:val="21"/>
              </w:rPr>
            </w:pPr>
            <w:r>
              <w:rPr>
                <w:rFonts w:hint="eastAsia" w:ascii="宋体" w:hAnsi="宋体"/>
                <w:w w:val="80"/>
                <w:szCs w:val="21"/>
              </w:rPr>
              <w:t>0.021</w:t>
            </w:r>
          </w:p>
        </w:tc>
        <w:tc>
          <w:tcPr>
            <w:tcW w:w="313" w:type="pct"/>
            <w:vAlign w:val="center"/>
          </w:tcPr>
          <w:p w14:paraId="63E4F11F">
            <w:pPr>
              <w:pStyle w:val="13"/>
              <w:jc w:val="center"/>
              <w:rPr>
                <w:rFonts w:hint="eastAsia" w:ascii="宋体" w:hAnsi="宋体"/>
                <w:w w:val="80"/>
                <w:szCs w:val="21"/>
              </w:rPr>
            </w:pPr>
            <w:r>
              <w:rPr>
                <w:rFonts w:hint="eastAsia" w:ascii="宋体" w:hAnsi="宋体"/>
                <w:w w:val="80"/>
                <w:szCs w:val="21"/>
              </w:rPr>
              <w:t>0.007</w:t>
            </w:r>
          </w:p>
        </w:tc>
        <w:tc>
          <w:tcPr>
            <w:tcW w:w="313" w:type="pct"/>
            <w:vAlign w:val="center"/>
          </w:tcPr>
          <w:p w14:paraId="0A72E609">
            <w:pPr>
              <w:pStyle w:val="13"/>
              <w:jc w:val="center"/>
              <w:rPr>
                <w:rFonts w:hint="eastAsia" w:ascii="宋体" w:hAnsi="宋体"/>
                <w:w w:val="80"/>
                <w:szCs w:val="21"/>
              </w:rPr>
            </w:pPr>
            <w:r>
              <w:rPr>
                <w:rFonts w:hint="eastAsia" w:ascii="宋体" w:hAnsi="宋体"/>
                <w:w w:val="80"/>
                <w:szCs w:val="21"/>
              </w:rPr>
              <w:t>0.023</w:t>
            </w:r>
          </w:p>
        </w:tc>
        <w:tc>
          <w:tcPr>
            <w:tcW w:w="313" w:type="pct"/>
            <w:vAlign w:val="center"/>
          </w:tcPr>
          <w:p w14:paraId="739CA2DD">
            <w:pPr>
              <w:pStyle w:val="13"/>
              <w:jc w:val="center"/>
              <w:rPr>
                <w:rFonts w:hint="eastAsia" w:ascii="宋体" w:hAnsi="宋体"/>
                <w:w w:val="80"/>
                <w:szCs w:val="21"/>
              </w:rPr>
            </w:pPr>
            <w:r>
              <w:rPr>
                <w:rFonts w:hint="eastAsia" w:ascii="宋体" w:hAnsi="宋体"/>
                <w:w w:val="80"/>
                <w:szCs w:val="21"/>
              </w:rPr>
              <w:t>0.404</w:t>
            </w:r>
          </w:p>
        </w:tc>
        <w:tc>
          <w:tcPr>
            <w:tcW w:w="313" w:type="pct"/>
            <w:vAlign w:val="center"/>
          </w:tcPr>
          <w:p w14:paraId="356D9994">
            <w:pPr>
              <w:pStyle w:val="13"/>
              <w:jc w:val="center"/>
              <w:rPr>
                <w:rFonts w:hint="eastAsia" w:ascii="宋体" w:hAnsi="宋体"/>
                <w:w w:val="50"/>
                <w:szCs w:val="21"/>
              </w:rPr>
            </w:pPr>
            <w:r>
              <w:rPr>
                <w:rFonts w:hint="eastAsia" w:ascii="宋体" w:hAnsi="宋体"/>
                <w:w w:val="50"/>
                <w:szCs w:val="21"/>
              </w:rPr>
              <w:t>0.00007L</w:t>
            </w:r>
          </w:p>
        </w:tc>
        <w:tc>
          <w:tcPr>
            <w:tcW w:w="313" w:type="pct"/>
            <w:vAlign w:val="center"/>
          </w:tcPr>
          <w:p w14:paraId="71BB00C7">
            <w:pPr>
              <w:pStyle w:val="13"/>
              <w:jc w:val="center"/>
              <w:rPr>
                <w:rFonts w:hint="eastAsia" w:ascii="宋体" w:hAnsi="宋体"/>
                <w:w w:val="50"/>
                <w:szCs w:val="21"/>
              </w:rPr>
            </w:pPr>
            <w:r>
              <w:rPr>
                <w:rFonts w:hint="eastAsia" w:ascii="宋体" w:hAnsi="宋体"/>
                <w:w w:val="50"/>
                <w:szCs w:val="21"/>
              </w:rPr>
              <w:t>0.00002L</w:t>
            </w:r>
          </w:p>
        </w:tc>
        <w:tc>
          <w:tcPr>
            <w:tcW w:w="313" w:type="pct"/>
            <w:vAlign w:val="center"/>
          </w:tcPr>
          <w:p w14:paraId="14EDF09D">
            <w:pPr>
              <w:pStyle w:val="13"/>
              <w:jc w:val="center"/>
              <w:rPr>
                <w:rFonts w:hint="eastAsia" w:ascii="宋体" w:hAnsi="宋体"/>
                <w:w w:val="50"/>
                <w:szCs w:val="21"/>
              </w:rPr>
            </w:pPr>
            <w:r>
              <w:rPr>
                <w:rFonts w:hint="eastAsia" w:ascii="宋体" w:hAnsi="宋体"/>
                <w:w w:val="50"/>
                <w:szCs w:val="21"/>
              </w:rPr>
              <w:t>0.00002L</w:t>
            </w:r>
          </w:p>
        </w:tc>
        <w:tc>
          <w:tcPr>
            <w:tcW w:w="313" w:type="pct"/>
            <w:vAlign w:val="center"/>
          </w:tcPr>
          <w:p w14:paraId="79F4497F">
            <w:pPr>
              <w:pStyle w:val="13"/>
              <w:jc w:val="center"/>
              <w:rPr>
                <w:rFonts w:hint="eastAsia" w:ascii="宋体" w:hAnsi="宋体"/>
                <w:w w:val="80"/>
                <w:szCs w:val="21"/>
              </w:rPr>
            </w:pPr>
            <w:r>
              <w:rPr>
                <w:rFonts w:hint="eastAsia" w:ascii="宋体" w:hAnsi="宋体"/>
                <w:w w:val="80"/>
                <w:szCs w:val="21"/>
              </w:rPr>
              <w:t>0.004L</w:t>
            </w:r>
          </w:p>
        </w:tc>
        <w:tc>
          <w:tcPr>
            <w:tcW w:w="313" w:type="pct"/>
            <w:vAlign w:val="center"/>
          </w:tcPr>
          <w:p w14:paraId="1E45A0E2">
            <w:pPr>
              <w:pStyle w:val="13"/>
              <w:jc w:val="center"/>
              <w:rPr>
                <w:rFonts w:hint="eastAsia" w:ascii="宋体" w:hAnsi="宋体"/>
                <w:w w:val="80"/>
                <w:szCs w:val="21"/>
              </w:rPr>
            </w:pPr>
            <w:r>
              <w:rPr>
                <w:rFonts w:hint="eastAsia" w:ascii="宋体" w:hAnsi="宋体"/>
                <w:w w:val="80"/>
                <w:szCs w:val="21"/>
              </w:rPr>
              <w:t>0.002L</w:t>
            </w:r>
          </w:p>
        </w:tc>
      </w:tr>
      <w:tr w14:paraId="1D636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12" w:type="pct"/>
            <w:vMerge w:val="continue"/>
            <w:vAlign w:val="center"/>
          </w:tcPr>
          <w:p w14:paraId="6B342E79">
            <w:pPr>
              <w:pStyle w:val="13"/>
              <w:jc w:val="center"/>
              <w:rPr>
                <w:rFonts w:hint="eastAsia" w:ascii="宋体" w:hAnsi="宋体"/>
                <w:w w:val="80"/>
                <w:szCs w:val="21"/>
              </w:rPr>
            </w:pPr>
          </w:p>
        </w:tc>
        <w:tc>
          <w:tcPr>
            <w:tcW w:w="312" w:type="pct"/>
            <w:vAlign w:val="center"/>
          </w:tcPr>
          <w:p w14:paraId="7CC129AE">
            <w:pPr>
              <w:pStyle w:val="13"/>
              <w:jc w:val="center"/>
              <w:rPr>
                <w:rFonts w:hint="eastAsia" w:ascii="宋体" w:hAnsi="宋体"/>
                <w:w w:val="80"/>
                <w:szCs w:val="21"/>
              </w:rPr>
            </w:pPr>
            <w:r>
              <w:rPr>
                <w:rFonts w:hint="eastAsia" w:ascii="宋体" w:hAnsi="宋体"/>
                <w:w w:val="80"/>
                <w:szCs w:val="21"/>
              </w:rPr>
              <w:t>最</w:t>
            </w:r>
          </w:p>
          <w:p w14:paraId="780E8C82">
            <w:pPr>
              <w:pStyle w:val="13"/>
              <w:jc w:val="center"/>
              <w:rPr>
                <w:rFonts w:hint="eastAsia" w:ascii="宋体" w:hAnsi="宋体"/>
                <w:w w:val="80"/>
                <w:szCs w:val="21"/>
              </w:rPr>
            </w:pPr>
            <w:r>
              <w:rPr>
                <w:rFonts w:hint="eastAsia" w:ascii="宋体" w:hAnsi="宋体"/>
                <w:w w:val="80"/>
                <w:szCs w:val="21"/>
              </w:rPr>
              <w:t>小</w:t>
            </w:r>
          </w:p>
          <w:p w14:paraId="4460098D">
            <w:pPr>
              <w:pStyle w:val="13"/>
              <w:jc w:val="center"/>
              <w:rPr>
                <w:rFonts w:hint="eastAsia" w:ascii="宋体" w:hAnsi="宋体"/>
                <w:w w:val="80"/>
                <w:szCs w:val="21"/>
              </w:rPr>
            </w:pPr>
            <w:r>
              <w:rPr>
                <w:rFonts w:hint="eastAsia" w:ascii="宋体" w:hAnsi="宋体"/>
                <w:w w:val="80"/>
                <w:szCs w:val="21"/>
              </w:rPr>
              <w:t>值</w:t>
            </w:r>
          </w:p>
        </w:tc>
        <w:tc>
          <w:tcPr>
            <w:tcW w:w="312" w:type="pct"/>
            <w:vAlign w:val="center"/>
          </w:tcPr>
          <w:p w14:paraId="015D7772">
            <w:pPr>
              <w:pStyle w:val="13"/>
              <w:jc w:val="center"/>
              <w:rPr>
                <w:rFonts w:hint="eastAsia" w:ascii="宋体" w:hAnsi="宋体"/>
                <w:w w:val="80"/>
                <w:szCs w:val="21"/>
              </w:rPr>
            </w:pPr>
            <w:r>
              <w:rPr>
                <w:rFonts w:hint="eastAsia" w:ascii="宋体" w:hAnsi="宋体"/>
                <w:w w:val="80"/>
                <w:szCs w:val="21"/>
              </w:rPr>
              <w:t>6.64</w:t>
            </w:r>
          </w:p>
        </w:tc>
        <w:tc>
          <w:tcPr>
            <w:tcW w:w="312" w:type="pct"/>
            <w:vAlign w:val="center"/>
          </w:tcPr>
          <w:p w14:paraId="2C924B69">
            <w:pPr>
              <w:pStyle w:val="13"/>
              <w:jc w:val="center"/>
              <w:rPr>
                <w:rFonts w:hint="eastAsia" w:ascii="宋体" w:hAnsi="宋体"/>
                <w:w w:val="80"/>
                <w:szCs w:val="21"/>
              </w:rPr>
            </w:pPr>
            <w:r>
              <w:rPr>
                <w:rFonts w:hint="eastAsia" w:ascii="宋体" w:hAnsi="宋体"/>
                <w:w w:val="80"/>
                <w:szCs w:val="21"/>
              </w:rPr>
              <w:t>6.8</w:t>
            </w:r>
          </w:p>
        </w:tc>
        <w:tc>
          <w:tcPr>
            <w:tcW w:w="312" w:type="pct"/>
            <w:vAlign w:val="center"/>
          </w:tcPr>
          <w:p w14:paraId="44331BC0">
            <w:pPr>
              <w:pStyle w:val="13"/>
              <w:jc w:val="center"/>
              <w:rPr>
                <w:rFonts w:hint="eastAsia" w:ascii="宋体" w:hAnsi="宋体"/>
                <w:w w:val="80"/>
                <w:szCs w:val="21"/>
              </w:rPr>
            </w:pPr>
            <w:r>
              <w:rPr>
                <w:rFonts w:hint="eastAsia" w:ascii="宋体" w:hAnsi="宋体"/>
                <w:w w:val="80"/>
                <w:szCs w:val="21"/>
              </w:rPr>
              <w:t>1.2</w:t>
            </w:r>
          </w:p>
        </w:tc>
        <w:tc>
          <w:tcPr>
            <w:tcW w:w="312" w:type="pct"/>
            <w:vAlign w:val="center"/>
          </w:tcPr>
          <w:p w14:paraId="15FEEF63">
            <w:pPr>
              <w:pStyle w:val="13"/>
              <w:jc w:val="center"/>
              <w:rPr>
                <w:rFonts w:hint="eastAsia" w:ascii="宋体" w:hAnsi="宋体"/>
                <w:w w:val="80"/>
                <w:szCs w:val="21"/>
              </w:rPr>
            </w:pPr>
            <w:r>
              <w:rPr>
                <w:rFonts w:hint="eastAsia" w:ascii="宋体" w:hAnsi="宋体"/>
                <w:w w:val="80"/>
                <w:szCs w:val="21"/>
              </w:rPr>
              <w:t>2.1</w:t>
            </w:r>
          </w:p>
        </w:tc>
        <w:tc>
          <w:tcPr>
            <w:tcW w:w="312" w:type="pct"/>
            <w:vAlign w:val="center"/>
          </w:tcPr>
          <w:p w14:paraId="0F9501DF">
            <w:pPr>
              <w:pStyle w:val="13"/>
              <w:jc w:val="center"/>
              <w:rPr>
                <w:rFonts w:hint="eastAsia" w:ascii="宋体" w:hAnsi="宋体"/>
                <w:w w:val="80"/>
                <w:szCs w:val="21"/>
              </w:rPr>
            </w:pPr>
            <w:r>
              <w:rPr>
                <w:rFonts w:hint="eastAsia" w:ascii="宋体" w:hAnsi="宋体"/>
                <w:w w:val="80"/>
                <w:szCs w:val="21"/>
              </w:rPr>
              <w:t>0.056</w:t>
            </w:r>
          </w:p>
        </w:tc>
        <w:tc>
          <w:tcPr>
            <w:tcW w:w="312" w:type="pct"/>
            <w:vAlign w:val="center"/>
          </w:tcPr>
          <w:p w14:paraId="5594ED1A">
            <w:pPr>
              <w:pStyle w:val="13"/>
              <w:jc w:val="center"/>
              <w:rPr>
                <w:rFonts w:hint="eastAsia" w:ascii="宋体" w:hAnsi="宋体"/>
                <w:w w:val="80"/>
                <w:szCs w:val="21"/>
              </w:rPr>
            </w:pPr>
            <w:r>
              <w:rPr>
                <w:rFonts w:hint="eastAsia" w:ascii="宋体" w:hAnsi="宋体"/>
                <w:w w:val="80"/>
                <w:szCs w:val="21"/>
              </w:rPr>
              <w:t>0.01L</w:t>
            </w:r>
          </w:p>
        </w:tc>
        <w:tc>
          <w:tcPr>
            <w:tcW w:w="313" w:type="pct"/>
            <w:vAlign w:val="center"/>
          </w:tcPr>
          <w:p w14:paraId="4D34270B">
            <w:pPr>
              <w:pStyle w:val="13"/>
              <w:jc w:val="center"/>
              <w:rPr>
                <w:rFonts w:hint="eastAsia" w:ascii="宋体" w:hAnsi="宋体"/>
                <w:w w:val="80"/>
                <w:szCs w:val="21"/>
              </w:rPr>
            </w:pPr>
            <w:r>
              <w:rPr>
                <w:rFonts w:hint="eastAsia" w:ascii="宋体" w:hAnsi="宋体"/>
                <w:w w:val="80"/>
                <w:szCs w:val="21"/>
              </w:rPr>
              <w:t>0.004L</w:t>
            </w:r>
          </w:p>
        </w:tc>
        <w:tc>
          <w:tcPr>
            <w:tcW w:w="313" w:type="pct"/>
            <w:vAlign w:val="center"/>
          </w:tcPr>
          <w:p w14:paraId="13B90ADF">
            <w:pPr>
              <w:pStyle w:val="13"/>
              <w:jc w:val="center"/>
              <w:rPr>
                <w:rFonts w:hint="eastAsia" w:ascii="宋体" w:hAnsi="宋体"/>
                <w:w w:val="80"/>
                <w:szCs w:val="21"/>
              </w:rPr>
            </w:pPr>
            <w:r>
              <w:rPr>
                <w:rFonts w:hint="eastAsia" w:ascii="宋体" w:hAnsi="宋体"/>
                <w:w w:val="80"/>
                <w:szCs w:val="21"/>
              </w:rPr>
              <w:t>0.001L</w:t>
            </w:r>
          </w:p>
        </w:tc>
        <w:tc>
          <w:tcPr>
            <w:tcW w:w="313" w:type="pct"/>
            <w:vAlign w:val="center"/>
          </w:tcPr>
          <w:p w14:paraId="6B4056C6">
            <w:pPr>
              <w:pStyle w:val="13"/>
              <w:jc w:val="center"/>
              <w:rPr>
                <w:rFonts w:hint="eastAsia" w:ascii="宋体" w:hAnsi="宋体"/>
                <w:w w:val="80"/>
                <w:szCs w:val="21"/>
              </w:rPr>
            </w:pPr>
            <w:r>
              <w:rPr>
                <w:rFonts w:hint="eastAsia" w:ascii="宋体" w:hAnsi="宋体"/>
                <w:w w:val="80"/>
                <w:szCs w:val="21"/>
              </w:rPr>
              <w:t>0.234</w:t>
            </w:r>
          </w:p>
        </w:tc>
        <w:tc>
          <w:tcPr>
            <w:tcW w:w="313" w:type="pct"/>
            <w:vAlign w:val="center"/>
          </w:tcPr>
          <w:p w14:paraId="7D929EC5">
            <w:pPr>
              <w:pStyle w:val="13"/>
              <w:jc w:val="center"/>
              <w:rPr>
                <w:rFonts w:hint="eastAsia" w:ascii="宋体" w:hAnsi="宋体"/>
                <w:w w:val="50"/>
                <w:szCs w:val="21"/>
              </w:rPr>
            </w:pPr>
            <w:r>
              <w:rPr>
                <w:rFonts w:hint="eastAsia" w:ascii="宋体" w:hAnsi="宋体"/>
                <w:w w:val="50"/>
                <w:szCs w:val="21"/>
              </w:rPr>
              <w:t>0.00007L</w:t>
            </w:r>
          </w:p>
        </w:tc>
        <w:tc>
          <w:tcPr>
            <w:tcW w:w="313" w:type="pct"/>
            <w:vAlign w:val="center"/>
          </w:tcPr>
          <w:p w14:paraId="73D699D5">
            <w:pPr>
              <w:pStyle w:val="13"/>
              <w:jc w:val="center"/>
              <w:rPr>
                <w:rFonts w:hint="eastAsia" w:ascii="宋体" w:hAnsi="宋体"/>
                <w:w w:val="50"/>
                <w:szCs w:val="21"/>
              </w:rPr>
            </w:pPr>
            <w:r>
              <w:rPr>
                <w:rFonts w:hint="eastAsia" w:ascii="宋体" w:hAnsi="宋体"/>
                <w:w w:val="50"/>
                <w:szCs w:val="21"/>
              </w:rPr>
              <w:t>0.00002L</w:t>
            </w:r>
          </w:p>
        </w:tc>
        <w:tc>
          <w:tcPr>
            <w:tcW w:w="313" w:type="pct"/>
            <w:vAlign w:val="center"/>
          </w:tcPr>
          <w:p w14:paraId="5F0F784A">
            <w:pPr>
              <w:pStyle w:val="13"/>
              <w:jc w:val="center"/>
              <w:rPr>
                <w:rFonts w:hint="eastAsia" w:ascii="宋体" w:hAnsi="宋体"/>
                <w:w w:val="50"/>
                <w:szCs w:val="21"/>
              </w:rPr>
            </w:pPr>
            <w:r>
              <w:rPr>
                <w:rFonts w:hint="eastAsia" w:ascii="宋体" w:hAnsi="宋体"/>
                <w:w w:val="50"/>
                <w:szCs w:val="21"/>
              </w:rPr>
              <w:t>0.00002L</w:t>
            </w:r>
          </w:p>
        </w:tc>
        <w:tc>
          <w:tcPr>
            <w:tcW w:w="313" w:type="pct"/>
            <w:vAlign w:val="center"/>
          </w:tcPr>
          <w:p w14:paraId="766E736B">
            <w:pPr>
              <w:pStyle w:val="13"/>
              <w:jc w:val="center"/>
              <w:rPr>
                <w:rFonts w:hint="eastAsia" w:ascii="宋体" w:hAnsi="宋体"/>
                <w:w w:val="80"/>
                <w:szCs w:val="21"/>
              </w:rPr>
            </w:pPr>
            <w:r>
              <w:rPr>
                <w:rFonts w:hint="eastAsia" w:ascii="宋体" w:hAnsi="宋体"/>
                <w:w w:val="80"/>
                <w:szCs w:val="21"/>
              </w:rPr>
              <w:t>0.004L</w:t>
            </w:r>
          </w:p>
        </w:tc>
        <w:tc>
          <w:tcPr>
            <w:tcW w:w="313" w:type="pct"/>
            <w:vAlign w:val="center"/>
          </w:tcPr>
          <w:p w14:paraId="5E4B452A">
            <w:pPr>
              <w:pStyle w:val="13"/>
              <w:jc w:val="center"/>
              <w:rPr>
                <w:rFonts w:hint="eastAsia" w:ascii="宋体" w:hAnsi="宋体"/>
                <w:w w:val="80"/>
                <w:szCs w:val="21"/>
              </w:rPr>
            </w:pPr>
            <w:r>
              <w:rPr>
                <w:rFonts w:hint="eastAsia" w:ascii="宋体" w:hAnsi="宋体"/>
                <w:w w:val="80"/>
                <w:szCs w:val="21"/>
              </w:rPr>
              <w:t>0.002L</w:t>
            </w:r>
          </w:p>
        </w:tc>
      </w:tr>
      <w:tr w14:paraId="17CE6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12" w:type="pct"/>
            <w:vMerge w:val="continue"/>
            <w:vAlign w:val="center"/>
          </w:tcPr>
          <w:p w14:paraId="16F942C3">
            <w:pPr>
              <w:pStyle w:val="13"/>
              <w:jc w:val="center"/>
              <w:rPr>
                <w:rFonts w:hint="eastAsia" w:ascii="宋体" w:hAnsi="宋体"/>
                <w:w w:val="80"/>
                <w:szCs w:val="21"/>
              </w:rPr>
            </w:pPr>
          </w:p>
        </w:tc>
        <w:tc>
          <w:tcPr>
            <w:tcW w:w="312" w:type="pct"/>
            <w:vAlign w:val="center"/>
          </w:tcPr>
          <w:p w14:paraId="7287C868">
            <w:pPr>
              <w:pStyle w:val="13"/>
              <w:jc w:val="center"/>
              <w:rPr>
                <w:rFonts w:hint="eastAsia" w:ascii="宋体" w:hAnsi="宋体"/>
                <w:w w:val="80"/>
                <w:szCs w:val="21"/>
              </w:rPr>
            </w:pPr>
            <w:r>
              <w:rPr>
                <w:rFonts w:hint="eastAsia" w:ascii="宋体" w:hAnsi="宋体"/>
                <w:w w:val="80"/>
                <w:szCs w:val="21"/>
              </w:rPr>
              <w:t>平</w:t>
            </w:r>
          </w:p>
          <w:p w14:paraId="0CCCD638">
            <w:pPr>
              <w:pStyle w:val="13"/>
              <w:jc w:val="center"/>
              <w:rPr>
                <w:rFonts w:hint="eastAsia" w:ascii="宋体" w:hAnsi="宋体"/>
                <w:w w:val="80"/>
                <w:szCs w:val="21"/>
              </w:rPr>
            </w:pPr>
            <w:r>
              <w:rPr>
                <w:rFonts w:hint="eastAsia" w:ascii="宋体" w:hAnsi="宋体"/>
                <w:w w:val="80"/>
                <w:szCs w:val="21"/>
              </w:rPr>
              <w:t>均</w:t>
            </w:r>
          </w:p>
          <w:p w14:paraId="5BDB2EDA">
            <w:pPr>
              <w:pStyle w:val="13"/>
              <w:jc w:val="center"/>
              <w:rPr>
                <w:rFonts w:hint="eastAsia" w:ascii="宋体" w:hAnsi="宋体"/>
                <w:w w:val="80"/>
                <w:szCs w:val="21"/>
              </w:rPr>
            </w:pPr>
            <w:r>
              <w:rPr>
                <w:rFonts w:hint="eastAsia" w:ascii="宋体" w:hAnsi="宋体"/>
                <w:w w:val="80"/>
                <w:szCs w:val="21"/>
              </w:rPr>
              <w:t>值</w:t>
            </w:r>
          </w:p>
        </w:tc>
        <w:tc>
          <w:tcPr>
            <w:tcW w:w="312" w:type="pct"/>
            <w:vAlign w:val="center"/>
          </w:tcPr>
          <w:p w14:paraId="35098EAE">
            <w:pPr>
              <w:pStyle w:val="13"/>
              <w:jc w:val="center"/>
              <w:rPr>
                <w:rFonts w:hint="eastAsia" w:ascii="宋体" w:hAnsi="宋体"/>
                <w:w w:val="80"/>
                <w:szCs w:val="21"/>
              </w:rPr>
            </w:pPr>
            <w:r>
              <w:rPr>
                <w:rFonts w:hint="eastAsia" w:ascii="宋体" w:hAnsi="宋体"/>
                <w:w w:val="80"/>
                <w:szCs w:val="21"/>
              </w:rPr>
              <w:t>7.46</w:t>
            </w:r>
          </w:p>
        </w:tc>
        <w:tc>
          <w:tcPr>
            <w:tcW w:w="312" w:type="pct"/>
            <w:vAlign w:val="center"/>
          </w:tcPr>
          <w:p w14:paraId="160DC576">
            <w:pPr>
              <w:pStyle w:val="13"/>
              <w:jc w:val="center"/>
              <w:rPr>
                <w:rFonts w:hint="eastAsia" w:ascii="宋体" w:hAnsi="宋体"/>
                <w:w w:val="80"/>
                <w:szCs w:val="21"/>
              </w:rPr>
            </w:pPr>
            <w:r>
              <w:rPr>
                <w:rFonts w:hint="eastAsia" w:ascii="宋体" w:hAnsi="宋体"/>
                <w:w w:val="80"/>
                <w:szCs w:val="21"/>
              </w:rPr>
              <w:t>8.7</w:t>
            </w:r>
          </w:p>
        </w:tc>
        <w:tc>
          <w:tcPr>
            <w:tcW w:w="312" w:type="pct"/>
            <w:vAlign w:val="center"/>
          </w:tcPr>
          <w:p w14:paraId="4CC5567F">
            <w:pPr>
              <w:pStyle w:val="13"/>
              <w:jc w:val="center"/>
              <w:rPr>
                <w:rFonts w:hint="eastAsia" w:ascii="宋体" w:hAnsi="宋体"/>
                <w:w w:val="80"/>
                <w:szCs w:val="21"/>
              </w:rPr>
            </w:pPr>
            <w:r>
              <w:rPr>
                <w:rFonts w:hint="eastAsia" w:ascii="宋体" w:hAnsi="宋体"/>
                <w:w w:val="80"/>
                <w:szCs w:val="21"/>
              </w:rPr>
              <w:t>2.3</w:t>
            </w:r>
          </w:p>
        </w:tc>
        <w:tc>
          <w:tcPr>
            <w:tcW w:w="312" w:type="pct"/>
            <w:vAlign w:val="center"/>
          </w:tcPr>
          <w:p w14:paraId="22890891">
            <w:pPr>
              <w:pStyle w:val="13"/>
              <w:jc w:val="center"/>
              <w:rPr>
                <w:rFonts w:hint="eastAsia" w:ascii="宋体" w:hAnsi="宋体"/>
                <w:w w:val="80"/>
                <w:szCs w:val="21"/>
              </w:rPr>
            </w:pPr>
            <w:r>
              <w:rPr>
                <w:rFonts w:hint="eastAsia" w:ascii="宋体" w:hAnsi="宋体"/>
                <w:w w:val="80"/>
                <w:szCs w:val="21"/>
              </w:rPr>
              <w:t>2.7</w:t>
            </w:r>
          </w:p>
        </w:tc>
        <w:tc>
          <w:tcPr>
            <w:tcW w:w="312" w:type="pct"/>
            <w:vAlign w:val="center"/>
          </w:tcPr>
          <w:p w14:paraId="76F9C843">
            <w:pPr>
              <w:pStyle w:val="13"/>
              <w:jc w:val="center"/>
              <w:rPr>
                <w:rFonts w:hint="eastAsia" w:ascii="宋体" w:hAnsi="宋体"/>
                <w:w w:val="80"/>
                <w:szCs w:val="21"/>
              </w:rPr>
            </w:pPr>
            <w:r>
              <w:rPr>
                <w:rFonts w:hint="eastAsia" w:ascii="宋体" w:hAnsi="宋体"/>
                <w:w w:val="80"/>
                <w:szCs w:val="21"/>
              </w:rPr>
              <w:t>0.126</w:t>
            </w:r>
          </w:p>
        </w:tc>
        <w:tc>
          <w:tcPr>
            <w:tcW w:w="312" w:type="pct"/>
            <w:vAlign w:val="center"/>
          </w:tcPr>
          <w:p w14:paraId="4D16B38D">
            <w:pPr>
              <w:pStyle w:val="13"/>
              <w:jc w:val="center"/>
              <w:rPr>
                <w:rFonts w:hint="eastAsia" w:ascii="宋体" w:hAnsi="宋体"/>
                <w:w w:val="80"/>
                <w:szCs w:val="21"/>
              </w:rPr>
            </w:pPr>
            <w:r>
              <w:rPr>
                <w:rFonts w:hint="eastAsia" w:ascii="宋体" w:hAnsi="宋体"/>
                <w:w w:val="80"/>
                <w:szCs w:val="21"/>
              </w:rPr>
              <w:t>0.013</w:t>
            </w:r>
          </w:p>
        </w:tc>
        <w:tc>
          <w:tcPr>
            <w:tcW w:w="313" w:type="pct"/>
            <w:vAlign w:val="center"/>
          </w:tcPr>
          <w:p w14:paraId="2F392C29">
            <w:pPr>
              <w:pStyle w:val="13"/>
              <w:jc w:val="center"/>
              <w:rPr>
                <w:rFonts w:hint="eastAsia" w:ascii="宋体" w:hAnsi="宋体"/>
                <w:w w:val="80"/>
                <w:szCs w:val="21"/>
              </w:rPr>
            </w:pPr>
            <w:r>
              <w:rPr>
                <w:rFonts w:hint="eastAsia" w:ascii="宋体" w:hAnsi="宋体"/>
                <w:w w:val="80"/>
                <w:szCs w:val="21"/>
              </w:rPr>
              <w:t>0.004L</w:t>
            </w:r>
          </w:p>
        </w:tc>
        <w:tc>
          <w:tcPr>
            <w:tcW w:w="313" w:type="pct"/>
            <w:vAlign w:val="center"/>
          </w:tcPr>
          <w:p w14:paraId="172862B8">
            <w:pPr>
              <w:pStyle w:val="13"/>
              <w:jc w:val="center"/>
              <w:rPr>
                <w:rFonts w:hint="eastAsia" w:ascii="宋体" w:hAnsi="宋体"/>
                <w:w w:val="80"/>
                <w:szCs w:val="21"/>
              </w:rPr>
            </w:pPr>
            <w:r>
              <w:rPr>
                <w:rFonts w:hint="eastAsia" w:ascii="宋体" w:hAnsi="宋体"/>
                <w:w w:val="80"/>
                <w:szCs w:val="21"/>
              </w:rPr>
              <w:t>0.0141</w:t>
            </w:r>
          </w:p>
        </w:tc>
        <w:tc>
          <w:tcPr>
            <w:tcW w:w="313" w:type="pct"/>
            <w:vAlign w:val="center"/>
          </w:tcPr>
          <w:p w14:paraId="2A1703DF">
            <w:pPr>
              <w:pStyle w:val="13"/>
              <w:jc w:val="center"/>
              <w:rPr>
                <w:rFonts w:hint="eastAsia" w:ascii="宋体" w:hAnsi="宋体"/>
                <w:w w:val="80"/>
                <w:szCs w:val="21"/>
              </w:rPr>
            </w:pPr>
            <w:r>
              <w:rPr>
                <w:rFonts w:hint="eastAsia" w:ascii="宋体" w:hAnsi="宋体"/>
                <w:w w:val="80"/>
                <w:szCs w:val="21"/>
              </w:rPr>
              <w:t>0.284</w:t>
            </w:r>
          </w:p>
        </w:tc>
        <w:tc>
          <w:tcPr>
            <w:tcW w:w="313" w:type="pct"/>
            <w:vAlign w:val="center"/>
          </w:tcPr>
          <w:p w14:paraId="37B4DC3F">
            <w:pPr>
              <w:pStyle w:val="13"/>
              <w:jc w:val="center"/>
              <w:rPr>
                <w:rFonts w:hint="eastAsia" w:ascii="宋体" w:hAnsi="宋体"/>
                <w:w w:val="50"/>
                <w:szCs w:val="21"/>
              </w:rPr>
            </w:pPr>
            <w:r>
              <w:rPr>
                <w:rFonts w:hint="eastAsia" w:ascii="宋体" w:hAnsi="宋体"/>
                <w:w w:val="50"/>
                <w:szCs w:val="21"/>
              </w:rPr>
              <w:t>0.00007L</w:t>
            </w:r>
          </w:p>
        </w:tc>
        <w:tc>
          <w:tcPr>
            <w:tcW w:w="313" w:type="pct"/>
            <w:vAlign w:val="center"/>
          </w:tcPr>
          <w:p w14:paraId="25E740DD">
            <w:pPr>
              <w:pStyle w:val="13"/>
              <w:jc w:val="center"/>
              <w:rPr>
                <w:rFonts w:hint="eastAsia" w:ascii="宋体" w:hAnsi="宋体"/>
                <w:w w:val="50"/>
                <w:szCs w:val="21"/>
              </w:rPr>
            </w:pPr>
            <w:r>
              <w:rPr>
                <w:rFonts w:hint="eastAsia" w:ascii="宋体" w:hAnsi="宋体"/>
                <w:w w:val="50"/>
                <w:szCs w:val="21"/>
              </w:rPr>
              <w:t>0.00002L</w:t>
            </w:r>
          </w:p>
        </w:tc>
        <w:tc>
          <w:tcPr>
            <w:tcW w:w="313" w:type="pct"/>
            <w:vAlign w:val="center"/>
          </w:tcPr>
          <w:p w14:paraId="12E22D00">
            <w:pPr>
              <w:pStyle w:val="13"/>
              <w:jc w:val="center"/>
              <w:rPr>
                <w:rFonts w:hint="eastAsia" w:ascii="宋体" w:hAnsi="宋体"/>
                <w:w w:val="50"/>
                <w:szCs w:val="21"/>
              </w:rPr>
            </w:pPr>
            <w:r>
              <w:rPr>
                <w:rFonts w:hint="eastAsia" w:ascii="宋体" w:hAnsi="宋体"/>
                <w:w w:val="50"/>
                <w:szCs w:val="21"/>
              </w:rPr>
              <w:t>0.00002L</w:t>
            </w:r>
          </w:p>
        </w:tc>
        <w:tc>
          <w:tcPr>
            <w:tcW w:w="313" w:type="pct"/>
            <w:vAlign w:val="center"/>
          </w:tcPr>
          <w:p w14:paraId="0E073644">
            <w:pPr>
              <w:pStyle w:val="13"/>
              <w:jc w:val="center"/>
              <w:rPr>
                <w:rFonts w:hint="eastAsia" w:ascii="宋体" w:hAnsi="宋体"/>
                <w:w w:val="80"/>
                <w:szCs w:val="21"/>
              </w:rPr>
            </w:pPr>
            <w:r>
              <w:rPr>
                <w:rFonts w:hint="eastAsia" w:ascii="宋体" w:hAnsi="宋体"/>
                <w:w w:val="80"/>
                <w:szCs w:val="21"/>
              </w:rPr>
              <w:t>0.004L</w:t>
            </w:r>
          </w:p>
        </w:tc>
        <w:tc>
          <w:tcPr>
            <w:tcW w:w="313" w:type="pct"/>
            <w:vAlign w:val="center"/>
          </w:tcPr>
          <w:p w14:paraId="3A92FC57">
            <w:pPr>
              <w:pStyle w:val="13"/>
              <w:jc w:val="center"/>
              <w:rPr>
                <w:rFonts w:hint="eastAsia" w:ascii="宋体" w:hAnsi="宋体"/>
                <w:w w:val="80"/>
                <w:szCs w:val="21"/>
              </w:rPr>
            </w:pPr>
            <w:r>
              <w:rPr>
                <w:rFonts w:hint="eastAsia" w:ascii="宋体" w:hAnsi="宋体"/>
                <w:w w:val="80"/>
                <w:szCs w:val="21"/>
              </w:rPr>
              <w:t>0.002L</w:t>
            </w:r>
          </w:p>
        </w:tc>
      </w:tr>
      <w:tr w14:paraId="3B2EE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312" w:type="pct"/>
            <w:vMerge w:val="continue"/>
            <w:vAlign w:val="center"/>
          </w:tcPr>
          <w:p w14:paraId="6EB7E2A7">
            <w:pPr>
              <w:pStyle w:val="13"/>
              <w:jc w:val="center"/>
              <w:rPr>
                <w:rFonts w:hint="eastAsia" w:ascii="宋体" w:hAnsi="宋体"/>
                <w:w w:val="80"/>
                <w:szCs w:val="21"/>
              </w:rPr>
            </w:pPr>
          </w:p>
        </w:tc>
        <w:tc>
          <w:tcPr>
            <w:tcW w:w="312" w:type="pct"/>
            <w:vAlign w:val="center"/>
          </w:tcPr>
          <w:p w14:paraId="4E911A1B">
            <w:pPr>
              <w:pStyle w:val="13"/>
              <w:jc w:val="center"/>
              <w:rPr>
                <w:rFonts w:hint="eastAsia" w:ascii="宋体" w:hAnsi="宋体"/>
                <w:w w:val="80"/>
                <w:szCs w:val="21"/>
              </w:rPr>
            </w:pPr>
            <w:r>
              <w:rPr>
                <w:rFonts w:hint="eastAsia" w:ascii="宋体" w:hAnsi="宋体"/>
                <w:w w:val="80"/>
                <w:szCs w:val="21"/>
              </w:rPr>
              <w:t>超</w:t>
            </w:r>
          </w:p>
          <w:p w14:paraId="0485C1F7">
            <w:pPr>
              <w:pStyle w:val="13"/>
              <w:jc w:val="center"/>
              <w:rPr>
                <w:rFonts w:hint="eastAsia" w:ascii="宋体" w:hAnsi="宋体"/>
                <w:w w:val="80"/>
                <w:szCs w:val="21"/>
              </w:rPr>
            </w:pPr>
            <w:r>
              <w:rPr>
                <w:rFonts w:hint="eastAsia" w:ascii="宋体" w:hAnsi="宋体"/>
                <w:w w:val="80"/>
                <w:szCs w:val="21"/>
              </w:rPr>
              <w:t>标</w:t>
            </w:r>
          </w:p>
          <w:p w14:paraId="5015248C">
            <w:pPr>
              <w:pStyle w:val="13"/>
              <w:jc w:val="center"/>
              <w:rPr>
                <w:rFonts w:hint="eastAsia" w:ascii="宋体" w:hAnsi="宋体"/>
                <w:w w:val="80"/>
                <w:szCs w:val="21"/>
              </w:rPr>
            </w:pPr>
            <w:r>
              <w:rPr>
                <w:rFonts w:hint="eastAsia" w:ascii="宋体" w:hAnsi="宋体"/>
                <w:w w:val="80"/>
                <w:szCs w:val="21"/>
              </w:rPr>
              <w:t>率</w:t>
            </w:r>
          </w:p>
          <w:p w14:paraId="28364513">
            <w:pPr>
              <w:pStyle w:val="13"/>
              <w:jc w:val="center"/>
              <w:rPr>
                <w:rFonts w:hint="eastAsia" w:ascii="宋体" w:hAnsi="宋体"/>
                <w:w w:val="80"/>
                <w:szCs w:val="21"/>
              </w:rPr>
            </w:pPr>
            <w:r>
              <w:rPr>
                <w:rFonts w:hint="eastAsia" w:ascii="宋体" w:hAnsi="宋体"/>
                <w:w w:val="80"/>
                <w:szCs w:val="21"/>
              </w:rPr>
              <w:t>（%）</w:t>
            </w:r>
          </w:p>
        </w:tc>
        <w:tc>
          <w:tcPr>
            <w:tcW w:w="312" w:type="pct"/>
            <w:vAlign w:val="center"/>
          </w:tcPr>
          <w:p w14:paraId="28840846">
            <w:pPr>
              <w:pStyle w:val="13"/>
              <w:jc w:val="center"/>
              <w:rPr>
                <w:rFonts w:hint="eastAsia" w:ascii="宋体" w:hAnsi="宋体"/>
                <w:w w:val="80"/>
                <w:szCs w:val="21"/>
              </w:rPr>
            </w:pPr>
            <w:r>
              <w:rPr>
                <w:rFonts w:hint="eastAsia" w:ascii="宋体" w:hAnsi="宋体"/>
                <w:w w:val="80"/>
                <w:szCs w:val="21"/>
              </w:rPr>
              <w:t>0.0</w:t>
            </w:r>
          </w:p>
        </w:tc>
        <w:tc>
          <w:tcPr>
            <w:tcW w:w="312" w:type="pct"/>
            <w:vAlign w:val="center"/>
          </w:tcPr>
          <w:p w14:paraId="6AA2D2B3">
            <w:pPr>
              <w:pStyle w:val="13"/>
              <w:jc w:val="center"/>
              <w:rPr>
                <w:rFonts w:hint="eastAsia" w:ascii="宋体" w:hAnsi="宋体"/>
                <w:w w:val="80"/>
                <w:szCs w:val="21"/>
              </w:rPr>
            </w:pPr>
            <w:r>
              <w:rPr>
                <w:rFonts w:hint="eastAsia" w:ascii="宋体" w:hAnsi="宋体"/>
                <w:w w:val="80"/>
                <w:szCs w:val="21"/>
              </w:rPr>
              <w:t>0.0</w:t>
            </w:r>
          </w:p>
        </w:tc>
        <w:tc>
          <w:tcPr>
            <w:tcW w:w="312" w:type="pct"/>
            <w:vAlign w:val="center"/>
          </w:tcPr>
          <w:p w14:paraId="2942DD09">
            <w:pPr>
              <w:pStyle w:val="13"/>
              <w:jc w:val="center"/>
              <w:rPr>
                <w:rFonts w:hint="eastAsia" w:ascii="宋体" w:hAnsi="宋体"/>
                <w:w w:val="80"/>
                <w:szCs w:val="21"/>
              </w:rPr>
            </w:pPr>
            <w:r>
              <w:rPr>
                <w:rFonts w:hint="eastAsia" w:ascii="宋体" w:hAnsi="宋体"/>
                <w:w w:val="80"/>
                <w:szCs w:val="21"/>
              </w:rPr>
              <w:t>0.0</w:t>
            </w:r>
          </w:p>
        </w:tc>
        <w:tc>
          <w:tcPr>
            <w:tcW w:w="312" w:type="pct"/>
            <w:vAlign w:val="center"/>
          </w:tcPr>
          <w:p w14:paraId="557FBE3D">
            <w:pPr>
              <w:pStyle w:val="13"/>
              <w:jc w:val="center"/>
              <w:rPr>
                <w:rFonts w:hint="eastAsia" w:ascii="宋体" w:hAnsi="宋体"/>
                <w:w w:val="80"/>
                <w:szCs w:val="21"/>
              </w:rPr>
            </w:pPr>
            <w:r>
              <w:rPr>
                <w:rFonts w:hint="eastAsia" w:ascii="宋体" w:hAnsi="宋体"/>
                <w:w w:val="80"/>
                <w:szCs w:val="21"/>
              </w:rPr>
              <w:t>0.0</w:t>
            </w:r>
          </w:p>
        </w:tc>
        <w:tc>
          <w:tcPr>
            <w:tcW w:w="312" w:type="pct"/>
            <w:vAlign w:val="center"/>
          </w:tcPr>
          <w:p w14:paraId="7DE2004E">
            <w:pPr>
              <w:pStyle w:val="13"/>
              <w:jc w:val="center"/>
              <w:rPr>
                <w:rFonts w:hint="eastAsia" w:ascii="宋体" w:hAnsi="宋体"/>
                <w:w w:val="80"/>
                <w:szCs w:val="21"/>
              </w:rPr>
            </w:pPr>
            <w:r>
              <w:rPr>
                <w:rFonts w:hint="eastAsia" w:ascii="宋体" w:hAnsi="宋体"/>
                <w:w w:val="80"/>
                <w:szCs w:val="21"/>
              </w:rPr>
              <w:t>0.0</w:t>
            </w:r>
          </w:p>
        </w:tc>
        <w:tc>
          <w:tcPr>
            <w:tcW w:w="312" w:type="pct"/>
            <w:vAlign w:val="center"/>
          </w:tcPr>
          <w:p w14:paraId="41EA7AF5">
            <w:pPr>
              <w:pStyle w:val="13"/>
              <w:jc w:val="center"/>
              <w:rPr>
                <w:rFonts w:hint="eastAsia" w:ascii="宋体" w:hAnsi="宋体"/>
                <w:w w:val="80"/>
                <w:szCs w:val="21"/>
              </w:rPr>
            </w:pPr>
            <w:r>
              <w:rPr>
                <w:rFonts w:hint="eastAsia" w:ascii="宋体" w:hAnsi="宋体"/>
                <w:w w:val="80"/>
                <w:szCs w:val="21"/>
              </w:rPr>
              <w:t>0.0</w:t>
            </w:r>
          </w:p>
        </w:tc>
        <w:tc>
          <w:tcPr>
            <w:tcW w:w="313" w:type="pct"/>
            <w:vAlign w:val="center"/>
          </w:tcPr>
          <w:p w14:paraId="63C1BB22">
            <w:pPr>
              <w:pStyle w:val="13"/>
              <w:jc w:val="center"/>
              <w:rPr>
                <w:rFonts w:hint="eastAsia" w:ascii="宋体" w:hAnsi="宋体"/>
                <w:w w:val="80"/>
                <w:szCs w:val="21"/>
              </w:rPr>
            </w:pPr>
            <w:r>
              <w:rPr>
                <w:rFonts w:hint="eastAsia" w:ascii="宋体" w:hAnsi="宋体"/>
                <w:w w:val="80"/>
                <w:szCs w:val="21"/>
              </w:rPr>
              <w:t>0.0</w:t>
            </w:r>
          </w:p>
        </w:tc>
        <w:tc>
          <w:tcPr>
            <w:tcW w:w="313" w:type="pct"/>
            <w:vAlign w:val="center"/>
          </w:tcPr>
          <w:p w14:paraId="519AED69">
            <w:pPr>
              <w:pStyle w:val="13"/>
              <w:jc w:val="center"/>
              <w:rPr>
                <w:rFonts w:hint="eastAsia" w:ascii="宋体" w:hAnsi="宋体"/>
                <w:w w:val="80"/>
                <w:szCs w:val="21"/>
              </w:rPr>
            </w:pPr>
            <w:r>
              <w:rPr>
                <w:rFonts w:hint="eastAsia" w:ascii="宋体" w:hAnsi="宋体"/>
                <w:w w:val="80"/>
                <w:szCs w:val="21"/>
              </w:rPr>
              <w:t>0.0</w:t>
            </w:r>
          </w:p>
        </w:tc>
        <w:tc>
          <w:tcPr>
            <w:tcW w:w="313" w:type="pct"/>
            <w:vAlign w:val="center"/>
          </w:tcPr>
          <w:p w14:paraId="0BCEB967">
            <w:pPr>
              <w:pStyle w:val="13"/>
              <w:jc w:val="center"/>
              <w:rPr>
                <w:rFonts w:hint="eastAsia" w:ascii="宋体" w:hAnsi="宋体"/>
                <w:w w:val="80"/>
                <w:szCs w:val="21"/>
              </w:rPr>
            </w:pPr>
            <w:r>
              <w:rPr>
                <w:rFonts w:hint="eastAsia" w:ascii="宋体" w:hAnsi="宋体"/>
                <w:w w:val="80"/>
                <w:szCs w:val="21"/>
              </w:rPr>
              <w:t>0.0</w:t>
            </w:r>
          </w:p>
        </w:tc>
        <w:tc>
          <w:tcPr>
            <w:tcW w:w="313" w:type="pct"/>
            <w:vAlign w:val="center"/>
          </w:tcPr>
          <w:p w14:paraId="77F0E7A9">
            <w:pPr>
              <w:pStyle w:val="13"/>
              <w:jc w:val="center"/>
              <w:rPr>
                <w:rFonts w:hint="eastAsia" w:ascii="宋体" w:hAnsi="宋体"/>
                <w:w w:val="80"/>
                <w:szCs w:val="21"/>
              </w:rPr>
            </w:pPr>
            <w:r>
              <w:rPr>
                <w:rFonts w:hint="eastAsia" w:ascii="宋体" w:hAnsi="宋体"/>
                <w:w w:val="80"/>
                <w:szCs w:val="21"/>
              </w:rPr>
              <w:t>0.0</w:t>
            </w:r>
          </w:p>
        </w:tc>
        <w:tc>
          <w:tcPr>
            <w:tcW w:w="313" w:type="pct"/>
            <w:vAlign w:val="center"/>
          </w:tcPr>
          <w:p w14:paraId="7FE847A0">
            <w:pPr>
              <w:pStyle w:val="13"/>
              <w:jc w:val="center"/>
              <w:rPr>
                <w:rFonts w:hint="eastAsia" w:ascii="宋体" w:hAnsi="宋体"/>
                <w:w w:val="80"/>
                <w:szCs w:val="21"/>
              </w:rPr>
            </w:pPr>
            <w:r>
              <w:rPr>
                <w:rFonts w:hint="eastAsia" w:ascii="宋体" w:hAnsi="宋体"/>
                <w:w w:val="80"/>
                <w:szCs w:val="21"/>
              </w:rPr>
              <w:t>0.0</w:t>
            </w:r>
          </w:p>
        </w:tc>
        <w:tc>
          <w:tcPr>
            <w:tcW w:w="313" w:type="pct"/>
            <w:vAlign w:val="center"/>
          </w:tcPr>
          <w:p w14:paraId="36ED48B1">
            <w:pPr>
              <w:pStyle w:val="13"/>
              <w:jc w:val="center"/>
              <w:rPr>
                <w:rFonts w:hint="eastAsia" w:ascii="宋体" w:hAnsi="宋体"/>
                <w:w w:val="80"/>
                <w:szCs w:val="21"/>
              </w:rPr>
            </w:pPr>
            <w:r>
              <w:rPr>
                <w:rFonts w:hint="eastAsia" w:ascii="宋体" w:hAnsi="宋体"/>
                <w:w w:val="80"/>
                <w:szCs w:val="21"/>
              </w:rPr>
              <w:t>0.0</w:t>
            </w:r>
          </w:p>
        </w:tc>
        <w:tc>
          <w:tcPr>
            <w:tcW w:w="313" w:type="pct"/>
            <w:vAlign w:val="center"/>
          </w:tcPr>
          <w:p w14:paraId="2321B7D5">
            <w:pPr>
              <w:pStyle w:val="13"/>
              <w:jc w:val="center"/>
              <w:rPr>
                <w:rFonts w:hint="eastAsia" w:ascii="宋体" w:hAnsi="宋体"/>
                <w:w w:val="80"/>
                <w:szCs w:val="21"/>
              </w:rPr>
            </w:pPr>
            <w:r>
              <w:rPr>
                <w:rFonts w:hint="eastAsia" w:ascii="宋体" w:hAnsi="宋体"/>
                <w:w w:val="80"/>
                <w:szCs w:val="21"/>
              </w:rPr>
              <w:t>0.0</w:t>
            </w:r>
          </w:p>
        </w:tc>
        <w:tc>
          <w:tcPr>
            <w:tcW w:w="313" w:type="pct"/>
            <w:vAlign w:val="center"/>
          </w:tcPr>
          <w:p w14:paraId="5BA8FA2B">
            <w:pPr>
              <w:pStyle w:val="13"/>
              <w:jc w:val="center"/>
              <w:rPr>
                <w:rFonts w:ascii="宋体" w:hAnsi="宋体"/>
                <w:w w:val="80"/>
                <w:szCs w:val="21"/>
              </w:rPr>
            </w:pPr>
            <w:r>
              <w:rPr>
                <w:rFonts w:hint="eastAsia" w:ascii="宋体" w:hAnsi="宋体"/>
                <w:w w:val="80"/>
                <w:szCs w:val="21"/>
              </w:rPr>
              <w:t>0.0</w:t>
            </w:r>
          </w:p>
        </w:tc>
      </w:tr>
      <w:tr w14:paraId="581C3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624" w:type="pct"/>
            <w:gridSpan w:val="2"/>
            <w:vAlign w:val="center"/>
          </w:tcPr>
          <w:p w14:paraId="75913160">
            <w:pPr>
              <w:pStyle w:val="13"/>
              <w:jc w:val="center"/>
              <w:rPr>
                <w:rFonts w:hint="eastAsia" w:ascii="宋体" w:hAnsi="宋体"/>
                <w:w w:val="80"/>
                <w:szCs w:val="21"/>
              </w:rPr>
            </w:pPr>
            <w:r>
              <w:rPr>
                <w:rFonts w:hint="eastAsia" w:ascii="宋体" w:hAnsi="宋体"/>
                <w:w w:val="80"/>
                <w:szCs w:val="21"/>
              </w:rPr>
              <w:t>备注</w:t>
            </w:r>
          </w:p>
        </w:tc>
        <w:tc>
          <w:tcPr>
            <w:tcW w:w="4376" w:type="pct"/>
            <w:gridSpan w:val="14"/>
            <w:vAlign w:val="center"/>
          </w:tcPr>
          <w:p w14:paraId="04DC60C0">
            <w:pPr>
              <w:ind w:firstLine="0" w:firstLineChars="0"/>
              <w:rPr>
                <w:rFonts w:ascii="宋体" w:hAnsi="宋体"/>
                <w:w w:val="80"/>
                <w:szCs w:val="21"/>
              </w:rPr>
            </w:pPr>
            <w:r>
              <w:rPr>
                <w:rFonts w:hint="eastAsia" w:ascii="宋体" w:hAnsi="宋体"/>
                <w:w w:val="80"/>
                <w:szCs w:val="21"/>
              </w:rPr>
              <w:t>L表示低于最低检出限。</w:t>
            </w:r>
          </w:p>
        </w:tc>
      </w:tr>
    </w:tbl>
    <w:p w14:paraId="6BEB19C5">
      <w:pPr>
        <w:pStyle w:val="3"/>
      </w:pPr>
      <w:r>
        <w:rPr>
          <w:rFonts w:hint="eastAsia"/>
        </w:rPr>
        <w:t>行政区划</w:t>
      </w:r>
    </w:p>
    <w:p w14:paraId="69B90A76">
      <w:pPr>
        <w:pStyle w:val="4"/>
      </w:pPr>
      <w:r>
        <w:rPr>
          <w:rFonts w:hint="eastAsia"/>
        </w:rPr>
        <w:t>【区划调整】</w:t>
      </w:r>
    </w:p>
    <w:p w14:paraId="7F45EF55">
      <w:pPr>
        <w:ind w:firstLine="420"/>
        <w:rPr>
          <w:rFonts w:ascii="宋体" w:hAnsi="宋体"/>
        </w:rPr>
      </w:pPr>
      <w:r>
        <w:rPr>
          <w:rFonts w:ascii="宋体" w:hAnsi="宋体"/>
        </w:rPr>
        <w:t>2004年合并的13个行政</w:t>
      </w:r>
      <w:r>
        <w:rPr>
          <w:rFonts w:hint="eastAsia" w:ascii="宋体" w:hAnsi="宋体"/>
        </w:rPr>
        <w:t>村涉及</w:t>
      </w:r>
      <w:r>
        <w:rPr>
          <w:rFonts w:ascii="宋体" w:hAnsi="宋体"/>
        </w:rPr>
        <w:t>9个镇2万多人。此次合并率为5.9%，南雄市221个村委会减至208个。合</w:t>
      </w:r>
      <w:r>
        <w:rPr>
          <w:rFonts w:hint="eastAsia" w:ascii="宋体" w:hAnsi="宋体"/>
        </w:rPr>
        <w:t>并情况如下：</w:t>
      </w:r>
    </w:p>
    <w:p w14:paraId="6D64C6CA">
      <w:pPr>
        <w:ind w:firstLine="420"/>
        <w:rPr>
          <w:rFonts w:ascii="宋体" w:hAnsi="宋体"/>
        </w:rPr>
      </w:pPr>
      <w:r>
        <w:rPr>
          <w:rFonts w:ascii="宋体" w:hAnsi="宋体"/>
        </w:rPr>
        <w:t>1、黄坑镇塘下村委会与水西村委会合</w:t>
      </w:r>
      <w:r>
        <w:rPr>
          <w:rFonts w:hint="eastAsia" w:ascii="宋体" w:hAnsi="宋体"/>
        </w:rPr>
        <w:t>并，合并后的村名为塘源村委会，办公地点设在塘下，辖</w:t>
      </w:r>
      <w:r>
        <w:rPr>
          <w:rFonts w:ascii="宋体" w:hAnsi="宋体"/>
        </w:rPr>
        <w:t>13个自然村，761户，3175人，</w:t>
      </w:r>
      <w:r>
        <w:rPr>
          <w:rFonts w:hint="eastAsia" w:ascii="宋体" w:hAnsi="宋体"/>
        </w:rPr>
        <w:t>总面积</w:t>
      </w:r>
      <w:r>
        <w:rPr>
          <w:rFonts w:ascii="宋体" w:hAnsi="宋体"/>
        </w:rPr>
        <w:t>8.12平方公里。</w:t>
      </w:r>
    </w:p>
    <w:p w14:paraId="6B56152B">
      <w:pPr>
        <w:ind w:firstLine="420"/>
        <w:rPr>
          <w:rFonts w:ascii="宋体" w:hAnsi="宋体"/>
        </w:rPr>
      </w:pPr>
      <w:r>
        <w:rPr>
          <w:rFonts w:ascii="宋体" w:hAnsi="宋体"/>
        </w:rPr>
        <w:t>2、黄坑镇溪塘村委会与坪岗村委会合</w:t>
      </w:r>
      <w:r>
        <w:rPr>
          <w:rFonts w:hint="eastAsia" w:ascii="宋体" w:hAnsi="宋体"/>
        </w:rPr>
        <w:t>并，合并后村名称为溪塘村委会，办公地点设在坪岗，辖</w:t>
      </w:r>
      <w:r>
        <w:rPr>
          <w:rFonts w:ascii="宋体" w:hAnsi="宋体"/>
        </w:rPr>
        <w:t>11个自然村，661户，2860人，</w:t>
      </w:r>
      <w:r>
        <w:rPr>
          <w:rFonts w:hint="eastAsia" w:ascii="宋体" w:hAnsi="宋体"/>
        </w:rPr>
        <w:t>总面积</w:t>
      </w:r>
      <w:r>
        <w:rPr>
          <w:rFonts w:ascii="宋体" w:hAnsi="宋体"/>
        </w:rPr>
        <w:t>11平方公里。</w:t>
      </w:r>
    </w:p>
    <w:p w14:paraId="18D2F1A5">
      <w:pPr>
        <w:ind w:firstLine="420"/>
        <w:rPr>
          <w:rFonts w:ascii="宋体" w:hAnsi="宋体"/>
        </w:rPr>
      </w:pPr>
      <w:r>
        <w:rPr>
          <w:rFonts w:ascii="宋体" w:hAnsi="宋体"/>
        </w:rPr>
        <w:t>3、坪田镇汪汤村委会与中坪村委会合</w:t>
      </w:r>
      <w:r>
        <w:rPr>
          <w:rFonts w:hint="eastAsia" w:ascii="宋体" w:hAnsi="宋体"/>
        </w:rPr>
        <w:t>并，合并后的村名为中坪村委会，办公地点设在中坪，辖</w:t>
      </w:r>
      <w:r>
        <w:rPr>
          <w:rFonts w:ascii="宋体" w:hAnsi="宋体"/>
        </w:rPr>
        <w:t>21个自然村，356户，1800人，</w:t>
      </w:r>
      <w:r>
        <w:rPr>
          <w:rFonts w:hint="eastAsia" w:ascii="宋体" w:hAnsi="宋体"/>
        </w:rPr>
        <w:t>总面积</w:t>
      </w:r>
      <w:r>
        <w:rPr>
          <w:rFonts w:ascii="宋体" w:hAnsi="宋体"/>
        </w:rPr>
        <w:t>22平方公里。</w:t>
      </w:r>
    </w:p>
    <w:p w14:paraId="2DB4C338">
      <w:pPr>
        <w:ind w:firstLine="420"/>
        <w:rPr>
          <w:rFonts w:ascii="宋体" w:hAnsi="宋体"/>
        </w:rPr>
      </w:pPr>
      <w:r>
        <w:rPr>
          <w:rFonts w:ascii="宋体" w:hAnsi="宋体"/>
        </w:rPr>
        <w:t>4、乌迳镇沧浪村委会与孔江村委会合</w:t>
      </w:r>
      <w:r>
        <w:rPr>
          <w:rFonts w:hint="eastAsia" w:ascii="宋体" w:hAnsi="宋体"/>
        </w:rPr>
        <w:t>并，合并后的村名为孔江村委会，办公地点设在沧浪，辖</w:t>
      </w:r>
      <w:r>
        <w:rPr>
          <w:rFonts w:ascii="宋体" w:hAnsi="宋体"/>
        </w:rPr>
        <w:t>16个自然村，357户，1571人，</w:t>
      </w:r>
      <w:r>
        <w:rPr>
          <w:rFonts w:hint="eastAsia" w:ascii="宋体" w:hAnsi="宋体"/>
        </w:rPr>
        <w:t>总面积</w:t>
      </w:r>
      <w:r>
        <w:rPr>
          <w:rFonts w:ascii="宋体" w:hAnsi="宋体"/>
        </w:rPr>
        <w:t>16.89平方公里。</w:t>
      </w:r>
    </w:p>
    <w:p w14:paraId="24C55EE5">
      <w:pPr>
        <w:ind w:firstLine="420"/>
        <w:rPr>
          <w:rFonts w:ascii="宋体" w:hAnsi="宋体"/>
        </w:rPr>
      </w:pPr>
      <w:r>
        <w:rPr>
          <w:rFonts w:ascii="宋体" w:hAnsi="宋体"/>
        </w:rPr>
        <w:t>5、油山镇船塘村委会与延村村委会合</w:t>
      </w:r>
      <w:r>
        <w:rPr>
          <w:rFonts w:hint="eastAsia" w:ascii="宋体" w:hAnsi="宋体"/>
        </w:rPr>
        <w:t>并，合并后村名为延村村委会，办公地点设在延村，辖</w:t>
      </w:r>
      <w:r>
        <w:rPr>
          <w:rFonts w:ascii="宋体" w:hAnsi="宋体"/>
        </w:rPr>
        <w:t>13个自然村，444户，2143人，</w:t>
      </w:r>
      <w:r>
        <w:rPr>
          <w:rFonts w:hint="eastAsia" w:ascii="宋体" w:hAnsi="宋体"/>
        </w:rPr>
        <w:t>总面积</w:t>
      </w:r>
      <w:r>
        <w:rPr>
          <w:rFonts w:ascii="宋体" w:hAnsi="宋体"/>
        </w:rPr>
        <w:t>4.81平方公里。</w:t>
      </w:r>
    </w:p>
    <w:p w14:paraId="3CBC56AB">
      <w:pPr>
        <w:ind w:firstLine="420"/>
        <w:rPr>
          <w:rFonts w:ascii="宋体" w:hAnsi="宋体"/>
        </w:rPr>
      </w:pPr>
      <w:r>
        <w:rPr>
          <w:rFonts w:ascii="宋体" w:hAnsi="宋体"/>
        </w:rPr>
        <w:t>6、油山镇郭屋村委会与井头村委会合</w:t>
      </w:r>
      <w:r>
        <w:rPr>
          <w:rFonts w:hint="eastAsia" w:ascii="宋体" w:hAnsi="宋体"/>
        </w:rPr>
        <w:t>并，合并后的村名为浆田村委会，办公地点设在井头村，辖</w:t>
      </w:r>
      <w:r>
        <w:rPr>
          <w:rFonts w:ascii="宋体" w:hAnsi="宋体"/>
        </w:rPr>
        <w:t>9个自然村，367户，1914</w:t>
      </w:r>
      <w:r>
        <w:rPr>
          <w:rFonts w:hint="eastAsia" w:ascii="宋体" w:hAnsi="宋体"/>
        </w:rPr>
        <w:t>人，总面积</w:t>
      </w:r>
      <w:r>
        <w:rPr>
          <w:rFonts w:ascii="宋体" w:hAnsi="宋体"/>
        </w:rPr>
        <w:t>2.39平方公里。</w:t>
      </w:r>
    </w:p>
    <w:p w14:paraId="7FDABD4B">
      <w:pPr>
        <w:ind w:firstLine="420"/>
        <w:rPr>
          <w:rFonts w:ascii="宋体" w:hAnsi="宋体"/>
        </w:rPr>
      </w:pPr>
      <w:r>
        <w:rPr>
          <w:rFonts w:ascii="宋体" w:hAnsi="宋体"/>
        </w:rPr>
        <w:t>7、邓坊镇益田村委会与兰田村委会合</w:t>
      </w:r>
      <w:r>
        <w:rPr>
          <w:rFonts w:hint="eastAsia" w:ascii="宋体" w:hAnsi="宋体"/>
        </w:rPr>
        <w:t>并，合并后的村名为兰田村委会，办公地点设在兰田，辖</w:t>
      </w:r>
      <w:r>
        <w:rPr>
          <w:rFonts w:ascii="宋体" w:hAnsi="宋体"/>
        </w:rPr>
        <w:t>12个自然村，386户，1533人，</w:t>
      </w:r>
      <w:r>
        <w:rPr>
          <w:rFonts w:hint="eastAsia" w:ascii="宋体" w:hAnsi="宋体"/>
        </w:rPr>
        <w:t>总面积</w:t>
      </w:r>
      <w:r>
        <w:rPr>
          <w:rFonts w:ascii="宋体" w:hAnsi="宋体"/>
        </w:rPr>
        <w:t>33.27平方公里。</w:t>
      </w:r>
    </w:p>
    <w:p w14:paraId="378742C3">
      <w:pPr>
        <w:ind w:firstLine="420"/>
        <w:rPr>
          <w:rFonts w:ascii="宋体" w:hAnsi="宋体"/>
        </w:rPr>
      </w:pPr>
      <w:r>
        <w:rPr>
          <w:rFonts w:ascii="宋体" w:hAnsi="宋体"/>
        </w:rPr>
        <w:t>8、湖口镇石坑村委会与矿岭村委会合</w:t>
      </w:r>
      <w:r>
        <w:rPr>
          <w:rFonts w:hint="eastAsia" w:ascii="宋体" w:hAnsi="宋体"/>
        </w:rPr>
        <w:t>并，合并后的村名为矿石村委会，办公地点设在矿岭，辖</w:t>
      </w:r>
      <w:r>
        <w:rPr>
          <w:rFonts w:ascii="宋体" w:hAnsi="宋体"/>
        </w:rPr>
        <w:t>6个自然村，290户，1138人，</w:t>
      </w:r>
      <w:r>
        <w:rPr>
          <w:rFonts w:hint="eastAsia" w:ascii="宋体" w:hAnsi="宋体"/>
        </w:rPr>
        <w:t>总面积</w:t>
      </w:r>
      <w:r>
        <w:rPr>
          <w:rFonts w:ascii="宋体" w:hAnsi="宋体"/>
        </w:rPr>
        <w:t>3.66平方公里。</w:t>
      </w:r>
    </w:p>
    <w:p w14:paraId="2921A446">
      <w:pPr>
        <w:ind w:firstLine="420"/>
        <w:rPr>
          <w:rFonts w:ascii="宋体" w:hAnsi="宋体"/>
        </w:rPr>
      </w:pPr>
      <w:r>
        <w:rPr>
          <w:rFonts w:ascii="宋体" w:hAnsi="宋体"/>
        </w:rPr>
        <w:t>9、湖口镇麻石村委会与新</w:t>
      </w:r>
      <w:r>
        <w:rPr>
          <w:rFonts w:hint="eastAsia" w:ascii="宋体" w:hAnsi="宋体"/>
        </w:rPr>
        <w:t>迳</w:t>
      </w:r>
      <w:r>
        <w:rPr>
          <w:rFonts w:ascii="宋体" w:hAnsi="宋体"/>
        </w:rPr>
        <w:t>村委会合</w:t>
      </w:r>
      <w:r>
        <w:rPr>
          <w:rFonts w:hint="eastAsia" w:ascii="宋体" w:hAnsi="宋体"/>
        </w:rPr>
        <w:t>并，合并后村名为新迳村委会，办公地点设在新迳，辖</w:t>
      </w:r>
      <w:r>
        <w:rPr>
          <w:rFonts w:ascii="宋体" w:hAnsi="宋体"/>
        </w:rPr>
        <w:t>8个自然村，509户，2236人，总</w:t>
      </w:r>
      <w:r>
        <w:rPr>
          <w:rFonts w:hint="eastAsia" w:ascii="宋体" w:hAnsi="宋体"/>
        </w:rPr>
        <w:t>面积</w:t>
      </w:r>
      <w:r>
        <w:rPr>
          <w:rFonts w:ascii="宋体" w:hAnsi="宋体"/>
        </w:rPr>
        <w:t>6.08平方公里。</w:t>
      </w:r>
    </w:p>
    <w:p w14:paraId="1057B6FF">
      <w:pPr>
        <w:ind w:firstLine="420"/>
        <w:rPr>
          <w:rFonts w:ascii="宋体" w:hAnsi="宋体"/>
        </w:rPr>
      </w:pPr>
      <w:r>
        <w:rPr>
          <w:rFonts w:ascii="宋体" w:hAnsi="宋体"/>
        </w:rPr>
        <w:t>10、江头镇山坑村委会与鱼仙村委会合</w:t>
      </w:r>
      <w:r>
        <w:rPr>
          <w:rFonts w:hint="eastAsia" w:ascii="宋体" w:hAnsi="宋体"/>
        </w:rPr>
        <w:t>并，合并后村名为鱼仙村委会，办公地点设在鱼仙，辖</w:t>
      </w:r>
      <w:r>
        <w:rPr>
          <w:rFonts w:ascii="宋体" w:hAnsi="宋体"/>
        </w:rPr>
        <w:t>14个自然村，251户，1177人，</w:t>
      </w:r>
      <w:r>
        <w:rPr>
          <w:rFonts w:hint="eastAsia" w:ascii="宋体" w:hAnsi="宋体"/>
        </w:rPr>
        <w:t>总面积</w:t>
      </w:r>
      <w:r>
        <w:rPr>
          <w:rFonts w:ascii="宋体" w:hAnsi="宋体"/>
        </w:rPr>
        <w:t>17.33平方公里。</w:t>
      </w:r>
    </w:p>
    <w:p w14:paraId="26E0FBAD">
      <w:pPr>
        <w:ind w:firstLine="420"/>
        <w:rPr>
          <w:rFonts w:ascii="宋体" w:hAnsi="宋体"/>
        </w:rPr>
      </w:pPr>
      <w:r>
        <w:rPr>
          <w:rFonts w:ascii="宋体" w:hAnsi="宋体"/>
        </w:rPr>
        <w:t>11、全安镇黄岭村委会与陂头村委会合</w:t>
      </w:r>
      <w:r>
        <w:rPr>
          <w:rFonts w:hint="eastAsia" w:ascii="宋体" w:hAnsi="宋体"/>
        </w:rPr>
        <w:t>并，合并后村名为陂头村委会，办公地点设在陂头，辖</w:t>
      </w:r>
      <w:r>
        <w:rPr>
          <w:rFonts w:ascii="宋体" w:hAnsi="宋体"/>
        </w:rPr>
        <w:t>25个自然村，739户，2940人，</w:t>
      </w:r>
      <w:r>
        <w:rPr>
          <w:rFonts w:hint="eastAsia" w:ascii="宋体" w:hAnsi="宋体"/>
        </w:rPr>
        <w:t>总面积</w:t>
      </w:r>
      <w:r>
        <w:rPr>
          <w:rFonts w:ascii="宋体" w:hAnsi="宋体"/>
        </w:rPr>
        <w:t>25.9平方公里</w:t>
      </w:r>
      <w:r>
        <w:rPr>
          <w:rFonts w:hint="eastAsia" w:ascii="宋体" w:hAnsi="宋体"/>
        </w:rPr>
        <w:t>。</w:t>
      </w:r>
    </w:p>
    <w:p w14:paraId="689E3D0B">
      <w:pPr>
        <w:ind w:firstLine="420"/>
        <w:rPr>
          <w:rFonts w:ascii="宋体" w:hAnsi="宋体"/>
        </w:rPr>
      </w:pPr>
      <w:r>
        <w:rPr>
          <w:rFonts w:ascii="宋体" w:hAnsi="宋体"/>
        </w:rPr>
        <w:t>12、全安镇龙华山村委会与苍石村委会</w:t>
      </w:r>
      <w:r>
        <w:rPr>
          <w:rFonts w:hint="eastAsia" w:ascii="宋体" w:hAnsi="宋体"/>
        </w:rPr>
        <w:t>合并，合并后的村名为苍石村委会，办公地点设在苍石，辖</w:t>
      </w:r>
      <w:r>
        <w:rPr>
          <w:rFonts w:ascii="宋体" w:hAnsi="宋体"/>
        </w:rPr>
        <w:t>13个自然村，303户，1220</w:t>
      </w:r>
      <w:r>
        <w:rPr>
          <w:rFonts w:hint="eastAsia" w:ascii="宋体" w:hAnsi="宋体"/>
        </w:rPr>
        <w:t>人，总面积</w:t>
      </w:r>
      <w:r>
        <w:rPr>
          <w:rFonts w:ascii="宋体" w:hAnsi="宋体"/>
        </w:rPr>
        <w:t>33.8平方公里。</w:t>
      </w:r>
    </w:p>
    <w:p w14:paraId="65C31EE0">
      <w:pPr>
        <w:ind w:firstLine="420"/>
        <w:rPr>
          <w:rFonts w:ascii="宋体" w:hAnsi="宋体"/>
        </w:rPr>
      </w:pPr>
      <w:r>
        <w:rPr>
          <w:rFonts w:ascii="宋体" w:hAnsi="宋体"/>
        </w:rPr>
        <w:t>13、百顺镇汾水村委会与百顺村委会合</w:t>
      </w:r>
      <w:r>
        <w:rPr>
          <w:rFonts w:hint="eastAsia" w:ascii="宋体" w:hAnsi="宋体"/>
        </w:rPr>
        <w:t>并，合并后的村名为百顺村委会，办公地点设在百顺，辖</w:t>
      </w:r>
      <w:r>
        <w:rPr>
          <w:rFonts w:ascii="宋体" w:hAnsi="宋体"/>
        </w:rPr>
        <w:t>27个自然村，733户，3092人，</w:t>
      </w:r>
      <w:r>
        <w:rPr>
          <w:rFonts w:hint="eastAsia" w:ascii="宋体" w:hAnsi="宋体"/>
        </w:rPr>
        <w:t>总面积</w:t>
      </w:r>
      <w:r>
        <w:rPr>
          <w:rFonts w:ascii="宋体" w:hAnsi="宋体"/>
        </w:rPr>
        <w:t>39.50平方公里。</w:t>
      </w:r>
    </w:p>
    <w:p w14:paraId="531D4682">
      <w:pPr>
        <w:ind w:firstLine="420"/>
        <w:rPr>
          <w:rFonts w:ascii="宋体" w:hAnsi="宋体"/>
        </w:rPr>
      </w:pPr>
      <w:r>
        <w:rPr>
          <w:rFonts w:ascii="宋体" w:hAnsi="宋体"/>
        </w:rPr>
        <w:t>2005年初，南雄市启动镇级行政区划的</w:t>
      </w:r>
      <w:r>
        <w:rPr>
          <w:rFonts w:hint="eastAsia" w:ascii="宋体" w:hAnsi="宋体"/>
        </w:rPr>
        <w:t>调整工作，由民政局牵头成立领导小组，制定实施方案。经过精心组织，宣传发动和审计清帐等一系列工作，上半年撤消黎口镇，将原黎口镇所辖范围整体并入雄州镇，新的雄州镇面积</w:t>
      </w:r>
      <w:r>
        <w:rPr>
          <w:rFonts w:ascii="宋体" w:hAnsi="宋体"/>
        </w:rPr>
        <w:t>94.1平方公里，人口90837人，</w:t>
      </w:r>
      <w:r>
        <w:rPr>
          <w:rFonts w:hint="eastAsia" w:ascii="宋体" w:hAnsi="宋体"/>
        </w:rPr>
        <w:t>所辖村委会</w:t>
      </w:r>
      <w:r>
        <w:rPr>
          <w:rFonts w:ascii="宋体" w:hAnsi="宋体"/>
        </w:rPr>
        <w:t>13个，居委会7个；撤消梅岭镇，</w:t>
      </w:r>
      <w:r>
        <w:rPr>
          <w:rFonts w:hint="eastAsia" w:ascii="宋体" w:hAnsi="宋体"/>
        </w:rPr>
        <w:t>将原梅岭镇所辖范围整体并入珠玑镇，新的珠玑镇面积</w:t>
      </w:r>
      <w:r>
        <w:rPr>
          <w:rFonts w:ascii="宋体" w:hAnsi="宋体"/>
        </w:rPr>
        <w:t>222.25平方公里，人口43839人，</w:t>
      </w:r>
      <w:r>
        <w:rPr>
          <w:rFonts w:hint="eastAsia" w:ascii="宋体" w:hAnsi="宋体"/>
        </w:rPr>
        <w:t>辖村委会</w:t>
      </w:r>
      <w:r>
        <w:rPr>
          <w:rFonts w:ascii="宋体" w:hAnsi="宋体"/>
        </w:rPr>
        <w:t>22个，居委会1个。经过2001年和2005年二次乡镇撤并工作，南雄市撤并乡镇6个，撤并率25%</w:t>
      </w:r>
      <w:r>
        <w:rPr>
          <w:rFonts w:hint="eastAsia" w:ascii="宋体" w:hAnsi="宋体"/>
        </w:rPr>
        <w:t>。</w:t>
      </w:r>
    </w:p>
    <w:p w14:paraId="3EC4048F">
      <w:pPr>
        <w:pStyle w:val="4"/>
      </w:pPr>
      <w:r>
        <w:rPr>
          <w:rFonts w:hint="eastAsia"/>
        </w:rPr>
        <w:t>【行政区划】</w:t>
      </w:r>
    </w:p>
    <w:p w14:paraId="009EF3C3">
      <w:pPr>
        <w:ind w:firstLine="420"/>
        <w:rPr>
          <w:rFonts w:ascii="宋体" w:hAnsi="宋体"/>
        </w:rPr>
      </w:pPr>
      <w:r>
        <w:rPr>
          <w:rFonts w:ascii="宋体" w:hAnsi="宋体"/>
        </w:rPr>
        <w:t>2010年底，南雄市有17个镇</w:t>
      </w:r>
      <w:r>
        <w:rPr>
          <w:rFonts w:hint="eastAsia" w:ascii="宋体" w:hAnsi="宋体"/>
        </w:rPr>
        <w:t>和</w:t>
      </w:r>
      <w:r>
        <w:rPr>
          <w:rFonts w:ascii="宋体" w:hAnsi="宋体"/>
        </w:rPr>
        <w:t>1个街道办事处，17个镇为</w:t>
      </w:r>
      <w:r>
        <w:rPr>
          <w:rFonts w:hint="eastAsia" w:ascii="宋体" w:hAnsi="宋体"/>
        </w:rPr>
        <w:t>：</w:t>
      </w:r>
      <w:r>
        <w:rPr>
          <w:rFonts w:ascii="宋体" w:hAnsi="宋体"/>
        </w:rPr>
        <w:t>乌径镇、黄</w:t>
      </w:r>
      <w:r>
        <w:rPr>
          <w:rFonts w:hint="eastAsia" w:ascii="宋体" w:hAnsi="宋体"/>
        </w:rPr>
        <w:t>坑镇、水口镇、湖口镇、珠玑镇、界址镇、百顺镇、澜河镇、古市镇、坪田镇、邓坊镇、主田镇、油山镇、南亩镇、江头镇、全安镇、帽子峰镇；</w:t>
      </w:r>
      <w:r>
        <w:rPr>
          <w:rFonts w:ascii="宋体" w:hAnsi="宋体"/>
        </w:rPr>
        <w:t>1个街道办事处为雄州街道办事</w:t>
      </w:r>
      <w:r>
        <w:rPr>
          <w:rFonts w:hint="eastAsia" w:ascii="宋体" w:hAnsi="宋体"/>
        </w:rPr>
        <w:t>处；全市有</w:t>
      </w:r>
      <w:r>
        <w:rPr>
          <w:rFonts w:ascii="宋体" w:hAnsi="宋体"/>
        </w:rPr>
        <w:t>208个村委会、24个居委会。各</w:t>
      </w:r>
      <w:r>
        <w:rPr>
          <w:rFonts w:hint="eastAsia" w:ascii="宋体" w:hAnsi="宋体"/>
        </w:rPr>
        <w:t>镇（街道）的村（居）委会名称如表</w:t>
      </w:r>
      <w:r>
        <w:rPr>
          <w:rFonts w:ascii="宋体" w:hAnsi="宋体"/>
        </w:rPr>
        <w:t>1</w:t>
      </w:r>
      <w:r>
        <w:rPr>
          <w:rFonts w:hint="eastAsia" w:ascii="宋体" w:hAnsi="宋体"/>
        </w:rPr>
        <w:t>：</w:t>
      </w:r>
    </w:p>
    <w:p w14:paraId="61FD3684">
      <w:pPr>
        <w:ind w:firstLine="0" w:firstLineChars="0"/>
        <w:jc w:val="center"/>
        <w:rPr>
          <w:rFonts w:hint="eastAsia" w:ascii="宋体" w:hAnsi="宋体" w:cs="MS Gothic"/>
          <w:b/>
          <w:kern w:val="0"/>
        </w:rPr>
      </w:pPr>
      <w:commentRangeStart w:id="9"/>
      <w:r>
        <w:rPr>
          <w:rFonts w:hint="eastAsia" w:ascii="宋体" w:hAnsi="宋体"/>
          <w:b/>
          <w:kern w:val="0"/>
        </w:rPr>
        <w:t>表3-11  南雄市各</w:t>
      </w:r>
      <w:r>
        <w:rPr>
          <w:rFonts w:hint="eastAsia" w:ascii="宋体" w:hAnsi="宋体" w:cs="宋体"/>
          <w:b/>
          <w:kern w:val="0"/>
        </w:rPr>
        <w:t>镇</w:t>
      </w:r>
      <w:r>
        <w:rPr>
          <w:rFonts w:hint="eastAsia" w:ascii="宋体" w:hAnsi="宋体" w:cs="MS Gothic"/>
          <w:b/>
          <w:kern w:val="0"/>
        </w:rPr>
        <w:t>（街道）的村（居）委会名称</w:t>
      </w:r>
      <w:commentRangeEnd w:id="9"/>
      <w:r>
        <w:rPr>
          <w:rStyle w:val="12"/>
          <w:rFonts w:ascii="宋体" w:hAnsi="宋体"/>
        </w:rPr>
        <w:commentReference w:id="9"/>
      </w: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1"/>
        <w:gridCol w:w="5529"/>
        <w:gridCol w:w="3192"/>
      </w:tblGrid>
      <w:tr w14:paraId="41E6F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vAlign w:val="center"/>
          </w:tcPr>
          <w:p w14:paraId="64E311D4">
            <w:pPr>
              <w:pStyle w:val="13"/>
              <w:jc w:val="center"/>
              <w:rPr>
                <w:rFonts w:hint="eastAsia" w:ascii="宋体" w:hAnsi="宋体"/>
                <w:b/>
              </w:rPr>
            </w:pPr>
            <w:r>
              <w:rPr>
                <w:rFonts w:hint="eastAsia" w:ascii="宋体" w:hAnsi="宋体"/>
                <w:b/>
              </w:rPr>
              <w:t>镇（街道）</w:t>
            </w:r>
          </w:p>
        </w:tc>
        <w:tc>
          <w:tcPr>
            <w:tcW w:w="2775" w:type="pct"/>
            <w:vAlign w:val="center"/>
          </w:tcPr>
          <w:p w14:paraId="5810AA61">
            <w:pPr>
              <w:pStyle w:val="13"/>
              <w:jc w:val="center"/>
              <w:rPr>
                <w:rFonts w:hint="eastAsia" w:ascii="宋体" w:hAnsi="宋体"/>
                <w:b/>
              </w:rPr>
            </w:pPr>
            <w:r>
              <w:rPr>
                <w:rFonts w:hint="eastAsia" w:ascii="宋体" w:hAnsi="宋体"/>
                <w:b/>
              </w:rPr>
              <w:t>村委会</w:t>
            </w:r>
          </w:p>
        </w:tc>
        <w:tc>
          <w:tcPr>
            <w:tcW w:w="1602" w:type="pct"/>
            <w:vAlign w:val="center"/>
          </w:tcPr>
          <w:p w14:paraId="5FEA48A0">
            <w:pPr>
              <w:pStyle w:val="13"/>
              <w:jc w:val="center"/>
              <w:rPr>
                <w:rFonts w:hint="eastAsia" w:ascii="宋体" w:hAnsi="宋体"/>
                <w:b/>
              </w:rPr>
            </w:pPr>
            <w:r>
              <w:rPr>
                <w:rFonts w:hint="eastAsia" w:ascii="宋体" w:hAnsi="宋体"/>
                <w:b/>
              </w:rPr>
              <w:t>居委会</w:t>
            </w:r>
          </w:p>
        </w:tc>
      </w:tr>
      <w:tr w14:paraId="575EA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vAlign w:val="center"/>
          </w:tcPr>
          <w:p w14:paraId="35C90EC0">
            <w:pPr>
              <w:pStyle w:val="13"/>
              <w:jc w:val="left"/>
              <w:rPr>
                <w:rFonts w:hint="eastAsia" w:ascii="宋体" w:hAnsi="宋体"/>
              </w:rPr>
            </w:pPr>
            <w:r>
              <w:rPr>
                <w:rFonts w:hint="eastAsia" w:ascii="宋体" w:hAnsi="宋体"/>
              </w:rPr>
              <w:t>雄州街道</w:t>
            </w:r>
          </w:p>
        </w:tc>
        <w:tc>
          <w:tcPr>
            <w:tcW w:w="2775" w:type="pct"/>
            <w:vAlign w:val="center"/>
          </w:tcPr>
          <w:p w14:paraId="500F9DB3">
            <w:pPr>
              <w:pStyle w:val="13"/>
              <w:jc w:val="left"/>
              <w:rPr>
                <w:rFonts w:hint="eastAsia" w:ascii="宋体" w:hAnsi="宋体"/>
              </w:rPr>
            </w:pPr>
            <w:r>
              <w:rPr>
                <w:rFonts w:hint="eastAsia" w:ascii="宋体" w:hAnsi="宋体"/>
              </w:rPr>
              <w:t>河南、郊区、莲塘、铺背、水南、黎口、观新、荆岗、勋口、上坪、下坪、五洲、迳口</w:t>
            </w:r>
          </w:p>
        </w:tc>
        <w:tc>
          <w:tcPr>
            <w:tcW w:w="1602" w:type="pct"/>
            <w:vAlign w:val="center"/>
          </w:tcPr>
          <w:p w14:paraId="05E1F8F5">
            <w:pPr>
              <w:pStyle w:val="13"/>
              <w:jc w:val="left"/>
              <w:rPr>
                <w:rFonts w:hint="eastAsia" w:ascii="宋体" w:hAnsi="宋体"/>
              </w:rPr>
            </w:pPr>
            <w:r>
              <w:rPr>
                <w:rFonts w:hint="eastAsia" w:ascii="宋体" w:hAnsi="宋体"/>
              </w:rPr>
              <w:t>八一街、新城东、建国街、民主街、胜利街、幸福街、新城西</w:t>
            </w:r>
          </w:p>
        </w:tc>
      </w:tr>
      <w:tr w14:paraId="75D01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vAlign w:val="center"/>
          </w:tcPr>
          <w:p w14:paraId="711584C6">
            <w:pPr>
              <w:pStyle w:val="13"/>
              <w:jc w:val="left"/>
              <w:rPr>
                <w:rFonts w:hint="eastAsia" w:ascii="宋体" w:hAnsi="宋体"/>
              </w:rPr>
            </w:pPr>
            <w:r>
              <w:rPr>
                <w:rFonts w:hint="eastAsia" w:ascii="宋体" w:hAnsi="宋体"/>
              </w:rPr>
              <w:t>乌迳镇</w:t>
            </w:r>
          </w:p>
        </w:tc>
        <w:tc>
          <w:tcPr>
            <w:tcW w:w="2775" w:type="pct"/>
            <w:vAlign w:val="center"/>
          </w:tcPr>
          <w:p w14:paraId="77080990">
            <w:pPr>
              <w:pStyle w:val="13"/>
              <w:jc w:val="left"/>
              <w:rPr>
                <w:rFonts w:hint="eastAsia" w:ascii="宋体" w:hAnsi="宋体"/>
              </w:rPr>
            </w:pPr>
            <w:r>
              <w:rPr>
                <w:rFonts w:hint="eastAsia" w:ascii="宋体" w:hAnsi="宋体"/>
              </w:rPr>
              <w:t>乌迳、山下、鱼塘、新田、高溯、长龙、白龙、坪塘、响联、龙迳、黄塘、官门楼、孔塘、庙前、水松、黄洞、白胜、田心、大竹、孔江、兰丘</w:t>
            </w:r>
          </w:p>
        </w:tc>
        <w:tc>
          <w:tcPr>
            <w:tcW w:w="1602" w:type="pct"/>
            <w:vAlign w:val="center"/>
          </w:tcPr>
          <w:p w14:paraId="6E478AEA">
            <w:pPr>
              <w:pStyle w:val="13"/>
              <w:jc w:val="left"/>
              <w:rPr>
                <w:rFonts w:hint="eastAsia" w:ascii="宋体" w:hAnsi="宋体"/>
              </w:rPr>
            </w:pPr>
            <w:r>
              <w:rPr>
                <w:rFonts w:hint="eastAsia" w:ascii="宋体" w:hAnsi="宋体"/>
              </w:rPr>
              <w:t>迳新</w:t>
            </w:r>
          </w:p>
        </w:tc>
      </w:tr>
      <w:tr w14:paraId="557FE4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vAlign w:val="center"/>
          </w:tcPr>
          <w:p w14:paraId="479A55C8">
            <w:pPr>
              <w:pStyle w:val="13"/>
              <w:jc w:val="left"/>
              <w:rPr>
                <w:rFonts w:hint="eastAsia" w:ascii="宋体" w:hAnsi="宋体"/>
              </w:rPr>
            </w:pPr>
            <w:r>
              <w:rPr>
                <w:rFonts w:hint="eastAsia" w:ascii="宋体" w:hAnsi="宋体"/>
              </w:rPr>
              <w:t>界址镇</w:t>
            </w:r>
          </w:p>
        </w:tc>
        <w:tc>
          <w:tcPr>
            <w:tcW w:w="2775" w:type="pct"/>
            <w:vAlign w:val="center"/>
          </w:tcPr>
          <w:p w14:paraId="0D4EDF71">
            <w:pPr>
              <w:pStyle w:val="13"/>
              <w:jc w:val="left"/>
              <w:rPr>
                <w:rFonts w:hint="eastAsia" w:ascii="宋体" w:hAnsi="宋体"/>
              </w:rPr>
            </w:pPr>
            <w:r>
              <w:rPr>
                <w:rFonts w:hint="eastAsia" w:ascii="宋体" w:hAnsi="宋体"/>
              </w:rPr>
              <w:t>下屋、崇化、赵屋、界址、百罗、大坊、大坑、马芫</w:t>
            </w:r>
          </w:p>
        </w:tc>
        <w:tc>
          <w:tcPr>
            <w:tcW w:w="1602" w:type="pct"/>
            <w:vAlign w:val="center"/>
          </w:tcPr>
          <w:p w14:paraId="6D2CDEED">
            <w:pPr>
              <w:pStyle w:val="13"/>
              <w:jc w:val="left"/>
              <w:rPr>
                <w:rFonts w:hint="eastAsia" w:ascii="宋体" w:hAnsi="宋体"/>
              </w:rPr>
            </w:pPr>
            <w:r>
              <w:rPr>
                <w:rFonts w:hint="eastAsia" w:ascii="宋体" w:hAnsi="宋体"/>
              </w:rPr>
              <w:t>界址墟</w:t>
            </w:r>
          </w:p>
        </w:tc>
      </w:tr>
      <w:tr w14:paraId="2C15F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vAlign w:val="center"/>
          </w:tcPr>
          <w:p w14:paraId="7012C750">
            <w:pPr>
              <w:pStyle w:val="13"/>
              <w:jc w:val="left"/>
              <w:rPr>
                <w:rFonts w:hint="eastAsia" w:ascii="宋体" w:hAnsi="宋体"/>
              </w:rPr>
            </w:pPr>
            <w:r>
              <w:rPr>
                <w:rFonts w:hint="eastAsia" w:ascii="宋体" w:hAnsi="宋体"/>
              </w:rPr>
              <w:t>坪田镇</w:t>
            </w:r>
          </w:p>
        </w:tc>
        <w:tc>
          <w:tcPr>
            <w:tcW w:w="2775" w:type="pct"/>
            <w:vAlign w:val="center"/>
          </w:tcPr>
          <w:p w14:paraId="4B230844">
            <w:pPr>
              <w:pStyle w:val="13"/>
              <w:jc w:val="left"/>
              <w:rPr>
                <w:rFonts w:hint="eastAsia" w:ascii="宋体" w:hAnsi="宋体"/>
              </w:rPr>
            </w:pPr>
            <w:r>
              <w:rPr>
                <w:rFonts w:hint="eastAsia" w:ascii="宋体" w:hAnsi="宋体"/>
              </w:rPr>
              <w:t>坪田、新墟、坪湖、龙头、迳洞、老宅、中坪、长坑、老龙、背迳、龙口、横岭、小塘、官陂</w:t>
            </w:r>
          </w:p>
        </w:tc>
        <w:tc>
          <w:tcPr>
            <w:tcW w:w="1602" w:type="pct"/>
            <w:vAlign w:val="center"/>
          </w:tcPr>
          <w:p w14:paraId="03B673F2">
            <w:pPr>
              <w:pStyle w:val="13"/>
              <w:jc w:val="left"/>
              <w:rPr>
                <w:rFonts w:hint="eastAsia" w:ascii="宋体" w:hAnsi="宋体"/>
              </w:rPr>
            </w:pPr>
            <w:r>
              <w:rPr>
                <w:rFonts w:hint="eastAsia" w:ascii="宋体" w:hAnsi="宋体"/>
              </w:rPr>
              <w:t>坪田</w:t>
            </w:r>
          </w:p>
        </w:tc>
      </w:tr>
      <w:tr w14:paraId="358B5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vAlign w:val="center"/>
          </w:tcPr>
          <w:p w14:paraId="4F34EBBD">
            <w:pPr>
              <w:pStyle w:val="13"/>
              <w:jc w:val="left"/>
              <w:rPr>
                <w:rFonts w:hint="eastAsia" w:ascii="宋体" w:hAnsi="宋体"/>
              </w:rPr>
            </w:pPr>
            <w:r>
              <w:rPr>
                <w:rFonts w:hint="eastAsia" w:ascii="宋体" w:hAnsi="宋体"/>
              </w:rPr>
              <w:t>黄坑镇</w:t>
            </w:r>
          </w:p>
        </w:tc>
        <w:tc>
          <w:tcPr>
            <w:tcW w:w="2775" w:type="pct"/>
            <w:vAlign w:val="center"/>
          </w:tcPr>
          <w:p w14:paraId="26D96944">
            <w:pPr>
              <w:pStyle w:val="13"/>
              <w:jc w:val="left"/>
              <w:rPr>
                <w:rFonts w:hint="eastAsia" w:ascii="宋体" w:hAnsi="宋体"/>
              </w:rPr>
            </w:pPr>
            <w:r>
              <w:rPr>
                <w:rFonts w:hint="eastAsia" w:ascii="宋体" w:hAnsi="宋体"/>
              </w:rPr>
              <w:t>黄坑、社前、小陂、塘源、溪塘、耶溪、中心、园岭、许村、上象</w:t>
            </w:r>
          </w:p>
        </w:tc>
        <w:tc>
          <w:tcPr>
            <w:tcW w:w="1602" w:type="pct"/>
            <w:vAlign w:val="center"/>
          </w:tcPr>
          <w:p w14:paraId="4F84A1A9">
            <w:pPr>
              <w:pStyle w:val="13"/>
              <w:jc w:val="left"/>
              <w:rPr>
                <w:rFonts w:hint="eastAsia" w:ascii="宋体" w:hAnsi="宋体"/>
              </w:rPr>
            </w:pPr>
            <w:r>
              <w:rPr>
                <w:rFonts w:hint="eastAsia" w:ascii="宋体" w:hAnsi="宋体"/>
              </w:rPr>
              <w:t>黄坑</w:t>
            </w:r>
          </w:p>
        </w:tc>
      </w:tr>
      <w:tr w14:paraId="23792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vAlign w:val="center"/>
          </w:tcPr>
          <w:p w14:paraId="7B1AE18E">
            <w:pPr>
              <w:pStyle w:val="13"/>
              <w:jc w:val="left"/>
              <w:rPr>
                <w:rFonts w:hint="eastAsia" w:ascii="宋体" w:hAnsi="宋体"/>
              </w:rPr>
            </w:pPr>
            <w:r>
              <w:rPr>
                <w:rFonts w:hint="eastAsia" w:ascii="宋体" w:hAnsi="宋体"/>
              </w:rPr>
              <w:t>邓坊镇</w:t>
            </w:r>
          </w:p>
        </w:tc>
        <w:tc>
          <w:tcPr>
            <w:tcW w:w="2775" w:type="pct"/>
            <w:vAlign w:val="center"/>
          </w:tcPr>
          <w:p w14:paraId="01807FA8">
            <w:pPr>
              <w:pStyle w:val="13"/>
              <w:jc w:val="left"/>
              <w:rPr>
                <w:rFonts w:hint="eastAsia" w:ascii="宋体" w:hAnsi="宋体"/>
              </w:rPr>
            </w:pPr>
            <w:r>
              <w:rPr>
                <w:rFonts w:hint="eastAsia" w:ascii="宋体" w:hAnsi="宋体"/>
              </w:rPr>
              <w:t>邓坊、里源、赤石、洋西、赤马、马战、茶头背、上湖、兰田</w:t>
            </w:r>
          </w:p>
        </w:tc>
        <w:tc>
          <w:tcPr>
            <w:tcW w:w="1602" w:type="pct"/>
            <w:vAlign w:val="center"/>
          </w:tcPr>
          <w:p w14:paraId="7CB00B72">
            <w:pPr>
              <w:pStyle w:val="13"/>
              <w:jc w:val="left"/>
              <w:rPr>
                <w:rFonts w:hint="eastAsia" w:ascii="宋体" w:hAnsi="宋体"/>
              </w:rPr>
            </w:pPr>
            <w:r>
              <w:rPr>
                <w:rFonts w:hint="eastAsia" w:ascii="宋体" w:hAnsi="宋体"/>
              </w:rPr>
              <w:t>邓坊</w:t>
            </w:r>
          </w:p>
        </w:tc>
      </w:tr>
      <w:tr w14:paraId="54E50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vAlign w:val="center"/>
          </w:tcPr>
          <w:p w14:paraId="122AB5AD">
            <w:pPr>
              <w:pStyle w:val="13"/>
              <w:jc w:val="left"/>
              <w:rPr>
                <w:rFonts w:hint="eastAsia" w:ascii="宋体" w:hAnsi="宋体"/>
              </w:rPr>
            </w:pPr>
            <w:r>
              <w:rPr>
                <w:rFonts w:hint="eastAsia" w:ascii="宋体" w:hAnsi="宋体"/>
              </w:rPr>
              <w:t>油山镇</w:t>
            </w:r>
          </w:p>
        </w:tc>
        <w:tc>
          <w:tcPr>
            <w:tcW w:w="2775" w:type="pct"/>
            <w:vAlign w:val="center"/>
          </w:tcPr>
          <w:p w14:paraId="34F3B3AE">
            <w:pPr>
              <w:pStyle w:val="13"/>
              <w:jc w:val="left"/>
              <w:rPr>
                <w:rFonts w:hint="eastAsia" w:ascii="宋体" w:hAnsi="宋体"/>
              </w:rPr>
            </w:pPr>
            <w:r>
              <w:rPr>
                <w:rFonts w:hint="eastAsia" w:ascii="宋体" w:hAnsi="宋体"/>
              </w:rPr>
              <w:t>坪田坳、莲山、大兰、平林、黄地、爱敬、浆田、上浆、孔村、延村、锦陂、上朔、夹河口、大塘、黄田、下惠、古城</w:t>
            </w:r>
          </w:p>
        </w:tc>
        <w:tc>
          <w:tcPr>
            <w:tcW w:w="1602" w:type="pct"/>
            <w:vAlign w:val="center"/>
          </w:tcPr>
          <w:p w14:paraId="17CF34A1">
            <w:pPr>
              <w:pStyle w:val="13"/>
              <w:jc w:val="left"/>
              <w:rPr>
                <w:rFonts w:hint="eastAsia" w:ascii="宋体" w:hAnsi="宋体"/>
              </w:rPr>
            </w:pPr>
            <w:r>
              <w:rPr>
                <w:rFonts w:hint="eastAsia" w:ascii="宋体" w:hAnsi="宋体"/>
              </w:rPr>
              <w:t>油山</w:t>
            </w:r>
          </w:p>
        </w:tc>
      </w:tr>
      <w:tr w14:paraId="6A129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vAlign w:val="center"/>
          </w:tcPr>
          <w:p w14:paraId="6CEC1C22">
            <w:pPr>
              <w:pStyle w:val="13"/>
              <w:jc w:val="left"/>
              <w:rPr>
                <w:rFonts w:hint="eastAsia" w:ascii="宋体" w:hAnsi="宋体"/>
              </w:rPr>
            </w:pPr>
            <w:r>
              <w:rPr>
                <w:rFonts w:hint="eastAsia" w:ascii="宋体" w:hAnsi="宋体"/>
              </w:rPr>
              <w:t>南亩镇</w:t>
            </w:r>
          </w:p>
        </w:tc>
        <w:tc>
          <w:tcPr>
            <w:tcW w:w="2775" w:type="pct"/>
            <w:vAlign w:val="center"/>
          </w:tcPr>
          <w:p w14:paraId="735BE213">
            <w:pPr>
              <w:pStyle w:val="13"/>
              <w:jc w:val="left"/>
              <w:rPr>
                <w:rFonts w:hint="eastAsia" w:ascii="宋体" w:hAnsi="宋体"/>
              </w:rPr>
            </w:pPr>
            <w:r>
              <w:rPr>
                <w:rFonts w:hint="eastAsia" w:ascii="宋体" w:hAnsi="宋体"/>
              </w:rPr>
              <w:t>长洞、水塘、中寺、岭下、中岭、水尾、芙蓉、鱼鲜、南亩、樟屋、官田</w:t>
            </w:r>
          </w:p>
        </w:tc>
        <w:tc>
          <w:tcPr>
            <w:tcW w:w="1602" w:type="pct"/>
            <w:vAlign w:val="center"/>
          </w:tcPr>
          <w:p w14:paraId="37BB7F4F">
            <w:pPr>
              <w:pStyle w:val="13"/>
              <w:jc w:val="left"/>
              <w:rPr>
                <w:rFonts w:hint="eastAsia" w:ascii="宋体" w:hAnsi="宋体"/>
              </w:rPr>
            </w:pPr>
            <w:r>
              <w:rPr>
                <w:rFonts w:hint="eastAsia" w:ascii="宋体" w:hAnsi="宋体"/>
              </w:rPr>
              <w:t>南亩墟</w:t>
            </w:r>
          </w:p>
        </w:tc>
      </w:tr>
      <w:tr w14:paraId="7B31E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vAlign w:val="center"/>
          </w:tcPr>
          <w:p w14:paraId="13B27FAF">
            <w:pPr>
              <w:pStyle w:val="13"/>
              <w:jc w:val="left"/>
              <w:rPr>
                <w:rFonts w:hint="eastAsia" w:ascii="宋体" w:hAnsi="宋体"/>
              </w:rPr>
            </w:pPr>
            <w:r>
              <w:rPr>
                <w:rFonts w:hint="eastAsia" w:ascii="宋体" w:hAnsi="宋体"/>
              </w:rPr>
              <w:t>水口镇</w:t>
            </w:r>
          </w:p>
        </w:tc>
        <w:tc>
          <w:tcPr>
            <w:tcW w:w="2775" w:type="pct"/>
            <w:vAlign w:val="center"/>
          </w:tcPr>
          <w:p w14:paraId="00A82577">
            <w:pPr>
              <w:pStyle w:val="13"/>
              <w:jc w:val="left"/>
              <w:rPr>
                <w:rFonts w:hint="eastAsia" w:ascii="宋体" w:hAnsi="宋体"/>
              </w:rPr>
            </w:pPr>
            <w:r>
              <w:rPr>
                <w:rFonts w:hint="eastAsia" w:ascii="宋体" w:hAnsi="宋体"/>
              </w:rPr>
              <w:t>云西、弱过、水口、大部、河村、大坪、沙头、下湖、赤岭、群星、石庄、下楼、泷头</w:t>
            </w:r>
          </w:p>
        </w:tc>
        <w:tc>
          <w:tcPr>
            <w:tcW w:w="1602" w:type="pct"/>
            <w:vAlign w:val="center"/>
          </w:tcPr>
          <w:p w14:paraId="2DEC927A">
            <w:pPr>
              <w:pStyle w:val="13"/>
              <w:jc w:val="left"/>
              <w:rPr>
                <w:rFonts w:hint="eastAsia" w:ascii="宋体" w:hAnsi="宋体"/>
              </w:rPr>
            </w:pPr>
            <w:r>
              <w:rPr>
                <w:rFonts w:hint="eastAsia" w:ascii="宋体" w:hAnsi="宋体"/>
              </w:rPr>
              <w:t>水口</w:t>
            </w:r>
          </w:p>
        </w:tc>
      </w:tr>
      <w:tr w14:paraId="61704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vAlign w:val="center"/>
          </w:tcPr>
          <w:p w14:paraId="7FA656EB">
            <w:pPr>
              <w:pStyle w:val="13"/>
              <w:jc w:val="left"/>
              <w:rPr>
                <w:rFonts w:hint="eastAsia" w:ascii="宋体" w:hAnsi="宋体"/>
              </w:rPr>
            </w:pPr>
            <w:r>
              <w:rPr>
                <w:rFonts w:hint="eastAsia" w:ascii="宋体" w:hAnsi="宋体"/>
              </w:rPr>
              <w:t>江头镇</w:t>
            </w:r>
          </w:p>
        </w:tc>
        <w:tc>
          <w:tcPr>
            <w:tcW w:w="2775" w:type="pct"/>
            <w:vAlign w:val="center"/>
          </w:tcPr>
          <w:p w14:paraId="7D5D6F3C">
            <w:pPr>
              <w:pStyle w:val="13"/>
              <w:jc w:val="left"/>
              <w:rPr>
                <w:rFonts w:hint="eastAsia" w:ascii="宋体" w:hAnsi="宋体"/>
              </w:rPr>
            </w:pPr>
            <w:r>
              <w:rPr>
                <w:rFonts w:hint="eastAsia" w:ascii="宋体" w:hAnsi="宋体"/>
              </w:rPr>
              <w:t>坪岗、涌溪、元甫、江头、鱼仙、大汉、南甫、武岭、小竹</w:t>
            </w:r>
          </w:p>
        </w:tc>
        <w:tc>
          <w:tcPr>
            <w:tcW w:w="1602" w:type="pct"/>
            <w:vAlign w:val="center"/>
          </w:tcPr>
          <w:p w14:paraId="18302555">
            <w:pPr>
              <w:pStyle w:val="13"/>
              <w:jc w:val="left"/>
              <w:rPr>
                <w:rFonts w:hint="eastAsia" w:ascii="宋体" w:hAnsi="宋体"/>
              </w:rPr>
            </w:pPr>
            <w:r>
              <w:rPr>
                <w:rFonts w:hint="eastAsia" w:ascii="宋体" w:hAnsi="宋体"/>
              </w:rPr>
              <w:t>江头</w:t>
            </w:r>
          </w:p>
        </w:tc>
      </w:tr>
      <w:tr w14:paraId="1CD96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vAlign w:val="center"/>
          </w:tcPr>
          <w:p w14:paraId="5AE02F68">
            <w:pPr>
              <w:pStyle w:val="13"/>
              <w:jc w:val="left"/>
              <w:rPr>
                <w:rFonts w:hint="eastAsia" w:ascii="宋体" w:hAnsi="宋体"/>
              </w:rPr>
            </w:pPr>
            <w:r>
              <w:rPr>
                <w:rFonts w:hint="eastAsia" w:ascii="宋体" w:hAnsi="宋体"/>
              </w:rPr>
              <w:t>湖口镇</w:t>
            </w:r>
          </w:p>
        </w:tc>
        <w:tc>
          <w:tcPr>
            <w:tcW w:w="2775" w:type="pct"/>
            <w:vAlign w:val="center"/>
          </w:tcPr>
          <w:p w14:paraId="2E47B0F1">
            <w:pPr>
              <w:pStyle w:val="13"/>
              <w:jc w:val="left"/>
              <w:rPr>
                <w:rFonts w:hint="eastAsia" w:ascii="宋体" w:hAnsi="宋体"/>
              </w:rPr>
            </w:pPr>
            <w:r>
              <w:rPr>
                <w:rFonts w:hint="eastAsia" w:ascii="宋体" w:hAnsi="宋体"/>
              </w:rPr>
              <w:t>里和、三角、三水、积塔、长市、新湖、新迳、矿石、岗围、湖口、太和、承平</w:t>
            </w:r>
          </w:p>
        </w:tc>
        <w:tc>
          <w:tcPr>
            <w:tcW w:w="1602" w:type="pct"/>
            <w:vAlign w:val="center"/>
          </w:tcPr>
          <w:p w14:paraId="0090B4BE">
            <w:pPr>
              <w:pStyle w:val="13"/>
              <w:jc w:val="left"/>
              <w:rPr>
                <w:rFonts w:hint="eastAsia" w:ascii="宋体" w:hAnsi="宋体"/>
              </w:rPr>
            </w:pPr>
            <w:r>
              <w:rPr>
                <w:rFonts w:hint="eastAsia" w:ascii="宋体" w:hAnsi="宋体"/>
              </w:rPr>
              <w:t>湖口</w:t>
            </w:r>
          </w:p>
        </w:tc>
      </w:tr>
      <w:tr w14:paraId="1CDC8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vAlign w:val="center"/>
          </w:tcPr>
          <w:p w14:paraId="4DB9FFE3">
            <w:pPr>
              <w:pStyle w:val="13"/>
              <w:jc w:val="left"/>
              <w:rPr>
                <w:rFonts w:hint="eastAsia" w:ascii="宋体" w:hAnsi="宋体"/>
              </w:rPr>
            </w:pPr>
            <w:r>
              <w:rPr>
                <w:rFonts w:hint="eastAsia" w:ascii="宋体" w:hAnsi="宋体"/>
              </w:rPr>
              <w:t>珠玑镇</w:t>
            </w:r>
          </w:p>
        </w:tc>
        <w:tc>
          <w:tcPr>
            <w:tcW w:w="2775" w:type="pct"/>
            <w:vAlign w:val="center"/>
          </w:tcPr>
          <w:p w14:paraId="32C66F81">
            <w:pPr>
              <w:pStyle w:val="13"/>
              <w:jc w:val="left"/>
              <w:rPr>
                <w:rFonts w:hint="eastAsia" w:ascii="宋体" w:hAnsi="宋体"/>
              </w:rPr>
            </w:pPr>
            <w:r>
              <w:rPr>
                <w:rFonts w:hint="eastAsia" w:ascii="宋体" w:hAnsi="宋体"/>
              </w:rPr>
              <w:t>珠玑、洋湖、聪辈、长迳、新村、古田、叟里元、上嵩、里仁、塘东、石塘、里东、灵潭、祗芫、下汾、罗田、南山、梅关、梅岭、泰源、中站、角湾</w:t>
            </w:r>
          </w:p>
        </w:tc>
        <w:tc>
          <w:tcPr>
            <w:tcW w:w="1602" w:type="pct"/>
            <w:vAlign w:val="center"/>
          </w:tcPr>
          <w:p w14:paraId="01526A17">
            <w:pPr>
              <w:pStyle w:val="13"/>
              <w:jc w:val="left"/>
              <w:rPr>
                <w:rFonts w:hint="eastAsia" w:ascii="宋体" w:hAnsi="宋体"/>
              </w:rPr>
            </w:pPr>
            <w:r>
              <w:rPr>
                <w:rFonts w:hint="eastAsia" w:ascii="宋体" w:hAnsi="宋体"/>
              </w:rPr>
              <w:t>珠玑</w:t>
            </w:r>
          </w:p>
        </w:tc>
      </w:tr>
      <w:tr w14:paraId="213B4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vAlign w:val="center"/>
          </w:tcPr>
          <w:p w14:paraId="71F82B88">
            <w:pPr>
              <w:pStyle w:val="13"/>
              <w:jc w:val="left"/>
              <w:rPr>
                <w:rFonts w:hint="eastAsia" w:ascii="宋体" w:hAnsi="宋体"/>
              </w:rPr>
            </w:pPr>
            <w:r>
              <w:rPr>
                <w:rFonts w:hint="eastAsia" w:ascii="宋体" w:hAnsi="宋体"/>
              </w:rPr>
              <w:t>主田镇</w:t>
            </w:r>
          </w:p>
        </w:tc>
        <w:tc>
          <w:tcPr>
            <w:tcW w:w="2775" w:type="pct"/>
            <w:vAlign w:val="center"/>
          </w:tcPr>
          <w:p w14:paraId="67609C8B">
            <w:pPr>
              <w:pStyle w:val="13"/>
              <w:jc w:val="left"/>
              <w:rPr>
                <w:rFonts w:hint="eastAsia" w:ascii="宋体" w:hAnsi="宋体"/>
              </w:rPr>
            </w:pPr>
            <w:r>
              <w:rPr>
                <w:rFonts w:hint="eastAsia" w:ascii="宋体" w:hAnsi="宋体"/>
              </w:rPr>
              <w:t>大坝、主田、城门、塘山、西坪、西洞、窑合、高峰</w:t>
            </w:r>
          </w:p>
        </w:tc>
        <w:tc>
          <w:tcPr>
            <w:tcW w:w="1602" w:type="pct"/>
            <w:vAlign w:val="center"/>
          </w:tcPr>
          <w:p w14:paraId="24EDF6F7">
            <w:pPr>
              <w:pStyle w:val="13"/>
              <w:jc w:val="left"/>
              <w:rPr>
                <w:rFonts w:hint="eastAsia" w:ascii="宋体" w:hAnsi="宋体"/>
              </w:rPr>
            </w:pPr>
            <w:r>
              <w:rPr>
                <w:rFonts w:hint="eastAsia" w:ascii="宋体" w:hAnsi="宋体"/>
              </w:rPr>
              <w:t>大凤</w:t>
            </w:r>
          </w:p>
        </w:tc>
      </w:tr>
      <w:tr w14:paraId="488F1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vAlign w:val="center"/>
          </w:tcPr>
          <w:p w14:paraId="15F9A3A0">
            <w:pPr>
              <w:pStyle w:val="13"/>
              <w:jc w:val="left"/>
              <w:rPr>
                <w:rFonts w:hint="eastAsia" w:ascii="宋体" w:hAnsi="宋体"/>
              </w:rPr>
            </w:pPr>
            <w:r>
              <w:rPr>
                <w:rFonts w:hint="eastAsia" w:ascii="宋体" w:hAnsi="宋体"/>
              </w:rPr>
              <w:t>古市镇</w:t>
            </w:r>
          </w:p>
        </w:tc>
        <w:tc>
          <w:tcPr>
            <w:tcW w:w="2775" w:type="pct"/>
            <w:vAlign w:val="center"/>
          </w:tcPr>
          <w:p w14:paraId="02C05E0D">
            <w:pPr>
              <w:pStyle w:val="13"/>
              <w:jc w:val="left"/>
              <w:rPr>
                <w:rFonts w:hint="eastAsia" w:ascii="宋体" w:hAnsi="宋体"/>
              </w:rPr>
            </w:pPr>
            <w:r>
              <w:rPr>
                <w:rFonts w:hint="eastAsia" w:ascii="宋体" w:hAnsi="宋体"/>
              </w:rPr>
              <w:t>小坑、三角岭、溪口、修仁、丰源、柴岭、古市、丹布</w:t>
            </w:r>
          </w:p>
        </w:tc>
        <w:tc>
          <w:tcPr>
            <w:tcW w:w="1602" w:type="pct"/>
            <w:vAlign w:val="center"/>
          </w:tcPr>
          <w:p w14:paraId="2F704A45">
            <w:pPr>
              <w:pStyle w:val="13"/>
              <w:jc w:val="left"/>
              <w:rPr>
                <w:rFonts w:hint="eastAsia" w:ascii="宋体" w:hAnsi="宋体"/>
              </w:rPr>
            </w:pPr>
            <w:r>
              <w:rPr>
                <w:rFonts w:hint="eastAsia" w:ascii="宋体" w:hAnsi="宋体"/>
              </w:rPr>
              <w:t>古禄墟</w:t>
            </w:r>
          </w:p>
        </w:tc>
      </w:tr>
      <w:tr w14:paraId="66031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vAlign w:val="center"/>
          </w:tcPr>
          <w:p w14:paraId="4A0A65C0">
            <w:pPr>
              <w:pStyle w:val="13"/>
              <w:jc w:val="left"/>
              <w:rPr>
                <w:rFonts w:hint="eastAsia" w:ascii="宋体" w:hAnsi="宋体"/>
              </w:rPr>
            </w:pPr>
            <w:r>
              <w:rPr>
                <w:rFonts w:hint="eastAsia" w:ascii="宋体" w:hAnsi="宋体"/>
              </w:rPr>
              <w:t>全安镇</w:t>
            </w:r>
          </w:p>
        </w:tc>
        <w:tc>
          <w:tcPr>
            <w:tcW w:w="2775" w:type="pct"/>
            <w:vAlign w:val="center"/>
          </w:tcPr>
          <w:p w14:paraId="0018E8DF">
            <w:pPr>
              <w:pStyle w:val="13"/>
              <w:jc w:val="left"/>
              <w:rPr>
                <w:rFonts w:hint="eastAsia" w:ascii="宋体" w:hAnsi="宋体"/>
              </w:rPr>
            </w:pPr>
            <w:r>
              <w:rPr>
                <w:rFonts w:hint="eastAsia" w:ascii="宋体" w:hAnsi="宋体"/>
              </w:rPr>
              <w:t>全安、陂头、羊角、古塘、王亭石、河塘、杨沥、荔迳、密下水、苍石、大坪、兰溪、章禾洞</w:t>
            </w:r>
          </w:p>
        </w:tc>
        <w:tc>
          <w:tcPr>
            <w:tcW w:w="1602" w:type="pct"/>
            <w:vAlign w:val="center"/>
          </w:tcPr>
          <w:p w14:paraId="6AF2EF93">
            <w:pPr>
              <w:pStyle w:val="13"/>
              <w:jc w:val="left"/>
              <w:rPr>
                <w:rFonts w:hint="eastAsia" w:ascii="宋体" w:hAnsi="宋体"/>
              </w:rPr>
            </w:pPr>
            <w:r>
              <w:rPr>
                <w:rFonts w:hint="eastAsia" w:ascii="宋体" w:hAnsi="宋体"/>
              </w:rPr>
              <w:t>全安</w:t>
            </w:r>
          </w:p>
        </w:tc>
      </w:tr>
      <w:tr w14:paraId="0344E1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vAlign w:val="center"/>
          </w:tcPr>
          <w:p w14:paraId="681A7D53">
            <w:pPr>
              <w:pStyle w:val="13"/>
              <w:jc w:val="left"/>
              <w:rPr>
                <w:rFonts w:hint="eastAsia" w:ascii="宋体" w:hAnsi="宋体"/>
              </w:rPr>
            </w:pPr>
            <w:r>
              <w:rPr>
                <w:rFonts w:hint="eastAsia" w:ascii="宋体" w:hAnsi="宋体"/>
              </w:rPr>
              <w:t>百顺镇</w:t>
            </w:r>
          </w:p>
        </w:tc>
        <w:tc>
          <w:tcPr>
            <w:tcW w:w="2775" w:type="pct"/>
            <w:vAlign w:val="center"/>
          </w:tcPr>
          <w:p w14:paraId="28EE3A0B">
            <w:pPr>
              <w:pStyle w:val="13"/>
              <w:jc w:val="left"/>
              <w:rPr>
                <w:rFonts w:hint="eastAsia" w:ascii="宋体" w:hAnsi="宋体"/>
              </w:rPr>
            </w:pPr>
            <w:r>
              <w:rPr>
                <w:rFonts w:hint="eastAsia" w:ascii="宋体" w:hAnsi="宋体"/>
              </w:rPr>
              <w:t>百顺、大沙洲、邓洞、东坑、湖地、尚睦、溪头、杨梅、朱安</w:t>
            </w:r>
          </w:p>
        </w:tc>
        <w:tc>
          <w:tcPr>
            <w:tcW w:w="1602" w:type="pct"/>
            <w:vAlign w:val="center"/>
          </w:tcPr>
          <w:p w14:paraId="1BBD0171">
            <w:pPr>
              <w:pStyle w:val="13"/>
              <w:jc w:val="left"/>
              <w:rPr>
                <w:rFonts w:hint="eastAsia" w:ascii="宋体" w:hAnsi="宋体"/>
              </w:rPr>
            </w:pPr>
            <w:r>
              <w:rPr>
                <w:rFonts w:hint="eastAsia" w:ascii="宋体" w:hAnsi="宋体"/>
              </w:rPr>
              <w:t>百顺</w:t>
            </w:r>
          </w:p>
        </w:tc>
      </w:tr>
      <w:tr w14:paraId="08B08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vAlign w:val="center"/>
          </w:tcPr>
          <w:p w14:paraId="17C785FF">
            <w:pPr>
              <w:pStyle w:val="13"/>
              <w:jc w:val="left"/>
              <w:rPr>
                <w:rFonts w:hint="eastAsia" w:ascii="宋体" w:hAnsi="宋体"/>
              </w:rPr>
            </w:pPr>
            <w:r>
              <w:rPr>
                <w:rFonts w:hint="eastAsia" w:ascii="宋体" w:hAnsi="宋体"/>
              </w:rPr>
              <w:t>澜河镇</w:t>
            </w:r>
          </w:p>
        </w:tc>
        <w:tc>
          <w:tcPr>
            <w:tcW w:w="2775" w:type="pct"/>
            <w:vAlign w:val="center"/>
          </w:tcPr>
          <w:p w14:paraId="37049BC9">
            <w:pPr>
              <w:pStyle w:val="13"/>
              <w:jc w:val="left"/>
              <w:rPr>
                <w:rFonts w:hint="eastAsia" w:ascii="宋体" w:hAnsi="宋体"/>
              </w:rPr>
            </w:pPr>
            <w:r>
              <w:rPr>
                <w:rFonts w:hint="eastAsia" w:ascii="宋体" w:hAnsi="宋体"/>
              </w:rPr>
              <w:t>白云、洞底、葛坪、澜河、上石多、上澜</w:t>
            </w:r>
          </w:p>
        </w:tc>
        <w:tc>
          <w:tcPr>
            <w:tcW w:w="1602" w:type="pct"/>
            <w:vAlign w:val="center"/>
          </w:tcPr>
          <w:p w14:paraId="4AC9D5E7">
            <w:pPr>
              <w:pStyle w:val="13"/>
              <w:jc w:val="left"/>
              <w:rPr>
                <w:rFonts w:hint="eastAsia" w:ascii="宋体" w:hAnsi="宋体"/>
              </w:rPr>
            </w:pPr>
            <w:r>
              <w:rPr>
                <w:rFonts w:hint="eastAsia" w:ascii="宋体" w:hAnsi="宋体"/>
              </w:rPr>
              <w:t>新街</w:t>
            </w:r>
          </w:p>
        </w:tc>
      </w:tr>
      <w:tr w14:paraId="6DC1F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3" w:type="pct"/>
            <w:vAlign w:val="center"/>
          </w:tcPr>
          <w:p w14:paraId="1870E66F">
            <w:pPr>
              <w:pStyle w:val="13"/>
              <w:jc w:val="left"/>
              <w:rPr>
                <w:rFonts w:hint="eastAsia" w:ascii="宋体" w:hAnsi="宋体"/>
              </w:rPr>
            </w:pPr>
            <w:r>
              <w:rPr>
                <w:rFonts w:hint="eastAsia" w:ascii="宋体" w:hAnsi="宋体"/>
              </w:rPr>
              <w:t>帽子峰镇</w:t>
            </w:r>
          </w:p>
        </w:tc>
        <w:tc>
          <w:tcPr>
            <w:tcW w:w="2775" w:type="pct"/>
            <w:vAlign w:val="center"/>
          </w:tcPr>
          <w:p w14:paraId="703B18D3">
            <w:pPr>
              <w:pStyle w:val="13"/>
              <w:jc w:val="left"/>
              <w:rPr>
                <w:rFonts w:hint="eastAsia" w:ascii="宋体" w:hAnsi="宋体"/>
              </w:rPr>
            </w:pPr>
            <w:r>
              <w:rPr>
                <w:rFonts w:hint="eastAsia" w:ascii="宋体" w:hAnsi="宋体"/>
              </w:rPr>
              <w:t>洞头、富竹、梨树、坪山、上龙</w:t>
            </w:r>
          </w:p>
        </w:tc>
        <w:tc>
          <w:tcPr>
            <w:tcW w:w="1602" w:type="pct"/>
            <w:vAlign w:val="center"/>
          </w:tcPr>
          <w:p w14:paraId="22BA7C95">
            <w:pPr>
              <w:pStyle w:val="13"/>
              <w:jc w:val="left"/>
              <w:rPr>
                <w:rFonts w:hint="eastAsia" w:ascii="宋体" w:hAnsi="宋体"/>
              </w:rPr>
            </w:pPr>
            <w:r>
              <w:rPr>
                <w:rFonts w:hint="eastAsia" w:ascii="宋体" w:hAnsi="宋体"/>
              </w:rPr>
              <w:t>富竹</w:t>
            </w:r>
          </w:p>
        </w:tc>
      </w:tr>
    </w:tbl>
    <w:p w14:paraId="7050F994">
      <w:pPr>
        <w:pStyle w:val="3"/>
      </w:pPr>
      <w:r>
        <w:rPr>
          <w:rFonts w:hint="eastAsia"/>
        </w:rPr>
        <w:t>经济社会发展</w:t>
      </w:r>
    </w:p>
    <w:p w14:paraId="6B337E9C">
      <w:pPr>
        <w:pStyle w:val="4"/>
      </w:pPr>
      <w:r>
        <w:rPr>
          <w:rFonts w:hint="eastAsia"/>
        </w:rPr>
        <w:t>【</w:t>
      </w:r>
      <w:r>
        <w:t>2010年经济发展概况】</w:t>
      </w:r>
    </w:p>
    <w:p w14:paraId="05A709C4">
      <w:pPr>
        <w:ind w:firstLine="420"/>
        <w:rPr>
          <w:rFonts w:ascii="宋体" w:hAnsi="宋体"/>
        </w:rPr>
      </w:pPr>
      <w:r>
        <w:rPr>
          <w:rFonts w:ascii="宋体" w:hAnsi="宋体"/>
        </w:rPr>
        <w:t>全市完成生产总</w:t>
      </w:r>
      <w:r>
        <w:rPr>
          <w:rFonts w:hint="eastAsia" w:ascii="宋体" w:hAnsi="宋体"/>
        </w:rPr>
        <w:t>值</w:t>
      </w:r>
      <w:r>
        <w:rPr>
          <w:rFonts w:ascii="宋体" w:hAnsi="宋体"/>
        </w:rPr>
        <w:t>56.34亿元，比上年增长14.5%，其中第</w:t>
      </w:r>
      <w:r>
        <w:rPr>
          <w:rFonts w:hint="eastAsia" w:ascii="宋体" w:hAnsi="宋体"/>
        </w:rPr>
        <w:t>一产业增加值为</w:t>
      </w:r>
      <w:r>
        <w:rPr>
          <w:rFonts w:ascii="宋体" w:hAnsi="宋体"/>
        </w:rPr>
        <w:t>16.65亿元，增长5%。第二</w:t>
      </w:r>
      <w:r>
        <w:rPr>
          <w:rFonts w:hint="eastAsia" w:ascii="宋体" w:hAnsi="宋体"/>
        </w:rPr>
        <w:t>产业增加值为</w:t>
      </w:r>
      <w:r>
        <w:rPr>
          <w:rFonts w:ascii="宋体" w:hAnsi="宋体"/>
        </w:rPr>
        <w:t>14.69亿元，增长31%，第三</w:t>
      </w:r>
      <w:r>
        <w:rPr>
          <w:rFonts w:hint="eastAsia" w:ascii="宋体" w:hAnsi="宋体"/>
        </w:rPr>
        <w:t>产业增加值为</w:t>
      </w:r>
      <w:r>
        <w:rPr>
          <w:rFonts w:ascii="宋体" w:hAnsi="宋体"/>
        </w:rPr>
        <w:t>25.01亿元，增长12.2%。社</w:t>
      </w:r>
      <w:r>
        <w:rPr>
          <w:rFonts w:hint="eastAsia" w:ascii="宋体" w:hAnsi="宋体"/>
        </w:rPr>
        <w:t>会固定资产投资额</w:t>
      </w:r>
      <w:r>
        <w:rPr>
          <w:rFonts w:ascii="宋体" w:hAnsi="宋体"/>
        </w:rPr>
        <w:t>58.03亿元，增长35.1%，</w:t>
      </w:r>
      <w:r>
        <w:rPr>
          <w:rFonts w:hint="eastAsia" w:ascii="宋体" w:hAnsi="宋体"/>
        </w:rPr>
        <w:t>地方财政一般预算收入</w:t>
      </w:r>
      <w:r>
        <w:rPr>
          <w:rFonts w:ascii="宋体" w:hAnsi="宋体"/>
        </w:rPr>
        <w:t>2.83亿元，增长25.1%，全年实际利用外资1800万美元，增</w:t>
      </w:r>
      <w:r>
        <w:rPr>
          <w:rFonts w:hint="eastAsia" w:ascii="宋体" w:hAnsi="宋体"/>
        </w:rPr>
        <w:t>长</w:t>
      </w:r>
      <w:r>
        <w:rPr>
          <w:rFonts w:ascii="宋体" w:hAnsi="宋体"/>
        </w:rPr>
        <w:t>10%，外贸出口2000万美元，增长16.8%。金融机构各项存款金额56.63亿元，</w:t>
      </w:r>
      <w:r>
        <w:rPr>
          <w:rFonts w:hint="eastAsia" w:ascii="宋体" w:hAnsi="宋体"/>
        </w:rPr>
        <w:t>增长</w:t>
      </w:r>
      <w:r>
        <w:rPr>
          <w:rFonts w:ascii="宋体" w:hAnsi="宋体"/>
        </w:rPr>
        <w:t>17%，城乡居民储蓄存款余额44.97亿</w:t>
      </w:r>
      <w:r>
        <w:rPr>
          <w:rFonts w:hint="eastAsia" w:ascii="宋体" w:hAnsi="宋体"/>
        </w:rPr>
        <w:t>元，增长</w:t>
      </w:r>
      <w:r>
        <w:rPr>
          <w:rFonts w:ascii="宋体" w:hAnsi="宋体"/>
        </w:rPr>
        <w:t>15.2%。</w:t>
      </w:r>
    </w:p>
    <w:p w14:paraId="4BFE1413">
      <w:pPr>
        <w:pStyle w:val="4"/>
      </w:pPr>
      <w:r>
        <w:rPr>
          <w:rFonts w:hint="eastAsia"/>
        </w:rPr>
        <w:t>【产业结构调整取得新突破】</w:t>
      </w:r>
    </w:p>
    <w:p w14:paraId="572513A5">
      <w:pPr>
        <w:ind w:firstLine="420"/>
        <w:rPr>
          <w:rFonts w:ascii="宋体" w:hAnsi="宋体"/>
        </w:rPr>
      </w:pPr>
      <w:r>
        <w:rPr>
          <w:rFonts w:hint="eastAsia" w:ascii="宋体" w:hAnsi="宋体"/>
        </w:rPr>
        <w:t>全年完成工业总产值</w:t>
      </w:r>
      <w:r>
        <w:rPr>
          <w:rFonts w:ascii="宋体" w:hAnsi="宋体"/>
        </w:rPr>
        <w:t>37.7亿元，比上年增长46.2%，规模</w:t>
      </w:r>
      <w:r>
        <w:rPr>
          <w:rFonts w:hint="eastAsia" w:ascii="宋体" w:hAnsi="宋体"/>
        </w:rPr>
        <w:t>以上工业企业数量达</w:t>
      </w:r>
      <w:r>
        <w:rPr>
          <w:rFonts w:ascii="宋体" w:hAnsi="宋体"/>
        </w:rPr>
        <w:t>55家，实现增加值5.87</w:t>
      </w:r>
      <w:r>
        <w:rPr>
          <w:rFonts w:hint="eastAsia" w:ascii="宋体" w:hAnsi="宋体"/>
        </w:rPr>
        <w:t>亿元。特色精细化工产业初步形成，精细化工园区一期已投入基础建设资金</w:t>
      </w:r>
      <w:r>
        <w:rPr>
          <w:rFonts w:ascii="宋体" w:hAnsi="宋体"/>
        </w:rPr>
        <w:t>4.18亿元，</w:t>
      </w:r>
      <w:r>
        <w:rPr>
          <w:rFonts w:hint="eastAsia" w:ascii="宋体" w:hAnsi="宋体"/>
        </w:rPr>
        <w:t>有生产、研发、物流、仓储、生活服务和产品交易六大功能区，入驻园区企业有</w:t>
      </w:r>
      <w:r>
        <w:rPr>
          <w:rFonts w:ascii="宋体" w:hAnsi="宋体"/>
        </w:rPr>
        <w:t>96家</w:t>
      </w:r>
      <w:r>
        <w:rPr>
          <w:rFonts w:hint="eastAsia" w:ascii="宋体" w:hAnsi="宋体"/>
        </w:rPr>
        <w:t>，在建和筹建企业</w:t>
      </w:r>
      <w:r>
        <w:rPr>
          <w:rFonts w:ascii="宋体" w:hAnsi="宋体"/>
        </w:rPr>
        <w:t>61家，</w:t>
      </w:r>
      <w:r>
        <w:rPr>
          <w:rFonts w:hint="eastAsia" w:ascii="宋体" w:hAnsi="宋体"/>
        </w:rPr>
        <w:t>已</w:t>
      </w:r>
      <w:r>
        <w:rPr>
          <w:rFonts w:ascii="宋体" w:hAnsi="宋体"/>
        </w:rPr>
        <w:t>投试产企业35家，</w:t>
      </w:r>
      <w:r>
        <w:rPr>
          <w:rFonts w:hint="eastAsia" w:ascii="宋体" w:hAnsi="宋体"/>
        </w:rPr>
        <w:t>园区投产企业实现工业总产值</w:t>
      </w:r>
      <w:r>
        <w:rPr>
          <w:rFonts w:ascii="宋体" w:hAnsi="宋体"/>
        </w:rPr>
        <w:t>11.9亿元，精</w:t>
      </w:r>
      <w:r>
        <w:rPr>
          <w:rFonts w:hint="eastAsia" w:ascii="宋体" w:hAnsi="宋体"/>
        </w:rPr>
        <w:t>细化工园被认定为省产业转移工业园，在全省专业性产业转移工业园竞争性扶持资金竞标中，以总分第一名成绩，获得省化工材料专业方向的园区建设扶持资金</w:t>
      </w:r>
      <w:r>
        <w:rPr>
          <w:rFonts w:ascii="宋体" w:hAnsi="宋体"/>
        </w:rPr>
        <w:t>1亿元。第三</w:t>
      </w:r>
      <w:r>
        <w:rPr>
          <w:rFonts w:hint="eastAsia" w:ascii="宋体" w:hAnsi="宋体"/>
        </w:rPr>
        <w:t>产业蓬勃发展，“万村千乡市场工程”、“家电下乡、以旧换新”政策顺利实施，有效地拉动内需，全年社会消费品零售总额达到</w:t>
      </w:r>
      <w:r>
        <w:rPr>
          <w:rFonts w:ascii="宋体" w:hAnsi="宋体"/>
        </w:rPr>
        <w:t>24.53</w:t>
      </w:r>
      <w:r>
        <w:rPr>
          <w:rFonts w:hint="eastAsia" w:ascii="宋体" w:hAnsi="宋体"/>
        </w:rPr>
        <w:t>亿元，比上年增长</w:t>
      </w:r>
      <w:r>
        <w:rPr>
          <w:rFonts w:ascii="宋体" w:hAnsi="宋体"/>
        </w:rPr>
        <w:t>18.6%。旅游业得到发展，</w:t>
      </w:r>
      <w:r>
        <w:rPr>
          <w:rFonts w:hint="eastAsia" w:ascii="宋体" w:hAnsi="宋体"/>
        </w:rPr>
        <w:t>引进奥威斯集团投资建设五星级国际休闲度假中心，推进旅游基础配套设施建设。挖掘以生态文化、珠玑文化、梅花文化、恐龙文化、宗教文化、红色文化为重点的旅游资源，完成珠玑古巷、梅关古道景区总体规划，全年接待游客</w:t>
      </w:r>
      <w:r>
        <w:rPr>
          <w:rFonts w:ascii="宋体" w:hAnsi="宋体"/>
        </w:rPr>
        <w:t>109万人次，旅游总收入6.95亿</w:t>
      </w:r>
      <w:r>
        <w:rPr>
          <w:rFonts w:hint="eastAsia" w:ascii="宋体" w:hAnsi="宋体"/>
        </w:rPr>
        <w:t>元，增长</w:t>
      </w:r>
      <w:r>
        <w:rPr>
          <w:rFonts w:ascii="宋体" w:hAnsi="宋体"/>
        </w:rPr>
        <w:t>55%。民营经济发展加快，全市共</w:t>
      </w:r>
      <w:r>
        <w:rPr>
          <w:rFonts w:hint="eastAsia" w:ascii="宋体" w:hAnsi="宋体"/>
        </w:rPr>
        <w:t>有个体工商户</w:t>
      </w:r>
      <w:r>
        <w:rPr>
          <w:rFonts w:ascii="宋体" w:hAnsi="宋体"/>
        </w:rPr>
        <w:t>7922户，私营企业621户，增</w:t>
      </w:r>
      <w:r>
        <w:rPr>
          <w:rFonts w:hint="eastAsia" w:ascii="宋体" w:hAnsi="宋体"/>
        </w:rPr>
        <w:t>长</w:t>
      </w:r>
      <w:r>
        <w:rPr>
          <w:rFonts w:ascii="宋体" w:hAnsi="宋体"/>
        </w:rPr>
        <w:t>22.7%，民营企业缴纳税收6846万元，增</w:t>
      </w:r>
      <w:r>
        <w:rPr>
          <w:rFonts w:hint="eastAsia" w:ascii="宋体" w:hAnsi="宋体"/>
        </w:rPr>
        <w:t>长</w:t>
      </w:r>
      <w:r>
        <w:rPr>
          <w:rFonts w:ascii="宋体" w:hAnsi="宋体"/>
        </w:rPr>
        <w:t>94%。三大产业结构比例由32.5</w:t>
      </w:r>
      <w:r>
        <w:rPr>
          <w:rFonts w:hint="eastAsia" w:ascii="宋体" w:hAnsi="宋体"/>
        </w:rPr>
        <w:t>：</w:t>
      </w:r>
      <w:r>
        <w:rPr>
          <w:rFonts w:ascii="宋体" w:hAnsi="宋体"/>
        </w:rPr>
        <w:t>25.9</w:t>
      </w:r>
      <w:r>
        <w:rPr>
          <w:rFonts w:hint="eastAsia" w:ascii="宋体" w:hAnsi="宋体"/>
        </w:rPr>
        <w:t>：</w:t>
      </w:r>
      <w:r>
        <w:rPr>
          <w:rFonts w:ascii="宋体" w:hAnsi="宋体"/>
        </w:rPr>
        <w:t>41.6调整为29.5</w:t>
      </w:r>
      <w:r>
        <w:rPr>
          <w:rFonts w:hint="eastAsia" w:ascii="宋体" w:hAnsi="宋体"/>
        </w:rPr>
        <w:t>：</w:t>
      </w:r>
      <w:r>
        <w:rPr>
          <w:rFonts w:ascii="宋体" w:hAnsi="宋体"/>
        </w:rPr>
        <w:t>26.1</w:t>
      </w:r>
      <w:r>
        <w:rPr>
          <w:rFonts w:hint="eastAsia" w:ascii="宋体" w:hAnsi="宋体"/>
        </w:rPr>
        <w:t>：44.4。</w:t>
      </w:r>
    </w:p>
    <w:p w14:paraId="2909939D">
      <w:pPr>
        <w:pStyle w:val="4"/>
      </w:pPr>
      <w:r>
        <w:rPr>
          <w:rFonts w:hint="eastAsia"/>
        </w:rPr>
        <w:t>【基础设施建设大跨越】</w:t>
      </w:r>
    </w:p>
    <w:p w14:paraId="3CE7DFFC">
      <w:pPr>
        <w:ind w:firstLine="420"/>
        <w:rPr>
          <w:rFonts w:ascii="宋体" w:hAnsi="宋体"/>
        </w:rPr>
      </w:pPr>
      <w:r>
        <w:rPr>
          <w:rFonts w:hint="eastAsia" w:ascii="宋体" w:hAnsi="宋体"/>
        </w:rPr>
        <w:t>全年实施建设重点项目</w:t>
      </w:r>
      <w:r>
        <w:rPr>
          <w:rFonts w:ascii="宋体" w:hAnsi="宋体"/>
        </w:rPr>
        <w:t>61个，完成投资21.5亿元。韶赣高速公</w:t>
      </w:r>
      <w:r>
        <w:rPr>
          <w:rFonts w:hint="eastAsia" w:ascii="宋体" w:hAnsi="宋体"/>
        </w:rPr>
        <w:t>路（南雄段）累计投资</w:t>
      </w:r>
      <w:r>
        <w:rPr>
          <w:rFonts w:ascii="宋体" w:hAnsi="宋体"/>
        </w:rPr>
        <w:t>19.5亿元，韶赣高速</w:t>
      </w:r>
      <w:r>
        <w:rPr>
          <w:rFonts w:hint="eastAsia" w:ascii="宋体" w:hAnsi="宋体"/>
        </w:rPr>
        <w:t>于</w:t>
      </w:r>
      <w:r>
        <w:rPr>
          <w:rFonts w:ascii="宋体" w:hAnsi="宋体"/>
        </w:rPr>
        <w:t>12月31日建成通车，使南雄到韶关时程缩</w:t>
      </w:r>
      <w:r>
        <w:rPr>
          <w:rFonts w:hint="eastAsia" w:ascii="宋体" w:hAnsi="宋体"/>
        </w:rPr>
        <w:t>短</w:t>
      </w:r>
      <w:r>
        <w:rPr>
          <w:rFonts w:ascii="宋体" w:hAnsi="宋体"/>
        </w:rPr>
        <w:t>30分钟。赣韶铁路（南雄段）完成投资4.89亿元，西气东输二线工程完成投资585</w:t>
      </w:r>
      <w:r>
        <w:rPr>
          <w:rFonts w:hint="eastAsia" w:ascii="宋体" w:hAnsi="宋体"/>
        </w:rPr>
        <w:t>亿元。改建原国道</w:t>
      </w:r>
      <w:r>
        <w:rPr>
          <w:rFonts w:ascii="宋体" w:hAnsi="宋体"/>
        </w:rPr>
        <w:t>G323线南雄穿城路段9.6</w:t>
      </w:r>
      <w:r>
        <w:rPr>
          <w:rFonts w:hint="eastAsia" w:ascii="宋体" w:hAnsi="宋体"/>
        </w:rPr>
        <w:t>公里，改造县道</w:t>
      </w:r>
      <w:r>
        <w:rPr>
          <w:rFonts w:ascii="宋体" w:hAnsi="宋体"/>
        </w:rPr>
        <w:t>X343线孔江至坪田路段24</w:t>
      </w:r>
      <w:r>
        <w:rPr>
          <w:rFonts w:hint="eastAsia" w:ascii="宋体" w:hAnsi="宋体"/>
        </w:rPr>
        <w:t>公里，农村公路硬底化建设</w:t>
      </w:r>
      <w:r>
        <w:rPr>
          <w:rFonts w:ascii="宋体" w:hAnsi="宋体"/>
        </w:rPr>
        <w:t>79.8公里，完成</w:t>
      </w:r>
      <w:r>
        <w:rPr>
          <w:rFonts w:hint="eastAsia" w:ascii="宋体" w:hAnsi="宋体"/>
        </w:rPr>
        <w:t>涌溪、迳口</w:t>
      </w:r>
      <w:r>
        <w:rPr>
          <w:rFonts w:ascii="宋体" w:hAnsi="宋体"/>
        </w:rPr>
        <w:t>2座大桥建设，改造黄统江、下</w:t>
      </w:r>
      <w:r>
        <w:rPr>
          <w:rFonts w:hint="eastAsia" w:ascii="宋体" w:hAnsi="宋体"/>
        </w:rPr>
        <w:t>孔村、新坳背</w:t>
      </w:r>
      <w:r>
        <w:rPr>
          <w:rFonts w:ascii="宋体" w:hAnsi="宋体"/>
        </w:rPr>
        <w:t>3座危桥，全市公路通车里程1917公里，建立覆盖城乡的交通网络，实现</w:t>
      </w:r>
      <w:r>
        <w:rPr>
          <w:rFonts w:hint="eastAsia" w:ascii="宋体" w:hAnsi="宋体"/>
        </w:rPr>
        <w:t>村村通公路。电力能源项目投资</w:t>
      </w:r>
      <w:r>
        <w:rPr>
          <w:rFonts w:ascii="宋体" w:hAnsi="宋体"/>
        </w:rPr>
        <w:t>7.44亿元，</w:t>
      </w:r>
      <w:r>
        <w:rPr>
          <w:rFonts w:hint="eastAsia" w:ascii="宋体" w:hAnsi="宋体"/>
        </w:rPr>
        <w:t>新建珠玑</w:t>
      </w:r>
      <w:r>
        <w:rPr>
          <w:rFonts w:ascii="宋体" w:hAnsi="宋体"/>
        </w:rPr>
        <w:t>220KV变电站，完成农村电网改造，</w:t>
      </w:r>
      <w:r>
        <w:rPr>
          <w:rFonts w:hint="eastAsia" w:ascii="宋体" w:hAnsi="宋体"/>
        </w:rPr>
        <w:t>实现城乡同网同价。投资</w:t>
      </w:r>
      <w:r>
        <w:rPr>
          <w:rFonts w:ascii="宋体" w:hAnsi="宋体"/>
        </w:rPr>
        <w:t>1000万元完善城市</w:t>
      </w:r>
      <w:r>
        <w:rPr>
          <w:rFonts w:hint="eastAsia" w:ascii="宋体" w:hAnsi="宋体"/>
        </w:rPr>
        <w:t>污水处理截污管网，投资</w:t>
      </w:r>
      <w:r>
        <w:rPr>
          <w:rFonts w:ascii="宋体" w:hAnsi="宋体"/>
        </w:rPr>
        <w:t>550万元建设空气</w:t>
      </w:r>
      <w:r>
        <w:rPr>
          <w:rFonts w:hint="eastAsia" w:ascii="宋体" w:hAnsi="宋体"/>
        </w:rPr>
        <w:t>环境质量自动监测系统。</w:t>
      </w:r>
    </w:p>
    <w:p w14:paraId="26C041D1">
      <w:pPr>
        <w:pStyle w:val="4"/>
      </w:pPr>
      <w:r>
        <w:rPr>
          <w:rFonts w:hint="eastAsia"/>
        </w:rPr>
        <w:t>【现代农业有新发展】</w:t>
      </w:r>
    </w:p>
    <w:p w14:paraId="1E385608">
      <w:pPr>
        <w:ind w:firstLine="420"/>
        <w:rPr>
          <w:rFonts w:ascii="宋体" w:hAnsi="宋体"/>
        </w:rPr>
      </w:pPr>
      <w:r>
        <w:rPr>
          <w:rFonts w:hint="eastAsia" w:ascii="宋体" w:hAnsi="宋体"/>
        </w:rPr>
        <w:t>优化农业产业结构，推进现代农业进程。形成以烟草公司为龙头的现代烟草基地，以华农温氏集团为龙头的畜牧养殖基地，以金友集团为龙头的优质稻生产基地，以界址、全安、百顺山区镇为主的中药材生产基地。全年实现农业总产值</w:t>
      </w:r>
      <w:r>
        <w:rPr>
          <w:rFonts w:ascii="宋体" w:hAnsi="宋体"/>
        </w:rPr>
        <w:t>27.68亿元，增长5.2%，粮食种植面积3.78</w:t>
      </w:r>
      <w:r>
        <w:rPr>
          <w:rFonts w:hint="eastAsia" w:ascii="宋体" w:hAnsi="宋体"/>
        </w:rPr>
        <w:t>万公顷，粮食产量</w:t>
      </w:r>
      <w:r>
        <w:rPr>
          <w:rFonts w:ascii="宋体" w:hAnsi="宋体"/>
        </w:rPr>
        <w:t>23.05万吨，增长8.7%。</w:t>
      </w:r>
      <w:r>
        <w:rPr>
          <w:rFonts w:hint="eastAsia" w:ascii="宋体" w:hAnsi="宋体"/>
        </w:rPr>
        <w:t>黄烟播种</w:t>
      </w:r>
      <w:r>
        <w:rPr>
          <w:rFonts w:ascii="宋体" w:hAnsi="宋体"/>
        </w:rPr>
        <w:t>9873公顷，烟叶收购15310吨，收</w:t>
      </w:r>
      <w:r>
        <w:rPr>
          <w:rFonts w:hint="eastAsia" w:ascii="宋体" w:hAnsi="宋体"/>
        </w:rPr>
        <w:t>购金额</w:t>
      </w:r>
      <w:r>
        <w:rPr>
          <w:rFonts w:ascii="宋体" w:hAnsi="宋体"/>
        </w:rPr>
        <w:t>2.34亿元。养殖业迅猛发展，生猪饲</w:t>
      </w:r>
      <w:r>
        <w:rPr>
          <w:rFonts w:hint="eastAsia" w:ascii="宋体" w:hAnsi="宋体"/>
        </w:rPr>
        <w:t>养量</w:t>
      </w:r>
      <w:r>
        <w:rPr>
          <w:rFonts w:ascii="宋体" w:hAnsi="宋体"/>
        </w:rPr>
        <w:t>71.9万头，出栏50.8万头，家禽饲养量697万只，鱼放养水面积3333公顷，产量1.38万吨，肉类总产量3.62万吨。150户养</w:t>
      </w:r>
      <w:r>
        <w:rPr>
          <w:rFonts w:hint="eastAsia" w:ascii="宋体" w:hAnsi="宋体"/>
        </w:rPr>
        <w:t>殖户与华农温氏集团合作，采取“公司</w:t>
      </w:r>
      <w:r>
        <w:rPr>
          <w:rFonts w:ascii="宋体" w:hAnsi="宋体"/>
        </w:rPr>
        <w:t>+基</w:t>
      </w:r>
      <w:r>
        <w:rPr>
          <w:rFonts w:hint="eastAsia" w:ascii="宋体" w:hAnsi="宋体"/>
        </w:rPr>
        <w:t>地</w:t>
      </w:r>
      <w:r>
        <w:rPr>
          <w:rFonts w:ascii="宋体" w:hAnsi="宋体"/>
        </w:rPr>
        <w:t>+农户</w:t>
      </w:r>
      <w:r>
        <w:rPr>
          <w:rFonts w:hint="eastAsia" w:ascii="宋体" w:hAnsi="宋体"/>
        </w:rPr>
        <w:t>”</w:t>
      </w:r>
      <w:r>
        <w:rPr>
          <w:rFonts w:ascii="宋体" w:hAnsi="宋体"/>
        </w:rPr>
        <w:t>经营模式，发展商品猪生产。农</w:t>
      </w:r>
      <w:r>
        <w:rPr>
          <w:rFonts w:hint="eastAsia" w:ascii="宋体" w:hAnsi="宋体"/>
        </w:rPr>
        <w:t>业先进实用技术和农业机械得到广泛应用，良种覆盖率</w:t>
      </w:r>
      <w:r>
        <w:rPr>
          <w:rFonts w:ascii="宋体" w:hAnsi="宋体"/>
        </w:rPr>
        <w:t>95%，农机总动力27.9万千瓦。</w:t>
      </w:r>
      <w:r>
        <w:rPr>
          <w:rFonts w:hint="eastAsia" w:ascii="宋体" w:hAnsi="宋体"/>
        </w:rPr>
        <w:t>投资</w:t>
      </w:r>
      <w:r>
        <w:rPr>
          <w:rFonts w:ascii="宋体" w:hAnsi="宋体"/>
        </w:rPr>
        <w:t>2600万元完成7宗农田改造项目，受益</w:t>
      </w:r>
      <w:r>
        <w:rPr>
          <w:rFonts w:hint="eastAsia" w:ascii="宋体" w:hAnsi="宋体"/>
        </w:rPr>
        <w:t>面积</w:t>
      </w:r>
      <w:r>
        <w:rPr>
          <w:rFonts w:ascii="宋体" w:hAnsi="宋体"/>
        </w:rPr>
        <w:t>1533公顷，投入1.9亿元完成水利防灾</w:t>
      </w:r>
      <w:r>
        <w:rPr>
          <w:rFonts w:hint="eastAsia" w:ascii="宋体" w:hAnsi="宋体"/>
        </w:rPr>
        <w:t>减灾工程建设</w:t>
      </w:r>
      <w:r>
        <w:rPr>
          <w:rFonts w:ascii="宋体" w:hAnsi="宋体"/>
        </w:rPr>
        <w:t>5宗，投入1256万元解决农村</w:t>
      </w:r>
      <w:r>
        <w:rPr>
          <w:rFonts w:hint="eastAsia" w:ascii="宋体" w:hAnsi="宋体"/>
        </w:rPr>
        <w:t>饮水安全。推进集体林权改革，完成林地所有权证、使用权证发放工作，调处山林纠纷</w:t>
      </w:r>
      <w:r>
        <w:rPr>
          <w:rFonts w:ascii="宋体" w:hAnsi="宋体"/>
        </w:rPr>
        <w:t>1015宗，建设</w:t>
      </w:r>
      <w:r>
        <w:rPr>
          <w:rFonts w:hint="eastAsia" w:ascii="宋体" w:hAnsi="宋体"/>
        </w:rPr>
        <w:t>“</w:t>
      </w:r>
      <w:r>
        <w:rPr>
          <w:rFonts w:ascii="宋体" w:hAnsi="宋体"/>
        </w:rPr>
        <w:t>万村绿</w:t>
      </w:r>
      <w:r>
        <w:rPr>
          <w:rFonts w:hint="eastAsia" w:ascii="宋体" w:hAnsi="宋体"/>
        </w:rPr>
        <w:t>”</w:t>
      </w:r>
      <w:r>
        <w:rPr>
          <w:rFonts w:ascii="宋体" w:hAnsi="宋体"/>
        </w:rPr>
        <w:t>示范点18个，园林</w:t>
      </w:r>
      <w:r>
        <w:rPr>
          <w:rFonts w:hint="eastAsia" w:ascii="宋体" w:hAnsi="宋体"/>
        </w:rPr>
        <w:t>绿化面积</w:t>
      </w:r>
      <w:r>
        <w:rPr>
          <w:rFonts w:ascii="宋体" w:hAnsi="宋体"/>
        </w:rPr>
        <w:t>154公顷，城区绿化覆盖面积162公</w:t>
      </w:r>
      <w:r>
        <w:rPr>
          <w:rFonts w:hint="eastAsia" w:ascii="宋体" w:hAnsi="宋体"/>
        </w:rPr>
        <w:t>顷，新造林面积</w:t>
      </w:r>
      <w:r>
        <w:rPr>
          <w:rFonts w:ascii="宋体" w:hAnsi="宋体"/>
        </w:rPr>
        <w:t>2066.7公顷，森林覆盖率61.8%，建立生态自然保护区3个，面积163</w:t>
      </w:r>
      <w:r>
        <w:rPr>
          <w:rFonts w:hint="eastAsia" w:ascii="宋体" w:hAnsi="宋体"/>
        </w:rPr>
        <w:t>平方公里。以清路障、清淤泥、清垃圾和改水、改厕、改人畜分居推进村庄整治，新建新农村</w:t>
      </w:r>
      <w:r>
        <w:rPr>
          <w:rFonts w:ascii="宋体" w:hAnsi="宋体"/>
        </w:rPr>
        <w:t>25个，完成30个村庄整</w:t>
      </w:r>
      <w:r>
        <w:rPr>
          <w:rFonts w:hint="eastAsia" w:ascii="宋体" w:hAnsi="宋体"/>
        </w:rPr>
        <w:t>治</w:t>
      </w:r>
      <w:r>
        <w:rPr>
          <w:rFonts w:ascii="宋体" w:hAnsi="宋体"/>
        </w:rPr>
        <w:t>工作。</w:t>
      </w:r>
    </w:p>
    <w:p w14:paraId="38DA98DB">
      <w:pPr>
        <w:pStyle w:val="4"/>
      </w:pPr>
      <w:r>
        <w:rPr>
          <w:rFonts w:hint="eastAsia"/>
        </w:rPr>
        <w:t>【社会事业全面进步】</w:t>
      </w:r>
    </w:p>
    <w:p w14:paraId="679B47AE">
      <w:pPr>
        <w:ind w:firstLine="420"/>
        <w:rPr>
          <w:rFonts w:ascii="宋体" w:hAnsi="宋体"/>
        </w:rPr>
      </w:pPr>
      <w:r>
        <w:rPr>
          <w:rFonts w:hint="eastAsia" w:ascii="宋体" w:hAnsi="宋体"/>
        </w:rPr>
        <w:t>更加注重改善民生，城乡居民收入不断提高，全年在岗职工平均工资</w:t>
      </w:r>
      <w:r>
        <w:rPr>
          <w:rFonts w:ascii="宋体" w:hAnsi="宋体"/>
        </w:rPr>
        <w:t>26608元，农村人均纯收入5945元，城</w:t>
      </w:r>
      <w:r>
        <w:rPr>
          <w:rFonts w:hint="eastAsia" w:ascii="宋体" w:hAnsi="宋体"/>
        </w:rPr>
        <w:t>镇居民可支配收入</w:t>
      </w:r>
      <w:r>
        <w:rPr>
          <w:rFonts w:ascii="宋体" w:hAnsi="宋体"/>
        </w:rPr>
        <w:t>11886元，同比增长10%。</w:t>
      </w:r>
      <w:r>
        <w:rPr>
          <w:rFonts w:hint="eastAsia" w:ascii="宋体" w:hAnsi="宋体"/>
        </w:rPr>
        <w:t>社会保障体系日益完善，新增就业人数</w:t>
      </w:r>
      <w:r>
        <w:rPr>
          <w:rFonts w:ascii="宋体" w:hAnsi="宋体"/>
        </w:rPr>
        <w:t>4552</w:t>
      </w:r>
      <w:r>
        <w:rPr>
          <w:rFonts w:hint="eastAsia" w:ascii="宋体" w:hAnsi="宋体"/>
        </w:rPr>
        <w:t>人，城镇下岗失业人员再就业</w:t>
      </w:r>
      <w:r>
        <w:rPr>
          <w:rFonts w:ascii="宋体" w:hAnsi="宋体"/>
        </w:rPr>
        <w:t>3567人，农村</w:t>
      </w:r>
      <w:r>
        <w:rPr>
          <w:rFonts w:hint="eastAsia" w:ascii="宋体" w:hAnsi="宋体"/>
        </w:rPr>
        <w:t>劳动力转移就业</w:t>
      </w:r>
      <w:r>
        <w:rPr>
          <w:rFonts w:ascii="宋体" w:hAnsi="宋体"/>
        </w:rPr>
        <w:t>10695人。实施养老保险转</w:t>
      </w:r>
      <w:r>
        <w:rPr>
          <w:rFonts w:hint="eastAsia" w:ascii="宋体" w:hAnsi="宋体"/>
        </w:rPr>
        <w:t>接办法，城镇参加基本养老保险人数</w:t>
      </w:r>
      <w:r>
        <w:rPr>
          <w:rFonts w:ascii="宋体" w:hAnsi="宋体"/>
        </w:rPr>
        <w:t>2.3万</w:t>
      </w:r>
      <w:r>
        <w:rPr>
          <w:rFonts w:hint="eastAsia" w:ascii="宋体" w:hAnsi="宋体"/>
        </w:rPr>
        <w:t>人，城镇居民参加医保人数</w:t>
      </w:r>
      <w:r>
        <w:rPr>
          <w:rFonts w:ascii="宋体" w:hAnsi="宋体"/>
        </w:rPr>
        <w:t>2.38万人。建设</w:t>
      </w:r>
      <w:r>
        <w:rPr>
          <w:rFonts w:hint="eastAsia" w:ascii="宋体" w:hAnsi="宋体"/>
        </w:rPr>
        <w:t>保障住房</w:t>
      </w:r>
      <w:r>
        <w:rPr>
          <w:rFonts w:ascii="宋体" w:hAnsi="宋体"/>
        </w:rPr>
        <w:t>160套，改善低收入者住房条件，</w:t>
      </w:r>
      <w:r>
        <w:rPr>
          <w:rFonts w:hint="eastAsia" w:ascii="宋体" w:hAnsi="宋体"/>
        </w:rPr>
        <w:t>实现城乡最低生活保障全覆盖，城乡最低生活保障</w:t>
      </w:r>
      <w:r>
        <w:rPr>
          <w:rFonts w:ascii="宋体" w:hAnsi="宋体"/>
        </w:rPr>
        <w:t>15297人，新型农村合作医疗覆盖率99.9%社会事业和公共服务能力增强，推</w:t>
      </w:r>
      <w:r>
        <w:rPr>
          <w:rFonts w:hint="eastAsia" w:ascii="宋体" w:hAnsi="宋体"/>
        </w:rPr>
        <w:t>进教育强市，全市小学适龄人口入学率</w:t>
      </w:r>
      <w:r>
        <w:rPr>
          <w:rFonts w:ascii="宋体" w:hAnsi="宋体"/>
        </w:rPr>
        <w:t>100%，初中毕业生升学率99.5%，高中阶段</w:t>
      </w:r>
      <w:r>
        <w:rPr>
          <w:rFonts w:hint="eastAsia" w:ascii="宋体" w:hAnsi="宋体"/>
        </w:rPr>
        <w:t>毛入学率</w:t>
      </w:r>
      <w:r>
        <w:rPr>
          <w:rFonts w:ascii="宋体" w:hAnsi="宋体"/>
        </w:rPr>
        <w:t>90%。增强科技创新能力，全年举</w:t>
      </w:r>
      <w:r>
        <w:rPr>
          <w:rFonts w:hint="eastAsia" w:ascii="宋体" w:hAnsi="宋体"/>
        </w:rPr>
        <w:t>办科技交流会</w:t>
      </w:r>
      <w:r>
        <w:rPr>
          <w:rFonts w:ascii="宋体" w:hAnsi="宋体"/>
        </w:rPr>
        <w:t>8次，参加人数900人次，举办</w:t>
      </w:r>
      <w:r>
        <w:rPr>
          <w:rFonts w:hint="eastAsia" w:ascii="宋体" w:hAnsi="宋体"/>
        </w:rPr>
        <w:t>科普讲座</w:t>
      </w:r>
      <w:r>
        <w:rPr>
          <w:rFonts w:ascii="宋体" w:hAnsi="宋体"/>
        </w:rPr>
        <w:t>9次，参加人数820人次，8篇科技</w:t>
      </w:r>
      <w:r>
        <w:rPr>
          <w:rFonts w:hint="eastAsia" w:ascii="宋体" w:hAnsi="宋体"/>
        </w:rPr>
        <w:t>论文获奖，</w:t>
      </w:r>
      <w:r>
        <w:rPr>
          <w:rFonts w:ascii="宋体" w:hAnsi="宋体"/>
        </w:rPr>
        <w:t>21个科技项目攻关，申请专利38</w:t>
      </w:r>
      <w:r>
        <w:rPr>
          <w:rFonts w:hint="eastAsia" w:ascii="宋体" w:hAnsi="宋体"/>
        </w:rPr>
        <w:t>件。保持稳定的低生育水平，人口出生率</w:t>
      </w:r>
      <w:r>
        <w:rPr>
          <w:rFonts w:ascii="宋体" w:hAnsi="宋体"/>
        </w:rPr>
        <w:t>12.36</w:t>
      </w:r>
      <w:r>
        <w:rPr>
          <w:rFonts w:hint="eastAsia" w:ascii="宋体" w:hAnsi="宋体"/>
        </w:rPr>
        <w:t>‰</w:t>
      </w:r>
      <w:r>
        <w:rPr>
          <w:rFonts w:ascii="宋体" w:hAnsi="宋体"/>
        </w:rPr>
        <w:t>，人口自然增长率7.23</w:t>
      </w:r>
      <w:r>
        <w:rPr>
          <w:rFonts w:hint="eastAsia" w:ascii="宋体" w:hAnsi="宋体"/>
        </w:rPr>
        <w:t>‰</w:t>
      </w:r>
      <w:r>
        <w:rPr>
          <w:rFonts w:ascii="宋体" w:hAnsi="宋体"/>
        </w:rPr>
        <w:t>体育事业</w:t>
      </w:r>
      <w:r>
        <w:rPr>
          <w:rFonts w:hint="eastAsia" w:ascii="宋体" w:hAnsi="宋体"/>
        </w:rPr>
        <w:t>成效显著，全市拥有体育场</w:t>
      </w:r>
      <w:r>
        <w:rPr>
          <w:rFonts w:ascii="宋体" w:hAnsi="宋体"/>
        </w:rPr>
        <w:t>12个，250米田</w:t>
      </w:r>
      <w:r>
        <w:rPr>
          <w:rFonts w:hint="eastAsia" w:ascii="宋体" w:hAnsi="宋体"/>
        </w:rPr>
        <w:t>径场</w:t>
      </w:r>
      <w:r>
        <w:rPr>
          <w:rFonts w:ascii="宋体" w:hAnsi="宋体"/>
        </w:rPr>
        <w:t>28个，举办各类运动会48次，参加比赛</w:t>
      </w:r>
      <w:r>
        <w:rPr>
          <w:rFonts w:hint="eastAsia" w:ascii="宋体" w:hAnsi="宋体"/>
        </w:rPr>
        <w:t>人数</w:t>
      </w:r>
      <w:r>
        <w:rPr>
          <w:rFonts w:ascii="宋体" w:hAnsi="宋体"/>
        </w:rPr>
        <w:t>3.4万人，竞技体育取得历史性突破，</w:t>
      </w:r>
      <w:r>
        <w:rPr>
          <w:rFonts w:hint="eastAsia" w:ascii="宋体" w:hAnsi="宋体"/>
        </w:rPr>
        <w:t>马丽芸荣获广州亚运会小轮车比赛冠军。推进群众性文化活动，举行全民读书暨“图书漂流”活动，完成</w:t>
      </w:r>
      <w:r>
        <w:rPr>
          <w:rFonts w:ascii="宋体" w:hAnsi="宋体"/>
        </w:rPr>
        <w:t>184家农家书屋建设，增</w:t>
      </w:r>
      <w:r>
        <w:rPr>
          <w:rFonts w:hint="eastAsia" w:ascii="宋体" w:hAnsi="宋体"/>
        </w:rPr>
        <w:t>加图书</w:t>
      </w:r>
      <w:r>
        <w:rPr>
          <w:rFonts w:ascii="宋体" w:hAnsi="宋体"/>
        </w:rPr>
        <w:t>26万册，组织</w:t>
      </w:r>
      <w:r>
        <w:rPr>
          <w:rFonts w:hint="eastAsia" w:ascii="宋体" w:hAnsi="宋体"/>
        </w:rPr>
        <w:t>“</w:t>
      </w:r>
      <w:r>
        <w:rPr>
          <w:rFonts w:ascii="宋体" w:hAnsi="宋体"/>
        </w:rPr>
        <w:t>第二届红歌大赛</w:t>
      </w:r>
      <w:r>
        <w:rPr>
          <w:rFonts w:hint="eastAsia" w:ascii="宋体" w:hAnsi="宋体"/>
        </w:rPr>
        <w:t>”</w:t>
      </w:r>
      <w:r>
        <w:rPr>
          <w:rFonts w:ascii="宋体" w:hAnsi="宋体"/>
        </w:rPr>
        <w:t>、</w:t>
      </w:r>
      <w:r>
        <w:rPr>
          <w:rFonts w:hint="eastAsia" w:ascii="宋体" w:hAnsi="宋体"/>
        </w:rPr>
        <w:t>“春节三影塔广场文艺演出”、“民间闹元宵艺术表演”。送戏下乡</w:t>
      </w:r>
      <w:r>
        <w:rPr>
          <w:rFonts w:ascii="宋体" w:hAnsi="宋体"/>
        </w:rPr>
        <w:t>85次，送电影下乡1380</w:t>
      </w:r>
      <w:r>
        <w:rPr>
          <w:rFonts w:hint="eastAsia" w:ascii="宋体" w:hAnsi="宋体"/>
        </w:rPr>
        <w:t>场次，送书下乡</w:t>
      </w:r>
      <w:r>
        <w:rPr>
          <w:rFonts w:ascii="宋体" w:hAnsi="宋体"/>
        </w:rPr>
        <w:t>134次，作品《孟管当砸缸》</w:t>
      </w:r>
      <w:r>
        <w:rPr>
          <w:rFonts w:hint="eastAsia" w:ascii="宋体" w:hAnsi="宋体"/>
        </w:rPr>
        <w:t>获第四届中国戏剧奖小品组三等奖，《采茶童娃舞雄州》获省第八届少儿艺术花会比赛银奖。以“连心楼”、“市长信箱”为载体，建立健全信访、调解、综治三位一体的矛盾纠纷排查调处机制。</w:t>
      </w:r>
    </w:p>
    <w:p w14:paraId="559B6A85">
      <w:pPr>
        <w:pStyle w:val="4"/>
      </w:pPr>
      <w:r>
        <w:rPr>
          <w:rFonts w:hint="eastAsia"/>
        </w:rPr>
        <w:t>【扶贫开发扎实推进】</w:t>
      </w:r>
    </w:p>
    <w:p w14:paraId="268A15F8">
      <w:pPr>
        <w:ind w:firstLine="420"/>
        <w:rPr>
          <w:rFonts w:ascii="宋体" w:hAnsi="宋体"/>
        </w:rPr>
      </w:pPr>
      <w:r>
        <w:rPr>
          <w:rFonts w:hint="eastAsia" w:ascii="宋体" w:hAnsi="宋体"/>
        </w:rPr>
        <w:t>实行帮扶单位和人员全面落实到贫困村到贫困户，扶贫结对子，做到“一对一”帮扶。全市</w:t>
      </w:r>
      <w:r>
        <w:rPr>
          <w:rFonts w:ascii="宋体" w:hAnsi="宋体"/>
        </w:rPr>
        <w:t>45个贫困村投入</w:t>
      </w:r>
      <w:r>
        <w:rPr>
          <w:rFonts w:hint="eastAsia" w:ascii="宋体" w:hAnsi="宋体"/>
        </w:rPr>
        <w:t>扶贫开发资金</w:t>
      </w:r>
      <w:r>
        <w:rPr>
          <w:rFonts w:ascii="宋体" w:hAnsi="宋体"/>
        </w:rPr>
        <w:t>5169万元，发展贫困村集体经</w:t>
      </w:r>
      <w:r>
        <w:rPr>
          <w:rFonts w:hint="eastAsia" w:ascii="宋体" w:hAnsi="宋体"/>
        </w:rPr>
        <w:t>济项目</w:t>
      </w:r>
      <w:r>
        <w:rPr>
          <w:rFonts w:ascii="宋体" w:hAnsi="宋体"/>
        </w:rPr>
        <w:t>105个，4460户贫困户</w:t>
      </w:r>
      <w:r>
        <w:rPr>
          <w:rFonts w:hint="eastAsia" w:ascii="宋体" w:hAnsi="宋体"/>
        </w:rPr>
        <w:t>已</w:t>
      </w:r>
      <w:r>
        <w:rPr>
          <w:rFonts w:ascii="宋体" w:hAnsi="宋体"/>
        </w:rPr>
        <w:t>落实帮扶措</w:t>
      </w:r>
      <w:r>
        <w:rPr>
          <w:rFonts w:hint="eastAsia" w:ascii="宋体" w:hAnsi="宋体"/>
        </w:rPr>
        <w:t>施，全年脱贫</w:t>
      </w:r>
      <w:r>
        <w:rPr>
          <w:rFonts w:ascii="宋体" w:hAnsi="宋体"/>
        </w:rPr>
        <w:t>211户8621人，占贫困人口的52.8%，贫困户年人均纯收入2472元，比上</w:t>
      </w:r>
      <w:r>
        <w:rPr>
          <w:rFonts w:hint="eastAsia" w:ascii="宋体" w:hAnsi="宋体"/>
        </w:rPr>
        <w:t>年增加</w:t>
      </w:r>
      <w:r>
        <w:rPr>
          <w:rFonts w:ascii="宋体" w:hAnsi="宋体"/>
        </w:rPr>
        <w:t>796元，扶贫</w:t>
      </w:r>
      <w:r>
        <w:rPr>
          <w:rFonts w:hint="eastAsia" w:ascii="宋体" w:hAnsi="宋体"/>
        </w:rPr>
        <w:t>“</w:t>
      </w:r>
      <w:r>
        <w:rPr>
          <w:rFonts w:ascii="宋体" w:hAnsi="宋体"/>
        </w:rPr>
        <w:t>双到</w:t>
      </w:r>
      <w:r>
        <w:rPr>
          <w:rFonts w:hint="eastAsia" w:ascii="宋体" w:hAnsi="宋体"/>
        </w:rPr>
        <w:t>”</w:t>
      </w:r>
      <w:r>
        <w:rPr>
          <w:rFonts w:ascii="宋体" w:hAnsi="宋体"/>
        </w:rPr>
        <w:t>工作通过省年</w:t>
      </w:r>
      <w:r>
        <w:rPr>
          <w:rFonts w:hint="eastAsia" w:ascii="宋体" w:hAnsi="宋体"/>
        </w:rPr>
        <w:t>度考核。</w:t>
      </w:r>
    </w:p>
    <w:p w14:paraId="6640B6A2">
      <w:pPr>
        <w:pStyle w:val="4"/>
      </w:pPr>
      <w:r>
        <w:rPr>
          <w:rFonts w:hint="eastAsia"/>
        </w:rPr>
        <w:t>【被确认为中央苏区县】</w:t>
      </w:r>
    </w:p>
    <w:p w14:paraId="21E87DF8">
      <w:pPr>
        <w:ind w:firstLine="420"/>
        <w:rPr>
          <w:rFonts w:ascii="宋体" w:hAnsi="宋体"/>
        </w:rPr>
      </w:pPr>
      <w:r>
        <w:rPr>
          <w:rFonts w:hint="eastAsia" w:ascii="宋体" w:hAnsi="宋体"/>
        </w:rPr>
        <w:t>南雄是广东省重点革命老区，从大革命到解放战争，南雄中共党组织领导南雄人民进行革命斗争从未中断，南雄在土地革命战争中还是毛泽东、朱德领导建立中央苏区的组成部分之一。但由于史料证据缺乏及其他种种因素，南雄属于中央苏区范围的历史没有得到权威部门的确认，为弘扬苏区精神，告慰革命先烈，推动老区建设。南雄市委、市政府成立申报中央苏区县领导小组，申报组人员前往江西省赣南各市县，搜集、整理、考证、论证及上报工作，历时</w:t>
      </w:r>
      <w:r>
        <w:rPr>
          <w:rFonts w:ascii="宋体" w:hAnsi="宋体"/>
        </w:rPr>
        <w:t>13个月。根据有关历史文献及老同志的</w:t>
      </w:r>
      <w:r>
        <w:rPr>
          <w:rFonts w:hint="eastAsia" w:ascii="宋体" w:hAnsi="宋体"/>
        </w:rPr>
        <w:t>回忆材料，中共中央党史研究室于</w:t>
      </w:r>
      <w:r>
        <w:rPr>
          <w:rFonts w:ascii="宋体" w:hAnsi="宋体"/>
        </w:rPr>
        <w:t>2010年5</w:t>
      </w:r>
      <w:r>
        <w:rPr>
          <w:rFonts w:hint="eastAsia" w:ascii="宋体" w:hAnsi="宋体"/>
        </w:rPr>
        <w:t>月</w:t>
      </w:r>
      <w:r>
        <w:rPr>
          <w:rFonts w:ascii="宋体" w:hAnsi="宋体"/>
        </w:rPr>
        <w:t>6日正式确认南雄为</w:t>
      </w:r>
      <w:r>
        <w:rPr>
          <w:rFonts w:hint="eastAsia" w:ascii="宋体" w:hAnsi="宋体"/>
        </w:rPr>
        <w:t>“</w:t>
      </w:r>
      <w:r>
        <w:rPr>
          <w:rFonts w:ascii="宋体" w:hAnsi="宋体"/>
        </w:rPr>
        <w:t>中央苏区县</w:t>
      </w:r>
      <w:r>
        <w:rPr>
          <w:rFonts w:hint="eastAsia" w:ascii="宋体" w:hAnsi="宋体"/>
        </w:rPr>
        <w:t>”</w:t>
      </w:r>
      <w:r>
        <w:rPr>
          <w:rFonts w:ascii="宋体" w:hAnsi="宋体"/>
        </w:rPr>
        <w:t>。</w:t>
      </w:r>
    </w:p>
    <w:p w14:paraId="5FF7CAA7">
      <w:pPr>
        <w:pStyle w:val="4"/>
      </w:pPr>
      <w:r>
        <w:rPr>
          <w:rFonts w:hint="eastAsia"/>
        </w:rPr>
        <w:t>【修复瑶坑旧址】</w:t>
      </w:r>
    </w:p>
    <w:p w14:paraId="3F715E2D">
      <w:pPr>
        <w:ind w:firstLine="420"/>
        <w:rPr>
          <w:rFonts w:ascii="宋体" w:hAnsi="宋体"/>
        </w:rPr>
      </w:pPr>
      <w:r>
        <w:rPr>
          <w:rFonts w:hint="eastAsia" w:ascii="宋体" w:hAnsi="宋体"/>
        </w:rPr>
        <w:t>南雄瑶坑村是抗日战争时期中共广东省委机关办公地址。</w:t>
      </w:r>
      <w:r>
        <w:rPr>
          <w:rFonts w:ascii="宋体" w:hAnsi="宋体"/>
        </w:rPr>
        <w:t>1939年11</w:t>
      </w:r>
      <w:r>
        <w:rPr>
          <w:rFonts w:hint="eastAsia" w:ascii="宋体" w:hAnsi="宋体"/>
        </w:rPr>
        <w:t>月，由于国民党顽固派不断制造反共摩擦，加上日寇进逼韶关，省委机关由韶关迁往南雄，省委下辖的南雄中心县委，精心选择党组织健全，群众基础好，离县城约有五公里的承庆乡第六保瑶坑村（现雄州街道荆岗村委会瑶坑村），作为中共广东省委机关秘密驻地，领导全省抗日救国斗争，组织起“妇女会”，宣传抗日救国活动。</w:t>
      </w:r>
      <w:r>
        <w:rPr>
          <w:rFonts w:ascii="宋体" w:hAnsi="宋体"/>
        </w:rPr>
        <w:t>1940年6月，鉴于</w:t>
      </w:r>
      <w:r>
        <w:rPr>
          <w:rFonts w:hint="eastAsia" w:ascii="宋体" w:hAnsi="宋体"/>
        </w:rPr>
        <w:t>南雄形势的变化，为保存革命力量，省委机关迁往始兴红围。</w:t>
      </w:r>
      <w:r>
        <w:rPr>
          <w:rFonts w:ascii="宋体" w:hAnsi="宋体"/>
        </w:rPr>
        <w:t>2009年3月，根据省委决</w:t>
      </w:r>
      <w:r>
        <w:rPr>
          <w:rFonts w:hint="eastAsia" w:ascii="宋体" w:hAnsi="宋体"/>
        </w:rPr>
        <w:t>定修复瑶坑旧址，</w:t>
      </w:r>
      <w:r>
        <w:rPr>
          <w:rFonts w:ascii="宋体" w:hAnsi="宋体"/>
        </w:rPr>
        <w:t>2010年6月29日完成修复</w:t>
      </w:r>
      <w:r>
        <w:rPr>
          <w:rFonts w:hint="eastAsia" w:ascii="宋体" w:hAnsi="宋体"/>
        </w:rPr>
        <w:t>并正式对外开放，成为“广东省爱国主义教育基地”。</w:t>
      </w:r>
    </w:p>
    <w:p w14:paraId="47039F6C">
      <w:pPr>
        <w:pStyle w:val="4"/>
      </w:pPr>
      <w:r>
        <w:rPr>
          <w:rFonts w:hint="eastAsia"/>
        </w:rPr>
        <w:t>【马丽芸夺得亚运会冠军】</w:t>
      </w:r>
    </w:p>
    <w:p w14:paraId="08F7D440">
      <w:pPr>
        <w:ind w:firstLine="420"/>
        <w:rPr>
          <w:rFonts w:ascii="宋体" w:hAnsi="宋体"/>
        </w:rPr>
      </w:pPr>
      <w:r>
        <w:rPr>
          <w:rFonts w:ascii="宋体" w:hAnsi="宋体"/>
        </w:rPr>
        <w:t>11月19日，中</w:t>
      </w:r>
      <w:r>
        <w:rPr>
          <w:rFonts w:hint="eastAsia" w:ascii="宋体" w:hAnsi="宋体"/>
        </w:rPr>
        <w:t>国运动员马丽芸在</w:t>
      </w:r>
      <w:r>
        <w:rPr>
          <w:rFonts w:ascii="宋体" w:hAnsi="宋体"/>
        </w:rPr>
        <w:t>2010年广州亚运会小轮车</w:t>
      </w:r>
      <w:r>
        <w:rPr>
          <w:rFonts w:hint="eastAsia" w:ascii="宋体" w:hAnsi="宋体"/>
        </w:rPr>
        <w:t>项目女子越野决赛中以</w:t>
      </w:r>
      <w:r>
        <w:rPr>
          <w:rFonts w:ascii="宋体" w:hAnsi="宋体"/>
        </w:rPr>
        <w:t>36.6</w:t>
      </w:r>
      <w:r>
        <w:rPr>
          <w:rFonts w:hint="eastAsia" w:ascii="宋体" w:hAnsi="宋体"/>
        </w:rPr>
        <w:t>6</w:t>
      </w:r>
      <w:r>
        <w:rPr>
          <w:rFonts w:ascii="宋体" w:hAnsi="宋体"/>
        </w:rPr>
        <w:t>2秒的成绩夺得</w:t>
      </w:r>
      <w:r>
        <w:rPr>
          <w:rFonts w:hint="eastAsia" w:ascii="宋体" w:hAnsi="宋体"/>
        </w:rPr>
        <w:t>冠军，实现南雄籍运动员参加亚运会金牌零的突破。马丽芸生于</w:t>
      </w:r>
      <w:r>
        <w:rPr>
          <w:rFonts w:ascii="宋体" w:hAnsi="宋体"/>
        </w:rPr>
        <w:t>1988年，2001年开始在</w:t>
      </w:r>
      <w:r>
        <w:rPr>
          <w:rFonts w:hint="eastAsia" w:ascii="宋体" w:hAnsi="宋体"/>
        </w:rPr>
        <w:t>南雄业余体校练短跑，</w:t>
      </w:r>
      <w:r>
        <w:rPr>
          <w:rFonts w:ascii="宋体" w:hAnsi="宋体"/>
        </w:rPr>
        <w:t>2004年12月在广东省</w:t>
      </w:r>
      <w:r>
        <w:rPr>
          <w:rFonts w:hint="eastAsia" w:ascii="宋体" w:hAnsi="宋体"/>
        </w:rPr>
        <w:t>队练小轮车。曾代表国家队参加东亚运动会、亚州锦标赛、北京奥运会比赛都取得好成绩。南雄市政府授予马丽芸“优秀运动员”称号。</w:t>
      </w:r>
    </w:p>
    <w:p w14:paraId="6DBEF427">
      <w:pPr>
        <w:pStyle w:val="2"/>
      </w:pPr>
      <w:r>
        <w:rPr>
          <w:rFonts w:hint="eastAsia"/>
        </w:rPr>
        <w:t>中共南雄市委</w:t>
      </w:r>
    </w:p>
    <w:p w14:paraId="41381845">
      <w:pPr>
        <w:pStyle w:val="3"/>
      </w:pPr>
      <w:r>
        <w:rPr>
          <w:rFonts w:hint="eastAsia"/>
        </w:rPr>
        <w:t>综述</w:t>
      </w:r>
    </w:p>
    <w:p w14:paraId="1729CE29">
      <w:pPr>
        <w:pStyle w:val="4"/>
      </w:pPr>
      <w:r>
        <w:rPr>
          <w:rFonts w:hint="eastAsia"/>
        </w:rPr>
        <w:t>【概况】</w:t>
      </w:r>
    </w:p>
    <w:p w14:paraId="422B968D">
      <w:pPr>
        <w:ind w:firstLine="420"/>
        <w:rPr>
          <w:rFonts w:ascii="宋体" w:hAnsi="宋体"/>
        </w:rPr>
      </w:pPr>
      <w:r>
        <w:rPr>
          <w:rFonts w:ascii="宋体" w:hAnsi="宋体"/>
        </w:rPr>
        <w:t>2010年，市委坚持以邓小平理论</w:t>
      </w:r>
      <w:r>
        <w:rPr>
          <w:rFonts w:hint="eastAsia" w:ascii="宋体" w:hAnsi="宋体"/>
        </w:rPr>
        <w:t>和“三个代表”重要思想为指导，牢固树立和落实科学发展观，认真贯彻落实粤北山区工作会议、市委十届七次、八次全会及打好“三场硬仗”动员会、推动韶关跨越发展务虚会等会议精神，按照“调结构、上水平”的工作思路，紧紧抓住产业集聚发展的路子，打响转变经济发展方式、提升“双转移”质量、扶贫开发“规划到户、责任到人”三场硬仗，积极推动产业转型升级，经济社会保持又好又快发展，政治建设、文化建设、社会建设、生态文明建设和党的建设得到明显加强。</w:t>
      </w:r>
    </w:p>
    <w:p w14:paraId="763622AB">
      <w:pPr>
        <w:pStyle w:val="4"/>
      </w:pPr>
      <w:r>
        <w:rPr>
          <w:rFonts w:hint="eastAsia"/>
        </w:rPr>
        <w:t>【推进三大特色工业发展】</w:t>
      </w:r>
    </w:p>
    <w:p w14:paraId="04EF0A5E">
      <w:pPr>
        <w:ind w:firstLine="420"/>
        <w:rPr>
          <w:rFonts w:ascii="宋体" w:hAnsi="宋体"/>
        </w:rPr>
      </w:pPr>
      <w:r>
        <w:rPr>
          <w:rFonts w:hint="eastAsia" w:ascii="宋体" w:hAnsi="宋体"/>
        </w:rPr>
        <w:t>县域经济总量不断壮大。市委把精细化工、陶瓷建材、浆纸制造三大特色工业摆到经济工作突出的位置上来抓。一是精细化工产业蓬勃发展。精细化工产业园道路、供水、供电、信息互动平台、应急救援中心等基础设施已基本完善，韶赣铁路口岸南雄装卸点和危化品铁路专线、互联网交易平台和物流中心在抓紧筹建，生产区、研发区、物流区、生活区和商业区等功能区初步形成。二期园区也已完成总体规划、控制性规划等，并完成</w:t>
      </w:r>
      <w:r>
        <w:rPr>
          <w:rFonts w:ascii="宋体" w:hAnsi="宋体"/>
        </w:rPr>
        <w:t>2100多亩征地任</w:t>
      </w:r>
      <w:r>
        <w:rPr>
          <w:rFonts w:hint="eastAsia" w:ascii="宋体" w:hAnsi="宋体"/>
        </w:rPr>
        <w:t>务，储备一批重点项目。二是浆纸制造产业平稳发展。珠玑纸业投资</w:t>
      </w:r>
      <w:r>
        <w:rPr>
          <w:rFonts w:ascii="宋体" w:hAnsi="宋体"/>
        </w:rPr>
        <w:t>1.8亿元的技改扩</w:t>
      </w:r>
      <w:r>
        <w:rPr>
          <w:rFonts w:hint="eastAsia" w:ascii="宋体" w:hAnsi="宋体"/>
        </w:rPr>
        <w:t>产项目已完成，已形成纸浆年产量</w:t>
      </w:r>
      <w:r>
        <w:rPr>
          <w:rFonts w:ascii="宋体" w:hAnsi="宋体"/>
        </w:rPr>
        <w:t>6.5万吨，</w:t>
      </w:r>
      <w:r>
        <w:rPr>
          <w:rFonts w:hint="eastAsia" w:ascii="宋体" w:hAnsi="宋体"/>
        </w:rPr>
        <w:t>年产值</w:t>
      </w:r>
      <w:r>
        <w:rPr>
          <w:rFonts w:ascii="宋体" w:hAnsi="宋体"/>
        </w:rPr>
        <w:t>3.3亿元的产能，正在加快建设5万吨</w:t>
      </w:r>
      <w:r>
        <w:rPr>
          <w:rFonts w:hint="eastAsia" w:ascii="宋体" w:hAnsi="宋体"/>
        </w:rPr>
        <w:t>高档特种纸生产项目。绿洲公司技改扩产项目顺利推进，完成新上</w:t>
      </w:r>
      <w:r>
        <w:rPr>
          <w:rFonts w:ascii="宋体" w:hAnsi="宋体"/>
        </w:rPr>
        <w:t>2条全自动生产线，</w:t>
      </w:r>
      <w:r>
        <w:rPr>
          <w:rFonts w:hint="eastAsia" w:ascii="宋体" w:hAnsi="宋体"/>
        </w:rPr>
        <w:t>被列为全省现代产业</w:t>
      </w:r>
      <w:r>
        <w:rPr>
          <w:rFonts w:ascii="宋体" w:hAnsi="宋体"/>
        </w:rPr>
        <w:t>500强项目之</w:t>
      </w:r>
      <w:r>
        <w:rPr>
          <w:rFonts w:hint="eastAsia" w:ascii="宋体" w:hAnsi="宋体"/>
        </w:rPr>
        <w:t>一</w:t>
      </w:r>
      <w:r>
        <w:rPr>
          <w:rFonts w:ascii="宋体" w:hAnsi="宋体"/>
        </w:rPr>
        <w:t>。三是</w:t>
      </w:r>
      <w:r>
        <w:rPr>
          <w:rFonts w:hint="eastAsia" w:ascii="宋体" w:hAnsi="宋体"/>
        </w:rPr>
        <w:t>陶瓷建材基地建设加快。总投资</w:t>
      </w:r>
      <w:r>
        <w:rPr>
          <w:rFonts w:ascii="宋体" w:hAnsi="宋体"/>
        </w:rPr>
        <w:t>4.5亿元的</w:t>
      </w:r>
      <w:r>
        <w:rPr>
          <w:rFonts w:hint="eastAsia" w:ascii="宋体" w:hAnsi="宋体"/>
        </w:rPr>
        <w:t>乐华陶瓷基地一期工程成功投产，二期工程正在全力推进，两期工程投产后，年产值可达</w:t>
      </w:r>
      <w:r>
        <w:rPr>
          <w:rFonts w:ascii="宋体" w:hAnsi="宋体"/>
        </w:rPr>
        <w:t>10亿元。彤置富水泥基地建设全面推进，</w:t>
      </w:r>
      <w:r>
        <w:rPr>
          <w:rFonts w:hint="eastAsia" w:ascii="宋体" w:hAnsi="宋体"/>
        </w:rPr>
        <w:t>已完成投资</w:t>
      </w:r>
      <w:r>
        <w:rPr>
          <w:rFonts w:ascii="宋体" w:hAnsi="宋体"/>
        </w:rPr>
        <w:t>2.26亿元。</w:t>
      </w:r>
    </w:p>
    <w:p w14:paraId="312ABC3C">
      <w:pPr>
        <w:pStyle w:val="4"/>
      </w:pPr>
      <w:r>
        <w:rPr>
          <w:rFonts w:hint="eastAsia"/>
        </w:rPr>
        <w:t>【推进特色农业发展】</w:t>
      </w:r>
    </w:p>
    <w:p w14:paraId="45F8E311">
      <w:pPr>
        <w:ind w:firstLine="420"/>
        <w:rPr>
          <w:rFonts w:ascii="宋体" w:hAnsi="宋体"/>
        </w:rPr>
      </w:pPr>
      <w:r>
        <w:rPr>
          <w:rFonts w:hint="eastAsia" w:ascii="宋体" w:hAnsi="宋体"/>
        </w:rPr>
        <w:t>农业产业化水平不断提高。深入推进扶贫开发“规划到户、责任到人”工作，以扶持农业龙头企业发展为突破口，突出优质稻和有机稻种植、良种猪养殖、五黑鸡养殖、油茶种植和农土特加工等“五大”特色农业产业基地建设，发展绿色、优质和有机农产品，农业产业化水平不断提高。率先在全省推进现代烟草农业建设，烟叶综合生产能力明显提高。</w:t>
      </w:r>
      <w:r>
        <w:rPr>
          <w:rFonts w:ascii="宋体" w:hAnsi="宋体"/>
        </w:rPr>
        <w:t>2010年烟叶收购30.7万担，烟叶收购资金达2.3亿元。坚持</w:t>
      </w:r>
      <w:r>
        <w:rPr>
          <w:rFonts w:hint="eastAsia" w:ascii="宋体" w:hAnsi="宋体"/>
        </w:rPr>
        <w:t>依法依规，集体林权制度改革稳步推进。全市上下严格落实责任，层层包干，稳妥推进集体林权改革工作，全市林改主体工作基本完成，已取得阶段性成效。</w:t>
      </w:r>
    </w:p>
    <w:p w14:paraId="1C9E040A">
      <w:pPr>
        <w:pStyle w:val="4"/>
      </w:pPr>
      <w:r>
        <w:rPr>
          <w:rFonts w:hint="eastAsia"/>
        </w:rPr>
        <w:t>【推进社会各项事业发展】</w:t>
      </w:r>
    </w:p>
    <w:p w14:paraId="1ED9C2F5">
      <w:pPr>
        <w:ind w:firstLine="420"/>
        <w:rPr>
          <w:rFonts w:ascii="宋体" w:hAnsi="宋体"/>
        </w:rPr>
      </w:pPr>
      <w:r>
        <w:rPr>
          <w:rFonts w:hint="eastAsia" w:ascii="宋体" w:hAnsi="宋体"/>
        </w:rPr>
        <w:t>人民生活水平不断提高。市委大力推动惠民工程实施，狠抓政府承诺“八件实事”的落实，安置房、廉租房建设任务已完成，经济适用房正在建设。截至</w:t>
      </w:r>
      <w:r>
        <w:rPr>
          <w:rFonts w:ascii="宋体" w:hAnsi="宋体"/>
        </w:rPr>
        <w:t>11月，城镇居民可支配收入9529元，增</w:t>
      </w:r>
      <w:r>
        <w:rPr>
          <w:rFonts w:hint="eastAsia" w:ascii="宋体" w:hAnsi="宋体"/>
        </w:rPr>
        <w:t>长</w:t>
      </w:r>
      <w:r>
        <w:rPr>
          <w:rFonts w:ascii="宋体" w:hAnsi="宋体"/>
        </w:rPr>
        <w:t>12.8%；农民人均纯收入5087元，增长12.3%，人民生活水平稳步提高。投资600</w:t>
      </w:r>
      <w:r>
        <w:rPr>
          <w:rFonts w:hint="eastAsia" w:ascii="宋体" w:hAnsi="宋体"/>
        </w:rPr>
        <w:t>0多万元的雄州大道改建工程顺利推进，城市道路焕然一新，提升了南雄城市的档次。推进“教育强镇”创建，全市办学水平稳步提升。农村新型合作医疗参保率达到</w:t>
      </w:r>
      <w:r>
        <w:rPr>
          <w:rFonts w:ascii="宋体" w:hAnsi="宋体"/>
        </w:rPr>
        <w:t>100%，优</w:t>
      </w:r>
      <w:r>
        <w:rPr>
          <w:rFonts w:hint="eastAsia" w:ascii="宋体" w:hAnsi="宋体"/>
        </w:rPr>
        <w:t>抚安置、社会保障救助水平逐步提高，医疗、卫生、慈善等各项社会事业稳步发展。深入实施“八大文化工程”，建立健全公共文化服务体系，推动文化创新，推动文化大发展大繁荣。加快</w:t>
      </w:r>
      <w:r>
        <w:rPr>
          <w:rFonts w:ascii="宋体" w:hAnsi="宋体"/>
        </w:rPr>
        <w:t>18个镇（街道）综治信访维稳中</w:t>
      </w:r>
      <w:r>
        <w:rPr>
          <w:rFonts w:hint="eastAsia" w:ascii="宋体" w:hAnsi="宋体"/>
        </w:rPr>
        <w:t>心建设步伐，建立市、镇（市直单位）、村三级联网的综治信访维稳工作平台，落实信访维稳工作责任制和领导干部包案制，推进“网络问政”工作，积极有效化解社会矛盾纠纷。严格落实计划生育工作层级动态管理责任制，深入开展创建“两无”活动，被国家人口计生委确定为全国</w:t>
      </w:r>
      <w:r>
        <w:rPr>
          <w:rFonts w:ascii="宋体" w:hAnsi="宋体"/>
        </w:rPr>
        <w:t>100个免费孕前优生</w:t>
      </w:r>
      <w:r>
        <w:rPr>
          <w:rFonts w:hint="eastAsia" w:ascii="宋体" w:hAnsi="宋体"/>
        </w:rPr>
        <w:t>健康检查试点县（市、区）之一，人口和计划生育工作水平不断提高。</w:t>
      </w:r>
      <w:r>
        <w:rPr>
          <w:rFonts w:ascii="宋体" w:hAnsi="宋体"/>
        </w:rPr>
        <w:t>2010年，南雄市</w:t>
      </w:r>
      <w:r>
        <w:rPr>
          <w:rFonts w:hint="eastAsia" w:ascii="宋体" w:hAnsi="宋体"/>
        </w:rPr>
        <w:t>政策生育率为</w:t>
      </w:r>
      <w:r>
        <w:rPr>
          <w:rFonts w:ascii="宋体" w:hAnsi="宋体"/>
        </w:rPr>
        <w:t>95</w:t>
      </w:r>
      <w:r>
        <w:rPr>
          <w:rFonts w:hint="eastAsia" w:ascii="宋体" w:hAnsi="宋体"/>
        </w:rPr>
        <w:t>.</w:t>
      </w:r>
      <w:r>
        <w:rPr>
          <w:rFonts w:ascii="宋体" w:hAnsi="宋体"/>
        </w:rPr>
        <w:t>14%，与上年同期对比提高0.90个百分点；出生人口性别比为106.25，</w:t>
      </w:r>
      <w:r>
        <w:rPr>
          <w:rFonts w:hint="eastAsia" w:ascii="宋体" w:hAnsi="宋体"/>
        </w:rPr>
        <w:t>与去年同期对比下降</w:t>
      </w:r>
      <w:r>
        <w:rPr>
          <w:rFonts w:ascii="宋体" w:hAnsi="宋体"/>
        </w:rPr>
        <w:t>1.58个比值。计生服务</w:t>
      </w:r>
      <w:r>
        <w:rPr>
          <w:rFonts w:hint="eastAsia" w:ascii="宋体" w:hAnsi="宋体"/>
        </w:rPr>
        <w:t>站在全市人口和计划生育服务站综合评比中获得一等奖。</w:t>
      </w:r>
    </w:p>
    <w:p w14:paraId="31771F34">
      <w:pPr>
        <w:pStyle w:val="4"/>
      </w:pPr>
      <w:r>
        <w:rPr>
          <w:rFonts w:hint="eastAsia"/>
        </w:rPr>
        <w:t>【推进创先争优活动】</w:t>
      </w:r>
    </w:p>
    <w:p w14:paraId="4CC41743">
      <w:pPr>
        <w:ind w:firstLine="420"/>
        <w:rPr>
          <w:rFonts w:ascii="宋体" w:hAnsi="宋体"/>
        </w:rPr>
      </w:pPr>
      <w:r>
        <w:rPr>
          <w:rFonts w:hint="eastAsia" w:ascii="宋体" w:hAnsi="宋体"/>
        </w:rPr>
        <w:t>党的建设不断加强。开展“双向承诺”、“我是党员”等主题活动，引导基层党员和党组织在工作中比贡献、创先进、争优秀，增强党组织的战斗力、凝聚力，基层党组织建设不断加强。推进领导干部培训，加强领导班子和干部队伍建设。建立健全干部选拔任用机制，扩大干部工作民主化，保障群众知情权、参与权，促进市委选人用人权力阳光运行，切实提高选人用人公信度。建立健全以党风廉政建设责任制为主的廉政制度建设，努力做到用制度管权、靠制度管人、按制度办事。加强反腐倡廉正反面警示教育，深入开展廉政风险防范管理工作，提高党员干部拒腐防变的意识和能力。推进市委权力公开透明运行“阳光工程”试点工作，开展纪律教育月、“一诺千金为发展”、“树立正确的权力观，提高执行力”等活动，全市经济发展软环境进一步优化。</w:t>
      </w:r>
    </w:p>
    <w:p w14:paraId="0B873322">
      <w:pPr>
        <w:pStyle w:val="3"/>
      </w:pPr>
      <w:r>
        <w:rPr>
          <w:rFonts w:hint="eastAsia"/>
        </w:rPr>
        <w:t>中共南雄市委员会领导职务变动</w:t>
      </w:r>
    </w:p>
    <w:p w14:paraId="4898BACB">
      <w:pPr>
        <w:ind w:firstLine="420"/>
        <w:rPr>
          <w:rFonts w:ascii="宋体" w:hAnsi="宋体"/>
        </w:rPr>
      </w:pPr>
      <w:r>
        <w:rPr>
          <w:rFonts w:hint="eastAsia" w:ascii="宋体" w:hAnsi="宋体"/>
        </w:rPr>
        <w:t xml:space="preserve">书    记：林楚欣  </w:t>
      </w:r>
      <w:r>
        <w:rPr>
          <w:rFonts w:ascii="宋体" w:hAnsi="宋体"/>
        </w:rPr>
        <w:t>2010年8月</w:t>
      </w:r>
      <w:r>
        <w:rPr>
          <w:rFonts w:hint="eastAsia" w:ascii="宋体" w:hAnsi="宋体"/>
        </w:rPr>
        <w:t xml:space="preserve">  </w:t>
      </w:r>
      <w:r>
        <w:rPr>
          <w:rFonts w:ascii="宋体" w:hAnsi="宋体"/>
        </w:rPr>
        <w:t>免</w:t>
      </w:r>
    </w:p>
    <w:p w14:paraId="7B1B307E">
      <w:pPr>
        <w:ind w:firstLine="1470" w:firstLineChars="700"/>
        <w:rPr>
          <w:rFonts w:ascii="宋体" w:hAnsi="宋体"/>
        </w:rPr>
      </w:pPr>
      <w:r>
        <w:rPr>
          <w:rFonts w:hint="eastAsia" w:ascii="宋体" w:hAnsi="宋体"/>
        </w:rPr>
        <w:t xml:space="preserve">许志新  </w:t>
      </w:r>
      <w:r>
        <w:rPr>
          <w:rFonts w:ascii="宋体" w:hAnsi="宋体"/>
        </w:rPr>
        <w:t>2010年10月</w:t>
      </w:r>
      <w:r>
        <w:rPr>
          <w:rFonts w:hint="eastAsia" w:ascii="宋体" w:hAnsi="宋体"/>
        </w:rPr>
        <w:t xml:space="preserve">  </w:t>
      </w:r>
      <w:r>
        <w:rPr>
          <w:rFonts w:ascii="宋体" w:hAnsi="宋体"/>
        </w:rPr>
        <w:t>任</w:t>
      </w:r>
    </w:p>
    <w:p w14:paraId="711C6293">
      <w:pPr>
        <w:ind w:firstLine="420"/>
        <w:rPr>
          <w:rFonts w:ascii="宋体" w:hAnsi="宋体"/>
        </w:rPr>
      </w:pPr>
      <w:r>
        <w:rPr>
          <w:rFonts w:hint="eastAsia" w:ascii="宋体" w:hAnsi="宋体"/>
        </w:rPr>
        <w:t xml:space="preserve">副 书 记：颜  亮  </w:t>
      </w:r>
      <w:r>
        <w:rPr>
          <w:rFonts w:ascii="宋体" w:hAnsi="宋体"/>
        </w:rPr>
        <w:t>2010年1月</w:t>
      </w:r>
      <w:r>
        <w:rPr>
          <w:rFonts w:hint="eastAsia" w:ascii="宋体" w:hAnsi="宋体"/>
        </w:rPr>
        <w:t xml:space="preserve">  </w:t>
      </w:r>
      <w:r>
        <w:rPr>
          <w:rFonts w:ascii="宋体" w:hAnsi="宋体"/>
        </w:rPr>
        <w:t>免</w:t>
      </w:r>
    </w:p>
    <w:p w14:paraId="4D2FA981">
      <w:pPr>
        <w:ind w:firstLine="1470" w:firstLineChars="700"/>
        <w:rPr>
          <w:rFonts w:ascii="宋体" w:hAnsi="宋体"/>
        </w:rPr>
      </w:pPr>
      <w:r>
        <w:rPr>
          <w:rFonts w:hint="eastAsia" w:ascii="宋体" w:hAnsi="宋体"/>
        </w:rPr>
        <w:t xml:space="preserve">刘清生  </w:t>
      </w:r>
      <w:r>
        <w:rPr>
          <w:rFonts w:ascii="宋体" w:hAnsi="宋体"/>
        </w:rPr>
        <w:t>2010年4月</w:t>
      </w:r>
      <w:r>
        <w:rPr>
          <w:rFonts w:hint="eastAsia" w:ascii="宋体" w:hAnsi="宋体"/>
        </w:rPr>
        <w:t xml:space="preserve">  </w:t>
      </w:r>
      <w:r>
        <w:rPr>
          <w:rFonts w:ascii="宋体" w:hAnsi="宋体"/>
        </w:rPr>
        <w:t>任</w:t>
      </w:r>
    </w:p>
    <w:p w14:paraId="3E3C083E">
      <w:pPr>
        <w:ind w:firstLine="420"/>
        <w:rPr>
          <w:rFonts w:ascii="宋体" w:hAnsi="宋体"/>
        </w:rPr>
      </w:pPr>
      <w:r>
        <w:rPr>
          <w:rFonts w:hint="eastAsia" w:ascii="宋体" w:hAnsi="宋体"/>
        </w:rPr>
        <w:t xml:space="preserve">常务委员：林楚欣  </w:t>
      </w:r>
      <w:r>
        <w:rPr>
          <w:rFonts w:ascii="宋体" w:hAnsi="宋体"/>
        </w:rPr>
        <w:t>2010年8月</w:t>
      </w:r>
      <w:r>
        <w:rPr>
          <w:rFonts w:hint="eastAsia" w:ascii="宋体" w:hAnsi="宋体"/>
        </w:rPr>
        <w:t xml:space="preserve">  </w:t>
      </w:r>
      <w:r>
        <w:rPr>
          <w:rFonts w:ascii="宋体" w:hAnsi="宋体"/>
        </w:rPr>
        <w:t>免</w:t>
      </w:r>
    </w:p>
    <w:p w14:paraId="6ECA2251">
      <w:pPr>
        <w:ind w:firstLine="1470" w:firstLineChars="700"/>
        <w:rPr>
          <w:rFonts w:ascii="宋体" w:hAnsi="宋体"/>
        </w:rPr>
      </w:pPr>
      <w:r>
        <w:rPr>
          <w:rFonts w:hint="eastAsia" w:ascii="宋体" w:hAnsi="宋体"/>
        </w:rPr>
        <w:t>许志新</w:t>
      </w:r>
    </w:p>
    <w:p w14:paraId="434AF1EB">
      <w:pPr>
        <w:ind w:firstLine="1470" w:firstLineChars="700"/>
        <w:rPr>
          <w:rFonts w:ascii="宋体" w:hAnsi="宋体"/>
        </w:rPr>
      </w:pPr>
      <w:r>
        <w:rPr>
          <w:rFonts w:hint="eastAsia" w:ascii="宋体" w:hAnsi="宋体"/>
        </w:rPr>
        <w:t xml:space="preserve">颜  亮  </w:t>
      </w:r>
      <w:r>
        <w:rPr>
          <w:rFonts w:ascii="宋体" w:hAnsi="宋体"/>
        </w:rPr>
        <w:t>2010年1月</w:t>
      </w:r>
      <w:r>
        <w:rPr>
          <w:rFonts w:hint="eastAsia" w:ascii="宋体" w:hAnsi="宋体"/>
        </w:rPr>
        <w:t xml:space="preserve">  </w:t>
      </w:r>
      <w:r>
        <w:rPr>
          <w:rFonts w:ascii="宋体" w:hAnsi="宋体"/>
        </w:rPr>
        <w:t>免</w:t>
      </w:r>
    </w:p>
    <w:p w14:paraId="0750552F">
      <w:pPr>
        <w:ind w:firstLine="1470" w:firstLineChars="700"/>
        <w:rPr>
          <w:rFonts w:ascii="宋体" w:hAnsi="宋体"/>
        </w:rPr>
      </w:pPr>
      <w:r>
        <w:rPr>
          <w:rFonts w:hint="eastAsia" w:ascii="宋体" w:hAnsi="宋体"/>
        </w:rPr>
        <w:t>刘清生</w:t>
      </w:r>
    </w:p>
    <w:p w14:paraId="44450F0C">
      <w:pPr>
        <w:ind w:firstLine="1470" w:firstLineChars="700"/>
        <w:rPr>
          <w:rFonts w:ascii="宋体" w:hAnsi="宋体"/>
        </w:rPr>
      </w:pPr>
      <w:r>
        <w:rPr>
          <w:rFonts w:hint="eastAsia" w:ascii="宋体" w:hAnsi="宋体"/>
        </w:rPr>
        <w:t>王荣光</w:t>
      </w:r>
    </w:p>
    <w:p w14:paraId="6974D29C">
      <w:pPr>
        <w:ind w:firstLine="1470" w:firstLineChars="700"/>
        <w:rPr>
          <w:rFonts w:ascii="宋体" w:hAnsi="宋体"/>
        </w:rPr>
      </w:pPr>
      <w:r>
        <w:rPr>
          <w:rFonts w:hint="eastAsia" w:ascii="宋体" w:hAnsi="宋体"/>
        </w:rPr>
        <w:t>罗勇新</w:t>
      </w:r>
    </w:p>
    <w:p w14:paraId="32ED5439">
      <w:pPr>
        <w:ind w:firstLine="1470" w:firstLineChars="700"/>
        <w:rPr>
          <w:rFonts w:ascii="宋体" w:hAnsi="宋体"/>
        </w:rPr>
      </w:pPr>
      <w:r>
        <w:rPr>
          <w:rFonts w:hint="eastAsia" w:ascii="宋体" w:hAnsi="宋体"/>
        </w:rPr>
        <w:t>陈玉英</w:t>
      </w:r>
    </w:p>
    <w:p w14:paraId="0821C7F0">
      <w:pPr>
        <w:ind w:firstLine="1470" w:firstLineChars="700"/>
        <w:rPr>
          <w:rFonts w:ascii="宋体" w:hAnsi="宋体"/>
        </w:rPr>
      </w:pPr>
      <w:r>
        <w:rPr>
          <w:rFonts w:hint="eastAsia" w:ascii="宋体" w:hAnsi="宋体"/>
        </w:rPr>
        <w:t>刘宏伟</w:t>
      </w:r>
    </w:p>
    <w:p w14:paraId="1199F9BF">
      <w:pPr>
        <w:ind w:firstLine="1470" w:firstLineChars="700"/>
        <w:rPr>
          <w:rFonts w:ascii="宋体" w:hAnsi="宋体"/>
        </w:rPr>
      </w:pPr>
      <w:r>
        <w:rPr>
          <w:rFonts w:hint="eastAsia" w:ascii="宋体" w:hAnsi="宋体"/>
        </w:rPr>
        <w:t>黄德群</w:t>
      </w:r>
    </w:p>
    <w:p w14:paraId="0152CAFE">
      <w:pPr>
        <w:ind w:firstLine="1470" w:firstLineChars="700"/>
        <w:rPr>
          <w:rFonts w:ascii="宋体" w:hAnsi="宋体"/>
        </w:rPr>
      </w:pPr>
      <w:r>
        <w:rPr>
          <w:rFonts w:hint="eastAsia" w:ascii="宋体" w:hAnsi="宋体"/>
        </w:rPr>
        <w:t>丘德周</w:t>
      </w:r>
    </w:p>
    <w:p w14:paraId="760D82B6">
      <w:pPr>
        <w:ind w:firstLine="1470" w:firstLineChars="700"/>
        <w:rPr>
          <w:rFonts w:ascii="宋体" w:hAnsi="宋体"/>
        </w:rPr>
      </w:pPr>
      <w:r>
        <w:rPr>
          <w:rFonts w:hint="eastAsia" w:ascii="宋体" w:hAnsi="宋体"/>
        </w:rPr>
        <w:t xml:space="preserve">赖向阳  </w:t>
      </w:r>
      <w:r>
        <w:rPr>
          <w:rFonts w:ascii="宋体" w:hAnsi="宋体"/>
        </w:rPr>
        <w:t>2010年4月</w:t>
      </w:r>
      <w:r>
        <w:rPr>
          <w:rFonts w:hint="eastAsia" w:ascii="宋体" w:hAnsi="宋体"/>
        </w:rPr>
        <w:t xml:space="preserve">  </w:t>
      </w:r>
      <w:r>
        <w:rPr>
          <w:rFonts w:ascii="宋体" w:hAnsi="宋体"/>
        </w:rPr>
        <w:t>免</w:t>
      </w:r>
    </w:p>
    <w:p w14:paraId="706A2650">
      <w:pPr>
        <w:ind w:firstLine="1470" w:firstLineChars="700"/>
        <w:rPr>
          <w:rFonts w:ascii="宋体" w:hAnsi="宋体"/>
        </w:rPr>
      </w:pPr>
      <w:r>
        <w:rPr>
          <w:rFonts w:hint="eastAsia" w:ascii="宋体" w:hAnsi="宋体"/>
        </w:rPr>
        <w:t xml:space="preserve">刘悦明  </w:t>
      </w:r>
      <w:r>
        <w:rPr>
          <w:rFonts w:ascii="宋体" w:hAnsi="宋体"/>
        </w:rPr>
        <w:t>2010年4月</w:t>
      </w:r>
      <w:r>
        <w:rPr>
          <w:rFonts w:hint="eastAsia" w:ascii="宋体" w:hAnsi="宋体"/>
        </w:rPr>
        <w:t xml:space="preserve">  </w:t>
      </w:r>
      <w:r>
        <w:rPr>
          <w:rFonts w:ascii="宋体" w:hAnsi="宋体"/>
        </w:rPr>
        <w:t>任</w:t>
      </w:r>
    </w:p>
    <w:p w14:paraId="693F2B44">
      <w:pPr>
        <w:ind w:firstLine="1470" w:firstLineChars="700"/>
        <w:rPr>
          <w:rFonts w:ascii="宋体" w:hAnsi="宋体"/>
        </w:rPr>
      </w:pPr>
      <w:r>
        <w:rPr>
          <w:rFonts w:hint="eastAsia" w:ascii="宋体" w:hAnsi="宋体"/>
        </w:rPr>
        <w:t xml:space="preserve">单荣龙  </w:t>
      </w:r>
      <w:r>
        <w:rPr>
          <w:rFonts w:ascii="宋体" w:hAnsi="宋体"/>
        </w:rPr>
        <w:t>2010年9月</w:t>
      </w:r>
      <w:r>
        <w:rPr>
          <w:rFonts w:hint="eastAsia" w:ascii="宋体" w:hAnsi="宋体"/>
        </w:rPr>
        <w:t xml:space="preserve">  </w:t>
      </w:r>
      <w:r>
        <w:rPr>
          <w:rFonts w:ascii="宋体" w:hAnsi="宋体"/>
        </w:rPr>
        <w:t>免</w:t>
      </w:r>
    </w:p>
    <w:p w14:paraId="12A8648C">
      <w:pPr>
        <w:ind w:firstLine="1470" w:firstLineChars="700"/>
        <w:rPr>
          <w:rFonts w:ascii="宋体" w:hAnsi="宋体"/>
        </w:rPr>
      </w:pPr>
      <w:r>
        <w:rPr>
          <w:rFonts w:hint="eastAsia" w:ascii="宋体" w:hAnsi="宋体"/>
        </w:rPr>
        <w:t xml:space="preserve">毛利群  </w:t>
      </w:r>
      <w:r>
        <w:rPr>
          <w:rFonts w:ascii="宋体" w:hAnsi="宋体"/>
        </w:rPr>
        <w:t>2010年9月</w:t>
      </w:r>
      <w:r>
        <w:rPr>
          <w:rFonts w:hint="eastAsia" w:ascii="宋体" w:hAnsi="宋体"/>
        </w:rPr>
        <w:t xml:space="preserve">  </w:t>
      </w:r>
      <w:r>
        <w:rPr>
          <w:rFonts w:ascii="宋体" w:hAnsi="宋体"/>
        </w:rPr>
        <w:t>任</w:t>
      </w:r>
    </w:p>
    <w:p w14:paraId="151334E1">
      <w:pPr>
        <w:ind w:firstLine="420"/>
        <w:rPr>
          <w:rFonts w:ascii="宋体" w:hAnsi="宋体"/>
        </w:rPr>
      </w:pPr>
      <w:r>
        <w:rPr>
          <w:rFonts w:hint="eastAsia" w:ascii="宋体" w:hAnsi="宋体"/>
        </w:rPr>
        <w:t>委员（按姓氏笔画为序）：</w:t>
      </w:r>
    </w:p>
    <w:p w14:paraId="6456B57D">
      <w:pPr>
        <w:ind w:firstLine="420"/>
        <w:rPr>
          <w:rFonts w:hint="eastAsia" w:ascii="宋体" w:hAnsi="宋体"/>
        </w:rPr>
      </w:pPr>
      <w:r>
        <w:rPr>
          <w:rFonts w:hint="eastAsia" w:ascii="宋体" w:hAnsi="宋体"/>
        </w:rPr>
        <w:t>丁春晖  卜小燕  马细妹  王荣光  尹本良  卢德华  卢德政  叶凌峰  吕道宏  朱兆财  刘世冬</w:t>
      </w:r>
    </w:p>
    <w:p w14:paraId="7344EA20">
      <w:pPr>
        <w:ind w:firstLine="420"/>
        <w:rPr>
          <w:rFonts w:hint="eastAsia" w:ascii="宋体" w:hAnsi="宋体"/>
        </w:rPr>
      </w:pPr>
      <w:r>
        <w:rPr>
          <w:rFonts w:hint="eastAsia" w:ascii="宋体" w:hAnsi="宋体"/>
        </w:rPr>
        <w:t>刘光新  刘宏伟  许志新  李总路  杨会英（女）    肖芬先  肖梅山   肖裕忠  何  坚  何人平</w:t>
      </w:r>
    </w:p>
    <w:p w14:paraId="0B09C52A">
      <w:pPr>
        <w:ind w:firstLine="420"/>
        <w:rPr>
          <w:rFonts w:hint="eastAsia" w:ascii="宋体" w:hAnsi="宋体"/>
        </w:rPr>
      </w:pPr>
      <w:r>
        <w:rPr>
          <w:rFonts w:hint="eastAsia" w:ascii="宋体" w:hAnsi="宋体"/>
        </w:rPr>
        <w:t>何万飞  何光明  张小琴（女）    张达明  张宗财  陈仁麟  陈玉英（女）     陈尚妹  陈培兰</w:t>
      </w:r>
    </w:p>
    <w:p w14:paraId="519AF3B3">
      <w:pPr>
        <w:ind w:firstLine="420"/>
        <w:rPr>
          <w:rFonts w:ascii="宋体" w:hAnsi="宋体"/>
        </w:rPr>
      </w:pPr>
      <w:r>
        <w:rPr>
          <w:rFonts w:hint="eastAsia" w:ascii="宋体" w:hAnsi="宋体"/>
        </w:rPr>
        <w:t>林绍发  林楚欣（任至</w:t>
      </w:r>
      <w:r>
        <w:rPr>
          <w:rFonts w:ascii="宋体" w:hAnsi="宋体"/>
        </w:rPr>
        <w:t>2010.08</w:t>
      </w:r>
      <w:r>
        <w:rPr>
          <w:rFonts w:hint="eastAsia" w:ascii="宋体" w:hAnsi="宋体"/>
        </w:rPr>
        <w:t xml:space="preserve">）  </w:t>
      </w:r>
      <w:r>
        <w:rPr>
          <w:rFonts w:ascii="宋体" w:hAnsi="宋体"/>
        </w:rPr>
        <w:t>罗勇新</w:t>
      </w:r>
      <w:r>
        <w:rPr>
          <w:rFonts w:hint="eastAsia" w:ascii="宋体" w:hAnsi="宋体"/>
        </w:rPr>
        <w:t xml:space="preserve">  </w:t>
      </w:r>
      <w:r>
        <w:rPr>
          <w:rFonts w:ascii="宋体" w:hAnsi="宋体"/>
        </w:rPr>
        <w:t>周济辉</w:t>
      </w:r>
      <w:r>
        <w:rPr>
          <w:rFonts w:hint="eastAsia" w:ascii="宋体" w:hAnsi="宋体"/>
        </w:rPr>
        <w:t xml:space="preserve">  钟道海  衷玉华（女）     栾怀持   涂运发</w:t>
      </w:r>
    </w:p>
    <w:p w14:paraId="58E966E2">
      <w:pPr>
        <w:ind w:firstLine="420"/>
        <w:rPr>
          <w:rFonts w:ascii="宋体" w:hAnsi="宋体"/>
        </w:rPr>
      </w:pPr>
      <w:r>
        <w:rPr>
          <w:rFonts w:hint="eastAsia" w:ascii="宋体" w:hAnsi="宋体"/>
        </w:rPr>
        <w:t>黄  云  黄德群  董绳跃   曾子南</w:t>
      </w:r>
    </w:p>
    <w:p w14:paraId="7C77EDE7">
      <w:pPr>
        <w:ind w:firstLine="420"/>
        <w:rPr>
          <w:rFonts w:ascii="宋体" w:hAnsi="宋体"/>
        </w:rPr>
      </w:pPr>
      <w:r>
        <w:rPr>
          <w:rFonts w:hint="eastAsia" w:ascii="宋体" w:hAnsi="宋体"/>
        </w:rPr>
        <w:t>赖向阳（任至</w:t>
      </w:r>
      <w:r>
        <w:rPr>
          <w:rFonts w:ascii="宋体" w:hAnsi="宋体"/>
        </w:rPr>
        <w:t>2010.04</w:t>
      </w:r>
      <w:r>
        <w:rPr>
          <w:rFonts w:hint="eastAsia" w:ascii="宋体" w:hAnsi="宋体"/>
        </w:rPr>
        <w:t>）</w:t>
      </w:r>
    </w:p>
    <w:p w14:paraId="0015E62A">
      <w:pPr>
        <w:ind w:firstLine="420"/>
        <w:rPr>
          <w:rFonts w:ascii="宋体" w:hAnsi="宋体"/>
        </w:rPr>
      </w:pPr>
      <w:r>
        <w:rPr>
          <w:rFonts w:hint="eastAsia" w:ascii="宋体" w:hAnsi="宋体"/>
        </w:rPr>
        <w:t>颜  亮（任至</w:t>
      </w:r>
      <w:r>
        <w:rPr>
          <w:rFonts w:ascii="宋体" w:hAnsi="宋体"/>
        </w:rPr>
        <w:t>2010.01</w:t>
      </w:r>
      <w:r>
        <w:rPr>
          <w:rFonts w:hint="eastAsia" w:ascii="宋体" w:hAnsi="宋体"/>
        </w:rPr>
        <w:t>）</w:t>
      </w:r>
    </w:p>
    <w:p w14:paraId="25F4FFDA">
      <w:pPr>
        <w:pStyle w:val="3"/>
      </w:pPr>
      <w:r>
        <w:rPr>
          <w:rFonts w:hint="eastAsia"/>
        </w:rPr>
        <w:t>重要会议（全委会、常委会）</w:t>
      </w:r>
    </w:p>
    <w:p w14:paraId="0D4EA2BA">
      <w:pPr>
        <w:pStyle w:val="4"/>
      </w:pPr>
      <w:r>
        <w:rPr>
          <w:rFonts w:hint="eastAsia"/>
        </w:rPr>
        <w:t>【十届二次全委会】</w:t>
      </w:r>
    </w:p>
    <w:p w14:paraId="1642EC81">
      <w:pPr>
        <w:ind w:firstLine="420"/>
        <w:rPr>
          <w:rFonts w:ascii="宋体" w:hAnsi="宋体"/>
        </w:rPr>
      </w:pPr>
      <w:r>
        <w:rPr>
          <w:rFonts w:ascii="宋体" w:hAnsi="宋体"/>
        </w:rPr>
        <w:t>2004年1月10日，召</w:t>
      </w:r>
      <w:r>
        <w:rPr>
          <w:rFonts w:hint="eastAsia" w:ascii="宋体" w:hAnsi="宋体"/>
        </w:rPr>
        <w:t>开中共南雄市委十届二次全体（扩大）会议，传达贯彻党的十六届三中全会、中央经济工作会议、省委九届四次全会和韶关市委八届十次全会精神，总结</w:t>
      </w:r>
      <w:r>
        <w:rPr>
          <w:rFonts w:ascii="宋体" w:hAnsi="宋体"/>
        </w:rPr>
        <w:t>2003年工作，部署2004</w:t>
      </w:r>
      <w:r>
        <w:rPr>
          <w:rFonts w:hint="eastAsia" w:ascii="宋体" w:hAnsi="宋体"/>
        </w:rPr>
        <w:t>年任务。</w:t>
      </w:r>
    </w:p>
    <w:p w14:paraId="1B2BDC8E">
      <w:pPr>
        <w:pStyle w:val="4"/>
      </w:pPr>
      <w:r>
        <w:rPr>
          <w:rFonts w:hint="eastAsia"/>
        </w:rPr>
        <w:t>【十届三次全委会】</w:t>
      </w:r>
    </w:p>
    <w:p w14:paraId="2CEA0EAB">
      <w:pPr>
        <w:ind w:firstLine="420"/>
        <w:rPr>
          <w:rFonts w:ascii="宋体" w:hAnsi="宋体"/>
        </w:rPr>
      </w:pPr>
      <w:r>
        <w:rPr>
          <w:rFonts w:ascii="宋体" w:hAnsi="宋体"/>
        </w:rPr>
        <w:t>2004年10月25日，召</w:t>
      </w:r>
      <w:r>
        <w:rPr>
          <w:rFonts w:hint="eastAsia" w:ascii="宋体" w:hAnsi="宋体"/>
        </w:rPr>
        <w:t>开中共南雄市委十届三次全体（扩大）会议。市委书记林楚欣代表市委常委会作《贯彻中央十六届四次全会精神，着力加强党的执政能力建设》工作报告，研究和部署全市加强党的执政能力建设工作。</w:t>
      </w:r>
    </w:p>
    <w:p w14:paraId="5ECAC357">
      <w:pPr>
        <w:pStyle w:val="4"/>
      </w:pPr>
      <w:r>
        <w:rPr>
          <w:rFonts w:hint="eastAsia"/>
        </w:rPr>
        <w:t>【十届四次全委会】</w:t>
      </w:r>
    </w:p>
    <w:p w14:paraId="5EFC1095">
      <w:pPr>
        <w:ind w:firstLine="420"/>
        <w:rPr>
          <w:rFonts w:ascii="宋体" w:hAnsi="宋体"/>
        </w:rPr>
      </w:pPr>
      <w:r>
        <w:rPr>
          <w:rFonts w:ascii="宋体" w:hAnsi="宋体"/>
        </w:rPr>
        <w:t>2004年12月30日，召</w:t>
      </w:r>
      <w:r>
        <w:rPr>
          <w:rFonts w:hint="eastAsia" w:ascii="宋体" w:hAnsi="宋体"/>
        </w:rPr>
        <w:t>开中共南雄市委十届四次全体会议。市委书记林楚欣代表市委常委会作民《保持先进性，发展新南雄》的工作报告，总结全市</w:t>
      </w:r>
      <w:r>
        <w:rPr>
          <w:rFonts w:ascii="宋体" w:hAnsi="宋体"/>
        </w:rPr>
        <w:t>2004年</w:t>
      </w:r>
      <w:r>
        <w:rPr>
          <w:rFonts w:hint="eastAsia" w:ascii="宋体" w:hAnsi="宋体"/>
        </w:rPr>
        <w:t>工作，部署</w:t>
      </w:r>
      <w:r>
        <w:rPr>
          <w:rFonts w:ascii="宋体" w:hAnsi="宋体"/>
        </w:rPr>
        <w:t>2005年任务。</w:t>
      </w:r>
    </w:p>
    <w:p w14:paraId="4CB1DC25">
      <w:pPr>
        <w:pStyle w:val="4"/>
      </w:pPr>
      <w:r>
        <w:rPr>
          <w:rFonts w:hint="eastAsia"/>
        </w:rPr>
        <w:t>【十届五次全委会】</w:t>
      </w:r>
    </w:p>
    <w:p w14:paraId="21AA68D0">
      <w:pPr>
        <w:ind w:firstLine="420"/>
        <w:rPr>
          <w:rFonts w:ascii="宋体" w:hAnsi="宋体"/>
        </w:rPr>
      </w:pPr>
      <w:r>
        <w:rPr>
          <w:rFonts w:ascii="宋体" w:hAnsi="宋体"/>
        </w:rPr>
        <w:t>2005年12月8日，召</w:t>
      </w:r>
      <w:r>
        <w:rPr>
          <w:rFonts w:hint="eastAsia" w:ascii="宋体" w:hAnsi="宋体"/>
        </w:rPr>
        <w:t>开中共南雄市委十届五次全体会议。会议的主题是：学习贯彻党的十六届五中全会、省委九届七次全会和韶关市委九届四次全会精神，回顾总结全市“十五”期间的工作，以科学发展观统领经济社会发展全局，审议《中共南雄市委关于制定全市国民经济和社会发展第十一个五年规划的建议》，进一步动员全市广大党员干部和人民群众解放思想，抓住千年机遇，精心组织规划，开拓进取，团结奋斗，扎实工作，实现跨越式发展，跟上韶关发展步伐，开创全市经济社会发展新局面。</w:t>
      </w:r>
    </w:p>
    <w:p w14:paraId="534059B2">
      <w:pPr>
        <w:pStyle w:val="4"/>
      </w:pPr>
      <w:r>
        <w:rPr>
          <w:rFonts w:hint="eastAsia"/>
        </w:rPr>
        <w:t>【十届六次全委会】</w:t>
      </w:r>
    </w:p>
    <w:p w14:paraId="001B1303">
      <w:pPr>
        <w:ind w:firstLine="420"/>
        <w:rPr>
          <w:rFonts w:ascii="宋体" w:hAnsi="宋体"/>
        </w:rPr>
      </w:pPr>
      <w:r>
        <w:rPr>
          <w:rFonts w:ascii="宋体" w:hAnsi="宋体"/>
        </w:rPr>
        <w:t>2006年9月6日，召开</w:t>
      </w:r>
      <w:r>
        <w:rPr>
          <w:rFonts w:hint="eastAsia" w:ascii="宋体" w:hAnsi="宋体"/>
        </w:rPr>
        <w:t>中共南雄市委十届六次全体会议。会议通过《关于召开中共南雄市第十一次代表大会的决议》，定于</w:t>
      </w:r>
      <w:r>
        <w:rPr>
          <w:rFonts w:ascii="宋体" w:hAnsi="宋体"/>
        </w:rPr>
        <w:t>2006年11月在市区召开。</w:t>
      </w:r>
    </w:p>
    <w:p w14:paraId="4CCFED12">
      <w:pPr>
        <w:pStyle w:val="4"/>
      </w:pPr>
      <w:r>
        <w:rPr>
          <w:rFonts w:hint="eastAsia"/>
        </w:rPr>
        <w:t>【十届七次全委会】</w:t>
      </w:r>
    </w:p>
    <w:p w14:paraId="4DC785F7">
      <w:pPr>
        <w:ind w:firstLine="420"/>
        <w:rPr>
          <w:rFonts w:ascii="宋体" w:hAnsi="宋体"/>
        </w:rPr>
      </w:pPr>
      <w:r>
        <w:rPr>
          <w:rFonts w:ascii="宋体" w:hAnsi="宋体"/>
        </w:rPr>
        <w:t>2006年11月14日，召</w:t>
      </w:r>
      <w:r>
        <w:rPr>
          <w:rFonts w:hint="eastAsia" w:ascii="宋体" w:hAnsi="宋体"/>
        </w:rPr>
        <w:t>开中共南雄市委十届七次全体会议。会议主要议题是：学习党的十六届六中全会精神、省委九届九次全会和韶关市委九届六次全会精神，通过“两个报告”，推荐韶关市党代会代表，确定中国共产党南雄市第十一次代表大会时间，决定十一次党代会议程。</w:t>
      </w:r>
    </w:p>
    <w:p w14:paraId="06062E65">
      <w:pPr>
        <w:pStyle w:val="4"/>
      </w:pPr>
      <w:r>
        <w:rPr>
          <w:rFonts w:hint="eastAsia"/>
        </w:rPr>
        <w:t>【十一届三次全委会】</w:t>
      </w:r>
    </w:p>
    <w:p w14:paraId="7AB244E3">
      <w:pPr>
        <w:ind w:firstLine="420"/>
        <w:rPr>
          <w:rFonts w:ascii="宋体" w:hAnsi="宋体"/>
        </w:rPr>
      </w:pPr>
      <w:r>
        <w:rPr>
          <w:rFonts w:ascii="宋体" w:hAnsi="宋体"/>
        </w:rPr>
        <w:t>2007年6月8日，中</w:t>
      </w:r>
      <w:r>
        <w:rPr>
          <w:rFonts w:hint="eastAsia" w:ascii="宋体" w:hAnsi="宋体"/>
        </w:rPr>
        <w:t>共南雄市委召开十一届三次全会，林楚欣书记作题为《深入贯彻省第十次党代会精神，坚持发展工业不动摇，全力跟上韶关发展步伐》的讲话。会议提出要全力实施发展工业“绿灯工程”，推动南雄跨越发展。</w:t>
      </w:r>
    </w:p>
    <w:p w14:paraId="6BFB43AB">
      <w:pPr>
        <w:pStyle w:val="4"/>
      </w:pPr>
      <w:r>
        <w:rPr>
          <w:rFonts w:hint="eastAsia"/>
        </w:rPr>
        <w:t>【十一届八次全委会】</w:t>
      </w:r>
    </w:p>
    <w:p w14:paraId="7CB00895">
      <w:pPr>
        <w:ind w:firstLine="420"/>
        <w:rPr>
          <w:rFonts w:ascii="宋体" w:hAnsi="宋体"/>
        </w:rPr>
      </w:pPr>
      <w:r>
        <w:rPr>
          <w:rFonts w:ascii="宋体" w:hAnsi="宋体"/>
        </w:rPr>
        <w:t>1月11日，中共南雄</w:t>
      </w:r>
      <w:r>
        <w:rPr>
          <w:rFonts w:hint="eastAsia" w:ascii="宋体" w:hAnsi="宋体"/>
        </w:rPr>
        <w:t>市委十一届八次全会在市委常委会议室召开。市四套班子领导，市委委员、候补委员出席会议，各镇（街道）党委书记、镇长（主任），市直副科以上（含垂直管理）一把手参加会议，市委书记林楚欣代表市委常委会作工作报告。会议提出要调整优化经济结构，提升科学发展水平，全面加快富裕文明和谐安康粤北门户城市建设步伐。会议明确</w:t>
      </w:r>
      <w:r>
        <w:rPr>
          <w:rFonts w:ascii="宋体" w:hAnsi="宋体"/>
        </w:rPr>
        <w:t>2010</w:t>
      </w:r>
      <w:r>
        <w:rPr>
          <w:rFonts w:hint="eastAsia" w:ascii="宋体" w:hAnsi="宋体"/>
        </w:rPr>
        <w:t>年全市生产总值增长</w:t>
      </w:r>
      <w:r>
        <w:rPr>
          <w:rFonts w:ascii="宋体" w:hAnsi="宋体"/>
        </w:rPr>
        <w:t>15%以上，地方财政</w:t>
      </w:r>
      <w:r>
        <w:rPr>
          <w:rFonts w:hint="eastAsia" w:ascii="宋体" w:hAnsi="宋体"/>
        </w:rPr>
        <w:t>一般预算收入增长</w:t>
      </w:r>
      <w:r>
        <w:rPr>
          <w:rFonts w:ascii="宋体" w:hAnsi="宋体"/>
        </w:rPr>
        <w:t>15%以上的工作目标。</w:t>
      </w:r>
    </w:p>
    <w:p w14:paraId="2476ED55">
      <w:pPr>
        <w:pStyle w:val="4"/>
      </w:pPr>
      <w:r>
        <w:rPr>
          <w:rFonts w:hint="eastAsia"/>
        </w:rPr>
        <w:t>【十一届九次全委会】</w:t>
      </w:r>
    </w:p>
    <w:p w14:paraId="098A1CE9">
      <w:pPr>
        <w:ind w:firstLine="420"/>
        <w:rPr>
          <w:rFonts w:ascii="宋体" w:hAnsi="宋体"/>
        </w:rPr>
      </w:pPr>
      <w:r>
        <w:rPr>
          <w:rFonts w:ascii="宋体" w:hAnsi="宋体"/>
        </w:rPr>
        <w:t>11月19日，中共南</w:t>
      </w:r>
      <w:r>
        <w:rPr>
          <w:rFonts w:hint="eastAsia" w:ascii="宋体" w:hAnsi="宋体"/>
        </w:rPr>
        <w:t>雄市委十一届九次全会在市委常委会议室召开。会议审议通过《南雄市关于贯彻落实〈广东省建设文化强省规划纲要（</w:t>
      </w:r>
      <w:r>
        <w:rPr>
          <w:rFonts w:ascii="宋体" w:hAnsi="宋体"/>
        </w:rPr>
        <w:t>2011</w:t>
      </w:r>
      <w:r>
        <w:rPr>
          <w:rFonts w:hint="eastAsia" w:ascii="宋体" w:hAnsi="宋体"/>
        </w:rPr>
        <w:t>-</w:t>
      </w:r>
      <w:r>
        <w:rPr>
          <w:rFonts w:ascii="宋体" w:hAnsi="宋体"/>
        </w:rPr>
        <w:t>2020）的实施意见〉》和《关于制定南雄市国</w:t>
      </w:r>
      <w:r>
        <w:rPr>
          <w:rFonts w:hint="eastAsia" w:ascii="宋体" w:hAnsi="宋体"/>
        </w:rPr>
        <w:t>民经济和社会发展第十二个五年规划的建议》。市四套班子领导参加会议。</w:t>
      </w:r>
    </w:p>
    <w:p w14:paraId="175850A2">
      <w:pPr>
        <w:pStyle w:val="4"/>
      </w:pPr>
      <w:r>
        <w:rPr>
          <w:rFonts w:hint="eastAsia"/>
        </w:rPr>
        <w:t>【中共南雄市第十一届委员会常委会议】</w:t>
      </w:r>
    </w:p>
    <w:p w14:paraId="15C3A766">
      <w:pPr>
        <w:ind w:firstLine="420"/>
        <w:rPr>
          <w:rFonts w:ascii="宋体" w:hAnsi="宋体"/>
        </w:rPr>
      </w:pPr>
      <w:r>
        <w:rPr>
          <w:rFonts w:ascii="宋体" w:hAnsi="宋体"/>
        </w:rPr>
        <w:t>3</w:t>
      </w:r>
      <w:r>
        <w:rPr>
          <w:rFonts w:hint="eastAsia" w:ascii="宋体" w:hAnsi="宋体"/>
        </w:rPr>
        <w:t>月</w:t>
      </w:r>
      <w:r>
        <w:rPr>
          <w:rFonts w:ascii="宋体" w:hAnsi="宋体"/>
        </w:rPr>
        <w:t>15日上午，市委书记、市人大常委会主任</w:t>
      </w:r>
      <w:r>
        <w:rPr>
          <w:rFonts w:hint="eastAsia" w:ascii="宋体" w:hAnsi="宋体"/>
        </w:rPr>
        <w:t>林楚欣在市迎宾馆</w:t>
      </w:r>
      <w:r>
        <w:rPr>
          <w:rFonts w:ascii="宋体" w:hAnsi="宋体"/>
        </w:rPr>
        <w:t>2号会议室主持召开</w:t>
      </w:r>
      <w:r>
        <w:rPr>
          <w:rFonts w:hint="eastAsia" w:ascii="宋体" w:hAnsi="宋体"/>
          <w:lang w:eastAsia="zh-CN"/>
        </w:rPr>
        <w:t>市委常委会会议</w:t>
      </w:r>
      <w:r>
        <w:rPr>
          <w:rFonts w:hint="eastAsia" w:ascii="宋体" w:hAnsi="宋体"/>
        </w:rPr>
        <w:t>。会议内容主要是讨论县（市、区）级党政后备干部人选、信访维稳、社会治安综合治理、深化作风建设提升执行力等问题。</w:t>
      </w:r>
    </w:p>
    <w:p w14:paraId="2E52BE6D">
      <w:pPr>
        <w:ind w:firstLine="420"/>
        <w:rPr>
          <w:rFonts w:ascii="宋体" w:hAnsi="宋体"/>
        </w:rPr>
      </w:pPr>
      <w:r>
        <w:rPr>
          <w:rFonts w:ascii="宋体" w:hAnsi="宋体"/>
        </w:rPr>
        <w:t>4月29日下午，市委书记、市人大常委</w:t>
      </w:r>
      <w:r>
        <w:rPr>
          <w:rFonts w:hint="eastAsia" w:ascii="宋体" w:hAnsi="宋体"/>
        </w:rPr>
        <w:t>会主任林楚欣在市委常委会议室主持召开</w:t>
      </w:r>
      <w:r>
        <w:rPr>
          <w:rFonts w:hint="eastAsia" w:ascii="宋体" w:hAnsi="宋体"/>
          <w:lang w:eastAsia="zh-CN"/>
        </w:rPr>
        <w:t>市委常委会会议</w:t>
      </w:r>
      <w:r>
        <w:rPr>
          <w:rFonts w:hint="eastAsia" w:ascii="宋体" w:hAnsi="宋体"/>
        </w:rPr>
        <w:t>。会议主要讨论研究集体林权制度改革工作、</w:t>
      </w:r>
      <w:r>
        <w:rPr>
          <w:rFonts w:ascii="宋体" w:hAnsi="宋体"/>
        </w:rPr>
        <w:t>10个专责小组工作任务目标责</w:t>
      </w:r>
      <w:r>
        <w:rPr>
          <w:rFonts w:hint="eastAsia" w:ascii="宋体" w:hAnsi="宋体"/>
        </w:rPr>
        <w:t>任分解及奖惩办法（草案）、市综治信访维稳中心大楼建设、</w:t>
      </w:r>
      <w:r>
        <w:rPr>
          <w:rFonts w:ascii="宋体" w:hAnsi="宋体"/>
        </w:rPr>
        <w:t>2009年机关事业单位工作人</w:t>
      </w:r>
      <w:r>
        <w:rPr>
          <w:rFonts w:hint="eastAsia" w:ascii="宋体" w:hAnsi="宋体"/>
        </w:rPr>
        <w:t>员年度考核、干部人事任免等有关事项。</w:t>
      </w:r>
    </w:p>
    <w:p w14:paraId="71FABE76">
      <w:pPr>
        <w:ind w:firstLine="420"/>
        <w:rPr>
          <w:rFonts w:ascii="宋体" w:hAnsi="宋体"/>
        </w:rPr>
      </w:pPr>
      <w:r>
        <w:rPr>
          <w:rFonts w:ascii="宋体" w:hAnsi="宋体"/>
        </w:rPr>
        <w:t>5月21号下午，市委书记、市人大常委</w:t>
      </w:r>
      <w:r>
        <w:rPr>
          <w:rFonts w:hint="eastAsia" w:ascii="宋体" w:hAnsi="宋体"/>
        </w:rPr>
        <w:t>会主任林楚欣在市迎宾馆</w:t>
      </w:r>
      <w:r>
        <w:rPr>
          <w:rFonts w:ascii="宋体" w:hAnsi="宋体"/>
        </w:rPr>
        <w:t>2号会议室主持召</w:t>
      </w:r>
      <w:r>
        <w:rPr>
          <w:rFonts w:hint="eastAsia" w:ascii="宋体" w:hAnsi="宋体"/>
        </w:rPr>
        <w:t>开市委常委会议。会议讨论中央苏区县庆祝活动方案、修复南雄革命旧址、市委权力公开透明运行试点工作、组建城市建设投资公司等有关事项。</w:t>
      </w:r>
    </w:p>
    <w:p w14:paraId="6650FB33">
      <w:pPr>
        <w:ind w:firstLine="420"/>
        <w:rPr>
          <w:rFonts w:ascii="宋体" w:hAnsi="宋体"/>
        </w:rPr>
      </w:pPr>
      <w:r>
        <w:rPr>
          <w:rFonts w:ascii="宋体" w:hAnsi="宋体"/>
        </w:rPr>
        <w:t>6月7号上午，市委书记、市人大常委会</w:t>
      </w:r>
      <w:r>
        <w:rPr>
          <w:rFonts w:hint="eastAsia" w:ascii="宋体" w:hAnsi="宋体"/>
        </w:rPr>
        <w:t>主任林楚欣在市迎宾馆</w:t>
      </w:r>
      <w:r>
        <w:rPr>
          <w:rFonts w:ascii="宋体" w:hAnsi="宋体"/>
        </w:rPr>
        <w:t>2号会议室主持召开</w:t>
      </w:r>
      <w:r>
        <w:rPr>
          <w:rFonts w:hint="eastAsia" w:ascii="宋体" w:hAnsi="宋体"/>
          <w:lang w:eastAsia="zh-CN"/>
        </w:rPr>
        <w:t>市委常委会会议</w:t>
      </w:r>
      <w:r>
        <w:rPr>
          <w:rFonts w:hint="eastAsia" w:ascii="宋体" w:hAnsi="宋体"/>
        </w:rPr>
        <w:t>。专题研究市委权力公开透明运行“阳光工程”工作。</w:t>
      </w:r>
    </w:p>
    <w:p w14:paraId="6C95B3AB">
      <w:pPr>
        <w:ind w:firstLine="420"/>
        <w:rPr>
          <w:rFonts w:ascii="宋体" w:hAnsi="宋体"/>
        </w:rPr>
      </w:pPr>
      <w:r>
        <w:rPr>
          <w:rFonts w:ascii="宋体" w:hAnsi="宋体"/>
        </w:rPr>
        <w:t>11月17日下午，市委书记许志新在市委</w:t>
      </w:r>
      <w:r>
        <w:rPr>
          <w:rFonts w:hint="eastAsia" w:ascii="宋体" w:hAnsi="宋体"/>
        </w:rPr>
        <w:t>常委会议室主持召开</w:t>
      </w:r>
      <w:r>
        <w:rPr>
          <w:rFonts w:hint="eastAsia" w:ascii="宋体" w:hAnsi="宋体"/>
          <w:lang w:eastAsia="zh-CN"/>
        </w:rPr>
        <w:t>市委常委会会议</w:t>
      </w:r>
      <w:r>
        <w:rPr>
          <w:rFonts w:hint="eastAsia" w:ascii="宋体" w:hAnsi="宋体"/>
        </w:rPr>
        <w:t>。学习贯彻中央十七届五次全会精神，讨论召开市委十一届九次全会事项，讨论“十二五”规划纲要（草案），讨论通过政府机构改革人事安排等。</w:t>
      </w:r>
    </w:p>
    <w:p w14:paraId="78758ECB">
      <w:pPr>
        <w:ind w:firstLine="420"/>
        <w:rPr>
          <w:rFonts w:ascii="宋体" w:hAnsi="宋体"/>
        </w:rPr>
      </w:pPr>
      <w:r>
        <w:rPr>
          <w:rFonts w:ascii="宋体" w:hAnsi="宋体"/>
        </w:rPr>
        <w:t>12月10日上午，市委书记许志新在市委</w:t>
      </w:r>
      <w:r>
        <w:rPr>
          <w:rFonts w:hint="eastAsia" w:ascii="宋体" w:hAnsi="宋体"/>
        </w:rPr>
        <w:t>常委会议室主持召开了</w:t>
      </w:r>
      <w:r>
        <w:rPr>
          <w:rFonts w:hint="eastAsia" w:ascii="宋体" w:hAnsi="宋体"/>
          <w:lang w:eastAsia="zh-CN"/>
        </w:rPr>
        <w:t>市委常委会会议</w:t>
      </w:r>
      <w:r>
        <w:rPr>
          <w:rFonts w:hint="eastAsia" w:ascii="宋体" w:hAnsi="宋体"/>
        </w:rPr>
        <w:t>。讨论南雄市市委副书记人选事项，并部署当前工作。</w:t>
      </w:r>
    </w:p>
    <w:p w14:paraId="005097B5">
      <w:pPr>
        <w:pStyle w:val="3"/>
      </w:pPr>
      <w:r>
        <w:rPr>
          <w:rFonts w:hint="eastAsia"/>
        </w:rPr>
        <w:t>重大决策及重要活动</w:t>
      </w:r>
    </w:p>
    <w:p w14:paraId="0B0D2BFA">
      <w:pPr>
        <w:pStyle w:val="4"/>
      </w:pPr>
      <w:r>
        <w:rPr>
          <w:rFonts w:hint="eastAsia"/>
        </w:rPr>
        <w:t>【建设生态文明“万村绿”工程】</w:t>
      </w:r>
    </w:p>
    <w:p w14:paraId="176F8472">
      <w:pPr>
        <w:ind w:firstLine="420"/>
        <w:rPr>
          <w:rFonts w:ascii="宋体" w:hAnsi="宋体"/>
        </w:rPr>
      </w:pPr>
      <w:r>
        <w:rPr>
          <w:rFonts w:ascii="宋体" w:hAnsi="宋体"/>
        </w:rPr>
        <w:t>1月13</w:t>
      </w:r>
      <w:r>
        <w:rPr>
          <w:rFonts w:hint="eastAsia" w:ascii="宋体" w:hAnsi="宋体"/>
        </w:rPr>
        <w:t>日，市委印发《南雄市建设生态文明“万村绿”工程实施方案的通知》。《通知》提出，从</w:t>
      </w:r>
      <w:r>
        <w:rPr>
          <w:rFonts w:ascii="宋体" w:hAnsi="宋体"/>
        </w:rPr>
        <w:t>2010年至2013年，每年在全市建成37个</w:t>
      </w:r>
      <w:r>
        <w:rPr>
          <w:rFonts w:hint="eastAsia" w:ascii="宋体" w:hAnsi="宋体"/>
        </w:rPr>
        <w:t>以上“万村绿”工程示范村、示范组或示范点，</w:t>
      </w:r>
      <w:r>
        <w:rPr>
          <w:rFonts w:ascii="宋体" w:hAnsi="宋体"/>
        </w:rPr>
        <w:t>4年建成100个以上</w:t>
      </w:r>
      <w:r>
        <w:rPr>
          <w:rFonts w:hint="eastAsia" w:ascii="宋体" w:hAnsi="宋体"/>
        </w:rPr>
        <w:t>“</w:t>
      </w:r>
      <w:r>
        <w:rPr>
          <w:rFonts w:ascii="宋体" w:hAnsi="宋体"/>
        </w:rPr>
        <w:t>林业生态文明村</w:t>
      </w:r>
      <w:r>
        <w:rPr>
          <w:rFonts w:hint="eastAsia" w:ascii="宋体" w:hAnsi="宋体"/>
        </w:rPr>
        <w:t>”</w:t>
      </w:r>
      <w:r>
        <w:rPr>
          <w:rFonts w:ascii="宋体" w:hAnsi="宋体"/>
        </w:rPr>
        <w:t>。</w:t>
      </w:r>
    </w:p>
    <w:p w14:paraId="0C913551">
      <w:pPr>
        <w:pStyle w:val="4"/>
      </w:pPr>
      <w:r>
        <w:rPr>
          <w:rFonts w:hint="eastAsia"/>
        </w:rPr>
        <w:t>【召开粤北地区（韶关市）现场会】</w:t>
      </w:r>
    </w:p>
    <w:p w14:paraId="14E5A095">
      <w:pPr>
        <w:ind w:firstLine="420"/>
        <w:rPr>
          <w:rFonts w:ascii="宋体" w:hAnsi="宋体"/>
        </w:rPr>
      </w:pPr>
      <w:r>
        <w:rPr>
          <w:rFonts w:ascii="宋体" w:hAnsi="宋体"/>
        </w:rPr>
        <w:t>1月14</w:t>
      </w:r>
      <w:r>
        <w:rPr>
          <w:rFonts w:hint="eastAsia" w:ascii="宋体" w:hAnsi="宋体"/>
        </w:rPr>
        <w:t>日，省委、省政府召开省粤北地区（韶关市）现场会。汪洋、黄华华、黄龙云、徐少华、王宁生、雷于蓝、王珣章省领导以及粤北地区各市市委书记、市长，省直有关部门主要负责同志，在南雄市市委书记林楚欣、市长许志新陪同下到南雄精细化工基地参观考察。</w:t>
      </w:r>
    </w:p>
    <w:p w14:paraId="3DE5E3EF">
      <w:pPr>
        <w:pStyle w:val="4"/>
      </w:pPr>
      <w:r>
        <w:rPr>
          <w:rFonts w:hint="eastAsia"/>
        </w:rPr>
        <w:t>【召开南雄市确认为中央苏区县新闻发布会】</w:t>
      </w:r>
    </w:p>
    <w:p w14:paraId="474649C1">
      <w:pPr>
        <w:ind w:firstLine="420"/>
        <w:rPr>
          <w:rFonts w:ascii="宋体" w:hAnsi="宋体"/>
        </w:rPr>
      </w:pPr>
      <w:r>
        <w:rPr>
          <w:rFonts w:ascii="宋体" w:hAnsi="宋体"/>
        </w:rPr>
        <w:t>6月13日，南雄市在广州举行南雄市确认</w:t>
      </w:r>
      <w:r>
        <w:rPr>
          <w:rFonts w:hint="eastAsia" w:ascii="宋体" w:hAnsi="宋体"/>
        </w:rPr>
        <w:t>为中央苏区县新闻发布会。中央党史研究室第一研究部副主任李蓉、省政府办公厅副主任姚恒尹等，以及张建勋、曾广星、蓝红、江青粦、佀志广、汤维英、肖耀堂等省老领导，韶关市委副秘书长梁锋，林楚欣、许志新、何万飞等部分市四套班子领导出席发布会。</w:t>
      </w:r>
    </w:p>
    <w:p w14:paraId="4C11DE4A">
      <w:pPr>
        <w:pStyle w:val="4"/>
      </w:pPr>
      <w:r>
        <w:rPr>
          <w:rFonts w:hint="eastAsia"/>
        </w:rPr>
        <w:t>【举行确认为中央苏区县庆祝大会】</w:t>
      </w:r>
    </w:p>
    <w:p w14:paraId="600809D4">
      <w:pPr>
        <w:ind w:firstLine="420"/>
        <w:rPr>
          <w:rFonts w:ascii="宋体" w:hAnsi="宋体"/>
        </w:rPr>
      </w:pPr>
      <w:r>
        <w:rPr>
          <w:rFonts w:ascii="宋体" w:hAnsi="宋体"/>
        </w:rPr>
        <w:t>6月29</w:t>
      </w:r>
      <w:r>
        <w:rPr>
          <w:rFonts w:hint="eastAsia" w:ascii="宋体" w:hAnsi="宋体"/>
        </w:rPr>
        <w:t>日，南雄市隆重举行确认为中央苏区县庆祝大会。省委常委、秘书长徐少华、中央党史研究室宣教局副巡视员邢济萍，韶关市委常委、副市长张志才和南雄市市委书记林楚欣共同为“中央苏区县”揭牌。中央党史研究室宣教局副巡视员邢济萍，省党史研究室副主任叶文益，省老促会副会长肖有根、顾问张建勋，韶关市委常委、副市长张志才、江西省党史研究室调研员李主彬、省仲恺农业工程学院党委书记高志青等领导以及南雄市四套班子领导等</w:t>
      </w:r>
      <w:r>
        <w:rPr>
          <w:rFonts w:ascii="宋体" w:hAnsi="宋体"/>
        </w:rPr>
        <w:t>1000多人参加庆祝大会。</w:t>
      </w:r>
    </w:p>
    <w:p w14:paraId="33A8C30A">
      <w:pPr>
        <w:pStyle w:val="4"/>
      </w:pPr>
      <w:r>
        <w:rPr>
          <w:rFonts w:hint="eastAsia"/>
        </w:rPr>
        <w:t>【市委权力公开透明运行“阳光工程”】</w:t>
      </w:r>
    </w:p>
    <w:p w14:paraId="1A5E7FB5">
      <w:pPr>
        <w:ind w:firstLine="420"/>
        <w:rPr>
          <w:rFonts w:ascii="宋体" w:hAnsi="宋体"/>
        </w:rPr>
      </w:pPr>
      <w:r>
        <w:rPr>
          <w:rFonts w:ascii="宋体" w:hAnsi="宋体"/>
        </w:rPr>
        <w:t>7</w:t>
      </w:r>
      <w:r>
        <w:rPr>
          <w:rFonts w:hint="eastAsia" w:ascii="宋体" w:hAnsi="宋体"/>
        </w:rPr>
        <w:t>月</w:t>
      </w:r>
      <w:r>
        <w:rPr>
          <w:rFonts w:ascii="宋体" w:hAnsi="宋体"/>
        </w:rPr>
        <w:t>15日，市委印发《市委权力公开透明运行</w:t>
      </w:r>
      <w:r>
        <w:rPr>
          <w:rFonts w:hint="eastAsia" w:ascii="宋体" w:hAnsi="宋体"/>
        </w:rPr>
        <w:t>“阳光工程”工作意见》。《意见》明确规定，凡是关系全市长远发展或群众切身利益的重大决策，事先要充分征求意见，让社会各阶层群众积极参与，将重大事项决策置于群众的监督之下，达到规范决策流程、公开决策过程和结果的目的。明确了市委决策事项公开的内容为</w:t>
      </w:r>
      <w:r>
        <w:rPr>
          <w:rFonts w:ascii="宋体" w:hAnsi="宋体"/>
        </w:rPr>
        <w:t>23项，各镇、各单位党委（党</w:t>
      </w:r>
      <w:r>
        <w:rPr>
          <w:rFonts w:hint="eastAsia" w:ascii="宋体" w:hAnsi="宋体"/>
        </w:rPr>
        <w:t>组）的内容为</w:t>
      </w:r>
      <w:r>
        <w:rPr>
          <w:rFonts w:ascii="宋体" w:hAnsi="宋体"/>
        </w:rPr>
        <w:t>17项，村（社区）的内容为12</w:t>
      </w:r>
      <w:r>
        <w:rPr>
          <w:rFonts w:hint="eastAsia" w:ascii="宋体" w:hAnsi="宋体"/>
        </w:rPr>
        <w:t>项。</w:t>
      </w:r>
    </w:p>
    <w:p w14:paraId="691EA9C3">
      <w:pPr>
        <w:pStyle w:val="4"/>
      </w:pPr>
      <w:r>
        <w:rPr>
          <w:rFonts w:hint="eastAsia"/>
        </w:rPr>
        <w:t>【开展农村党员“双向承诺”活动】</w:t>
      </w:r>
    </w:p>
    <w:p w14:paraId="09C74469">
      <w:pPr>
        <w:ind w:firstLine="420"/>
        <w:rPr>
          <w:rFonts w:ascii="宋体" w:hAnsi="宋体"/>
        </w:rPr>
      </w:pPr>
      <w:r>
        <w:rPr>
          <w:rFonts w:ascii="宋体" w:hAnsi="宋体"/>
        </w:rPr>
        <w:t>8月9</w:t>
      </w:r>
      <w:r>
        <w:rPr>
          <w:rFonts w:hint="eastAsia" w:ascii="宋体" w:hAnsi="宋体"/>
        </w:rPr>
        <w:t>日，市委印发《关于在农村党员中开展“双向承诺”活动的实施意见》。《意见》指出，在农村党员中开展“双向承诺”活动，目的是强化农村党员的责任意识，激发基层党组织和党员在推动科学发展、促进社会和谐、服务人民群众、加强基层组织的实践中作出贡献，为推进南雄跨越发展提供政治和组织保证。推行“双向承诺”活动主要分为五个环节，即：双向许诺、双向定诺、公开示诺、合力践诺、机制护诺，每年承诺</w:t>
      </w:r>
      <w:r>
        <w:rPr>
          <w:rFonts w:ascii="宋体" w:hAnsi="宋体"/>
        </w:rPr>
        <w:t>1次。</w:t>
      </w:r>
    </w:p>
    <w:p w14:paraId="6DE47794">
      <w:pPr>
        <w:pStyle w:val="4"/>
      </w:pPr>
      <w:r>
        <w:rPr>
          <w:rFonts w:hint="eastAsia"/>
        </w:rPr>
        <w:t>【深化医药卫生体制改革】</w:t>
      </w:r>
    </w:p>
    <w:p w14:paraId="17E052BC">
      <w:pPr>
        <w:ind w:firstLine="420"/>
        <w:rPr>
          <w:rFonts w:ascii="宋体" w:hAnsi="宋体"/>
        </w:rPr>
      </w:pPr>
      <w:r>
        <w:rPr>
          <w:rFonts w:ascii="宋体" w:hAnsi="宋体"/>
        </w:rPr>
        <w:t>8月18日，市委</w:t>
      </w:r>
      <w:r>
        <w:rPr>
          <w:rFonts w:hint="eastAsia" w:ascii="宋体" w:hAnsi="宋体"/>
        </w:rPr>
        <w:t>印发《关于深化医药卫生体制改革的实施意见》。《意见》指出，要着眼于实现人人享有基本医疗卫生服务的目标，完善基本医疗保障制度建设，切实缓解“看病难、看病贵”问题。进一步健全城乡基础医疗卫生服务体系，增强公共卫生服务能力。加强医药品价格监管，建立和完善基本医药制度，为群众提供安全、有效、方便、价廉的医疗卫生服务。公立医院改革试点要取得突破。逐步建立覆盖城乡居民的基本医疗卫生制度，建立起比较完善的公共卫生服务体系和医疗服务体系，比较健全的医疗保障体系，比较规范的药品供应保障体系，比较科学的医疗卫生管理体制和运行机制，形成多元办医格局。</w:t>
      </w:r>
    </w:p>
    <w:p w14:paraId="3BB67F4F">
      <w:pPr>
        <w:pStyle w:val="4"/>
      </w:pPr>
      <w:r>
        <w:rPr>
          <w:rFonts w:hint="eastAsia"/>
        </w:rPr>
        <w:t>【提出全市国民经济和社会发展第十二个五年规划建议】</w:t>
      </w:r>
    </w:p>
    <w:p w14:paraId="05FD8994">
      <w:pPr>
        <w:ind w:firstLine="420"/>
        <w:rPr>
          <w:rFonts w:ascii="宋体" w:hAnsi="宋体"/>
        </w:rPr>
      </w:pPr>
      <w:r>
        <w:rPr>
          <w:rFonts w:ascii="宋体" w:hAnsi="宋体"/>
        </w:rPr>
        <w:t>11月19日，中共南雄市委十</w:t>
      </w:r>
      <w:r>
        <w:rPr>
          <w:rFonts w:hint="eastAsia" w:ascii="宋体" w:hAnsi="宋体"/>
        </w:rPr>
        <w:t>一届九次全会通过《关于制定南雄市国民经济和社会发展第十二个五年规划的建议》。《建议》提出“一个目标五大战略”的发展思路，并明确“十二五”的奋斗目标：力争到</w:t>
      </w:r>
      <w:r>
        <w:rPr>
          <w:rFonts w:ascii="宋体" w:hAnsi="宋体"/>
        </w:rPr>
        <w:t>2013</w:t>
      </w:r>
      <w:r>
        <w:rPr>
          <w:rFonts w:hint="eastAsia" w:ascii="宋体" w:hAnsi="宋体"/>
        </w:rPr>
        <w:t>年，全市生产总值、财税收入比</w:t>
      </w:r>
      <w:r>
        <w:rPr>
          <w:rFonts w:ascii="宋体" w:hAnsi="宋体"/>
        </w:rPr>
        <w:t>2009年翻一</w:t>
      </w:r>
      <w:r>
        <w:rPr>
          <w:rFonts w:hint="eastAsia" w:ascii="宋体" w:hAnsi="宋体"/>
        </w:rPr>
        <w:t>番。到</w:t>
      </w:r>
      <w:r>
        <w:rPr>
          <w:rFonts w:ascii="宋体" w:hAnsi="宋体"/>
        </w:rPr>
        <w:t>2015年，全市生产总值超过110亿元，</w:t>
      </w:r>
      <w:r>
        <w:rPr>
          <w:rFonts w:hint="eastAsia" w:ascii="宋体" w:hAnsi="宋体"/>
        </w:rPr>
        <w:t>年均增长</w:t>
      </w:r>
      <w:r>
        <w:rPr>
          <w:rFonts w:ascii="宋体" w:hAnsi="宋体"/>
        </w:rPr>
        <w:t>16%以上；人均生产总值达到30000</w:t>
      </w:r>
      <w:r>
        <w:rPr>
          <w:rFonts w:hint="eastAsia" w:ascii="宋体" w:hAnsi="宋体"/>
        </w:rPr>
        <w:t>元左右，年均增长速度为</w:t>
      </w:r>
      <w:r>
        <w:rPr>
          <w:rFonts w:ascii="宋体" w:hAnsi="宋体"/>
        </w:rPr>
        <w:t>16%左右，人均生</w:t>
      </w:r>
      <w:r>
        <w:rPr>
          <w:rFonts w:hint="eastAsia" w:ascii="宋体" w:hAnsi="宋体"/>
        </w:rPr>
        <w:t>产总值增速与全韶关市人均生产总值增速基本同步；地方财政一般预算收入达到</w:t>
      </w:r>
      <w:r>
        <w:rPr>
          <w:rFonts w:ascii="宋体" w:hAnsi="宋体"/>
        </w:rPr>
        <w:t>6.5亿</w:t>
      </w:r>
      <w:r>
        <w:rPr>
          <w:rFonts w:hint="eastAsia" w:ascii="宋体" w:hAnsi="宋体"/>
        </w:rPr>
        <w:t>元左右，年均增长</w:t>
      </w:r>
      <w:r>
        <w:rPr>
          <w:rFonts w:ascii="宋体" w:hAnsi="宋体"/>
        </w:rPr>
        <w:t>18%左右</w:t>
      </w:r>
      <w:r>
        <w:rPr>
          <w:rFonts w:hint="eastAsia" w:ascii="宋体" w:hAnsi="宋体"/>
        </w:rPr>
        <w:t>。</w:t>
      </w:r>
    </w:p>
    <w:p w14:paraId="74D5F0CF">
      <w:pPr>
        <w:pStyle w:val="4"/>
      </w:pPr>
      <w:r>
        <w:rPr>
          <w:rFonts w:hint="eastAsia"/>
        </w:rPr>
        <w:t>【实施文化精品工程】</w:t>
      </w:r>
    </w:p>
    <w:p w14:paraId="1419C4D7">
      <w:pPr>
        <w:ind w:firstLine="420"/>
        <w:rPr>
          <w:rFonts w:ascii="宋体" w:hAnsi="宋体"/>
        </w:rPr>
      </w:pPr>
      <w:r>
        <w:rPr>
          <w:rFonts w:ascii="宋体" w:hAnsi="宋体"/>
        </w:rPr>
        <w:t>11月22日，市委印</w:t>
      </w:r>
      <w:r>
        <w:rPr>
          <w:rFonts w:hint="eastAsia" w:ascii="宋体" w:hAnsi="宋体"/>
        </w:rPr>
        <w:t>发《关于贯彻落实</w:t>
      </w:r>
      <w:r>
        <w:rPr>
          <w:rFonts w:ascii="宋体" w:hAnsi="宋体"/>
        </w:rPr>
        <w:t>&lt;广东省建设文化强省规</w:t>
      </w:r>
      <w:r>
        <w:rPr>
          <w:rFonts w:hint="eastAsia" w:ascii="宋体" w:hAnsi="宋体"/>
        </w:rPr>
        <w:t>划纲要（</w:t>
      </w:r>
      <w:r>
        <w:rPr>
          <w:rFonts w:ascii="宋体" w:hAnsi="宋体"/>
        </w:rPr>
        <w:t>2011-2020）&gt;的实施意见》。《意</w:t>
      </w:r>
      <w:r>
        <w:rPr>
          <w:rFonts w:hint="eastAsia" w:ascii="宋体" w:hAnsi="宋体"/>
        </w:rPr>
        <w:t>见》提出“六个打造”实施文化精品工程战略。即：打造珠玑文化精品、红色文化精品、古道文化精品、恐龙文化精品、民俗文化精品、生态文化精品。</w:t>
      </w:r>
    </w:p>
    <w:p w14:paraId="49B6A27D">
      <w:pPr>
        <w:pStyle w:val="3"/>
      </w:pPr>
      <w:r>
        <w:rPr>
          <w:rFonts w:hint="eastAsia"/>
        </w:rPr>
        <w:t>南雄市委办公室</w:t>
      </w:r>
    </w:p>
    <w:p w14:paraId="4D1ACA16">
      <w:pPr>
        <w:pStyle w:val="4"/>
      </w:pPr>
      <w:r>
        <w:rPr>
          <w:rFonts w:hint="eastAsia"/>
        </w:rPr>
        <w:t>【概况】</w:t>
      </w:r>
    </w:p>
    <w:p w14:paraId="0352D466">
      <w:pPr>
        <w:ind w:firstLine="420"/>
        <w:rPr>
          <w:rFonts w:ascii="宋体" w:hAnsi="宋体"/>
        </w:rPr>
      </w:pPr>
      <w:r>
        <w:rPr>
          <w:rFonts w:ascii="宋体" w:hAnsi="宋体"/>
        </w:rPr>
        <w:t>2010年，市委办公室按照</w:t>
      </w:r>
      <w:r>
        <w:rPr>
          <w:rFonts w:hint="eastAsia" w:ascii="宋体" w:hAnsi="宋体"/>
        </w:rPr>
        <w:t>“</w:t>
      </w:r>
      <w:r>
        <w:rPr>
          <w:rFonts w:ascii="宋体" w:hAnsi="宋体"/>
        </w:rPr>
        <w:t>当高</w:t>
      </w:r>
      <w:r>
        <w:rPr>
          <w:rFonts w:hint="eastAsia" w:ascii="宋体" w:hAnsi="宋体"/>
        </w:rPr>
        <w:t>参、出精品、创一流”的要求，开拓进取，扎实肯干，圆满地完成各项工作任务，较好地发挥了参谋助手的职能作用。</w:t>
      </w:r>
    </w:p>
    <w:p w14:paraId="068EBE14">
      <w:pPr>
        <w:pStyle w:val="4"/>
      </w:pPr>
      <w:r>
        <w:rPr>
          <w:rFonts w:hint="eastAsia"/>
        </w:rPr>
        <w:t>【参加政治业务学习】</w:t>
      </w:r>
    </w:p>
    <w:p w14:paraId="4353C04F">
      <w:pPr>
        <w:ind w:firstLine="420"/>
        <w:rPr>
          <w:rFonts w:ascii="宋体" w:hAnsi="宋体"/>
        </w:rPr>
      </w:pPr>
      <w:r>
        <w:rPr>
          <w:rFonts w:hint="eastAsia" w:ascii="宋体" w:hAnsi="宋体"/>
        </w:rPr>
        <w:t>市委办公室把学习放在做好各项工作的首要位置，把学习作为提高干部队伍素质、搞好服务的重要前提，采取有效措施，长抓不懈。坚持每个月组织全办干部集体学习中央、省、市文件精神和公文写作、信息收集、调查研究等技能，不断提高干部队伍的能力水平和自身素质。</w:t>
      </w:r>
    </w:p>
    <w:p w14:paraId="7B174754">
      <w:pPr>
        <w:pStyle w:val="4"/>
      </w:pPr>
      <w:r>
        <w:rPr>
          <w:rFonts w:hint="eastAsia"/>
        </w:rPr>
        <w:t>【搞好调查研究】</w:t>
      </w:r>
    </w:p>
    <w:p w14:paraId="038F54DA">
      <w:pPr>
        <w:ind w:firstLine="420"/>
        <w:rPr>
          <w:rFonts w:ascii="宋体" w:hAnsi="宋体"/>
        </w:rPr>
      </w:pPr>
      <w:r>
        <w:rPr>
          <w:rFonts w:hint="eastAsia" w:ascii="宋体" w:hAnsi="宋体"/>
        </w:rPr>
        <w:t>坚持以提高决策服务水平为目标，围绕市委中心工作和领导关心的热点、难点问题，积极开展调查研究。在充分掌握情况的前提下，有针对性地提出解决问题的建议和对策，为市委决策提供服务。一年来，先后对市委十一届八次和九次全会、加快重点项目建设、发展民营企业、提升干部队伍执行力等课题进行专题调研，并在此基础上，起草了相关调查报告及相关文件，为市委、市政府领导科学决策提供参考依据。参与精细化工产业园区申报省级产业转移园、中央苏区县申报、省委机关旧址瑶坑修复利用等工作，为推进建设粤北门户城市、推动南雄经济跨越式发展发挥重要作用。</w:t>
      </w:r>
    </w:p>
    <w:p w14:paraId="2F198D47">
      <w:pPr>
        <w:pStyle w:val="4"/>
      </w:pPr>
      <w:r>
        <w:rPr>
          <w:rFonts w:hint="eastAsia"/>
        </w:rPr>
        <w:t>【开展督查督办】</w:t>
      </w:r>
    </w:p>
    <w:p w14:paraId="51F8BF13">
      <w:pPr>
        <w:ind w:firstLine="420"/>
        <w:rPr>
          <w:rFonts w:ascii="宋体" w:hAnsi="宋体"/>
        </w:rPr>
      </w:pPr>
      <w:r>
        <w:rPr>
          <w:rFonts w:hint="eastAsia" w:ascii="宋体" w:hAnsi="宋体"/>
        </w:rPr>
        <w:t>围绕市委重大决策、全市重点项目建设情况开展重点督查，及时下发督查通报，表扬先进、鞭策后进，推动市委重大决策的及时贯彻落实，在全市形成拼抢赶超的良好局面。形成《情况专报》</w:t>
      </w:r>
      <w:r>
        <w:rPr>
          <w:rFonts w:ascii="宋体" w:hAnsi="宋体"/>
        </w:rPr>
        <w:t>4期，</w:t>
      </w:r>
      <w:r>
        <w:rPr>
          <w:rFonts w:hint="eastAsia" w:ascii="宋体" w:hAnsi="宋体"/>
        </w:rPr>
        <w:t>及时向市委、市政府及上级党委和领导反馈情况，并及时反映市委贯彻落实上级党委的各项重大部署和工作思路。向韶关市委、市政府写出情况汇报</w:t>
      </w:r>
      <w:r>
        <w:rPr>
          <w:rFonts w:ascii="宋体" w:hAnsi="宋体"/>
        </w:rPr>
        <w:t>20多篇，《督查专报》20</w:t>
      </w:r>
      <w:r>
        <w:rPr>
          <w:rFonts w:hint="eastAsia" w:ascii="宋体" w:hAnsi="宋体"/>
        </w:rPr>
        <w:t>期，被省选用</w:t>
      </w:r>
      <w:r>
        <w:rPr>
          <w:rFonts w:ascii="宋体" w:hAnsi="宋体"/>
        </w:rPr>
        <w:t>1篇，韶关《督</w:t>
      </w:r>
      <w:r>
        <w:rPr>
          <w:rFonts w:hint="eastAsia" w:ascii="宋体" w:hAnsi="宋体"/>
        </w:rPr>
        <w:t>查</w:t>
      </w:r>
      <w:r>
        <w:rPr>
          <w:rFonts w:ascii="宋体" w:hAnsi="宋体"/>
        </w:rPr>
        <w:t>情况》选用4</w:t>
      </w:r>
      <w:r>
        <w:rPr>
          <w:rFonts w:hint="eastAsia" w:ascii="宋体" w:hAnsi="宋体"/>
        </w:rPr>
        <w:t>篇，其中</w:t>
      </w:r>
      <w:r>
        <w:rPr>
          <w:rFonts w:ascii="宋体" w:hAnsi="宋体"/>
        </w:rPr>
        <w:t>1篇得到省领导批示，2篇得到韶关</w:t>
      </w:r>
      <w:r>
        <w:rPr>
          <w:rFonts w:hint="eastAsia" w:ascii="宋体" w:hAnsi="宋体"/>
        </w:rPr>
        <w:t>领导批示。</w:t>
      </w:r>
    </w:p>
    <w:p w14:paraId="2C3CCE9F">
      <w:pPr>
        <w:pStyle w:val="4"/>
      </w:pPr>
      <w:r>
        <w:rPr>
          <w:rFonts w:hint="eastAsia"/>
        </w:rPr>
        <w:t>【围绕市委中心推进新闻报道工作】</w:t>
      </w:r>
    </w:p>
    <w:p w14:paraId="007AE6CA">
      <w:pPr>
        <w:ind w:firstLine="420"/>
        <w:rPr>
          <w:rFonts w:ascii="宋体" w:hAnsi="宋体"/>
        </w:rPr>
      </w:pPr>
      <w:r>
        <w:rPr>
          <w:rFonts w:hint="eastAsia" w:ascii="宋体" w:hAnsi="宋体"/>
        </w:rPr>
        <w:t>在《韶关日报》用稿</w:t>
      </w:r>
      <w:r>
        <w:rPr>
          <w:rFonts w:ascii="宋体" w:hAnsi="宋体"/>
        </w:rPr>
        <w:t>1000多条，《南方日报》用稿</w:t>
      </w:r>
      <w:r>
        <w:rPr>
          <w:rFonts w:hint="eastAsia" w:ascii="宋体" w:hAnsi="宋体"/>
        </w:rPr>
        <w:t>超过</w:t>
      </w:r>
      <w:r>
        <w:rPr>
          <w:rFonts w:ascii="宋体" w:hAnsi="宋体"/>
        </w:rPr>
        <w:t>70条，是历年来在省报用稿最多的</w:t>
      </w:r>
      <w:r>
        <w:rPr>
          <w:rFonts w:hint="eastAsia" w:ascii="宋体" w:hAnsi="宋体"/>
        </w:rPr>
        <w:t>一年，省、市报刊用稿居韶关各县（市、区）前列。</w:t>
      </w:r>
    </w:p>
    <w:p w14:paraId="3175147D">
      <w:pPr>
        <w:pStyle w:val="4"/>
      </w:pPr>
      <w:r>
        <w:rPr>
          <w:rFonts w:hint="eastAsia"/>
        </w:rPr>
        <w:t>【文件会务接待工作】</w:t>
      </w:r>
    </w:p>
    <w:p w14:paraId="7C4586C5">
      <w:pPr>
        <w:ind w:firstLine="420"/>
        <w:rPr>
          <w:rFonts w:ascii="宋体" w:hAnsi="宋体"/>
        </w:rPr>
      </w:pPr>
      <w:r>
        <w:rPr>
          <w:rFonts w:hint="eastAsia" w:ascii="宋体" w:hAnsi="宋体"/>
        </w:rPr>
        <w:t>全年共发文</w:t>
      </w:r>
      <w:r>
        <w:rPr>
          <w:rFonts w:ascii="宋体" w:hAnsi="宋体"/>
        </w:rPr>
        <w:t>140份，</w:t>
      </w:r>
      <w:r>
        <w:rPr>
          <w:rFonts w:hint="eastAsia" w:ascii="宋体" w:hAnsi="宋体"/>
        </w:rPr>
        <w:t>发电文</w:t>
      </w:r>
      <w:r>
        <w:rPr>
          <w:rFonts w:ascii="宋体" w:hAnsi="宋体"/>
        </w:rPr>
        <w:t>176份，处理来文、信函、报刊杂志2</w:t>
      </w:r>
      <w:r>
        <w:rPr>
          <w:rFonts w:hint="eastAsia" w:ascii="宋体" w:hAnsi="宋体"/>
        </w:rPr>
        <w:t>万多件，印发抄送常委会议纪要、党政联席会议纪要、简报、请示报告、重要事项安排、各种材料等文书</w:t>
      </w:r>
      <w:r>
        <w:rPr>
          <w:rFonts w:ascii="宋体" w:hAnsi="宋体"/>
        </w:rPr>
        <w:t>3万多份。承办市委十一届</w:t>
      </w:r>
      <w:r>
        <w:rPr>
          <w:rFonts w:hint="eastAsia" w:ascii="宋体" w:hAnsi="宋体"/>
        </w:rPr>
        <w:t>八次、九次全会，中央苏区县庆祝大会、省委旧址瑶坑修复竣工等重要会议、活动，先后接待中央、省、市领导及兄弟县市来雄视察、考察</w:t>
      </w:r>
      <w:r>
        <w:rPr>
          <w:rFonts w:ascii="宋体" w:hAnsi="宋体"/>
        </w:rPr>
        <w:t>40余次。编辑出版12期《南雄通</w:t>
      </w:r>
      <w:r>
        <w:rPr>
          <w:rFonts w:hint="eastAsia" w:ascii="宋体" w:hAnsi="宋体"/>
        </w:rPr>
        <w:t>讯》。</w:t>
      </w:r>
    </w:p>
    <w:p w14:paraId="2207CBCF">
      <w:pPr>
        <w:ind w:firstLine="422"/>
        <w:rPr>
          <w:rFonts w:ascii="宋体" w:hAnsi="宋体"/>
          <w:b/>
        </w:rPr>
      </w:pPr>
      <w:r>
        <w:rPr>
          <w:rFonts w:hint="eastAsia" w:ascii="宋体" w:hAnsi="宋体"/>
          <w:b/>
        </w:rPr>
        <w:t>附：</w:t>
      </w:r>
      <w:r>
        <w:rPr>
          <w:rFonts w:ascii="宋体" w:hAnsi="宋体"/>
          <w:b/>
        </w:rPr>
        <w:t>2010年市委办领导班子成员名单</w:t>
      </w:r>
    </w:p>
    <w:p w14:paraId="7946E778">
      <w:pPr>
        <w:ind w:firstLine="420"/>
        <w:rPr>
          <w:rFonts w:ascii="宋体" w:hAnsi="宋体"/>
        </w:rPr>
      </w:pPr>
      <w:r>
        <w:rPr>
          <w:rFonts w:hint="eastAsia" w:ascii="宋体" w:hAnsi="宋体"/>
        </w:rPr>
        <w:t>主任：陈玉英（兼）</w:t>
      </w:r>
    </w:p>
    <w:p w14:paraId="4DDF39B3">
      <w:pPr>
        <w:ind w:firstLine="420"/>
        <w:rPr>
          <w:rFonts w:ascii="宋体" w:hAnsi="宋体"/>
        </w:rPr>
      </w:pPr>
      <w:r>
        <w:rPr>
          <w:rFonts w:hint="eastAsia" w:ascii="宋体" w:hAnsi="宋体"/>
        </w:rPr>
        <w:t>副主任：朱定球  刘  飞  何少民  朱世平</w:t>
      </w:r>
    </w:p>
    <w:p w14:paraId="52FA37C6">
      <w:pPr>
        <w:ind w:firstLine="420"/>
        <w:rPr>
          <w:rFonts w:ascii="宋体" w:hAnsi="宋体"/>
        </w:rPr>
      </w:pPr>
      <w:r>
        <w:rPr>
          <w:rFonts w:hint="eastAsia" w:ascii="宋体" w:hAnsi="宋体"/>
        </w:rPr>
        <w:t>纪检组长：曾秀兰</w:t>
      </w:r>
    </w:p>
    <w:p w14:paraId="53F338F8">
      <w:pPr>
        <w:pStyle w:val="3"/>
      </w:pPr>
      <w:r>
        <w:rPr>
          <w:rFonts w:hint="eastAsia"/>
        </w:rPr>
        <w:t>组织工作</w:t>
      </w:r>
    </w:p>
    <w:p w14:paraId="4E6005E1">
      <w:pPr>
        <w:pStyle w:val="4"/>
      </w:pPr>
      <w:r>
        <w:rPr>
          <w:rFonts w:hint="eastAsia"/>
        </w:rPr>
        <w:t>【概况】</w:t>
      </w:r>
    </w:p>
    <w:p w14:paraId="0B61CEB5">
      <w:pPr>
        <w:ind w:firstLine="420"/>
        <w:rPr>
          <w:rFonts w:ascii="宋体" w:hAnsi="宋体"/>
        </w:rPr>
      </w:pPr>
      <w:r>
        <w:rPr>
          <w:rFonts w:hint="eastAsia" w:ascii="宋体" w:hAnsi="宋体"/>
        </w:rPr>
        <w:t>中共南雄市委组织部是负责党的组织特别是党的基层组织建设、干部队伍建设和人才队伍建设工作职能部门。内设办公室（含调研组）、组织组（含党员干部现代远程电化教育办）、干部组（含干部监督审理组）、培训知工组，行政编制</w:t>
      </w:r>
      <w:r>
        <w:rPr>
          <w:rFonts w:ascii="宋体" w:hAnsi="宋体"/>
        </w:rPr>
        <w:t>19名，后勤编制2名。</w:t>
      </w:r>
    </w:p>
    <w:p w14:paraId="0E89A1F2">
      <w:pPr>
        <w:pStyle w:val="4"/>
      </w:pPr>
      <w:r>
        <w:rPr>
          <w:rFonts w:hint="eastAsia"/>
        </w:rPr>
        <w:t>【基层党组织设置】</w:t>
      </w:r>
    </w:p>
    <w:p w14:paraId="61557A7B">
      <w:pPr>
        <w:ind w:firstLine="420"/>
        <w:rPr>
          <w:rFonts w:ascii="宋体" w:hAnsi="宋体"/>
        </w:rPr>
      </w:pPr>
      <w:r>
        <w:rPr>
          <w:rFonts w:ascii="宋体" w:hAnsi="宋体"/>
        </w:rPr>
        <w:t>2010年，全市有基层</w:t>
      </w:r>
      <w:r>
        <w:rPr>
          <w:rFonts w:hint="eastAsia" w:ascii="宋体" w:hAnsi="宋体"/>
        </w:rPr>
        <w:t>党组织</w:t>
      </w:r>
      <w:r>
        <w:rPr>
          <w:rFonts w:ascii="宋体" w:hAnsi="宋体"/>
        </w:rPr>
        <w:t>738个（其中党委23个、党总支41</w:t>
      </w:r>
      <w:r>
        <w:rPr>
          <w:rFonts w:hint="eastAsia" w:ascii="宋体" w:hAnsi="宋体"/>
        </w:rPr>
        <w:t>个、党支部</w:t>
      </w:r>
      <w:r>
        <w:rPr>
          <w:rFonts w:ascii="宋体" w:hAnsi="宋体"/>
        </w:rPr>
        <w:t>674个）。因机构改革，政府工作</w:t>
      </w:r>
      <w:r>
        <w:rPr>
          <w:rFonts w:hint="eastAsia" w:ascii="宋体" w:hAnsi="宋体"/>
        </w:rPr>
        <w:t>部门名称变更，原经济贸易局、科技信息局、建设局、交通局、水利局五个单位党组分别变更为经济和信息化局党组、科学技术局党组、住房和城乡规划建设局党组、交通运输局党组、水务局党组。原广东省南雄市食品药品监督管理局党组划归南雄管理，名称变更为南雄市食品药品监督管理局党组。市委党校党组织隶属关系由教育局党委划归市直工委管理。</w:t>
      </w:r>
    </w:p>
    <w:p w14:paraId="5A86E027">
      <w:pPr>
        <w:pStyle w:val="4"/>
      </w:pPr>
      <w:r>
        <w:rPr>
          <w:rFonts w:hint="eastAsia"/>
        </w:rPr>
        <w:t>【基层党组织建设】</w:t>
      </w:r>
    </w:p>
    <w:p w14:paraId="27473533">
      <w:pPr>
        <w:ind w:firstLine="420"/>
        <w:rPr>
          <w:rFonts w:ascii="宋体" w:hAnsi="宋体"/>
        </w:rPr>
      </w:pPr>
      <w:r>
        <w:rPr>
          <w:rFonts w:hint="eastAsia" w:ascii="宋体" w:hAnsi="宋体"/>
        </w:rPr>
        <w:t>统筹城乡基层党建。健全抓党建促发展长效机制，印发《南雄市基层党（工）委抓党建工作责任制的意见》和《南雄市机关党建工作目标管理责任制》，明确基层党（工）委书记抓党建工作的“主业”责任，</w:t>
      </w:r>
      <w:r>
        <w:rPr>
          <w:rFonts w:ascii="宋体" w:hAnsi="宋体"/>
        </w:rPr>
        <w:t>2010年12月，对全市25个基层党</w:t>
      </w:r>
      <w:r>
        <w:rPr>
          <w:rFonts w:hint="eastAsia" w:ascii="宋体" w:hAnsi="宋体"/>
        </w:rPr>
        <w:t>（工）委近年来的组织工作进行检查考核。</w:t>
      </w:r>
      <w:r>
        <w:rPr>
          <w:rFonts w:ascii="宋体" w:hAnsi="宋体"/>
        </w:rPr>
        <w:t>2010年，从市管党费中下拨基层党建工作经</w:t>
      </w:r>
      <w:r>
        <w:rPr>
          <w:rFonts w:hint="eastAsia" w:ascii="宋体" w:hAnsi="宋体"/>
        </w:rPr>
        <w:t>费</w:t>
      </w:r>
      <w:r>
        <w:rPr>
          <w:rFonts w:ascii="宋体" w:hAnsi="宋体"/>
        </w:rPr>
        <w:t>5.5万元，确保基层组织有钱办事。在农</w:t>
      </w:r>
      <w:r>
        <w:rPr>
          <w:rFonts w:hint="eastAsia" w:ascii="宋体" w:hAnsi="宋体"/>
        </w:rPr>
        <w:t>村党员中开展“向党组织承诺，向群众（党支部书记向党员）承诺”的双向承诺活动，加强镇村班子建设。发挥机关党建的资金、人才、设备等优势，开展机关融入基层、干部融入群众的统筹城乡党建活动，市直机关单位党支部与农村党支部“一对一”挂点帮扶，</w:t>
      </w:r>
      <w:r>
        <w:rPr>
          <w:rFonts w:ascii="宋体" w:hAnsi="宋体"/>
        </w:rPr>
        <w:t>2010年帮助村级发展集体经济项目93</w:t>
      </w:r>
      <w:r>
        <w:rPr>
          <w:rFonts w:hint="eastAsia" w:ascii="宋体" w:hAnsi="宋体"/>
        </w:rPr>
        <w:t>个；开展基层党的组织生活创新。推进基层党的组织生活内容、方式创新，提高组织生活的吸引力。黄坑镇、邓坊镇上湖村、珠玑纸业等</w:t>
      </w:r>
      <w:r>
        <w:rPr>
          <w:rFonts w:ascii="宋体" w:hAnsi="宋体"/>
        </w:rPr>
        <w:t>12个党组织列为韶关市基层党组织创</w:t>
      </w:r>
      <w:r>
        <w:rPr>
          <w:rFonts w:hint="eastAsia" w:ascii="宋体" w:hAnsi="宋体"/>
        </w:rPr>
        <w:t>新工作单位；抓好“两新”组织党建。对全市新经济组织和新社会组织（简称“两新”组织）基本情况进行摸底，建立档案。</w:t>
      </w:r>
      <w:r>
        <w:rPr>
          <w:rFonts w:ascii="宋体" w:hAnsi="宋体"/>
        </w:rPr>
        <w:t>2010</w:t>
      </w:r>
      <w:r>
        <w:rPr>
          <w:rFonts w:hint="eastAsia" w:ascii="宋体" w:hAnsi="宋体"/>
        </w:rPr>
        <w:t>年</w:t>
      </w:r>
      <w:r>
        <w:rPr>
          <w:rFonts w:ascii="宋体" w:hAnsi="宋体"/>
        </w:rPr>
        <w:t>10月成立</w:t>
      </w:r>
      <w:r>
        <w:rPr>
          <w:rFonts w:hint="eastAsia" w:ascii="宋体" w:hAnsi="宋体"/>
        </w:rPr>
        <w:t>“</w:t>
      </w:r>
      <w:r>
        <w:rPr>
          <w:rFonts w:ascii="宋体" w:hAnsi="宋体"/>
        </w:rPr>
        <w:t>嘉盛有限公司党支部</w:t>
      </w:r>
      <w:r>
        <w:rPr>
          <w:rFonts w:hint="eastAsia" w:ascii="宋体" w:hAnsi="宋体"/>
        </w:rPr>
        <w:t>”</w:t>
      </w:r>
      <w:r>
        <w:rPr>
          <w:rFonts w:ascii="宋体" w:hAnsi="宋体"/>
        </w:rPr>
        <w:t>；党内</w:t>
      </w:r>
      <w:r>
        <w:rPr>
          <w:rFonts w:hint="eastAsia" w:ascii="宋体" w:hAnsi="宋体"/>
        </w:rPr>
        <w:t>关爱工作。元旦、春节期间，发出《致全市农村党员的慰问信》、《致全市老党员的慰问信》。加强老党员、生活困难党员的帮扶，</w:t>
      </w:r>
      <w:r>
        <w:rPr>
          <w:rFonts w:ascii="宋体" w:hAnsi="宋体"/>
        </w:rPr>
        <w:t>2010年发放困难党员一次性扶助金39人次、10.8万元，报批困难老党员享受生活补贴11</w:t>
      </w:r>
      <w:r>
        <w:rPr>
          <w:rFonts w:hint="eastAsia" w:ascii="宋体" w:hAnsi="宋体"/>
        </w:rPr>
        <w:t>人；党员发展工作。严把党员“入口关”，实行预备党员集中考试制度，注重在优秀青年和妇女中发展党员，消除党员发展“空白点”，</w:t>
      </w:r>
      <w:r>
        <w:rPr>
          <w:rFonts w:ascii="宋体" w:hAnsi="宋体"/>
        </w:rPr>
        <w:t>2010年发展党员504名；招聘大学生到</w:t>
      </w:r>
      <w:r>
        <w:rPr>
          <w:rFonts w:hint="eastAsia" w:ascii="宋体" w:hAnsi="宋体"/>
        </w:rPr>
        <w:t>村、社区任职试点。经笔试、面试、体检和考察，</w:t>
      </w:r>
      <w:r>
        <w:rPr>
          <w:rFonts w:ascii="宋体" w:hAnsi="宋体"/>
        </w:rPr>
        <w:t>2010年3月，招聘14名大学生分配到</w:t>
      </w:r>
      <w:r>
        <w:rPr>
          <w:rFonts w:hint="eastAsia" w:ascii="宋体" w:hAnsi="宋体"/>
        </w:rPr>
        <w:t>全安镇村、社区任职。出台《南雄市大学生村官管理办法（试行）》。</w:t>
      </w:r>
    </w:p>
    <w:p w14:paraId="1E7017B7">
      <w:pPr>
        <w:pStyle w:val="4"/>
      </w:pPr>
      <w:r>
        <w:rPr>
          <w:rFonts w:hint="eastAsia"/>
        </w:rPr>
        <w:t>【党员教育管理】</w:t>
      </w:r>
    </w:p>
    <w:p w14:paraId="44BA79DB">
      <w:pPr>
        <w:ind w:firstLine="420"/>
        <w:rPr>
          <w:rFonts w:ascii="宋体" w:hAnsi="宋体"/>
        </w:rPr>
      </w:pPr>
      <w:r>
        <w:rPr>
          <w:rFonts w:hint="eastAsia" w:ascii="宋体" w:hAnsi="宋体"/>
        </w:rPr>
        <w:t>开展各类学习教育活动，一是深入学习实践科学发展观活动。学习实践活动分两批进行，分别从</w:t>
      </w:r>
      <w:r>
        <w:rPr>
          <w:rFonts w:ascii="宋体" w:hAnsi="宋体"/>
        </w:rPr>
        <w:t>2009年3月、9</w:t>
      </w:r>
      <w:r>
        <w:rPr>
          <w:rFonts w:hint="eastAsia" w:ascii="宋体" w:hAnsi="宋体"/>
        </w:rPr>
        <w:t>月全面铺开，至</w:t>
      </w:r>
      <w:r>
        <w:rPr>
          <w:rFonts w:ascii="宋体" w:hAnsi="宋体"/>
        </w:rPr>
        <w:t>2010年2月底结束，462个</w:t>
      </w:r>
      <w:r>
        <w:rPr>
          <w:rFonts w:hint="eastAsia" w:ascii="宋体" w:hAnsi="宋体"/>
        </w:rPr>
        <w:t>单位、</w:t>
      </w:r>
      <w:r>
        <w:rPr>
          <w:rFonts w:ascii="宋体" w:hAnsi="宋体"/>
        </w:rPr>
        <w:t>737个党组织、19217名党员参加了学</w:t>
      </w:r>
      <w:r>
        <w:rPr>
          <w:rFonts w:hint="eastAsia" w:ascii="宋体" w:hAnsi="宋体"/>
        </w:rPr>
        <w:t>习实践活动。二是创先争优活动。</w:t>
      </w:r>
      <w:r>
        <w:rPr>
          <w:rFonts w:ascii="宋体" w:hAnsi="宋体"/>
        </w:rPr>
        <w:t>2010年4</w:t>
      </w:r>
      <w:r>
        <w:rPr>
          <w:rFonts w:hint="eastAsia" w:ascii="宋体" w:hAnsi="宋体"/>
        </w:rPr>
        <w:t>月，启动深入开展“创建先进基层党组织、争做优秀共产党员”活动，根据不同类型党组织的工作性质和特点，突出特色亮点，探索活动载体，营造浓厚氛围。三是民主评议党员。要求各级党组织每年进行</w:t>
      </w:r>
      <w:r>
        <w:rPr>
          <w:rFonts w:ascii="宋体" w:hAnsi="宋体"/>
        </w:rPr>
        <w:t>1-2次民主</w:t>
      </w:r>
      <w:r>
        <w:rPr>
          <w:rFonts w:hint="eastAsia" w:ascii="宋体" w:hAnsi="宋体"/>
        </w:rPr>
        <w:t>评议党员工作。四是增强党员党性观念。</w:t>
      </w:r>
      <w:r>
        <w:rPr>
          <w:rFonts w:ascii="宋体" w:hAnsi="宋体"/>
        </w:rPr>
        <w:t>2010年4月、5月份，在支援西南地区抗旱</w:t>
      </w:r>
      <w:r>
        <w:rPr>
          <w:rFonts w:hint="eastAsia" w:ascii="宋体" w:hAnsi="宋体"/>
        </w:rPr>
        <w:t>救灾和青海玉树抗震救灾中，全市党员干部捐款</w:t>
      </w:r>
      <w:r>
        <w:rPr>
          <w:rFonts w:ascii="宋体" w:hAnsi="宋体"/>
        </w:rPr>
        <w:t>61万多元。党员互助金（主要用于困难</w:t>
      </w:r>
      <w:r>
        <w:rPr>
          <w:rFonts w:hint="eastAsia" w:ascii="宋体" w:hAnsi="宋体"/>
        </w:rPr>
        <w:t>老党员生活补贴和困难党员一次性扶助）捐款</w:t>
      </w:r>
      <w:r>
        <w:rPr>
          <w:rFonts w:ascii="宋体" w:hAnsi="宋体"/>
        </w:rPr>
        <w:t>130多万元。五是培育党员教育基地。2010</w:t>
      </w:r>
      <w:r>
        <w:rPr>
          <w:rFonts w:hint="eastAsia" w:ascii="宋体" w:hAnsi="宋体"/>
        </w:rPr>
        <w:t>年</w:t>
      </w:r>
      <w:r>
        <w:rPr>
          <w:rFonts w:ascii="宋体" w:hAnsi="宋体"/>
        </w:rPr>
        <w:t>7月，将瑶坑省委旧址列为全市党员教育</w:t>
      </w:r>
      <w:r>
        <w:rPr>
          <w:rFonts w:hint="eastAsia" w:ascii="宋体" w:hAnsi="宋体"/>
        </w:rPr>
        <w:t>基地，成为市党员干部解党史、学习革命传统、培养爱国情操的重要场所。六是加强流动党员教育管理。对全市</w:t>
      </w:r>
      <w:r>
        <w:rPr>
          <w:rFonts w:ascii="宋体" w:hAnsi="宋体"/>
        </w:rPr>
        <w:t>700多名流动党员</w:t>
      </w:r>
      <w:r>
        <w:rPr>
          <w:rFonts w:hint="eastAsia" w:ascii="宋体" w:hAnsi="宋体"/>
        </w:rPr>
        <w:t>建立档案，设立热线电话，发送学习短信，并在远程教育网开辟“流动党员社区”栏目。七是加强党员干部远程教育。在远程教育网新开通专题栏目</w:t>
      </w:r>
      <w:r>
        <w:rPr>
          <w:rFonts w:ascii="宋体" w:hAnsi="宋体"/>
        </w:rPr>
        <w:t>3个、新增设主栏目12个，</w:t>
      </w:r>
      <w:r>
        <w:rPr>
          <w:rFonts w:hint="eastAsia" w:ascii="宋体" w:hAnsi="宋体"/>
        </w:rPr>
        <w:t>摄制《青春在精细化工园闪光》、《南雄苏区县》、《五黑鸡饲养技术》等</w:t>
      </w:r>
      <w:r>
        <w:rPr>
          <w:rFonts w:ascii="宋体" w:hAnsi="宋体"/>
        </w:rPr>
        <w:t>8件视频教学课</w:t>
      </w:r>
      <w:r>
        <w:rPr>
          <w:rFonts w:hint="eastAsia" w:ascii="宋体" w:hAnsi="宋体"/>
        </w:rPr>
        <w:t>件，其中有</w:t>
      </w:r>
      <w:r>
        <w:rPr>
          <w:rFonts w:ascii="宋体" w:hAnsi="宋体"/>
        </w:rPr>
        <w:t>3件选送到省和韶关市党建网络</w:t>
      </w:r>
      <w:r>
        <w:rPr>
          <w:rFonts w:hint="eastAsia" w:ascii="宋体" w:hAnsi="宋体"/>
        </w:rPr>
        <w:t>电视平台播放。</w:t>
      </w:r>
    </w:p>
    <w:p w14:paraId="6312BF99">
      <w:pPr>
        <w:pStyle w:val="4"/>
      </w:pPr>
      <w:r>
        <w:rPr>
          <w:rFonts w:hint="eastAsia"/>
        </w:rPr>
        <w:t>【干部培训】</w:t>
      </w:r>
    </w:p>
    <w:p w14:paraId="34592B08">
      <w:pPr>
        <w:ind w:firstLine="420"/>
        <w:rPr>
          <w:rFonts w:ascii="宋体" w:hAnsi="宋体"/>
        </w:rPr>
      </w:pPr>
      <w:r>
        <w:rPr>
          <w:rFonts w:ascii="宋体" w:hAnsi="宋体"/>
        </w:rPr>
        <w:t>2010年，组织市党政领导和</w:t>
      </w:r>
      <w:r>
        <w:rPr>
          <w:rFonts w:hint="eastAsia" w:ascii="宋体" w:hAnsi="宋体"/>
        </w:rPr>
        <w:t>镇、机关单位“一把手”</w:t>
      </w:r>
      <w:r>
        <w:rPr>
          <w:rFonts w:ascii="宋体" w:hAnsi="宋体"/>
        </w:rPr>
        <w:t>110人到华南理工</w:t>
      </w:r>
      <w:r>
        <w:rPr>
          <w:rFonts w:hint="eastAsia" w:ascii="宋体" w:hAnsi="宋体"/>
        </w:rPr>
        <w:t>大学参加为期</w:t>
      </w:r>
      <w:r>
        <w:rPr>
          <w:rFonts w:ascii="宋体" w:hAnsi="宋体"/>
        </w:rPr>
        <w:t>4天的专题学习培训，举办贫</w:t>
      </w:r>
      <w:r>
        <w:rPr>
          <w:rFonts w:hint="eastAsia" w:ascii="宋体" w:hAnsi="宋体"/>
        </w:rPr>
        <w:t>困村党支部书记培训、干部信息能力培训和农村创业青年培训各类培训</w:t>
      </w:r>
      <w:r>
        <w:rPr>
          <w:rFonts w:ascii="宋体" w:hAnsi="宋体"/>
        </w:rPr>
        <w:t>10期、9650</w:t>
      </w:r>
      <w:r>
        <w:rPr>
          <w:rFonts w:hint="eastAsia" w:ascii="宋体" w:hAnsi="宋体"/>
        </w:rPr>
        <w:t>人次。</w:t>
      </w:r>
    </w:p>
    <w:p w14:paraId="6BDE4706">
      <w:pPr>
        <w:pStyle w:val="4"/>
      </w:pPr>
      <w:r>
        <w:rPr>
          <w:rFonts w:hint="eastAsia"/>
        </w:rPr>
        <w:t>【人才工作】</w:t>
      </w:r>
    </w:p>
    <w:p w14:paraId="01BE4D32">
      <w:pPr>
        <w:ind w:firstLine="420"/>
        <w:rPr>
          <w:rFonts w:ascii="宋体" w:hAnsi="宋体"/>
        </w:rPr>
      </w:pPr>
      <w:r>
        <w:rPr>
          <w:rFonts w:hint="eastAsia" w:ascii="宋体" w:hAnsi="宋体"/>
        </w:rPr>
        <w:t>贯彻《南雄市人才工作实施办法》、《南雄市专业技术人才选拔管理办法》，建立“人才专项资金”，设立“拔尖人才”称号，鼓励人才创业、创新。对在岗一线高级职称人才每人每月发放</w:t>
      </w:r>
      <w:r>
        <w:rPr>
          <w:rFonts w:ascii="宋体" w:hAnsi="宋体"/>
        </w:rPr>
        <w:t>200元，拔尖人才由</w:t>
      </w:r>
      <w:r>
        <w:rPr>
          <w:rFonts w:hint="eastAsia" w:ascii="宋体" w:hAnsi="宋体"/>
        </w:rPr>
        <w:t>所在单位发给专业技术书杂费</w:t>
      </w:r>
      <w:r>
        <w:rPr>
          <w:rFonts w:ascii="宋体" w:hAnsi="宋体"/>
        </w:rPr>
        <w:t>1000元。组织</w:t>
      </w:r>
      <w:r>
        <w:rPr>
          <w:rFonts w:hint="eastAsia" w:ascii="宋体" w:hAnsi="宋体"/>
        </w:rPr>
        <w:t>教育、卫生、环保等单位和企业到外地引进人才</w:t>
      </w:r>
      <w:r>
        <w:rPr>
          <w:rFonts w:ascii="宋体" w:hAnsi="宋体"/>
        </w:rPr>
        <w:t>144名。</w:t>
      </w:r>
    </w:p>
    <w:p w14:paraId="58732329">
      <w:pPr>
        <w:pStyle w:val="4"/>
      </w:pPr>
      <w:r>
        <w:rPr>
          <w:rFonts w:hint="eastAsia"/>
        </w:rPr>
        <w:t>【干部监督】</w:t>
      </w:r>
    </w:p>
    <w:p w14:paraId="3B207D95">
      <w:pPr>
        <w:ind w:firstLine="420"/>
        <w:rPr>
          <w:rFonts w:ascii="宋体" w:hAnsi="宋体"/>
        </w:rPr>
      </w:pPr>
      <w:r>
        <w:rPr>
          <w:rFonts w:hint="eastAsia" w:ascii="宋体" w:hAnsi="宋体"/>
        </w:rPr>
        <w:t>一是树立正确用人导向。开展不让老实人吃亏学习讨论活动，出台《南雄市选拔任用老实人办法》，营造风清气正、干事创业用人环境。二是实行举报核查与质询评议结果反馈。接受社会对干部选拔任用工作的举报与质询，落实信访举报处理结果反馈、质询评议结果反馈和市委常委会向全委会专题报告年度干部选拔任用工作情况及新提拔党政正职、重要岗位副职民主评议情况的反馈。三是严肃选人用人纪律。出台《严肃组织干部人事纪律工作制度》，在干部推荐、考察、票决、选举中，对非组织活动予以查处。四是健全干部监督联席会议制度。召开纪检监察、检察、审计、信访、计生、公安等部门联席会议，形成干部监督合力。</w:t>
      </w:r>
    </w:p>
    <w:p w14:paraId="2A306CC0">
      <w:pPr>
        <w:pStyle w:val="4"/>
      </w:pPr>
      <w:r>
        <w:rPr>
          <w:rFonts w:hint="eastAsia"/>
        </w:rPr>
        <w:t>【干部人事制度改革】</w:t>
      </w:r>
    </w:p>
    <w:p w14:paraId="43A52399">
      <w:pPr>
        <w:ind w:firstLine="420"/>
        <w:rPr>
          <w:rFonts w:ascii="宋体" w:hAnsi="宋体"/>
        </w:rPr>
      </w:pPr>
      <w:r>
        <w:rPr>
          <w:rFonts w:hint="eastAsia" w:ascii="宋体" w:hAnsi="宋体"/>
        </w:rPr>
        <w:t>开展创建省“提高选人用人公信度示范县”活动，推进干部人事制度改革。首次实行职位空缺预告。根据各单位“三定”方案领导职数，对拟配备的</w:t>
      </w:r>
      <w:r>
        <w:rPr>
          <w:rFonts w:ascii="宋体" w:hAnsi="宋体"/>
        </w:rPr>
        <w:t>8</w:t>
      </w:r>
      <w:r>
        <w:rPr>
          <w:rFonts w:hint="eastAsia" w:ascii="宋体" w:hAnsi="宋体"/>
        </w:rPr>
        <w:t>个科级职位进行空缺预告。完善干部初始提名制度。出台《南雄市市管干部初始提名制度》，规定三种提名方式。特别是对产生乡镇（街道）、市直正科级单位党政正职初始人选，实行市委全委会投票产生初始人选。规范讨论决定程序，扩大选人用人决策民主化。实行市委常委会议讨论重要人事任免“阳光使者”旁听制和“六不上会”制度，并落实书记末位表态，避免受主要领导的“先入为主”的影响。延伸考察内容，规避选人用人失察行为。制定《科级干部考察对象个人有关事项报告制度》，考察对象婚姻变化、养育子女等情况，必须向组织报告，作为综合评价干部的依据。建立干部选拔任用工作全程记实制度。将选拔任用程序和重要情况记实结果作为干部选拔任用责任追究的依据之一。开展公推遴选领导干部工作。</w:t>
      </w:r>
      <w:r>
        <w:rPr>
          <w:rFonts w:ascii="宋体" w:hAnsi="宋体"/>
        </w:rPr>
        <w:t>2010年拿出7个</w:t>
      </w:r>
      <w:r>
        <w:rPr>
          <w:rFonts w:hint="eastAsia" w:ascii="宋体" w:hAnsi="宋体"/>
        </w:rPr>
        <w:t>科级领导职位进行公推遴选，并选拔</w:t>
      </w:r>
      <w:r>
        <w:rPr>
          <w:rFonts w:ascii="宋体" w:hAnsi="宋体"/>
        </w:rPr>
        <w:t>1名村</w:t>
      </w:r>
      <w:r>
        <w:rPr>
          <w:rFonts w:hint="eastAsia" w:ascii="宋体" w:hAnsi="宋体"/>
        </w:rPr>
        <w:t>党组织书记担任镇领导干部。</w:t>
      </w:r>
    </w:p>
    <w:p w14:paraId="5F42778E">
      <w:pPr>
        <w:pStyle w:val="4"/>
      </w:pPr>
      <w:r>
        <w:rPr>
          <w:rFonts w:hint="eastAsia"/>
        </w:rPr>
        <w:t>【组织部门自身建设】</w:t>
      </w:r>
    </w:p>
    <w:p w14:paraId="54CA13A7">
      <w:pPr>
        <w:ind w:firstLine="420"/>
        <w:rPr>
          <w:rFonts w:ascii="宋体" w:hAnsi="宋体"/>
        </w:rPr>
      </w:pPr>
      <w:r>
        <w:rPr>
          <w:rFonts w:hint="eastAsia" w:ascii="宋体" w:hAnsi="宋体"/>
        </w:rPr>
        <w:t>开展“讲党性、重品行、作表率”教育，增强组工干部的忧患意识、公仆意识、。建设学习型组织部门，建立经常性学习机制，采取集中学习、个人自学相结合的方式，要求每个干部每天至少学习十五分钟。坚持部领导牵头完成一个重点调研课题，组工干部撰写一篇调研文章，采写二篇信息。</w:t>
      </w:r>
    </w:p>
    <w:p w14:paraId="48534C5D">
      <w:pPr>
        <w:pStyle w:val="4"/>
      </w:pPr>
      <w:r>
        <w:rPr>
          <w:rFonts w:hint="eastAsia"/>
        </w:rPr>
        <w:t>【市镇领导班子换届选举】</w:t>
      </w:r>
    </w:p>
    <w:p w14:paraId="367EDEEE">
      <w:pPr>
        <w:ind w:firstLine="420"/>
        <w:rPr>
          <w:rFonts w:ascii="宋体" w:hAnsi="宋体"/>
        </w:rPr>
      </w:pPr>
      <w:r>
        <w:rPr>
          <w:rFonts w:hint="eastAsia" w:ascii="宋体" w:hAnsi="宋体"/>
        </w:rPr>
        <w:t>按照上级要求，</w:t>
      </w:r>
      <w:r>
        <w:rPr>
          <w:rFonts w:ascii="宋体" w:hAnsi="宋体"/>
        </w:rPr>
        <w:t>2006年11月，对市四套领导班子和纪委班子</w:t>
      </w:r>
      <w:r>
        <w:rPr>
          <w:rFonts w:hint="eastAsia" w:ascii="宋体" w:hAnsi="宋体"/>
        </w:rPr>
        <w:t>进行换届选举。选举产生十一届市委委员</w:t>
      </w:r>
      <w:r>
        <w:rPr>
          <w:rFonts w:ascii="宋体" w:hAnsi="宋体"/>
        </w:rPr>
        <w:t>49</w:t>
      </w:r>
      <w:r>
        <w:rPr>
          <w:rFonts w:hint="eastAsia" w:ascii="宋体" w:hAnsi="宋体"/>
        </w:rPr>
        <w:t>名，候补委员</w:t>
      </w:r>
      <w:r>
        <w:rPr>
          <w:rFonts w:ascii="宋体" w:hAnsi="宋体"/>
        </w:rPr>
        <w:t>9名，纪委委员21名；十三届</w:t>
      </w:r>
      <w:r>
        <w:rPr>
          <w:rFonts w:hint="eastAsia" w:ascii="宋体" w:hAnsi="宋体"/>
        </w:rPr>
        <w:t>市人大常委会委员</w:t>
      </w:r>
      <w:r>
        <w:rPr>
          <w:rFonts w:ascii="宋体" w:hAnsi="宋体"/>
        </w:rPr>
        <w:t>13名，市人大常委会主任1名、副主任6名；市长1名，副市长6名</w:t>
      </w:r>
      <w:r>
        <w:rPr>
          <w:rFonts w:hint="eastAsia" w:ascii="宋体" w:hAnsi="宋体"/>
        </w:rPr>
        <w:t>；政协第八届委员会主席</w:t>
      </w:r>
      <w:r>
        <w:rPr>
          <w:rFonts w:ascii="宋体" w:hAnsi="宋体"/>
        </w:rPr>
        <w:t>1名、副主席6名。组</w:t>
      </w:r>
      <w:r>
        <w:rPr>
          <w:rFonts w:hint="eastAsia" w:ascii="宋体" w:hAnsi="宋体"/>
        </w:rPr>
        <w:t>织指导全市</w:t>
      </w:r>
      <w:r>
        <w:rPr>
          <w:rFonts w:ascii="宋体" w:hAnsi="宋体"/>
        </w:rPr>
        <w:t>17个镇于2006年10月完成换届</w:t>
      </w:r>
      <w:r>
        <w:rPr>
          <w:rFonts w:hint="eastAsia" w:ascii="宋体" w:hAnsi="宋体"/>
        </w:rPr>
        <w:t>工作，选举产生新一届党委班子成员</w:t>
      </w:r>
      <w:r>
        <w:rPr>
          <w:rFonts w:ascii="宋体" w:hAnsi="宋体"/>
        </w:rPr>
        <w:t>153名</w:t>
      </w:r>
      <w:r>
        <w:rPr>
          <w:rFonts w:hint="eastAsia" w:ascii="宋体" w:hAnsi="宋体"/>
        </w:rPr>
        <w:t>、政府班子成员</w:t>
      </w:r>
      <w:r>
        <w:rPr>
          <w:rFonts w:ascii="宋体" w:hAnsi="宋体"/>
        </w:rPr>
        <w:t>54名（女干部21名，党外</w:t>
      </w:r>
      <w:r>
        <w:rPr>
          <w:rFonts w:hint="eastAsia" w:ascii="宋体" w:hAnsi="宋体"/>
        </w:rPr>
        <w:t>干部</w:t>
      </w:r>
      <w:r>
        <w:rPr>
          <w:rFonts w:ascii="宋体" w:hAnsi="宋体"/>
        </w:rPr>
        <w:t>2名），平均年龄38.5岁，比上一届低2.1岁</w:t>
      </w:r>
      <w:r>
        <w:rPr>
          <w:rFonts w:hint="eastAsia" w:ascii="宋体" w:hAnsi="宋体"/>
        </w:rPr>
        <w:t>。</w:t>
      </w:r>
    </w:p>
    <w:p w14:paraId="1CFB557F">
      <w:pPr>
        <w:ind w:firstLine="420"/>
        <w:jc w:val="right"/>
        <w:rPr>
          <w:rFonts w:ascii="宋体" w:hAnsi="宋体"/>
        </w:rPr>
      </w:pPr>
      <w:r>
        <w:rPr>
          <w:rFonts w:hint="eastAsia" w:ascii="宋体" w:hAnsi="宋体"/>
        </w:rPr>
        <w:t>（孔永明）</w:t>
      </w:r>
    </w:p>
    <w:p w14:paraId="099FBE2F">
      <w:pPr>
        <w:ind w:firstLine="422"/>
        <w:rPr>
          <w:rFonts w:ascii="宋体" w:hAnsi="宋体"/>
          <w:b/>
        </w:rPr>
      </w:pPr>
      <w:r>
        <w:rPr>
          <w:rFonts w:hint="eastAsia" w:ascii="宋体" w:hAnsi="宋体"/>
          <w:b/>
        </w:rPr>
        <w:t>附：</w:t>
      </w:r>
      <w:r>
        <w:rPr>
          <w:rFonts w:ascii="宋体" w:hAnsi="宋体"/>
          <w:b/>
        </w:rPr>
        <w:t>2010年组织部领导班子成员名单</w:t>
      </w:r>
    </w:p>
    <w:p w14:paraId="4C91C2D5">
      <w:pPr>
        <w:ind w:firstLine="420"/>
        <w:rPr>
          <w:rFonts w:ascii="宋体" w:hAnsi="宋体"/>
        </w:rPr>
      </w:pPr>
      <w:r>
        <w:rPr>
          <w:rFonts w:hint="eastAsia" w:ascii="宋体" w:hAnsi="宋体"/>
        </w:rPr>
        <w:t>部    长：丘德周（兼）</w:t>
      </w:r>
    </w:p>
    <w:p w14:paraId="5F459878">
      <w:pPr>
        <w:ind w:firstLine="420"/>
        <w:rPr>
          <w:rFonts w:ascii="宋体" w:hAnsi="宋体"/>
        </w:rPr>
      </w:pPr>
      <w:r>
        <w:rPr>
          <w:rFonts w:hint="eastAsia" w:ascii="宋体" w:hAnsi="宋体"/>
        </w:rPr>
        <w:t>副 部 长：董圣国  沈文昌  蔡德华  王婉霞</w:t>
      </w:r>
    </w:p>
    <w:p w14:paraId="638CCD09">
      <w:pPr>
        <w:ind w:firstLine="420"/>
        <w:rPr>
          <w:rFonts w:ascii="宋体" w:hAnsi="宋体"/>
        </w:rPr>
      </w:pPr>
      <w:r>
        <w:rPr>
          <w:rFonts w:hint="eastAsia" w:ascii="宋体" w:hAnsi="宋体"/>
        </w:rPr>
        <w:t>副 部 长：陈章分</w:t>
      </w:r>
    </w:p>
    <w:p w14:paraId="66C96448">
      <w:pPr>
        <w:ind w:firstLine="420"/>
        <w:rPr>
          <w:rFonts w:ascii="宋体" w:hAnsi="宋体"/>
        </w:rPr>
      </w:pPr>
      <w:r>
        <w:rPr>
          <w:rFonts w:hint="eastAsia" w:ascii="宋体" w:hAnsi="宋体"/>
        </w:rPr>
        <w:t>纪检组长：黄文儒</w:t>
      </w:r>
    </w:p>
    <w:p w14:paraId="612EBDBF">
      <w:pPr>
        <w:pStyle w:val="3"/>
      </w:pPr>
      <w:r>
        <w:rPr>
          <w:rFonts w:hint="eastAsia"/>
        </w:rPr>
        <w:t>宣传工作</w:t>
      </w:r>
    </w:p>
    <w:p w14:paraId="7468AB39">
      <w:pPr>
        <w:pStyle w:val="4"/>
      </w:pPr>
      <w:r>
        <w:rPr>
          <w:rFonts w:hint="eastAsia"/>
        </w:rPr>
        <w:t>【概况】</w:t>
      </w:r>
    </w:p>
    <w:p w14:paraId="403A2D70">
      <w:pPr>
        <w:ind w:firstLine="420"/>
        <w:rPr>
          <w:rFonts w:ascii="宋体" w:hAnsi="宋体"/>
        </w:rPr>
      </w:pPr>
      <w:r>
        <w:rPr>
          <w:rFonts w:hint="eastAsia" w:ascii="宋体" w:hAnsi="宋体"/>
        </w:rPr>
        <w:t>中共南雄市委宣传部行政编制</w:t>
      </w:r>
      <w:r>
        <w:rPr>
          <w:rFonts w:ascii="宋体" w:hAnsi="宋体"/>
        </w:rPr>
        <w:t>12</w:t>
      </w:r>
      <w:r>
        <w:rPr>
          <w:rFonts w:hint="eastAsia" w:ascii="宋体" w:hAnsi="宋体"/>
        </w:rPr>
        <w:t>人，其中领导职数</w:t>
      </w:r>
      <w:r>
        <w:rPr>
          <w:rFonts w:ascii="宋体" w:hAnsi="宋体"/>
        </w:rPr>
        <w:t>4名（1正3副），其他干</w:t>
      </w:r>
      <w:r>
        <w:rPr>
          <w:rFonts w:hint="eastAsia" w:ascii="宋体" w:hAnsi="宋体"/>
        </w:rPr>
        <w:t>部</w:t>
      </w:r>
      <w:r>
        <w:rPr>
          <w:rFonts w:ascii="宋体" w:hAnsi="宋体"/>
        </w:rPr>
        <w:t>8名（其中股长职数5名）；后勤编制2</w:t>
      </w:r>
      <w:r>
        <w:rPr>
          <w:rFonts w:hint="eastAsia" w:ascii="宋体" w:hAnsi="宋体"/>
        </w:rPr>
        <w:t>名。总编制为</w:t>
      </w:r>
      <w:r>
        <w:rPr>
          <w:rFonts w:ascii="宋体" w:hAnsi="宋体"/>
        </w:rPr>
        <w:t>14名。内设人秘股、宣传股、</w:t>
      </w:r>
      <w:r>
        <w:rPr>
          <w:rFonts w:hint="eastAsia" w:ascii="宋体" w:hAnsi="宋体"/>
        </w:rPr>
        <w:t>理论股、新闻文艺股、文明办</w:t>
      </w:r>
      <w:r>
        <w:rPr>
          <w:rFonts w:ascii="宋体" w:hAnsi="宋体"/>
        </w:rPr>
        <w:t>5个职能股室；</w:t>
      </w:r>
      <w:r>
        <w:rPr>
          <w:rFonts w:hint="eastAsia" w:ascii="宋体" w:hAnsi="宋体"/>
        </w:rPr>
        <w:t>市委讲师团在宣传部挂牌。</w:t>
      </w:r>
    </w:p>
    <w:p w14:paraId="404F115B">
      <w:pPr>
        <w:pStyle w:val="4"/>
      </w:pPr>
      <w:r>
        <w:rPr>
          <w:rFonts w:hint="eastAsia"/>
        </w:rPr>
        <w:t>【理论工作】</w:t>
      </w:r>
    </w:p>
    <w:p w14:paraId="7E649122">
      <w:pPr>
        <w:ind w:firstLine="420"/>
        <w:rPr>
          <w:rFonts w:ascii="宋体" w:hAnsi="宋体"/>
        </w:rPr>
      </w:pPr>
      <w:r>
        <w:rPr>
          <w:rFonts w:hint="eastAsia" w:ascii="宋体" w:hAnsi="宋体"/>
        </w:rPr>
        <w:t>协助市委中心组和安排落实好各级党委（党组）中心组的理论学习，年初下发《南雄市</w:t>
      </w:r>
      <w:r>
        <w:rPr>
          <w:rFonts w:ascii="宋体" w:hAnsi="宋体"/>
        </w:rPr>
        <w:t>2010年党委（党组）中心组重</w:t>
      </w:r>
      <w:r>
        <w:rPr>
          <w:rFonts w:hint="eastAsia" w:ascii="宋体" w:hAnsi="宋体"/>
        </w:rPr>
        <w:t>点理论学习专题》，明确建设马克思主义学习型政党、加快转变经济发展方式等九个中心组重点学习专题，全年组织、协助开展了党的十七届五中全会、《廉政准则》、“转变思维方式，推动跨越发展”、“七个怎么看”等</w:t>
      </w:r>
      <w:r>
        <w:rPr>
          <w:rFonts w:ascii="宋体" w:hAnsi="宋体"/>
        </w:rPr>
        <w:t>12</w:t>
      </w:r>
      <w:r>
        <w:rPr>
          <w:rFonts w:hint="eastAsia" w:ascii="宋体" w:hAnsi="宋体"/>
        </w:rPr>
        <w:t>期专题学习，促进党的理论学习和理论宣传。</w:t>
      </w:r>
    </w:p>
    <w:p w14:paraId="3D268DA7">
      <w:pPr>
        <w:pStyle w:val="4"/>
      </w:pPr>
      <w:r>
        <w:rPr>
          <w:rFonts w:hint="eastAsia"/>
        </w:rPr>
        <w:t>【开展学习大讨论活动】</w:t>
      </w:r>
    </w:p>
    <w:p w14:paraId="1B5724F3">
      <w:pPr>
        <w:ind w:firstLine="420"/>
        <w:rPr>
          <w:rFonts w:ascii="宋体" w:hAnsi="宋体"/>
        </w:rPr>
      </w:pPr>
      <w:r>
        <w:rPr>
          <w:rFonts w:hint="eastAsia" w:ascii="宋体" w:hAnsi="宋体"/>
        </w:rPr>
        <w:t>根据市委的部署，</w:t>
      </w:r>
      <w:r>
        <w:rPr>
          <w:rFonts w:ascii="宋体" w:hAnsi="宋体"/>
        </w:rPr>
        <w:t>3月起，在全市开展</w:t>
      </w:r>
      <w:r>
        <w:rPr>
          <w:rFonts w:hint="eastAsia" w:ascii="宋体" w:hAnsi="宋体"/>
        </w:rPr>
        <w:t>“</w:t>
      </w:r>
      <w:r>
        <w:rPr>
          <w:rFonts w:ascii="宋体" w:hAnsi="宋体"/>
        </w:rPr>
        <w:t>受了表扬，我们怎么</w:t>
      </w:r>
      <w:r>
        <w:rPr>
          <w:rFonts w:hint="eastAsia" w:ascii="宋体" w:hAnsi="宋体"/>
        </w:rPr>
        <w:t>办”大学习大讨论活动。活动中制作播出“局长·书记访谈录”</w:t>
      </w:r>
      <w:r>
        <w:rPr>
          <w:rFonts w:ascii="宋体" w:hAnsi="宋体"/>
        </w:rPr>
        <w:t>18期，编辑活动简报11期，制作大型专题片《干劲决定后劲》1</w:t>
      </w:r>
      <w:r>
        <w:rPr>
          <w:rFonts w:hint="eastAsia" w:ascii="宋体" w:hAnsi="宋体"/>
        </w:rPr>
        <w:t>部，举办“受了表扬，我们怎么办”演讲比赛。同时，还在南雄市人民政府公众信息网、南雄市党员干部现代远程教育网开设活动专题（专页）。</w:t>
      </w:r>
    </w:p>
    <w:p w14:paraId="3045C9B9">
      <w:pPr>
        <w:pStyle w:val="4"/>
      </w:pPr>
      <w:r>
        <w:rPr>
          <w:rFonts w:hint="eastAsia"/>
        </w:rPr>
        <w:t>【社会宣传】</w:t>
      </w:r>
    </w:p>
    <w:p w14:paraId="156EF0CD">
      <w:pPr>
        <w:ind w:firstLine="420"/>
        <w:rPr>
          <w:rFonts w:ascii="宋体" w:hAnsi="宋体"/>
        </w:rPr>
      </w:pPr>
      <w:r>
        <w:rPr>
          <w:rFonts w:ascii="宋体" w:hAnsi="宋体"/>
        </w:rPr>
        <w:t>5月6日，南雄被正式确认为</w:t>
      </w:r>
      <w:r>
        <w:rPr>
          <w:rFonts w:hint="eastAsia" w:ascii="宋体" w:hAnsi="宋体"/>
        </w:rPr>
        <w:t>中央苏区县，</w:t>
      </w:r>
      <w:r>
        <w:rPr>
          <w:rFonts w:ascii="宋体" w:hAnsi="宋体"/>
        </w:rPr>
        <w:t>6月13日上午，南雄市委、市</w:t>
      </w:r>
      <w:r>
        <w:rPr>
          <w:rFonts w:hint="eastAsia" w:ascii="宋体" w:hAnsi="宋体"/>
        </w:rPr>
        <w:t>政府在广州珠岛宾馆红棉厅召开“南雄市确认为中央苏区新闻发布会”。同时，在南雄举办挂牌仪式、庆祝大会、文艺晚会等多项宣传活动，来自中央、广东省、江西省、韶关市的党政领导、社会人士、老游击战士代表、媒体代表应邀参加各项活动。还在《南方日报》、《韶关日报》各出版一期庆典专版，市广播电视台制作播出专题片《中央苏区县——南雄》。</w:t>
      </w:r>
    </w:p>
    <w:p w14:paraId="25F16D9B">
      <w:pPr>
        <w:ind w:firstLine="420"/>
        <w:rPr>
          <w:rFonts w:ascii="宋体" w:hAnsi="宋体"/>
        </w:rPr>
      </w:pPr>
      <w:r>
        <w:rPr>
          <w:rFonts w:ascii="宋体" w:hAnsi="宋体"/>
        </w:rPr>
        <w:t>9月3日，在南雄大会堂举行南雄市纪念</w:t>
      </w:r>
      <w:r>
        <w:rPr>
          <w:rFonts w:hint="eastAsia" w:ascii="宋体" w:hAnsi="宋体"/>
        </w:rPr>
        <w:t>抗战胜利</w:t>
      </w:r>
      <w:r>
        <w:rPr>
          <w:rFonts w:ascii="宋体" w:hAnsi="宋体"/>
        </w:rPr>
        <w:t>65周年</w:t>
      </w:r>
      <w:r>
        <w:rPr>
          <w:rFonts w:hint="eastAsia" w:ascii="宋体" w:hAnsi="宋体"/>
        </w:rPr>
        <w:t>暨</w:t>
      </w:r>
      <w:r>
        <w:rPr>
          <w:rFonts w:ascii="宋体" w:hAnsi="宋体"/>
        </w:rPr>
        <w:t>油山三年游击战纪念活动</w:t>
      </w:r>
      <w:r>
        <w:rPr>
          <w:rFonts w:hint="eastAsia" w:ascii="宋体" w:hAnsi="宋体"/>
        </w:rPr>
        <w:t>文艺晚会，活动期间还举办抗日战争胜利</w:t>
      </w:r>
      <w:r>
        <w:rPr>
          <w:rFonts w:ascii="宋体" w:hAnsi="宋体"/>
        </w:rPr>
        <w:t>65</w:t>
      </w:r>
      <w:r>
        <w:rPr>
          <w:rFonts w:hint="eastAsia" w:ascii="宋体" w:hAnsi="宋体"/>
        </w:rPr>
        <w:t>周年暨油山三年游击战争纪念活动书画展、编辑专题宣传橱窗、制作纪念特刊、播出专栏节目及专题片，在全市营造浓厚的氛围。</w:t>
      </w:r>
    </w:p>
    <w:p w14:paraId="07C4A81E">
      <w:pPr>
        <w:ind w:firstLine="420"/>
        <w:rPr>
          <w:rFonts w:ascii="宋体" w:hAnsi="宋体"/>
        </w:rPr>
      </w:pPr>
      <w:r>
        <w:rPr>
          <w:rFonts w:hint="eastAsia" w:ascii="宋体" w:hAnsi="宋体"/>
        </w:rPr>
        <w:t>利用广播电视、《韶关日报·南雄专版》进行经济政策、形势、成果的宣传，播出新闻</w:t>
      </w:r>
      <w:r>
        <w:rPr>
          <w:rFonts w:ascii="宋体" w:hAnsi="宋体"/>
        </w:rPr>
        <w:t>589条；《南雄速度在竞发》专栏围绕精细</w:t>
      </w:r>
      <w:r>
        <w:rPr>
          <w:rFonts w:hint="eastAsia" w:ascii="宋体" w:hAnsi="宋体"/>
        </w:rPr>
        <w:t>化工产业园建设进程和招商引资工作，播出“运筹帷幄”、“爬坡越坎”、“精诚服务”等五个篇章</w:t>
      </w:r>
      <w:r>
        <w:rPr>
          <w:rFonts w:ascii="宋体" w:hAnsi="宋体"/>
        </w:rPr>
        <w:t>10多期；《发展精细化工推进招商</w:t>
      </w:r>
      <w:r>
        <w:rPr>
          <w:rFonts w:hint="eastAsia" w:ascii="宋体" w:hAnsi="宋体"/>
        </w:rPr>
        <w:t>引资》专栏，详尽介绍精细化工的相关情况，播出</w:t>
      </w:r>
      <w:r>
        <w:rPr>
          <w:rFonts w:ascii="宋体" w:hAnsi="宋体"/>
        </w:rPr>
        <w:t>40多期期</w:t>
      </w:r>
      <w:r>
        <w:rPr>
          <w:rFonts w:hint="eastAsia" w:ascii="宋体" w:hAnsi="宋体"/>
        </w:rPr>
        <w:t>。</w:t>
      </w:r>
    </w:p>
    <w:p w14:paraId="46A6135D">
      <w:pPr>
        <w:ind w:firstLine="420"/>
        <w:rPr>
          <w:rFonts w:ascii="宋体" w:hAnsi="宋体"/>
        </w:rPr>
      </w:pPr>
      <w:r>
        <w:rPr>
          <w:rFonts w:hint="eastAsia" w:ascii="宋体" w:hAnsi="宋体"/>
        </w:rPr>
        <w:t>在广播电视、《韶关日报·南雄专版》都开辟扶贫专栏，播出消息、新闻特写、专访等</w:t>
      </w:r>
      <w:r>
        <w:rPr>
          <w:rFonts w:ascii="宋体" w:hAnsi="宋体"/>
        </w:rPr>
        <w:t>378条，《韶关日报·南雄专版》刊登相关</w:t>
      </w:r>
      <w:r>
        <w:rPr>
          <w:rFonts w:hint="eastAsia" w:ascii="宋体" w:hAnsi="宋体"/>
        </w:rPr>
        <w:t>新闻近</w:t>
      </w:r>
      <w:r>
        <w:rPr>
          <w:rFonts w:ascii="宋体" w:hAnsi="宋体"/>
        </w:rPr>
        <w:t>20条。</w:t>
      </w:r>
    </w:p>
    <w:p w14:paraId="70D4E243">
      <w:pPr>
        <w:ind w:firstLine="420"/>
        <w:rPr>
          <w:rFonts w:ascii="宋体" w:hAnsi="宋体"/>
        </w:rPr>
      </w:pPr>
      <w:r>
        <w:rPr>
          <w:rFonts w:hint="eastAsia" w:ascii="宋体" w:hAnsi="宋体"/>
        </w:rPr>
        <w:t>围绕市委权力公开透明运行“阳光工程”试点工作、全市支援玉树地震灾区、广东省扶贫日、马丽芸夺取亚运冠军等全市重大活动，及时开展新闻报道、舆论引导。</w:t>
      </w:r>
    </w:p>
    <w:p w14:paraId="0D23EC5B">
      <w:pPr>
        <w:pStyle w:val="4"/>
      </w:pPr>
      <w:r>
        <w:rPr>
          <w:rFonts w:hint="eastAsia"/>
        </w:rPr>
        <w:t>【党报党刊征订发行】</w:t>
      </w:r>
    </w:p>
    <w:p w14:paraId="5205E6BC">
      <w:pPr>
        <w:ind w:firstLine="420"/>
        <w:rPr>
          <w:rFonts w:ascii="宋体" w:hAnsi="宋体"/>
        </w:rPr>
      </w:pPr>
      <w:r>
        <w:rPr>
          <w:rFonts w:hint="eastAsia" w:ascii="宋体" w:hAnsi="宋体"/>
        </w:rPr>
        <w:t>抓好重点党报党刊《人民日报》、《求是》杂志、《南方日报》和《韶关日报》的征订发行工作作为一项重要的政治任务来完成。</w:t>
      </w:r>
      <w:r>
        <w:rPr>
          <w:rFonts w:ascii="宋体" w:hAnsi="宋体"/>
        </w:rPr>
        <w:t>2010年，全市《人民日</w:t>
      </w:r>
      <w:r>
        <w:rPr>
          <w:rFonts w:hint="eastAsia" w:ascii="宋体" w:hAnsi="宋体"/>
        </w:rPr>
        <w:t>报》、《求是》杂志和《南方日报》的征订工作任务都超额完成。</w:t>
      </w:r>
    </w:p>
    <w:p w14:paraId="2FA374F9">
      <w:pPr>
        <w:pStyle w:val="4"/>
      </w:pPr>
      <w:r>
        <w:rPr>
          <w:rFonts w:hint="eastAsia"/>
        </w:rPr>
        <w:t>【精神文明建设】</w:t>
      </w:r>
    </w:p>
    <w:p w14:paraId="266C81F5">
      <w:pPr>
        <w:ind w:firstLine="420"/>
        <w:rPr>
          <w:rFonts w:ascii="宋体" w:hAnsi="宋体"/>
        </w:rPr>
      </w:pPr>
      <w:r>
        <w:rPr>
          <w:rFonts w:ascii="宋体" w:hAnsi="宋体"/>
        </w:rPr>
        <w:t>4月23日，在三影塔广场</w:t>
      </w:r>
      <w:r>
        <w:rPr>
          <w:rFonts w:hint="eastAsia" w:ascii="宋体" w:hAnsi="宋体"/>
        </w:rPr>
        <w:t>举行</w:t>
      </w:r>
      <w:r>
        <w:rPr>
          <w:rFonts w:ascii="宋体" w:hAnsi="宋体"/>
        </w:rPr>
        <w:t>2010年全民读书暨</w:t>
      </w:r>
      <w:r>
        <w:rPr>
          <w:rFonts w:hint="eastAsia" w:ascii="宋体" w:hAnsi="宋体"/>
        </w:rPr>
        <w:t>“</w:t>
      </w:r>
      <w:r>
        <w:rPr>
          <w:rFonts w:ascii="宋体" w:hAnsi="宋体"/>
        </w:rPr>
        <w:t>图书漂流</w:t>
      </w:r>
      <w:r>
        <w:rPr>
          <w:rFonts w:hint="eastAsia" w:ascii="宋体" w:hAnsi="宋体"/>
        </w:rPr>
        <w:t>”</w:t>
      </w:r>
      <w:r>
        <w:rPr>
          <w:rFonts w:ascii="宋体" w:hAnsi="宋体"/>
        </w:rPr>
        <w:t>活动启</w:t>
      </w:r>
      <w:r>
        <w:rPr>
          <w:rFonts w:hint="eastAsia" w:ascii="宋体" w:hAnsi="宋体"/>
        </w:rPr>
        <w:t>动仪式；做好南雄市“韶关好人”评选活动，经广泛发动，挖掘出</w:t>
      </w:r>
      <w:r>
        <w:rPr>
          <w:rFonts w:ascii="宋体" w:hAnsi="宋体"/>
        </w:rPr>
        <w:t>10多名道德好人向韶关</w:t>
      </w:r>
      <w:r>
        <w:rPr>
          <w:rFonts w:hint="eastAsia" w:ascii="宋体" w:hAnsi="宋体"/>
        </w:rPr>
        <w:t>报送；开展窗口服务行业“迎亚运、创五优”活动，印发《关于在全市窗口服务行业开展“创五优”活动的通知》，对全市的创五优活动进行全面部署，推动城市文明形象的整体提升。</w:t>
      </w:r>
    </w:p>
    <w:p w14:paraId="20DBFF78">
      <w:pPr>
        <w:pStyle w:val="4"/>
      </w:pPr>
      <w:r>
        <w:rPr>
          <w:rFonts w:hint="eastAsia"/>
        </w:rPr>
        <w:t>【文化广电工作】</w:t>
      </w:r>
    </w:p>
    <w:p w14:paraId="0F8BE955">
      <w:pPr>
        <w:ind w:firstLine="420"/>
        <w:rPr>
          <w:rFonts w:ascii="宋体" w:hAnsi="宋体"/>
        </w:rPr>
      </w:pPr>
      <w:r>
        <w:rPr>
          <w:rFonts w:ascii="宋体" w:hAnsi="宋体"/>
        </w:rPr>
        <w:t>6月22日，在南雄大会堂</w:t>
      </w:r>
      <w:r>
        <w:rPr>
          <w:rFonts w:hint="eastAsia" w:ascii="宋体" w:hAnsi="宋体"/>
        </w:rPr>
        <w:t>举行南雄市“金叶杯”第二届红歌大赛决赛。在全市掀起一股“唱红歌、传承苏区精神；扬正气，争做道德公民”的社会热潮；</w:t>
      </w:r>
      <w:r>
        <w:rPr>
          <w:rFonts w:ascii="宋体" w:hAnsi="宋体"/>
        </w:rPr>
        <w:t>2010</w:t>
      </w:r>
      <w:r>
        <w:rPr>
          <w:rFonts w:hint="eastAsia" w:ascii="宋体" w:hAnsi="宋体"/>
        </w:rPr>
        <w:t>年</w:t>
      </w:r>
      <w:r>
        <w:rPr>
          <w:rFonts w:ascii="宋体" w:hAnsi="宋体"/>
        </w:rPr>
        <w:t>7月16日，在市迎宾馆2号会议室召开申</w:t>
      </w:r>
      <w:r>
        <w:rPr>
          <w:rFonts w:hint="eastAsia" w:ascii="宋体" w:hAnsi="宋体"/>
        </w:rPr>
        <w:t>报中央苏区县暨省委机关瑶坑旧址修复保护工程工作总结座谈会；</w:t>
      </w:r>
      <w:r>
        <w:rPr>
          <w:rFonts w:ascii="宋体" w:hAnsi="宋体"/>
        </w:rPr>
        <w:t>11月，全力协助市委</w:t>
      </w:r>
      <w:r>
        <w:rPr>
          <w:rFonts w:hint="eastAsia" w:ascii="宋体" w:hAnsi="宋体"/>
        </w:rPr>
        <w:t>召开市委十一届九次全会，出台《南雄市关于贯彻落实〈广东省建设文化强省规划纲要（</w:t>
      </w:r>
      <w:r>
        <w:rPr>
          <w:rFonts w:ascii="宋体" w:hAnsi="宋体"/>
        </w:rPr>
        <w:t>2011-2020年）〉的实施意见》，对市今后</w:t>
      </w:r>
      <w:r>
        <w:rPr>
          <w:rFonts w:hint="eastAsia" w:ascii="宋体" w:hAnsi="宋体"/>
        </w:rPr>
        <w:t>十年的文化建设作总体规划；为进一步弘扬南雄优秀传统文化，打造珠玑文化品牌，精心策划编辑《珠玑文化丛书》。该丛书由《千年雄州》、《千年古塔》、《千年古道》、《千年古巷》、《红色文化》、《民俗文化》、《生态文化》、《恐龙文化》、《珠玑英才》等九部组成，共</w:t>
      </w:r>
      <w:r>
        <w:rPr>
          <w:rFonts w:ascii="宋体" w:hAnsi="宋体"/>
        </w:rPr>
        <w:t>180多万字，投入编辑经费90多万元。</w:t>
      </w:r>
      <w:r>
        <w:rPr>
          <w:rFonts w:hint="eastAsia" w:ascii="宋体" w:hAnsi="宋体"/>
        </w:rPr>
        <w:t>截</w:t>
      </w:r>
      <w:r>
        <w:rPr>
          <w:rFonts w:hint="eastAsia" w:ascii="宋体" w:hAnsi="宋体"/>
          <w:lang w:val="en-US" w:eastAsia="zh-CN"/>
        </w:rPr>
        <w:t>至</w:t>
      </w:r>
      <w:r>
        <w:rPr>
          <w:rFonts w:ascii="宋体" w:hAnsi="宋体"/>
        </w:rPr>
        <w:t>2010年底，《千年雄州》、《千年古塔》</w:t>
      </w:r>
      <w:r>
        <w:rPr>
          <w:rFonts w:hint="eastAsia" w:ascii="宋体" w:hAnsi="宋体"/>
        </w:rPr>
        <w:t>的修订工作基本完成，新编写的《千年古道》也形成初稿；以节庆活动为载体，组织各类群众文艺活动，先后组织开展“南雄市春节广场演出活动”、“闹元宵民间艺术表演活动”等一系列节庆文艺活动，丰富群众文化生活；不断推进城乡公共文化服务体系建设，建立和逐步完善社区、农村读书网络建设工程，认真组织实施数字电影进农村“</w:t>
      </w:r>
      <w:r>
        <w:rPr>
          <w:rFonts w:ascii="宋体" w:hAnsi="宋体"/>
        </w:rPr>
        <w:t>2131</w:t>
      </w:r>
      <w:r>
        <w:rPr>
          <w:rFonts w:hint="eastAsia" w:ascii="宋体" w:hAnsi="宋体"/>
        </w:rPr>
        <w:t>”</w:t>
      </w:r>
      <w:r>
        <w:rPr>
          <w:rFonts w:ascii="宋体" w:hAnsi="宋体"/>
        </w:rPr>
        <w:t>工程，</w:t>
      </w:r>
      <w:r>
        <w:rPr>
          <w:rFonts w:hint="eastAsia" w:ascii="宋体" w:hAnsi="宋体"/>
        </w:rPr>
        <w:t>不断满足广大群众日益增长的精神文化需求。全年全市组织送戏下乡和各类群众文化活动送戏下乡的次数</w:t>
      </w:r>
      <w:r>
        <w:rPr>
          <w:rFonts w:ascii="宋体" w:hAnsi="宋体"/>
        </w:rPr>
        <w:t>85次，参与人次11万多人</w:t>
      </w:r>
      <w:r>
        <w:rPr>
          <w:rFonts w:hint="eastAsia" w:ascii="宋体" w:hAnsi="宋体"/>
        </w:rPr>
        <w:t>次；送书下乡</w:t>
      </w:r>
      <w:r>
        <w:rPr>
          <w:rFonts w:ascii="宋体" w:hAnsi="宋体"/>
        </w:rPr>
        <w:t>134次，赠送图书4000多册；</w:t>
      </w:r>
      <w:r>
        <w:rPr>
          <w:rFonts w:hint="eastAsia" w:ascii="宋体" w:hAnsi="宋体"/>
        </w:rPr>
        <w:t>送电影下乡次数</w:t>
      </w:r>
      <w:r>
        <w:rPr>
          <w:rFonts w:ascii="宋体" w:hAnsi="宋体"/>
        </w:rPr>
        <w:t>1380场；图书馆接待读者14.5万人次，借出98732册次，此外，全国</w:t>
      </w:r>
      <w:r>
        <w:rPr>
          <w:rFonts w:hint="eastAsia" w:ascii="宋体" w:hAnsi="宋体"/>
        </w:rPr>
        <w:t>第三次文物普查中通过省检查考核组的验收文物点达</w:t>
      </w:r>
      <w:r>
        <w:rPr>
          <w:rFonts w:ascii="宋体" w:hAnsi="宋体"/>
        </w:rPr>
        <w:t>504处。（尹有为）</w:t>
      </w:r>
    </w:p>
    <w:p w14:paraId="0AB30A15">
      <w:pPr>
        <w:ind w:firstLine="422"/>
        <w:rPr>
          <w:rFonts w:ascii="宋体" w:hAnsi="宋体"/>
          <w:b/>
        </w:rPr>
      </w:pPr>
      <w:r>
        <w:rPr>
          <w:rFonts w:hint="eastAsia" w:ascii="宋体" w:hAnsi="宋体"/>
          <w:b/>
        </w:rPr>
        <w:t>附：</w:t>
      </w:r>
      <w:r>
        <w:rPr>
          <w:rFonts w:ascii="宋体" w:hAnsi="宋体"/>
          <w:b/>
        </w:rPr>
        <w:t>2010年宣传部领导班子成员名单</w:t>
      </w:r>
    </w:p>
    <w:p w14:paraId="6A751A94">
      <w:pPr>
        <w:ind w:firstLine="420"/>
        <w:rPr>
          <w:rFonts w:ascii="宋体" w:hAnsi="宋体"/>
        </w:rPr>
      </w:pPr>
      <w:r>
        <w:rPr>
          <w:rFonts w:hint="eastAsia" w:ascii="宋体" w:hAnsi="宋体"/>
        </w:rPr>
        <w:t>部      长：黄德群（兼）</w:t>
      </w:r>
    </w:p>
    <w:p w14:paraId="28F1D23E">
      <w:pPr>
        <w:ind w:firstLine="420"/>
        <w:rPr>
          <w:rFonts w:ascii="宋体" w:hAnsi="宋体"/>
        </w:rPr>
      </w:pPr>
      <w:r>
        <w:rPr>
          <w:rFonts w:hint="eastAsia" w:ascii="宋体" w:hAnsi="宋体"/>
        </w:rPr>
        <w:t>副  部  长：刘烈胜  朱兆财  刘小弘  刘光新</w:t>
      </w:r>
    </w:p>
    <w:p w14:paraId="09D611DF">
      <w:pPr>
        <w:ind w:firstLine="420"/>
        <w:rPr>
          <w:rFonts w:ascii="宋体" w:hAnsi="宋体"/>
        </w:rPr>
      </w:pPr>
      <w:r>
        <w:rPr>
          <w:rFonts w:hint="eastAsia" w:ascii="宋体" w:hAnsi="宋体"/>
        </w:rPr>
        <w:t>纪 检 组长：陈昌发</w:t>
      </w:r>
    </w:p>
    <w:p w14:paraId="34CAD037">
      <w:pPr>
        <w:ind w:firstLine="420"/>
        <w:rPr>
          <w:rFonts w:ascii="宋体" w:hAnsi="宋体"/>
        </w:rPr>
      </w:pPr>
      <w:r>
        <w:rPr>
          <w:rFonts w:hint="eastAsia" w:ascii="宋体" w:hAnsi="宋体"/>
        </w:rPr>
        <w:t>工 会 主席：曾  钰</w:t>
      </w:r>
    </w:p>
    <w:p w14:paraId="0FF88DB7">
      <w:pPr>
        <w:pStyle w:val="3"/>
      </w:pPr>
      <w:r>
        <w:rPr>
          <w:rFonts w:hint="eastAsia"/>
        </w:rPr>
        <w:t>统一战线工作</w:t>
      </w:r>
    </w:p>
    <w:p w14:paraId="4A9AE58F">
      <w:pPr>
        <w:pStyle w:val="4"/>
      </w:pPr>
      <w:r>
        <w:rPr>
          <w:rFonts w:hint="eastAsia"/>
        </w:rPr>
        <w:t>【概况】</w:t>
      </w:r>
    </w:p>
    <w:p w14:paraId="626389F6">
      <w:pPr>
        <w:ind w:firstLine="420"/>
        <w:rPr>
          <w:rFonts w:ascii="宋体" w:hAnsi="宋体"/>
        </w:rPr>
      </w:pPr>
      <w:r>
        <w:rPr>
          <w:rFonts w:hint="eastAsia" w:ascii="宋体" w:hAnsi="宋体"/>
        </w:rPr>
        <w:t>南雄市委统战部是市委的工作部门。机构改革后，下设办公室、台湾工作办公室（台湾事务办公室）两个股室，统战部设部长</w:t>
      </w:r>
      <w:r>
        <w:rPr>
          <w:rFonts w:ascii="宋体" w:hAnsi="宋体"/>
        </w:rPr>
        <w:t>1人，副部长3人。工商联、侨联、民</w:t>
      </w:r>
      <w:r>
        <w:rPr>
          <w:rFonts w:hint="eastAsia" w:ascii="宋体" w:hAnsi="宋体"/>
        </w:rPr>
        <w:t>族宗教事务局与统战部合署办公。</w:t>
      </w:r>
    </w:p>
    <w:p w14:paraId="1462449B">
      <w:pPr>
        <w:pStyle w:val="4"/>
      </w:pPr>
      <w:r>
        <w:rPr>
          <w:rFonts w:hint="eastAsia"/>
        </w:rPr>
        <w:t>【党外人士工作】</w:t>
      </w:r>
    </w:p>
    <w:p w14:paraId="16E0FBD3">
      <w:pPr>
        <w:ind w:firstLine="420"/>
        <w:rPr>
          <w:rFonts w:ascii="宋体" w:hAnsi="宋体"/>
        </w:rPr>
      </w:pPr>
      <w:r>
        <w:rPr>
          <w:rFonts w:ascii="宋体" w:hAnsi="宋体"/>
        </w:rPr>
        <w:t>2005年，2007年先后与</w:t>
      </w:r>
      <w:r>
        <w:rPr>
          <w:rFonts w:hint="eastAsia" w:ascii="宋体" w:hAnsi="宋体"/>
        </w:rPr>
        <w:t>中共南雄市委组织部、党校等部门举办了两期培训班。</w:t>
      </w:r>
      <w:r>
        <w:rPr>
          <w:rFonts w:ascii="宋体" w:hAnsi="宋体"/>
        </w:rPr>
        <w:t>2008年5月协助九三学社韶关市</w:t>
      </w:r>
      <w:r>
        <w:rPr>
          <w:rFonts w:hint="eastAsia" w:ascii="宋体" w:hAnsi="宋体"/>
        </w:rPr>
        <w:t>委在南雄成立直属小组；与中共南雄市委组织部配合做好党外干部的培养、选拔工作。建立党外干部档案和人才库，对中级、正副高职称的党外知识分子进行造册登记；推进政治协商，民主监督、参政议政。四年来民主党派向提交议案</w:t>
      </w:r>
      <w:r>
        <w:rPr>
          <w:rFonts w:ascii="宋体" w:hAnsi="宋体"/>
        </w:rPr>
        <w:t>14条、政协提案42条，15</w:t>
      </w:r>
      <w:r>
        <w:rPr>
          <w:rFonts w:hint="eastAsia" w:ascii="宋体" w:hAnsi="宋体"/>
        </w:rPr>
        <w:t>条被评为优秀提案；结合人大政协换届做好安排，党外人事</w:t>
      </w:r>
      <w:r>
        <w:rPr>
          <w:rFonts w:ascii="宋体" w:hAnsi="宋体"/>
        </w:rPr>
        <w:t>7人当选韶关市第十二届人</w:t>
      </w:r>
      <w:r>
        <w:rPr>
          <w:rFonts w:hint="eastAsia" w:ascii="宋体" w:hAnsi="宋体"/>
        </w:rPr>
        <w:t>大代表，</w:t>
      </w:r>
      <w:r>
        <w:rPr>
          <w:rFonts w:ascii="宋体" w:hAnsi="宋体"/>
        </w:rPr>
        <w:t>11人当选为南雄市第十三届人大代</w:t>
      </w:r>
      <w:r>
        <w:rPr>
          <w:rFonts w:hint="eastAsia" w:ascii="宋体" w:hAnsi="宋体"/>
        </w:rPr>
        <w:t>表，</w:t>
      </w:r>
      <w:r>
        <w:rPr>
          <w:rFonts w:ascii="宋体" w:hAnsi="宋体"/>
        </w:rPr>
        <w:t>1人任南雄市副市长；民主党派支委成员7人和工商界、无党派人士等各行各业的非中</w:t>
      </w:r>
      <w:r>
        <w:rPr>
          <w:rFonts w:hint="eastAsia" w:ascii="宋体" w:hAnsi="宋体"/>
        </w:rPr>
        <w:t>共优秀人士</w:t>
      </w:r>
      <w:r>
        <w:rPr>
          <w:rFonts w:ascii="宋体" w:hAnsi="宋体"/>
        </w:rPr>
        <w:t>118人任南雄市政协委员，其中</w:t>
      </w:r>
      <w:r>
        <w:rPr>
          <w:rFonts w:hint="eastAsia" w:ascii="宋体" w:hAnsi="宋体"/>
        </w:rPr>
        <w:t>副主席</w:t>
      </w:r>
      <w:r>
        <w:rPr>
          <w:rFonts w:ascii="宋体" w:hAnsi="宋体"/>
        </w:rPr>
        <w:t>3人、政协常务委员会委员17人。</w:t>
      </w:r>
    </w:p>
    <w:p w14:paraId="78A5C6A2">
      <w:pPr>
        <w:pStyle w:val="4"/>
      </w:pPr>
      <w:r>
        <w:rPr>
          <w:rFonts w:hint="eastAsia"/>
        </w:rPr>
        <w:t>【民族宗教工作】</w:t>
      </w:r>
    </w:p>
    <w:p w14:paraId="21F5D20E">
      <w:pPr>
        <w:ind w:firstLine="420"/>
        <w:rPr>
          <w:rFonts w:ascii="宋体" w:hAnsi="宋体"/>
        </w:rPr>
      </w:pPr>
      <w:r>
        <w:rPr>
          <w:rFonts w:hint="eastAsia" w:ascii="宋体" w:hAnsi="宋体"/>
        </w:rPr>
        <w:t>民族工作：（</w:t>
      </w:r>
      <w:r>
        <w:rPr>
          <w:rFonts w:ascii="宋体" w:hAnsi="宋体"/>
        </w:rPr>
        <w:t>1）帮助南雄</w:t>
      </w:r>
      <w:r>
        <w:rPr>
          <w:rFonts w:hint="eastAsia" w:ascii="宋体" w:hAnsi="宋体"/>
        </w:rPr>
        <w:t>市散居少数民族改善生产生活条件。</w:t>
      </w:r>
      <w:r>
        <w:rPr>
          <w:rFonts w:ascii="宋体" w:hAnsi="宋体"/>
        </w:rPr>
        <w:t>2005年</w:t>
      </w:r>
      <w:r>
        <w:rPr>
          <w:rFonts w:hint="eastAsia" w:ascii="宋体" w:hAnsi="宋体"/>
        </w:rPr>
        <w:t>至</w:t>
      </w:r>
      <w:r>
        <w:rPr>
          <w:rFonts w:ascii="宋体" w:hAnsi="宋体"/>
        </w:rPr>
        <w:t>2006年向广东省、韶关市民族宗教部门争</w:t>
      </w:r>
      <w:r>
        <w:rPr>
          <w:rFonts w:hint="eastAsia" w:ascii="宋体" w:hAnsi="宋体"/>
        </w:rPr>
        <w:t>取扶贫资金</w:t>
      </w:r>
      <w:r>
        <w:rPr>
          <w:rFonts w:ascii="宋体" w:hAnsi="宋体"/>
        </w:rPr>
        <w:t>20万元；2009年，帮助本市乌迳</w:t>
      </w:r>
      <w:r>
        <w:rPr>
          <w:rFonts w:hint="eastAsia" w:ascii="宋体" w:hAnsi="宋体"/>
        </w:rPr>
        <w:t>镇鱼塘、坪塘畲族村谋划了村道硬化、饮水工程等发展项目</w:t>
      </w:r>
      <w:r>
        <w:rPr>
          <w:rFonts w:ascii="宋体" w:hAnsi="宋体"/>
        </w:rPr>
        <w:t>3个，为少数民族群众脱贫</w:t>
      </w:r>
      <w:r>
        <w:rPr>
          <w:rFonts w:hint="eastAsia" w:ascii="宋体" w:hAnsi="宋体"/>
        </w:rPr>
        <w:t>创造条件。</w:t>
      </w:r>
      <w:r>
        <w:rPr>
          <w:rFonts w:ascii="宋体" w:hAnsi="宋体"/>
        </w:rPr>
        <w:t>2010年，争取上级帮扶的少数民</w:t>
      </w:r>
      <w:r>
        <w:rPr>
          <w:rFonts w:hint="eastAsia" w:ascii="宋体" w:hAnsi="宋体"/>
        </w:rPr>
        <w:t>族发展资金项目</w:t>
      </w:r>
      <w:r>
        <w:rPr>
          <w:rFonts w:ascii="宋体" w:hAnsi="宋体"/>
        </w:rPr>
        <w:t>2个；（2）先后筹集资金260</w:t>
      </w:r>
      <w:r>
        <w:rPr>
          <w:rFonts w:hint="eastAsia" w:ascii="宋体" w:hAnsi="宋体"/>
        </w:rPr>
        <w:t>万元帮助少数民族受灾群众抗灾救灾重建家园。（</w:t>
      </w:r>
      <w:r>
        <w:rPr>
          <w:rFonts w:ascii="宋体" w:hAnsi="宋体"/>
        </w:rPr>
        <w:t>3）重视少数民族的人才培养。（4）年</w:t>
      </w:r>
      <w:r>
        <w:rPr>
          <w:rFonts w:hint="eastAsia" w:ascii="宋体" w:hAnsi="宋体"/>
        </w:rPr>
        <w:t>来帮助畲族和少数民族聚居区考生</w:t>
      </w:r>
      <w:r>
        <w:rPr>
          <w:rFonts w:ascii="宋体" w:hAnsi="宋体"/>
        </w:rPr>
        <w:t>392人办</w:t>
      </w:r>
      <w:r>
        <w:rPr>
          <w:rFonts w:hint="eastAsia" w:ascii="宋体" w:hAnsi="宋体"/>
        </w:rPr>
        <w:t>理了普通高校报考手续。争取港澳和珠三角地区的宗教人士扶贫助学资金</w:t>
      </w:r>
      <w:r>
        <w:rPr>
          <w:rFonts w:ascii="宋体" w:hAnsi="宋体"/>
        </w:rPr>
        <w:t>19</w:t>
      </w:r>
      <w:r>
        <w:rPr>
          <w:rFonts w:hint="eastAsia" w:ascii="宋体" w:hAnsi="宋体"/>
        </w:rPr>
        <w:t>.</w:t>
      </w:r>
      <w:r>
        <w:rPr>
          <w:rFonts w:ascii="宋体" w:hAnsi="宋体"/>
        </w:rPr>
        <w:t>5万元，资</w:t>
      </w:r>
      <w:r>
        <w:rPr>
          <w:rFonts w:hint="eastAsia" w:ascii="宋体" w:hAnsi="宋体"/>
        </w:rPr>
        <w:t>助少数民族贫困学生</w:t>
      </w:r>
      <w:r>
        <w:rPr>
          <w:rFonts w:ascii="宋体" w:hAnsi="宋体"/>
        </w:rPr>
        <w:t>240人</w:t>
      </w:r>
      <w:r>
        <w:rPr>
          <w:rFonts w:hint="eastAsia" w:ascii="宋体" w:hAnsi="宋体"/>
        </w:rPr>
        <w:t>。</w:t>
      </w:r>
    </w:p>
    <w:p w14:paraId="309D595F">
      <w:pPr>
        <w:ind w:firstLine="420"/>
        <w:rPr>
          <w:rFonts w:ascii="宋体" w:hAnsi="宋体"/>
        </w:rPr>
      </w:pPr>
      <w:r>
        <w:rPr>
          <w:rFonts w:hint="eastAsia" w:ascii="宋体" w:hAnsi="宋体"/>
        </w:rPr>
        <w:t>宗教工作：（</w:t>
      </w:r>
      <w:r>
        <w:rPr>
          <w:rFonts w:ascii="宋体" w:hAnsi="宋体"/>
        </w:rPr>
        <w:t>1）不断提高依法管理宗教</w:t>
      </w:r>
      <w:r>
        <w:rPr>
          <w:rFonts w:hint="eastAsia" w:ascii="宋体" w:hAnsi="宋体"/>
        </w:rPr>
        <w:t>事务的能力，依法加强对宗教场所的管理，建立健全人员、财务、会计、治安消防、文物保护、卫生防疫等制度，使各宗教场所正常、有序地运作。（</w:t>
      </w:r>
      <w:r>
        <w:rPr>
          <w:rFonts w:ascii="宋体" w:hAnsi="宋体"/>
        </w:rPr>
        <w:t>2）协助宗教场所做好建</w:t>
      </w:r>
      <w:r>
        <w:rPr>
          <w:rFonts w:hint="eastAsia" w:ascii="宋体" w:hAnsi="宋体"/>
        </w:rPr>
        <w:t>设规划等工作</w:t>
      </w:r>
      <w:r>
        <w:rPr>
          <w:rFonts w:ascii="宋体" w:hAnsi="宋体"/>
        </w:rPr>
        <w:t>2005年至2006年，引进资金2000万元完善大雄禅寺和莲开净寺的建设。</w:t>
      </w:r>
      <w:r>
        <w:rPr>
          <w:rFonts w:hint="eastAsia" w:ascii="宋体" w:hAnsi="宋体"/>
        </w:rPr>
        <w:t>（</w:t>
      </w:r>
      <w:r>
        <w:rPr>
          <w:rFonts w:ascii="宋体" w:hAnsi="宋体"/>
        </w:rPr>
        <w:t>3）做好大雄禅寺</w:t>
      </w:r>
      <w:r>
        <w:rPr>
          <w:rFonts w:hint="eastAsia" w:ascii="宋体" w:hAnsi="宋体"/>
        </w:rPr>
        <w:t>“</w:t>
      </w:r>
      <w:r>
        <w:rPr>
          <w:rFonts w:ascii="宋体" w:hAnsi="宋体"/>
        </w:rPr>
        <w:t>三圣殿</w:t>
      </w:r>
      <w:r>
        <w:rPr>
          <w:rFonts w:hint="eastAsia" w:ascii="宋体" w:hAnsi="宋体"/>
        </w:rPr>
        <w:t>”</w:t>
      </w:r>
      <w:r>
        <w:rPr>
          <w:rFonts w:ascii="宋体" w:hAnsi="宋体"/>
        </w:rPr>
        <w:t>奠基工作。</w:t>
      </w:r>
      <w:r>
        <w:rPr>
          <w:rFonts w:hint="eastAsia" w:ascii="宋体" w:hAnsi="宋体"/>
        </w:rPr>
        <w:t>（</w:t>
      </w:r>
      <w:r>
        <w:rPr>
          <w:rFonts w:ascii="宋体" w:hAnsi="宋体"/>
        </w:rPr>
        <w:t>4）引导宗教与社会相适应。2006年莲开净</w:t>
      </w:r>
      <w:r>
        <w:rPr>
          <w:rFonts w:hint="eastAsia" w:ascii="宋体" w:hAnsi="宋体"/>
        </w:rPr>
        <w:t>寺、大雄禅寺、万善庵、洞真古观等宗教场所赈灾</w:t>
      </w:r>
      <w:r>
        <w:rPr>
          <w:rFonts w:ascii="宋体" w:hAnsi="宋体"/>
        </w:rPr>
        <w:t>21万元、大</w:t>
      </w:r>
      <w:r>
        <w:rPr>
          <w:rFonts w:hint="eastAsia" w:ascii="宋体" w:hAnsi="宋体"/>
        </w:rPr>
        <w:t>米</w:t>
      </w:r>
      <w:r>
        <w:rPr>
          <w:rFonts w:ascii="宋体" w:hAnsi="宋体"/>
        </w:rPr>
        <w:t>1000公斤、花生油500</w:t>
      </w:r>
      <w:r>
        <w:rPr>
          <w:rFonts w:hint="eastAsia" w:ascii="宋体" w:hAnsi="宋体"/>
        </w:rPr>
        <w:t>公斤及衣物一批，帮助受灾群众重建家园和帮助贫困学生。</w:t>
      </w:r>
      <w:r>
        <w:rPr>
          <w:rFonts w:ascii="宋体" w:hAnsi="宋体"/>
        </w:rPr>
        <w:t>2008年为四川地震灾区捐款5万元。</w:t>
      </w:r>
    </w:p>
    <w:p w14:paraId="2B541C46">
      <w:pPr>
        <w:pStyle w:val="4"/>
      </w:pPr>
      <w:r>
        <w:rPr>
          <w:rFonts w:hint="eastAsia"/>
        </w:rPr>
        <w:t>【非公有制领域统战工作】</w:t>
      </w:r>
    </w:p>
    <w:p w14:paraId="2D2AF1C5">
      <w:pPr>
        <w:ind w:firstLine="420"/>
        <w:rPr>
          <w:rFonts w:ascii="宋体" w:hAnsi="宋体"/>
        </w:rPr>
      </w:pPr>
      <w:r>
        <w:rPr>
          <w:rFonts w:hint="eastAsia" w:ascii="宋体" w:hAnsi="宋体"/>
        </w:rPr>
        <w:t>组织非公有制经济人士参加考察活动。四年来工商联多次组织非公经济代表人士到周边县市及珠三角地区开展民营经济发展的调研活动，了解外地发展民营经济的优惠政策和民营经济企业发展的新思路；</w:t>
      </w:r>
      <w:r>
        <w:rPr>
          <w:rFonts w:ascii="宋体" w:hAnsi="宋体"/>
        </w:rPr>
        <w:t>2006年通过做好会员的提名、</w:t>
      </w:r>
      <w:r>
        <w:rPr>
          <w:rFonts w:hint="eastAsia" w:ascii="宋体" w:hAnsi="宋体"/>
        </w:rPr>
        <w:t>推荐、考察和登记工作、改善会员结构，使一批有一定经济实力的有一定社会影响的非公有制经济人士加入工商联，</w:t>
      </w:r>
      <w:r>
        <w:rPr>
          <w:rFonts w:ascii="宋体" w:hAnsi="宋体"/>
        </w:rPr>
        <w:t>2010年全市</w:t>
      </w:r>
      <w:r>
        <w:rPr>
          <w:rFonts w:hint="eastAsia" w:ascii="宋体" w:hAnsi="宋体"/>
        </w:rPr>
        <w:t>已发展飞远</w:t>
      </w:r>
      <w:r>
        <w:rPr>
          <w:rFonts w:ascii="宋体" w:hAnsi="宋体"/>
        </w:rPr>
        <w:t>150人；坚持</w:t>
      </w:r>
      <w:r>
        <w:rPr>
          <w:rFonts w:hint="eastAsia" w:ascii="宋体" w:hAnsi="宋体"/>
        </w:rPr>
        <w:t>“</w:t>
      </w:r>
      <w:r>
        <w:rPr>
          <w:rFonts w:ascii="宋体" w:hAnsi="宋体"/>
        </w:rPr>
        <w:t>团结、教育、引导</w:t>
      </w:r>
      <w:r>
        <w:rPr>
          <w:rFonts w:hint="eastAsia" w:ascii="宋体" w:hAnsi="宋体"/>
        </w:rPr>
        <w:t>、帮助”的方针，发挥工商联的职能和桥梁纽带作用，引导非公有制经济健康发展，民营经济已成为南雄税收新的增长点；扎实开展光彩事业，</w:t>
      </w:r>
      <w:r>
        <w:rPr>
          <w:rFonts w:ascii="宋体" w:hAnsi="宋体"/>
        </w:rPr>
        <w:t>2010年3月工商联组织非公有制</w:t>
      </w:r>
      <w:r>
        <w:rPr>
          <w:rFonts w:hint="eastAsia" w:ascii="宋体" w:hAnsi="宋体"/>
        </w:rPr>
        <w:t>经济人士向青海玉树地震灾区捐款</w:t>
      </w:r>
      <w:r>
        <w:rPr>
          <w:rFonts w:ascii="宋体" w:hAnsi="宋体"/>
        </w:rPr>
        <w:t>14130元；</w:t>
      </w:r>
      <w:r>
        <w:rPr>
          <w:rFonts w:hint="eastAsia" w:ascii="宋体" w:hAnsi="宋体"/>
        </w:rPr>
        <w:t>重视非公有制经济人士的政治地位：工商联的韶关市、南雄市两级人大、政协人数不断增多，会员</w:t>
      </w:r>
      <w:r>
        <w:rPr>
          <w:rFonts w:ascii="宋体" w:hAnsi="宋体"/>
        </w:rPr>
        <w:t>4人当选韶关市、南雄市人大代</w:t>
      </w:r>
      <w:r>
        <w:rPr>
          <w:rFonts w:hint="eastAsia" w:ascii="宋体" w:hAnsi="宋体"/>
        </w:rPr>
        <w:t>表，会员和民营企业主</w:t>
      </w:r>
      <w:r>
        <w:rPr>
          <w:rFonts w:ascii="宋体" w:hAnsi="宋体"/>
        </w:rPr>
        <w:t>25人被推荐位南雄市</w:t>
      </w:r>
      <w:r>
        <w:rPr>
          <w:rFonts w:hint="eastAsia" w:ascii="宋体" w:hAnsi="宋体"/>
        </w:rPr>
        <w:t>政协委员，其中</w:t>
      </w:r>
      <w:r>
        <w:rPr>
          <w:rFonts w:ascii="宋体" w:hAnsi="宋体"/>
        </w:rPr>
        <w:t>2人任政协常委。5年来工商</w:t>
      </w:r>
      <w:r>
        <w:rPr>
          <w:rFonts w:hint="eastAsia" w:ascii="宋体" w:hAnsi="宋体"/>
        </w:rPr>
        <w:t>界人士共提交议案</w:t>
      </w:r>
      <w:r>
        <w:rPr>
          <w:rFonts w:ascii="宋体" w:hAnsi="宋体"/>
        </w:rPr>
        <w:t>60多件，10件被评为优秀</w:t>
      </w:r>
      <w:r>
        <w:rPr>
          <w:rFonts w:hint="eastAsia" w:ascii="宋体" w:hAnsi="宋体"/>
        </w:rPr>
        <w:t>提议案。</w:t>
      </w:r>
    </w:p>
    <w:p w14:paraId="69EA49AD">
      <w:pPr>
        <w:pStyle w:val="4"/>
      </w:pPr>
      <w:r>
        <w:rPr>
          <w:rFonts w:hint="eastAsia"/>
        </w:rPr>
        <w:t>【对台工作】</w:t>
      </w:r>
    </w:p>
    <w:p w14:paraId="73CC162F">
      <w:pPr>
        <w:ind w:firstLine="420"/>
        <w:rPr>
          <w:rFonts w:ascii="宋体" w:hAnsi="宋体"/>
        </w:rPr>
      </w:pPr>
      <w:r>
        <w:rPr>
          <w:rFonts w:hint="eastAsia" w:ascii="宋体" w:hAnsi="宋体"/>
        </w:rPr>
        <w:t>（</w:t>
      </w:r>
      <w:r>
        <w:rPr>
          <w:rFonts w:ascii="宋体" w:hAnsi="宋体"/>
        </w:rPr>
        <w:t>1）开展送温暖活动每年</w:t>
      </w:r>
      <w:r>
        <w:rPr>
          <w:rFonts w:hint="eastAsia" w:ascii="宋体" w:hAnsi="宋体"/>
        </w:rPr>
        <w:t>春节，由台办主任带队到台胞家属家中开展送温暖活动。（</w:t>
      </w:r>
      <w:r>
        <w:rPr>
          <w:rFonts w:ascii="宋体" w:hAnsi="宋体"/>
        </w:rPr>
        <w:t>2）做好对台招商引资工作</w:t>
      </w:r>
      <w:r>
        <w:rPr>
          <w:rFonts w:hint="eastAsia" w:ascii="宋体" w:hAnsi="宋体"/>
        </w:rPr>
        <w:t>。围绕“建设粤北门户城市”这一主题，向台商积极推介南雄招商引资环境和有关项目。（</w:t>
      </w:r>
      <w:r>
        <w:rPr>
          <w:rFonts w:ascii="宋体" w:hAnsi="宋体"/>
        </w:rPr>
        <w:t>3）做好有关台胞台属的事务工作，积极维</w:t>
      </w:r>
      <w:r>
        <w:rPr>
          <w:rFonts w:hint="eastAsia" w:ascii="宋体" w:hAnsi="宋体"/>
        </w:rPr>
        <w:t>护台湾同胞利益，热情接待返南雄探亲的台胞。五年来，台胞捐款修桥筑路、支援亲戚经商、发展生产、购建住房等发展各项社会事业资金</w:t>
      </w:r>
      <w:r>
        <w:rPr>
          <w:rFonts w:ascii="宋体" w:hAnsi="宋体"/>
        </w:rPr>
        <w:t>2000多万元。台办为台胞台属办理</w:t>
      </w:r>
      <w:r>
        <w:rPr>
          <w:rFonts w:hint="eastAsia" w:ascii="宋体" w:hAnsi="宋体"/>
        </w:rPr>
        <w:t>子女入学、遗产继承、房屋拆迁、赴台探亲、寻根问祖等实事</w:t>
      </w:r>
      <w:r>
        <w:rPr>
          <w:rFonts w:ascii="宋体" w:hAnsi="宋体"/>
        </w:rPr>
        <w:t>150余件。协调解决宇辰竹</w:t>
      </w:r>
      <w:r>
        <w:rPr>
          <w:rFonts w:hint="eastAsia" w:ascii="宋体" w:hAnsi="宋体"/>
        </w:rPr>
        <w:t>艺香品有限公司厂房搬迁补偿纠纷和正勤手袋厂闲置地处理等问题。</w:t>
      </w:r>
    </w:p>
    <w:p w14:paraId="57CC976E">
      <w:pPr>
        <w:pStyle w:val="4"/>
      </w:pPr>
      <w:r>
        <w:rPr>
          <w:rFonts w:hint="eastAsia"/>
        </w:rPr>
        <w:t>【侨联工作】</w:t>
      </w:r>
    </w:p>
    <w:p w14:paraId="64C8215B">
      <w:pPr>
        <w:ind w:firstLine="420"/>
        <w:rPr>
          <w:rFonts w:ascii="宋体" w:hAnsi="宋体"/>
        </w:rPr>
      </w:pPr>
      <w:r>
        <w:rPr>
          <w:rFonts w:hint="eastAsia" w:ascii="宋体" w:hAnsi="宋体"/>
        </w:rPr>
        <w:t>（</w:t>
      </w:r>
      <w:r>
        <w:rPr>
          <w:rFonts w:ascii="宋体" w:hAnsi="宋体"/>
        </w:rPr>
        <w:t>1）市侨联认真履行职责，</w:t>
      </w:r>
      <w:r>
        <w:rPr>
          <w:rFonts w:hint="eastAsia" w:ascii="宋体" w:hAnsi="宋体"/>
        </w:rPr>
        <w:t>维护华侨华人、港澳同胞和归侨侨眷的合法利益，为侨胞献爱心、办好事、做实事，为他们排忧解难。五年来，先后为侨胞、港澳同胞办好事、做实事</w:t>
      </w:r>
      <w:r>
        <w:rPr>
          <w:rFonts w:ascii="宋体" w:hAnsi="宋体"/>
        </w:rPr>
        <w:t>16件。（2）加强对外联</w:t>
      </w:r>
      <w:r>
        <w:rPr>
          <w:rFonts w:hint="eastAsia" w:ascii="宋体" w:hAnsi="宋体"/>
        </w:rPr>
        <w:t>谊联系工作。五年来，侨联多次参加港澳和海外侨团举办庆典活动，同时，接待来雄参观考察和寻根为主的团组</w:t>
      </w:r>
      <w:r>
        <w:rPr>
          <w:rFonts w:ascii="宋体" w:hAnsi="宋体"/>
        </w:rPr>
        <w:t>48个，478人次，</w:t>
      </w:r>
      <w:r>
        <w:rPr>
          <w:rFonts w:hint="eastAsia" w:ascii="宋体" w:hAnsi="宋体"/>
        </w:rPr>
        <w:t>进一步密切与侨团、社团组织和华侨华人、港澳同胞的联系，扩大共识，增强交流与合作。</w:t>
      </w:r>
    </w:p>
    <w:p w14:paraId="37D2FB5B">
      <w:pPr>
        <w:ind w:firstLine="420"/>
        <w:rPr>
          <w:rFonts w:ascii="宋体" w:hAnsi="宋体"/>
        </w:rPr>
      </w:pPr>
      <w:r>
        <w:rPr>
          <w:rFonts w:hint="eastAsia" w:ascii="宋体" w:hAnsi="宋体"/>
        </w:rPr>
        <w:t>海外统战工作（</w:t>
      </w:r>
      <w:r>
        <w:rPr>
          <w:rFonts w:ascii="宋体" w:hAnsi="宋体"/>
        </w:rPr>
        <w:t>1）加强了与海外珠玑巷</w:t>
      </w:r>
      <w:r>
        <w:rPr>
          <w:rFonts w:hint="eastAsia" w:ascii="宋体" w:hAnsi="宋体"/>
        </w:rPr>
        <w:t>后裔的联谊。根据珠玑巷后裔联谊会的工作思路，做好港、澳及海外社团的交流工作。五年来，该部采取“走出去，请进来”的方式，联系和接待港、澳、珠三角各地友人参加南雄市有关招商引资、文化交流、联谊活动等</w:t>
      </w:r>
      <w:r>
        <w:rPr>
          <w:rFonts w:ascii="宋体" w:hAnsi="宋体"/>
        </w:rPr>
        <w:t>10多次，接待来雄调研、参观考察、捐</w:t>
      </w:r>
      <w:r>
        <w:rPr>
          <w:rFonts w:hint="eastAsia" w:ascii="宋体" w:hAnsi="宋体"/>
        </w:rPr>
        <w:t>助社会文化、教育事业及旅游观光等有关人士和团体</w:t>
      </w:r>
      <w:r>
        <w:rPr>
          <w:rFonts w:ascii="宋体" w:hAnsi="宋体"/>
        </w:rPr>
        <w:t>108批2300人次。2008年11月，</w:t>
      </w:r>
      <w:r>
        <w:rPr>
          <w:rFonts w:hint="eastAsia" w:ascii="宋体" w:hAnsi="宋体"/>
        </w:rPr>
        <w:t>协助广东南雄珠玑巷后裔联谊会做好在广州举行的第四届理事会换届大会。（</w:t>
      </w:r>
      <w:r>
        <w:rPr>
          <w:rFonts w:ascii="宋体" w:hAnsi="宋体"/>
        </w:rPr>
        <w:t>2）发挥海</w:t>
      </w:r>
      <w:r>
        <w:rPr>
          <w:rFonts w:hint="eastAsia" w:ascii="宋体" w:hAnsi="宋体"/>
        </w:rPr>
        <w:t>外统战工作优势，做好招商引资工作。五年来，该部引资</w:t>
      </w:r>
      <w:r>
        <w:rPr>
          <w:rFonts w:ascii="宋体" w:hAnsi="宋体"/>
        </w:rPr>
        <w:t>2000多万元。帮助少数民族村</w:t>
      </w:r>
      <w:r>
        <w:rPr>
          <w:rFonts w:hint="eastAsia" w:ascii="宋体" w:hAnsi="宋体"/>
        </w:rPr>
        <w:t>修路；兴建黄坑中学交流中心和学生宿舍楼；建设南雄中学教学楼和体育馆。（</w:t>
      </w:r>
      <w:r>
        <w:rPr>
          <w:rFonts w:ascii="宋体" w:hAnsi="宋体"/>
        </w:rPr>
        <w:t>3）通过加</w:t>
      </w:r>
      <w:r>
        <w:rPr>
          <w:rFonts w:hint="eastAsia" w:ascii="宋体" w:hAnsi="宋体"/>
        </w:rPr>
        <w:t>强联谊，争取珠玑巷后裔热心人士支持南雄发展社会公益事业。如引进资金</w:t>
      </w:r>
      <w:r>
        <w:rPr>
          <w:rFonts w:ascii="宋体" w:hAnsi="宋体"/>
        </w:rPr>
        <w:t>85万元兴建</w:t>
      </w:r>
      <w:r>
        <w:rPr>
          <w:rFonts w:hint="eastAsia" w:ascii="宋体" w:hAnsi="宋体"/>
        </w:rPr>
        <w:t>了乌迳镇长龙小学教学楼、黎灿学校图书馆等；帮助南雄中学、黄坑中学引进价值</w:t>
      </w:r>
      <w:r>
        <w:rPr>
          <w:rFonts w:ascii="宋体" w:hAnsi="宋体"/>
        </w:rPr>
        <w:t>27万</w:t>
      </w:r>
      <w:r>
        <w:rPr>
          <w:rFonts w:hint="eastAsia" w:ascii="宋体" w:hAnsi="宋体"/>
        </w:rPr>
        <w:t>元的校服</w:t>
      </w:r>
      <w:r>
        <w:rPr>
          <w:rFonts w:ascii="宋体" w:hAnsi="宋体"/>
        </w:rPr>
        <w:t>1500套、扶贫助学金5万元；帮助</w:t>
      </w:r>
      <w:r>
        <w:rPr>
          <w:rFonts w:hint="eastAsia" w:ascii="宋体" w:hAnsi="宋体"/>
        </w:rPr>
        <w:t>南雄中学、新城中学、界址中学引进价值</w:t>
      </w:r>
      <w:r>
        <w:rPr>
          <w:rFonts w:ascii="宋体" w:hAnsi="宋体"/>
        </w:rPr>
        <w:t>80</w:t>
      </w:r>
      <w:r>
        <w:rPr>
          <w:rFonts w:hint="eastAsia" w:ascii="宋体" w:hAnsi="宋体"/>
        </w:rPr>
        <w:t>万元的图书</w:t>
      </w:r>
      <w:r>
        <w:rPr>
          <w:rFonts w:ascii="宋体" w:hAnsi="宋体"/>
        </w:rPr>
        <w:t>5100册；帮助采茶剧团引进资金8万元赴澳门演出。四是引进资金2000万元，</w:t>
      </w:r>
      <w:r>
        <w:rPr>
          <w:rFonts w:hint="eastAsia" w:ascii="宋体" w:hAnsi="宋体"/>
        </w:rPr>
        <w:t>兴建莲开净寺放生池和大雄禅寺千佛殿，西方三圣殿。（</w:t>
      </w:r>
      <w:r>
        <w:rPr>
          <w:rFonts w:ascii="宋体" w:hAnsi="宋体"/>
        </w:rPr>
        <w:t>4）联系发动港澳知名人士筹集</w:t>
      </w:r>
      <w:r>
        <w:rPr>
          <w:rFonts w:hint="eastAsia" w:ascii="宋体" w:hAnsi="宋体"/>
        </w:rPr>
        <w:t>资金</w:t>
      </w:r>
      <w:r>
        <w:rPr>
          <w:rFonts w:ascii="宋体" w:hAnsi="宋体"/>
        </w:rPr>
        <w:t>600万元，用于《千年珠玑》的拍摄和</w:t>
      </w:r>
      <w:r>
        <w:rPr>
          <w:rFonts w:hint="eastAsia" w:ascii="宋体" w:hAnsi="宋体"/>
        </w:rPr>
        <w:t>发行工作。（</w:t>
      </w:r>
      <w:r>
        <w:rPr>
          <w:rFonts w:ascii="宋体" w:hAnsi="宋体"/>
        </w:rPr>
        <w:t>5）认真做好专项工作。五年来，</w:t>
      </w:r>
      <w:r>
        <w:rPr>
          <w:rFonts w:hint="eastAsia" w:ascii="宋体" w:hAnsi="宋体"/>
        </w:rPr>
        <w:t>联系联络江门同乡会、香港李氏宗亲会等</w:t>
      </w:r>
      <w:r>
        <w:rPr>
          <w:rFonts w:ascii="宋体" w:hAnsi="宋体"/>
        </w:rPr>
        <w:t>11</w:t>
      </w:r>
      <w:r>
        <w:rPr>
          <w:rFonts w:hint="eastAsia" w:ascii="宋体" w:hAnsi="宋体"/>
        </w:rPr>
        <w:t>个社团；接待邀请香港美力集团伍绮文，香港王锦辉慈善基金会副主席周金生、香港广高公司总经理黄慧琼以及香港热心人士卢道平、唐可华等</w:t>
      </w:r>
      <w:r>
        <w:rPr>
          <w:rFonts w:ascii="宋体" w:hAnsi="宋体"/>
        </w:rPr>
        <w:t>8批69人次到南雄观光旅游。</w:t>
      </w:r>
    </w:p>
    <w:p w14:paraId="70E1A0E3">
      <w:pPr>
        <w:ind w:firstLine="420"/>
        <w:jc w:val="right"/>
        <w:rPr>
          <w:rFonts w:ascii="宋体" w:hAnsi="宋体"/>
        </w:rPr>
      </w:pPr>
      <w:r>
        <w:rPr>
          <w:rFonts w:hint="eastAsia" w:ascii="宋体" w:hAnsi="宋体"/>
        </w:rPr>
        <w:t>（董祖明  华春君）</w:t>
      </w:r>
    </w:p>
    <w:p w14:paraId="611715F9">
      <w:pPr>
        <w:ind w:firstLine="422"/>
        <w:rPr>
          <w:rFonts w:ascii="宋体" w:hAnsi="宋体"/>
          <w:b/>
        </w:rPr>
      </w:pPr>
      <w:r>
        <w:rPr>
          <w:rFonts w:hint="eastAsia" w:ascii="宋体" w:hAnsi="宋体"/>
          <w:b/>
        </w:rPr>
        <w:t>附：</w:t>
      </w:r>
      <w:r>
        <w:rPr>
          <w:rFonts w:ascii="宋体" w:hAnsi="宋体"/>
          <w:b/>
        </w:rPr>
        <w:t>2010年统战部领导班子成员名单</w:t>
      </w:r>
    </w:p>
    <w:p w14:paraId="1DE94550">
      <w:pPr>
        <w:ind w:firstLine="420"/>
        <w:rPr>
          <w:rFonts w:ascii="宋体" w:hAnsi="宋体"/>
        </w:rPr>
      </w:pPr>
      <w:r>
        <w:rPr>
          <w:rFonts w:hint="eastAsia" w:ascii="宋体" w:hAnsi="宋体"/>
        </w:rPr>
        <w:t>部长：周济辉（兼）</w:t>
      </w:r>
    </w:p>
    <w:p w14:paraId="3143A66E">
      <w:pPr>
        <w:ind w:firstLine="420"/>
        <w:rPr>
          <w:rFonts w:ascii="宋体" w:hAnsi="宋体"/>
        </w:rPr>
      </w:pPr>
      <w:r>
        <w:rPr>
          <w:rFonts w:hint="eastAsia" w:ascii="宋体" w:hAnsi="宋体"/>
        </w:rPr>
        <w:t>副部长、民宗局局长、工会主席：董祖明</w:t>
      </w:r>
    </w:p>
    <w:p w14:paraId="664B3AF7">
      <w:pPr>
        <w:ind w:firstLine="420"/>
        <w:rPr>
          <w:rFonts w:ascii="宋体" w:hAnsi="宋体"/>
        </w:rPr>
      </w:pPr>
      <w:r>
        <w:rPr>
          <w:rFonts w:hint="eastAsia" w:ascii="宋体" w:hAnsi="宋体"/>
        </w:rPr>
        <w:t>副部长：陈  烈</w:t>
      </w:r>
    </w:p>
    <w:p w14:paraId="6B4D3645">
      <w:pPr>
        <w:ind w:firstLine="420"/>
        <w:rPr>
          <w:rFonts w:ascii="宋体" w:hAnsi="宋体"/>
        </w:rPr>
      </w:pPr>
      <w:r>
        <w:rPr>
          <w:rFonts w:hint="eastAsia" w:ascii="宋体" w:hAnsi="宋体"/>
        </w:rPr>
        <w:t>纪检组长：陈龙妹</w:t>
      </w:r>
    </w:p>
    <w:p w14:paraId="7592BE05">
      <w:pPr>
        <w:ind w:firstLine="420"/>
        <w:rPr>
          <w:rFonts w:ascii="宋体" w:hAnsi="宋体"/>
        </w:rPr>
      </w:pPr>
      <w:r>
        <w:rPr>
          <w:rFonts w:hint="eastAsia" w:ascii="宋体" w:hAnsi="宋体"/>
        </w:rPr>
        <w:t>工商联主席：黄  霄</w:t>
      </w:r>
    </w:p>
    <w:p w14:paraId="30A80516">
      <w:pPr>
        <w:ind w:firstLine="420"/>
        <w:rPr>
          <w:rFonts w:ascii="宋体" w:hAnsi="宋体"/>
        </w:rPr>
      </w:pPr>
      <w:r>
        <w:rPr>
          <w:rFonts w:hint="eastAsia" w:ascii="宋体" w:hAnsi="宋体"/>
        </w:rPr>
        <w:t>侨联副主席：曾  华</w:t>
      </w:r>
    </w:p>
    <w:p w14:paraId="4C1B6A37">
      <w:pPr>
        <w:pStyle w:val="3"/>
      </w:pPr>
      <w:r>
        <w:rPr>
          <w:rFonts w:hint="eastAsia"/>
        </w:rPr>
        <w:t>对台工作</w:t>
      </w:r>
    </w:p>
    <w:p w14:paraId="6FF92098">
      <w:pPr>
        <w:pStyle w:val="4"/>
      </w:pPr>
      <w:r>
        <w:rPr>
          <w:rFonts w:hint="eastAsia"/>
        </w:rPr>
        <w:t>【概况】</w:t>
      </w:r>
    </w:p>
    <w:p w14:paraId="5A1DDCB5">
      <w:pPr>
        <w:ind w:firstLine="420"/>
        <w:rPr>
          <w:rFonts w:ascii="宋体" w:hAnsi="宋体"/>
        </w:rPr>
      </w:pPr>
      <w:r>
        <w:rPr>
          <w:rFonts w:hint="eastAsia" w:ascii="宋体" w:hAnsi="宋体"/>
        </w:rPr>
        <w:t>中共南雄市委台湾工作办公室、南雄市人民政府台湾事务办公室（一个机构两块牌子，以下简称对台办）设在市委统战部，是市委、市政府主管对台工作的办事机构，负责全市涉台事务工作。</w:t>
      </w:r>
    </w:p>
    <w:p w14:paraId="4636C3C2">
      <w:pPr>
        <w:pStyle w:val="4"/>
      </w:pPr>
      <w:r>
        <w:rPr>
          <w:rFonts w:hint="eastAsia"/>
        </w:rPr>
        <w:t>【涉台工作能力】</w:t>
      </w:r>
    </w:p>
    <w:p w14:paraId="742B5EA3">
      <w:pPr>
        <w:ind w:firstLine="420"/>
        <w:rPr>
          <w:rFonts w:ascii="宋体" w:hAnsi="宋体"/>
        </w:rPr>
      </w:pPr>
      <w:r>
        <w:rPr>
          <w:rFonts w:hint="eastAsia" w:ascii="宋体" w:hAnsi="宋体"/>
        </w:rPr>
        <w:t>不断增强政治责任感，迎难而上，奋发努力，提高对台工作的政治敏感性，保持清醒的政治头脑。无论是在接待台胞，招商引资，交流交往等具体台务工作中，我们都不拿原则做交易，坚定不移地贯彻执行一个中国的原则，反“台独”、反“分裂”牢牢掌握两岸关系和平发展的主轴。</w:t>
      </w:r>
    </w:p>
    <w:p w14:paraId="45B2D532">
      <w:pPr>
        <w:pStyle w:val="4"/>
      </w:pPr>
      <w:r>
        <w:rPr>
          <w:rFonts w:hint="eastAsia"/>
        </w:rPr>
        <w:t>【涉台服务】</w:t>
      </w:r>
    </w:p>
    <w:p w14:paraId="09363677">
      <w:pPr>
        <w:ind w:firstLine="420"/>
        <w:rPr>
          <w:rFonts w:ascii="宋体" w:hAnsi="宋体"/>
        </w:rPr>
      </w:pPr>
      <w:r>
        <w:rPr>
          <w:rFonts w:hint="eastAsia" w:ascii="宋体" w:hAnsi="宋体"/>
        </w:rPr>
        <w:t>一是对台交往和联络工作取得新进展，台胞接待率达</w:t>
      </w:r>
      <w:r>
        <w:rPr>
          <w:rFonts w:ascii="宋体" w:hAnsi="宋体"/>
        </w:rPr>
        <w:t>100%。每年春节，由</w:t>
      </w:r>
      <w:r>
        <w:rPr>
          <w:rFonts w:hint="eastAsia" w:ascii="宋体" w:hAnsi="宋体"/>
        </w:rPr>
        <w:t>台办主任带队到台胞台属家中开展送温暖活动。</w:t>
      </w:r>
      <w:r>
        <w:rPr>
          <w:rFonts w:ascii="宋体" w:hAnsi="宋体"/>
        </w:rPr>
        <w:t>5年来，台胞捐修桥筑路、支援亲戚经</w:t>
      </w:r>
      <w:r>
        <w:rPr>
          <w:rFonts w:hint="eastAsia" w:ascii="宋体" w:hAnsi="宋体"/>
        </w:rPr>
        <w:t>商、发展生产、购建住房等发展各项社会事业资金</w:t>
      </w:r>
      <w:r>
        <w:rPr>
          <w:rFonts w:ascii="宋体" w:hAnsi="宋体"/>
        </w:rPr>
        <w:t>2000多万元。二是全心全意为台属服</w:t>
      </w:r>
      <w:r>
        <w:rPr>
          <w:rFonts w:hint="eastAsia" w:ascii="宋体" w:hAnsi="宋体"/>
        </w:rPr>
        <w:t>务，着力为台属排忧解难。</w:t>
      </w:r>
      <w:r>
        <w:rPr>
          <w:rFonts w:ascii="宋体" w:hAnsi="宋体"/>
        </w:rPr>
        <w:t>5年来，为台胞台</w:t>
      </w:r>
      <w:r>
        <w:rPr>
          <w:rFonts w:hint="eastAsia" w:ascii="宋体" w:hAnsi="宋体"/>
        </w:rPr>
        <w:t>属办理子女入学、遗产继承、房屋拆迁、赴台探亲、寻根问祖等实事</w:t>
      </w:r>
      <w:r>
        <w:rPr>
          <w:rFonts w:ascii="宋体" w:hAnsi="宋体"/>
        </w:rPr>
        <w:t>150余件。协调解</w:t>
      </w:r>
      <w:r>
        <w:rPr>
          <w:rFonts w:hint="eastAsia" w:ascii="宋体" w:hAnsi="宋体"/>
        </w:rPr>
        <w:t>决宇辰竹艺香品有限公司厂房搬迁补偿纠纷和正勤手袋厂闲置地处理等问题。三是做好对台招商引资工作，围绕“建设粤北门户城市”这一主题，向台商积极推介南雄招商引资环境和有关项目。</w:t>
      </w:r>
    </w:p>
    <w:p w14:paraId="278B1A2D">
      <w:pPr>
        <w:ind w:firstLine="420"/>
        <w:jc w:val="right"/>
        <w:rPr>
          <w:rFonts w:ascii="宋体" w:hAnsi="宋体"/>
        </w:rPr>
      </w:pPr>
      <w:r>
        <w:rPr>
          <w:rFonts w:hint="eastAsia" w:ascii="宋体" w:hAnsi="宋体"/>
        </w:rPr>
        <w:t>（董祖明  华春君）</w:t>
      </w:r>
    </w:p>
    <w:p w14:paraId="2AD6F34A">
      <w:pPr>
        <w:pStyle w:val="3"/>
      </w:pPr>
      <w:r>
        <w:rPr>
          <w:rFonts w:hint="eastAsia"/>
        </w:rPr>
        <w:t>市直机关工委工作</w:t>
      </w:r>
    </w:p>
    <w:p w14:paraId="63CEBFFF">
      <w:pPr>
        <w:pStyle w:val="4"/>
      </w:pPr>
      <w:r>
        <w:rPr>
          <w:rFonts w:hint="eastAsia"/>
        </w:rPr>
        <w:t>【概况】</w:t>
      </w:r>
    </w:p>
    <w:p w14:paraId="2F3D50D0">
      <w:pPr>
        <w:ind w:firstLine="420"/>
        <w:rPr>
          <w:rFonts w:ascii="宋体" w:hAnsi="宋体"/>
        </w:rPr>
      </w:pPr>
      <w:r>
        <w:rPr>
          <w:rFonts w:hint="eastAsia" w:ascii="宋体" w:hAnsi="宋体"/>
        </w:rPr>
        <w:t>中共南雄市直属机关工作委员会系市委的派出机构，目前主要负责规划市直机关党的建设，分类指导市直行政、事业单位和有关企业单位党务工作，抓好党的思想、组织、作风、制度和反腐倡廉建设等</w:t>
      </w:r>
      <w:r>
        <w:rPr>
          <w:rFonts w:ascii="宋体" w:hAnsi="宋体"/>
        </w:rPr>
        <w:t>11项职</w:t>
      </w:r>
      <w:r>
        <w:rPr>
          <w:rFonts w:hint="eastAsia" w:ascii="宋体" w:hAnsi="宋体"/>
        </w:rPr>
        <w:t>能。</w:t>
      </w:r>
      <w:r>
        <w:rPr>
          <w:rFonts w:ascii="宋体" w:hAnsi="宋体"/>
        </w:rPr>
        <w:t>2010年工委所辖党总支28个、牵头负责</w:t>
      </w:r>
      <w:r>
        <w:rPr>
          <w:rFonts w:hint="eastAsia" w:ascii="宋体" w:hAnsi="宋体"/>
        </w:rPr>
        <w:t>单位</w:t>
      </w:r>
      <w:r>
        <w:rPr>
          <w:rFonts w:ascii="宋体" w:hAnsi="宋体"/>
        </w:rPr>
        <w:t>9个；党支部222个；党员3680名，其</w:t>
      </w:r>
      <w:r>
        <w:rPr>
          <w:rFonts w:hint="eastAsia" w:ascii="宋体" w:hAnsi="宋体"/>
        </w:rPr>
        <w:t>中女党员</w:t>
      </w:r>
      <w:r>
        <w:rPr>
          <w:rFonts w:ascii="宋体" w:hAnsi="宋体"/>
        </w:rPr>
        <w:t>690多名；在职党员2150多名，60</w:t>
      </w:r>
      <w:r>
        <w:rPr>
          <w:rFonts w:hint="eastAsia" w:ascii="宋体" w:hAnsi="宋体"/>
        </w:rPr>
        <w:t>岁以上党员</w:t>
      </w:r>
      <w:r>
        <w:rPr>
          <w:rFonts w:ascii="宋体" w:hAnsi="宋体"/>
        </w:rPr>
        <w:t>1070多名</w:t>
      </w:r>
      <w:r>
        <w:rPr>
          <w:rFonts w:hint="eastAsia" w:ascii="宋体" w:hAnsi="宋体"/>
        </w:rPr>
        <w:t>。</w:t>
      </w:r>
    </w:p>
    <w:p w14:paraId="2E958DEF">
      <w:pPr>
        <w:pStyle w:val="4"/>
      </w:pPr>
      <w:r>
        <w:rPr>
          <w:rFonts w:hint="eastAsia"/>
        </w:rPr>
        <w:t>【开展解放思想深化改革学习讨论】</w:t>
      </w:r>
    </w:p>
    <w:p w14:paraId="67FA3397">
      <w:pPr>
        <w:ind w:firstLine="420"/>
        <w:rPr>
          <w:rFonts w:ascii="宋体" w:hAnsi="宋体"/>
        </w:rPr>
      </w:pPr>
      <w:r>
        <w:rPr>
          <w:rFonts w:hint="eastAsia" w:ascii="宋体" w:hAnsi="宋体"/>
        </w:rPr>
        <w:t>机关各单位党组织按照市委开展解放思想大学习大讨论活动的部署要求，认真组织开展调查研究，着力查找制约机关党建工作发展的思想障碍和体制障碍，研究制定本单位通过解放思想推动科学发展的具体意见，市直工委在抓好机关党建工作的同时，解放思想，打破为抓党建而抓党建，围绕市委中心工作，开展招商引资工作，积极报送有价值的招商引资信息，以情招商，引进南雄市瑞特斯电子有限公司（外资企业），促进南雄经济发展。</w:t>
      </w:r>
    </w:p>
    <w:p w14:paraId="43426692">
      <w:pPr>
        <w:pStyle w:val="4"/>
      </w:pPr>
      <w:r>
        <w:rPr>
          <w:rFonts w:hint="eastAsia"/>
        </w:rPr>
        <w:t>【加强思想政治建设】</w:t>
      </w:r>
    </w:p>
    <w:p w14:paraId="00E7EBD4">
      <w:pPr>
        <w:ind w:firstLine="420"/>
        <w:rPr>
          <w:rFonts w:ascii="宋体" w:hAnsi="宋体"/>
        </w:rPr>
      </w:pPr>
      <w:r>
        <w:rPr>
          <w:rFonts w:hint="eastAsia" w:ascii="宋体" w:hAnsi="宋体"/>
        </w:rPr>
        <w:t>根据南雄市委组织部</w:t>
      </w:r>
      <w:r>
        <w:rPr>
          <w:rFonts w:ascii="宋体" w:hAnsi="宋体"/>
        </w:rPr>
        <w:t>5月份下发的《南雄市机关党建工作目标管理</w:t>
      </w:r>
      <w:r>
        <w:rPr>
          <w:rFonts w:hint="eastAsia" w:ascii="宋体" w:hAnsi="宋体"/>
        </w:rPr>
        <w:t>责任制（试行）》的要求，工委及时将文件印发到每个支部，要求党总支和支部务必严格按照《南雄市机关党建工作目标管理责任制（试行）》的要求认真抓好落实、抓出成效。通过组织部的有力指导，工委层层动员、层层落实，精心组织、完善措施及抓好示范单位建设、抓好督促检查和抓好经验交流等方式方法，《南雄市机关党建工作目标管理责任制（试行）》在工委系统得到了有力的贯彻落实，使机关党建工作呈现四个明显进步和提高：</w:t>
      </w:r>
    </w:p>
    <w:p w14:paraId="681CB8DC">
      <w:pPr>
        <w:ind w:firstLine="420"/>
        <w:rPr>
          <w:rFonts w:ascii="宋体" w:hAnsi="宋体"/>
        </w:rPr>
      </w:pPr>
      <w:r>
        <w:rPr>
          <w:rFonts w:ascii="宋体" w:hAnsi="宋体"/>
        </w:rPr>
        <w:t>1、机关党组织书记</w:t>
      </w:r>
      <w:r>
        <w:rPr>
          <w:rFonts w:hint="eastAsia" w:ascii="宋体" w:hAnsi="宋体"/>
        </w:rPr>
        <w:t>“</w:t>
      </w:r>
      <w:r>
        <w:rPr>
          <w:rFonts w:ascii="宋体" w:hAnsi="宋体"/>
        </w:rPr>
        <w:t>主业</w:t>
      </w:r>
      <w:r>
        <w:rPr>
          <w:rFonts w:hint="eastAsia" w:ascii="宋体" w:hAnsi="宋体"/>
        </w:rPr>
        <w:t>”</w:t>
      </w:r>
      <w:r>
        <w:rPr>
          <w:rFonts w:ascii="宋体" w:hAnsi="宋体"/>
        </w:rPr>
        <w:t>意识明显。</w:t>
      </w:r>
      <w:r>
        <w:rPr>
          <w:rFonts w:hint="eastAsia" w:ascii="宋体" w:hAnsi="宋体"/>
        </w:rPr>
        <w:t>党组织书记普遍由行政一把手担任，绝大部分党组织党建经费都能按规定要求达到</w:t>
      </w:r>
      <w:r>
        <w:rPr>
          <w:rFonts w:ascii="宋体" w:hAnsi="宋体"/>
        </w:rPr>
        <w:t>3000</w:t>
      </w:r>
      <w:r>
        <w:rPr>
          <w:rFonts w:hint="eastAsia" w:ascii="宋体" w:hAnsi="宋体"/>
        </w:rPr>
        <w:t>元以上或工资总额的</w:t>
      </w:r>
      <w:r>
        <w:rPr>
          <w:rFonts w:ascii="宋体" w:hAnsi="宋体"/>
        </w:rPr>
        <w:t>1%以上，能关心、过问</w:t>
      </w:r>
      <w:r>
        <w:rPr>
          <w:rFonts w:hint="eastAsia" w:ascii="宋体" w:hAnsi="宋体"/>
        </w:rPr>
        <w:t>党建工作，每年上党课</w:t>
      </w:r>
      <w:r>
        <w:rPr>
          <w:rFonts w:ascii="宋体" w:hAnsi="宋体"/>
        </w:rPr>
        <w:t>1次以上</w:t>
      </w:r>
      <w:r>
        <w:rPr>
          <w:rFonts w:hint="eastAsia" w:ascii="宋体" w:hAnsi="宋体"/>
        </w:rPr>
        <w:t>。</w:t>
      </w:r>
    </w:p>
    <w:p w14:paraId="1A203C37">
      <w:pPr>
        <w:ind w:firstLine="420"/>
        <w:rPr>
          <w:rFonts w:ascii="宋体" w:hAnsi="宋体"/>
        </w:rPr>
      </w:pPr>
      <w:r>
        <w:rPr>
          <w:rFonts w:ascii="宋体" w:hAnsi="宋体"/>
        </w:rPr>
        <w:t>2、开展形式多样的教育活动。工委和市</w:t>
      </w:r>
      <w:r>
        <w:rPr>
          <w:rFonts w:hint="eastAsia" w:ascii="宋体" w:hAnsi="宋体"/>
        </w:rPr>
        <w:t>直机关各级党组织坚持开展多种形式党员教育，通过举办党的十七届五中全会精神报告会、先进人物事迹报告会、文明礼仪进机关、廉政文化进机关及建党</w:t>
      </w:r>
      <w:r>
        <w:rPr>
          <w:rFonts w:ascii="宋体" w:hAnsi="宋体"/>
        </w:rPr>
        <w:t>89周年活动、党员领</w:t>
      </w:r>
      <w:r>
        <w:rPr>
          <w:rFonts w:hint="eastAsia" w:ascii="宋体" w:hAnsi="宋体"/>
        </w:rPr>
        <w:t>导干部讲党课等多种形式的学习教育活动，使广大党员干部进一步认清形势，统一思想，振奋精神，凝聚力量。</w:t>
      </w:r>
    </w:p>
    <w:p w14:paraId="3EAD4AF1">
      <w:pPr>
        <w:ind w:firstLine="420"/>
        <w:rPr>
          <w:rFonts w:ascii="宋体" w:hAnsi="宋体"/>
        </w:rPr>
      </w:pPr>
      <w:r>
        <w:rPr>
          <w:rFonts w:ascii="宋体" w:hAnsi="宋体"/>
        </w:rPr>
        <w:t>3、抓好党务干部教育培训。工委能定期</w:t>
      </w:r>
      <w:r>
        <w:rPr>
          <w:rFonts w:hint="eastAsia" w:ascii="宋体" w:hAnsi="宋体"/>
        </w:rPr>
        <w:t>举办机关党务干部培训班，邀请有关方面的领导和老师，围绕新时期党建基本理论、《中国共产党党和国家机关基层组织工作条例》、党务工作基本常识和方法等专题，深入浅出地给党务干部授课，重点帮助他们解决履行职责和善于履行职责的问题，全面提升其实际工作能力。</w:t>
      </w:r>
      <w:r>
        <w:rPr>
          <w:rFonts w:ascii="宋体" w:hAnsi="宋体"/>
        </w:rPr>
        <w:t>2010年先后举办党组织书记、</w:t>
      </w:r>
      <w:r>
        <w:rPr>
          <w:rFonts w:hint="eastAsia" w:ascii="宋体" w:hAnsi="宋体"/>
        </w:rPr>
        <w:t>组织委员、纪检委员等党务干部培训班</w:t>
      </w:r>
      <w:r>
        <w:rPr>
          <w:rFonts w:ascii="宋体" w:hAnsi="宋体"/>
        </w:rPr>
        <w:t>4期，</w:t>
      </w:r>
      <w:r>
        <w:rPr>
          <w:rFonts w:hint="eastAsia" w:ascii="宋体" w:hAnsi="宋体"/>
        </w:rPr>
        <w:t>培训党务干部</w:t>
      </w:r>
      <w:r>
        <w:rPr>
          <w:rFonts w:ascii="宋体" w:hAnsi="宋体"/>
        </w:rPr>
        <w:t>420人次。通过组织外出参观</w:t>
      </w:r>
      <w:r>
        <w:rPr>
          <w:rFonts w:hint="eastAsia" w:ascii="宋体" w:hAnsi="宋体"/>
        </w:rPr>
        <w:t>取经、召开学习交流会、开展党建调研等途径，有效提高党务干部的素质；今年通过广泛开展调查研究，不断总结南雄党建工作的亮点和新经验，在中国共产党新闻网（采用稿件</w:t>
      </w:r>
      <w:r>
        <w:rPr>
          <w:rFonts w:ascii="宋体" w:hAnsi="宋体"/>
        </w:rPr>
        <w:t>5篇）、《广东组工调研》（采用稿件1</w:t>
      </w:r>
      <w:r>
        <w:rPr>
          <w:rFonts w:hint="eastAsia" w:ascii="宋体" w:hAnsi="宋体"/>
        </w:rPr>
        <w:t>篇）等党建宣传媒体发表较高质量的信息和调研文章。</w:t>
      </w:r>
      <w:r>
        <w:rPr>
          <w:rFonts w:ascii="宋体" w:hAnsi="宋体"/>
        </w:rPr>
        <w:t>2010年工委在远程网和调研信息</w:t>
      </w:r>
      <w:r>
        <w:rPr>
          <w:rFonts w:hint="eastAsia" w:ascii="宋体" w:hAnsi="宋体"/>
        </w:rPr>
        <w:t>投稿用稿两项工作中均排名第一。</w:t>
      </w:r>
    </w:p>
    <w:p w14:paraId="11BE6CE6">
      <w:pPr>
        <w:ind w:firstLine="420"/>
        <w:rPr>
          <w:rFonts w:ascii="宋体" w:hAnsi="宋体"/>
        </w:rPr>
      </w:pPr>
      <w:r>
        <w:rPr>
          <w:rFonts w:ascii="宋体" w:hAnsi="宋体"/>
        </w:rPr>
        <w:t>4、党员意识明显增强，有效地促进各单</w:t>
      </w:r>
      <w:r>
        <w:rPr>
          <w:rFonts w:hint="eastAsia" w:ascii="宋体" w:hAnsi="宋体"/>
        </w:rPr>
        <w:t>位业务工作的发展。通过贯彻落实《南雄市机关党建工作目标管理责任制（试行）》，各单位党组织书记能地抓好班子建设和党员队伍建设；通过认真开展以“三服务、两提高”为主要内容的主题实践活动，有力、有效地引导党员在本职岗位上发挥共产党员的先锋模范作用。党员的党员意识、工作责任感和使命感也逐步增强，工作作风、服务态度和工作效率逐步提升，推动各单位各项工作的发展。如国税局、地税局通过抓好税收征管中的“跑、冒、滴、漏”问题，在市协税办的指导、帮助下，</w:t>
      </w:r>
      <w:r>
        <w:rPr>
          <w:rFonts w:ascii="宋体" w:hAnsi="宋体"/>
        </w:rPr>
        <w:t>2010年国税局完成收入和</w:t>
      </w:r>
      <w:r>
        <w:rPr>
          <w:rFonts w:hint="eastAsia" w:ascii="宋体" w:hAnsi="宋体"/>
        </w:rPr>
        <w:t>地税局完成地税税费收入均比上年有增长。</w:t>
      </w:r>
    </w:p>
    <w:p w14:paraId="6FD413B5">
      <w:pPr>
        <w:pStyle w:val="4"/>
      </w:pPr>
      <w:r>
        <w:rPr>
          <w:rFonts w:hint="eastAsia"/>
        </w:rPr>
        <w:t>【抓好《廉政准则》的学习、宣传、贯彻工作】</w:t>
      </w:r>
    </w:p>
    <w:p w14:paraId="7AB0D863">
      <w:pPr>
        <w:ind w:firstLine="420"/>
        <w:rPr>
          <w:rFonts w:ascii="宋体" w:hAnsi="宋体"/>
        </w:rPr>
      </w:pPr>
      <w:r>
        <w:rPr>
          <w:rFonts w:hint="eastAsia" w:ascii="宋体" w:hAnsi="宋体"/>
        </w:rPr>
        <w:t>一是组织学习提高思想认识。结合开展的“树立正确权力观提高执行力”为主题的教育活动，把学习《廉政准则》作为党组中心组及全体干部职工理论学习的主要内容，深刻领会其精神实质，筑牢拒腐防变的思想防线，增强廉洁从政的自觉性。二是结合实际，建立完善相关制度。建立健全党风廉政建设责任制度、重大事项调查研究和集体决策制度、党务、政务公开制度、大额度资金项目跟踪督查制度等，形成用制度规范从政行为、按制度办事、靠制度管人的有效机制。三是切实保障推进落实。加强领导，落实责任，以贯彻落实《廉政准则》为契机，深入推进反腐倡廉建设。</w:t>
      </w:r>
    </w:p>
    <w:p w14:paraId="179F869F">
      <w:pPr>
        <w:pStyle w:val="4"/>
      </w:pPr>
      <w:r>
        <w:rPr>
          <w:rFonts w:hint="eastAsia"/>
        </w:rPr>
        <w:t>【“亮点”工作的组织实施】</w:t>
      </w:r>
    </w:p>
    <w:p w14:paraId="57C0D495">
      <w:pPr>
        <w:ind w:firstLine="420"/>
        <w:rPr>
          <w:rFonts w:ascii="宋体" w:hAnsi="宋体"/>
        </w:rPr>
      </w:pPr>
      <w:r>
        <w:rPr>
          <w:rFonts w:hint="eastAsia" w:ascii="宋体" w:hAnsi="宋体"/>
        </w:rPr>
        <w:t>根据市纪委的部署，抓好在市直机关开展预备党员转正前进行党内法规知识考试活动的“亮点”工作，即在每次工委讨论预备党员转正前一个星期进行党内法规知识考试活动。考试的重点内容为《中国共产党章</w:t>
      </w:r>
      <w:r>
        <w:rPr>
          <w:rFonts w:hint="eastAsia" w:ascii="宋体" w:hAnsi="宋体"/>
          <w:lang w:val="en-US" w:eastAsia="zh-CN"/>
        </w:rPr>
        <w:t>程</w:t>
      </w:r>
      <w:r>
        <w:rPr>
          <w:rFonts w:hint="eastAsia" w:ascii="宋体" w:hAnsi="宋体"/>
        </w:rPr>
        <w:t>》、《中国共产党纪律处分条例》、《中国共产党党内监督条例（试行）》、《中国共产党党员权力保障条例》、《中国共产党党员领导干部廉洁从政若干准则》等党内法规知识。全年先后有两批</w:t>
      </w:r>
      <w:r>
        <w:rPr>
          <w:rFonts w:ascii="宋体" w:hAnsi="宋体"/>
        </w:rPr>
        <w:t>36人</w:t>
      </w:r>
      <w:r>
        <w:rPr>
          <w:rFonts w:hint="eastAsia" w:ascii="宋体" w:hAnsi="宋体"/>
        </w:rPr>
        <w:t>参加培训考试活动，平均分数达到</w:t>
      </w:r>
      <w:r>
        <w:rPr>
          <w:rFonts w:ascii="宋体" w:hAnsi="宋体"/>
        </w:rPr>
        <w:t>98.5分。</w:t>
      </w:r>
      <w:r>
        <w:rPr>
          <w:rFonts w:hint="eastAsia" w:ascii="宋体" w:hAnsi="宋体"/>
        </w:rPr>
        <w:t>通过党内法律法规知识考试活动，提高预备党员的党纪法律法规意识和廉政知识素质，把好新党员的入口关，使其过好廉政关。这一做法《韶关组工通讯》进行介绍，得到上级的好评。</w:t>
      </w:r>
    </w:p>
    <w:p w14:paraId="0DFA45DF">
      <w:pPr>
        <w:pStyle w:val="4"/>
      </w:pPr>
      <w:r>
        <w:rPr>
          <w:rFonts w:hint="eastAsia"/>
        </w:rPr>
        <w:t>【加强党的组织建设】</w:t>
      </w:r>
    </w:p>
    <w:p w14:paraId="57F07D31">
      <w:pPr>
        <w:ind w:firstLine="420"/>
        <w:rPr>
          <w:rFonts w:ascii="宋体" w:hAnsi="宋体"/>
        </w:rPr>
      </w:pPr>
      <w:r>
        <w:rPr>
          <w:rFonts w:ascii="宋体" w:hAnsi="宋体"/>
        </w:rPr>
        <w:t>1、建立健全基层党</w:t>
      </w:r>
      <w:r>
        <w:rPr>
          <w:rFonts w:hint="eastAsia" w:ascii="宋体" w:hAnsi="宋体"/>
        </w:rPr>
        <w:t>组织，加强机关党组织班子建设。一是对所辖基层党组织及班子成员实行动态管理，高度重视做好基层党组织换届选举和调整工作，使按期换届选举率达到了</w:t>
      </w:r>
      <w:r>
        <w:rPr>
          <w:rFonts w:ascii="宋体" w:hAnsi="宋体"/>
        </w:rPr>
        <w:t>96%以上。二是扩</w:t>
      </w:r>
      <w:r>
        <w:rPr>
          <w:rFonts w:hint="eastAsia" w:ascii="宋体" w:hAnsi="宋体"/>
        </w:rPr>
        <w:t>大工作覆盖面。抓好非公企业党组织组建工作，指导精细化工工业园成立党支部、嘉盛公司等非公企业成立了党组织；针对流动党员教育管理这个难点问题，在流动党员多的单位成立流动党员党支部，努力做到有党员的地方就有党组织，有党组织的地方就有正常的活动。三是加强班子建设。利用换届、干部调整和理顺党组织设置等契机，将一批党性强和领导能力强的“双强式”领导干部，充实到市直机关党组织领导班子中，增强机关党建工作的生机与活力。先后配备调整党组织书记和副书记</w:t>
      </w:r>
      <w:r>
        <w:rPr>
          <w:rFonts w:ascii="宋体" w:hAnsi="宋体"/>
        </w:rPr>
        <w:t>58人；批准成立党组织7</w:t>
      </w:r>
      <w:r>
        <w:rPr>
          <w:rFonts w:hint="eastAsia" w:ascii="宋体" w:hAnsi="宋体"/>
        </w:rPr>
        <w:t>个，指导</w:t>
      </w:r>
      <w:r>
        <w:rPr>
          <w:rFonts w:ascii="宋体" w:hAnsi="宋体"/>
        </w:rPr>
        <w:t>55个党组织换届改选，调整理顺党</w:t>
      </w:r>
      <w:r>
        <w:rPr>
          <w:rFonts w:hint="eastAsia" w:ascii="宋体" w:hAnsi="宋体"/>
        </w:rPr>
        <w:t>组织</w:t>
      </w:r>
      <w:r>
        <w:rPr>
          <w:rFonts w:ascii="宋体" w:hAnsi="宋体"/>
        </w:rPr>
        <w:t>6个。2、加强分类指导，提高机关党建</w:t>
      </w:r>
      <w:r>
        <w:rPr>
          <w:rFonts w:hint="eastAsia" w:ascii="宋体" w:hAnsi="宋体"/>
        </w:rPr>
        <w:t>工作整体水平。坚持采取分类指导，抓两头促中间等措施，着力提高机关党建工作整体水平。一是对先进党组织定新目标，引导他们戒骄戒满，再创新佳绩，再上新水平，充分发挥好示范带动和辐射作用。二是对处于中间状态的党组织，积极出主意、想办法，逐项抓整改，激励和帮助他们树信心，争先进，上新台阶。三是对后进基层党组织，指定专人负责，加大整顿力度，采取思想上帮、工作上带、班子上调等措施，重点进行帮助，确保了</w:t>
      </w:r>
      <w:r>
        <w:rPr>
          <w:rFonts w:ascii="宋体" w:hAnsi="宋体"/>
        </w:rPr>
        <w:t>90%的基层党组织党建工作在考核中</w:t>
      </w:r>
      <w:r>
        <w:rPr>
          <w:rFonts w:hint="eastAsia" w:ascii="宋体" w:hAnsi="宋体"/>
        </w:rPr>
        <w:t>都能达到好或较好。</w:t>
      </w:r>
      <w:r>
        <w:rPr>
          <w:rFonts w:ascii="宋体" w:hAnsi="宋体"/>
        </w:rPr>
        <w:t>3、抓好示范单位建设，</w:t>
      </w:r>
      <w:r>
        <w:rPr>
          <w:rFonts w:hint="eastAsia" w:ascii="宋体" w:hAnsi="宋体"/>
        </w:rPr>
        <w:t>推动面上工作提升。</w:t>
      </w:r>
      <w:r>
        <w:rPr>
          <w:rFonts w:ascii="宋体" w:hAnsi="宋体"/>
        </w:rPr>
        <w:t>2010年6月份以来，认</w:t>
      </w:r>
      <w:r>
        <w:rPr>
          <w:rFonts w:hint="eastAsia" w:ascii="宋体" w:hAnsi="宋体"/>
        </w:rPr>
        <w:t>真抓好建设局、水务局、浈江电业、珠玑纸业、珠玑大酒店、金友公司党支部</w:t>
      </w:r>
      <w:r>
        <w:rPr>
          <w:rFonts w:ascii="宋体" w:hAnsi="宋体"/>
        </w:rPr>
        <w:t>6个韶关</w:t>
      </w:r>
      <w:r>
        <w:rPr>
          <w:rFonts w:hint="eastAsia" w:ascii="宋体" w:hAnsi="宋体"/>
        </w:rPr>
        <w:t>市创新组织生活示范点和财政局、雄洲水电</w:t>
      </w:r>
      <w:r>
        <w:rPr>
          <w:rFonts w:ascii="宋体" w:hAnsi="宋体"/>
        </w:rPr>
        <w:t>2</w:t>
      </w:r>
      <w:r>
        <w:rPr>
          <w:rFonts w:hint="eastAsia" w:ascii="宋体" w:hAnsi="宋体"/>
        </w:rPr>
        <w:t>个南雄市创新组织生活示范点。通过抓好以上</w:t>
      </w:r>
      <w:r>
        <w:rPr>
          <w:rFonts w:ascii="宋体" w:hAnsi="宋体"/>
        </w:rPr>
        <w:t>8个示范点的创新组织生活工作，组织工</w:t>
      </w:r>
      <w:r>
        <w:rPr>
          <w:rFonts w:hint="eastAsia" w:ascii="宋体" w:hAnsi="宋体"/>
        </w:rPr>
        <w:t>委所属党支部现场参观、示范单位介绍经验，使各个基层党组织结合各部门各单位的实际，灵活地创新组织生活形式和内容。</w:t>
      </w:r>
    </w:p>
    <w:p w14:paraId="3EA1A6AF">
      <w:pPr>
        <w:pStyle w:val="4"/>
      </w:pPr>
      <w:r>
        <w:rPr>
          <w:rFonts w:hint="eastAsia"/>
        </w:rPr>
        <w:t>【创先争优活动】</w:t>
      </w:r>
    </w:p>
    <w:p w14:paraId="5D2E245A">
      <w:pPr>
        <w:ind w:firstLine="420"/>
        <w:rPr>
          <w:rFonts w:ascii="宋体" w:hAnsi="宋体"/>
        </w:rPr>
      </w:pPr>
      <w:r>
        <w:rPr>
          <w:rFonts w:ascii="宋体" w:hAnsi="宋体"/>
        </w:rPr>
        <w:t>1、开展宣传活动，努力</w:t>
      </w:r>
      <w:r>
        <w:rPr>
          <w:rFonts w:hint="eastAsia" w:ascii="宋体" w:hAnsi="宋体"/>
        </w:rPr>
        <w:t>营造浓厚氛围。建设局、水务局、财政局、地税局、浈江电业、珠玑纸业、金友公司等一批单位通过张贴标语、悬挂大幅横额、黑板报、宣传栏等方式方法大力开展宣传活动，在本单位、社会上造成较大反响，形成较浓厚的创先争优氛围。</w:t>
      </w:r>
      <w:r>
        <w:rPr>
          <w:rFonts w:ascii="宋体" w:hAnsi="宋体"/>
        </w:rPr>
        <w:t>2、制定活动方案，确保</w:t>
      </w:r>
      <w:r>
        <w:rPr>
          <w:rFonts w:hint="eastAsia" w:ascii="宋体" w:hAnsi="宋体"/>
        </w:rPr>
        <w:t>创先争优活动如火如荼开展、服务大局。各部门各单位能结合实际，立足岗位，制定出切实可行、易于操作的创先争优活动方案，并落实到位。农业部门、畜牧部门、交通局、汽车站及供销社党组织围绕亚运会的举办，开展“做好本职工作迎亚运”活动；经贸局、建设局、外经局、农业局等部门围绕招商引资工作及市政府的八大专责项目开展创先争优活动，把八大专责项目当作党员发挥作用的主战场，为外来投资企业和商人做好服务工作。</w:t>
      </w:r>
      <w:r>
        <w:rPr>
          <w:rFonts w:ascii="宋体" w:hAnsi="宋体"/>
        </w:rPr>
        <w:t>3、开展</w:t>
      </w:r>
      <w:r>
        <w:rPr>
          <w:rFonts w:hint="eastAsia" w:ascii="宋体" w:hAnsi="宋体"/>
        </w:rPr>
        <w:t>“</w:t>
      </w:r>
      <w:r>
        <w:rPr>
          <w:rFonts w:ascii="宋体" w:hAnsi="宋体"/>
        </w:rPr>
        <w:t>双向承诺</w:t>
      </w:r>
      <w:r>
        <w:rPr>
          <w:rFonts w:hint="eastAsia" w:ascii="宋体" w:hAnsi="宋体"/>
        </w:rPr>
        <w:t>”</w:t>
      </w:r>
      <w:r>
        <w:rPr>
          <w:rFonts w:ascii="宋体" w:hAnsi="宋体"/>
        </w:rPr>
        <w:t>，不断提高工作</w:t>
      </w:r>
      <w:r>
        <w:rPr>
          <w:rFonts w:hint="eastAsia" w:ascii="宋体" w:hAnsi="宋体"/>
        </w:rPr>
        <w:t>水平。开展创先争优活动的核心是承诺和评议，各党组织和党员都能认真对照“双向”承诺的要求逐条地抓好落实和兑现，工作中处处体现一种认真负责、踏实工作、高质量服务的精神状态和浓厚氛围，一种你追我赶的工作热潮。</w:t>
      </w:r>
    </w:p>
    <w:p w14:paraId="0E823404">
      <w:pPr>
        <w:pStyle w:val="4"/>
      </w:pPr>
      <w:r>
        <w:rPr>
          <w:rFonts w:hint="eastAsia"/>
        </w:rPr>
        <w:t>【群团工作】</w:t>
      </w:r>
    </w:p>
    <w:p w14:paraId="1D784A12">
      <w:pPr>
        <w:ind w:firstLine="420"/>
        <w:rPr>
          <w:rFonts w:ascii="宋体" w:hAnsi="宋体"/>
        </w:rPr>
      </w:pPr>
      <w:r>
        <w:rPr>
          <w:rFonts w:hint="eastAsia" w:ascii="宋体" w:hAnsi="宋体"/>
        </w:rPr>
        <w:t>1、加强团干部的政治理论学习。围绕党的十七大和十七届五中全会的精神，在团员青年中开展创先争优活动。组织团员青年开展“受了表扬怎么办”大讨论活动，学习有关文章及文件，查找单位及个人存在的问题与不足，全面解放思想，转变工作思路，增强党性观念。</w:t>
      </w:r>
      <w:r>
        <w:rPr>
          <w:rFonts w:ascii="宋体" w:hAnsi="宋体"/>
        </w:rPr>
        <w:t>2、以志愿者行动为</w:t>
      </w:r>
      <w:r>
        <w:rPr>
          <w:rFonts w:hint="eastAsia" w:ascii="宋体" w:hAnsi="宋体"/>
        </w:rPr>
        <w:t>载体，塑造南雄文明形象。在工委系统青年志愿者的努力下，青年志愿服务活动已深入人心，使青年志愿服务成为一项品牌活动，志愿服务事业正向全民化、社会化、规范化、事业化发展。一是</w:t>
      </w:r>
      <w:r>
        <w:rPr>
          <w:rFonts w:ascii="宋体" w:hAnsi="宋体"/>
        </w:rPr>
        <w:t>3月10日，组织各基层团</w:t>
      </w:r>
      <w:r>
        <w:rPr>
          <w:rFonts w:hint="eastAsia" w:ascii="宋体" w:hAnsi="宋体"/>
        </w:rPr>
        <w:t>组织开展以“弘扬志愿精神，建设文明南雄”为主题的青年志愿者集中服务活动；二是</w:t>
      </w:r>
      <w:r>
        <w:rPr>
          <w:rFonts w:ascii="宋体" w:hAnsi="宋体"/>
        </w:rPr>
        <w:t>6</w:t>
      </w:r>
      <w:r>
        <w:rPr>
          <w:rFonts w:hint="eastAsia" w:ascii="宋体" w:hAnsi="宋体"/>
        </w:rPr>
        <w:t>月</w:t>
      </w:r>
      <w:r>
        <w:rPr>
          <w:rFonts w:ascii="宋体" w:hAnsi="宋体"/>
        </w:rPr>
        <w:t>26日上午，组织青年志愿者参加大型禁毒</w:t>
      </w:r>
      <w:r>
        <w:rPr>
          <w:rFonts w:hint="eastAsia" w:ascii="宋体" w:hAnsi="宋体"/>
        </w:rPr>
        <w:t>宣传活动，通过发动青年志愿者上街发放禁毒宣传资料，并向社会各界人士宣传普法知识，得到社会各界的一致赞誉；三是在庆祝南雄被确认为中央苏区县活动和经贸洽谈会等重大活动中，团市委组织的青年礼仪志愿者服务队完成市委、政府交给的接待任务。</w:t>
      </w:r>
      <w:r>
        <w:rPr>
          <w:rFonts w:ascii="宋体" w:hAnsi="宋体"/>
        </w:rPr>
        <w:t>3、以抗击自然灾害为己任，带领团员青年共</w:t>
      </w:r>
      <w:r>
        <w:rPr>
          <w:rFonts w:hint="eastAsia" w:ascii="宋体" w:hAnsi="宋体"/>
        </w:rPr>
        <w:t>克时艰。面对突如其来的西南地区旱灾、舟曲山洪泥石流灾害和玉树地震，号召各级团组织、广大团员青年、青年志愿者弘扬中华民族“一方有难、八方支援”的传统美德，奉献爱心，捐款救灾，帮助灾区同胞抗击灾害、重建家园，尽快恢复生产生活。</w:t>
      </w:r>
    </w:p>
    <w:p w14:paraId="14707BBB">
      <w:pPr>
        <w:pStyle w:val="4"/>
      </w:pPr>
      <w:r>
        <w:rPr>
          <w:rFonts w:hint="eastAsia"/>
        </w:rPr>
        <w:t>【市直机关武装部工作】</w:t>
      </w:r>
    </w:p>
    <w:p w14:paraId="1478CFE6">
      <w:pPr>
        <w:ind w:firstLine="420"/>
        <w:rPr>
          <w:rFonts w:ascii="宋体" w:hAnsi="宋体"/>
        </w:rPr>
      </w:pPr>
      <w:r>
        <w:rPr>
          <w:rFonts w:hint="eastAsia" w:ascii="宋体" w:hAnsi="宋体"/>
        </w:rPr>
        <w:t>制定市直属机关</w:t>
      </w:r>
      <w:r>
        <w:rPr>
          <w:rFonts w:ascii="宋体" w:hAnsi="宋体"/>
        </w:rPr>
        <w:t>2010年武装工作要点，重点抓好民兵供电应</w:t>
      </w:r>
      <w:r>
        <w:rPr>
          <w:rFonts w:hint="eastAsia" w:ascii="宋体" w:hAnsi="宋体"/>
        </w:rPr>
        <w:t>急抢修分队和供水应急抢修分队建设，国防教育、民兵军事训练、民兵整组、民兵点验、兵役登记等工作。健全民兵战备值班、政治教育、军事训练等各项规范化制度，确保制度落实；。通过有效的宣传动员，机关适龄青年报名积极踊跃，</w:t>
      </w:r>
      <w:r>
        <w:rPr>
          <w:rFonts w:ascii="宋体" w:hAnsi="宋体"/>
        </w:rPr>
        <w:t>6人光荣入伍，圆满超额完</w:t>
      </w:r>
      <w:r>
        <w:rPr>
          <w:rFonts w:hint="eastAsia" w:ascii="宋体" w:hAnsi="宋体"/>
        </w:rPr>
        <w:t>成了市征兵办下达的年度征兵任务。</w:t>
      </w:r>
    </w:p>
    <w:p w14:paraId="23B39085">
      <w:pPr>
        <w:ind w:firstLine="420"/>
        <w:jc w:val="right"/>
        <w:rPr>
          <w:rFonts w:ascii="宋体" w:hAnsi="宋体"/>
        </w:rPr>
      </w:pPr>
      <w:r>
        <w:rPr>
          <w:rFonts w:hint="eastAsia" w:ascii="宋体" w:hAnsi="宋体"/>
        </w:rPr>
        <w:t>（刘致虎）</w:t>
      </w:r>
    </w:p>
    <w:p w14:paraId="7B8530A8">
      <w:pPr>
        <w:ind w:firstLine="422"/>
        <w:rPr>
          <w:rFonts w:ascii="宋体" w:hAnsi="宋体"/>
          <w:b/>
        </w:rPr>
      </w:pPr>
      <w:r>
        <w:rPr>
          <w:rFonts w:hint="eastAsia" w:ascii="宋体" w:hAnsi="宋体"/>
          <w:b/>
        </w:rPr>
        <w:t>附：</w:t>
      </w:r>
      <w:r>
        <w:rPr>
          <w:rFonts w:ascii="宋体" w:hAnsi="宋体"/>
          <w:b/>
        </w:rPr>
        <w:t>2010年市直工委领导班子成员名单</w:t>
      </w:r>
    </w:p>
    <w:p w14:paraId="58CA83AD">
      <w:pPr>
        <w:ind w:firstLine="420"/>
        <w:rPr>
          <w:rFonts w:ascii="宋体" w:hAnsi="宋体"/>
        </w:rPr>
      </w:pPr>
      <w:r>
        <w:rPr>
          <w:rFonts w:hint="eastAsia" w:ascii="宋体" w:hAnsi="宋体"/>
        </w:rPr>
        <w:t>书  记：卢德华</w:t>
      </w:r>
    </w:p>
    <w:p w14:paraId="7A5C8AF1">
      <w:pPr>
        <w:ind w:firstLine="420"/>
        <w:rPr>
          <w:rFonts w:ascii="宋体" w:hAnsi="宋体"/>
        </w:rPr>
      </w:pPr>
      <w:r>
        <w:rPr>
          <w:rFonts w:hint="eastAsia" w:ascii="宋体" w:hAnsi="宋体"/>
        </w:rPr>
        <w:t>党群中心纪检、监察组长：何润红</w:t>
      </w:r>
    </w:p>
    <w:p w14:paraId="439314F1">
      <w:pPr>
        <w:ind w:firstLine="420"/>
        <w:rPr>
          <w:rFonts w:ascii="宋体" w:hAnsi="宋体"/>
        </w:rPr>
      </w:pPr>
      <w:r>
        <w:rPr>
          <w:rFonts w:hint="eastAsia" w:ascii="宋体" w:hAnsi="宋体"/>
        </w:rPr>
        <w:t>副书记：刘致虎</w:t>
      </w:r>
    </w:p>
    <w:p w14:paraId="3BC16060">
      <w:pPr>
        <w:ind w:firstLine="420"/>
        <w:rPr>
          <w:rFonts w:ascii="宋体" w:hAnsi="宋体"/>
        </w:rPr>
      </w:pPr>
      <w:r>
        <w:rPr>
          <w:rFonts w:hint="eastAsia" w:ascii="宋体" w:hAnsi="宋体"/>
        </w:rPr>
        <w:t>党群中心纪检、监察副组长：叶耀群</w:t>
      </w:r>
    </w:p>
    <w:p w14:paraId="4FF246A8">
      <w:pPr>
        <w:ind w:firstLine="420"/>
        <w:rPr>
          <w:rFonts w:ascii="宋体" w:hAnsi="宋体"/>
        </w:rPr>
      </w:pPr>
      <w:r>
        <w:rPr>
          <w:rFonts w:hint="eastAsia" w:ascii="宋体" w:hAnsi="宋体"/>
        </w:rPr>
        <w:t>武装部长：李卫东</w:t>
      </w:r>
    </w:p>
    <w:p w14:paraId="47F8D81C">
      <w:pPr>
        <w:pStyle w:val="3"/>
      </w:pPr>
      <w:r>
        <w:rPr>
          <w:rFonts w:hint="eastAsia"/>
        </w:rPr>
        <w:t>保密工作</w:t>
      </w:r>
    </w:p>
    <w:p w14:paraId="22955349">
      <w:pPr>
        <w:pStyle w:val="4"/>
      </w:pPr>
      <w:r>
        <w:rPr>
          <w:rFonts w:hint="eastAsia"/>
        </w:rPr>
        <w:t>【概况】</w:t>
      </w:r>
    </w:p>
    <w:p w14:paraId="488926A8">
      <w:pPr>
        <w:ind w:firstLine="420"/>
        <w:rPr>
          <w:rFonts w:ascii="宋体" w:hAnsi="宋体"/>
        </w:rPr>
      </w:pPr>
      <w:r>
        <w:rPr>
          <w:rFonts w:ascii="宋体" w:hAnsi="宋体"/>
        </w:rPr>
        <w:t>2002年机构改革，南雄市保密局</w:t>
      </w:r>
      <w:r>
        <w:rPr>
          <w:rFonts w:hint="eastAsia" w:ascii="宋体" w:hAnsi="宋体"/>
        </w:rPr>
        <w:t>成为中共南雄市委办内设正科级机构，改称南雄市国家保密局，对外挂牌，在职干部</w:t>
      </w:r>
      <w:r>
        <w:rPr>
          <w:rFonts w:ascii="宋体" w:hAnsi="宋体"/>
        </w:rPr>
        <w:t>2人</w:t>
      </w:r>
      <w:r>
        <w:rPr>
          <w:rFonts w:hint="eastAsia" w:ascii="宋体" w:hAnsi="宋体"/>
        </w:rPr>
        <w:t>。</w:t>
      </w:r>
    </w:p>
    <w:p w14:paraId="1087B56B">
      <w:pPr>
        <w:pStyle w:val="4"/>
      </w:pPr>
      <w:r>
        <w:rPr>
          <w:rFonts w:hint="eastAsia"/>
        </w:rPr>
        <w:t>【组织机构】</w:t>
      </w:r>
    </w:p>
    <w:p w14:paraId="4150BF21">
      <w:pPr>
        <w:ind w:firstLine="420"/>
        <w:rPr>
          <w:rFonts w:ascii="宋体" w:hAnsi="宋体"/>
        </w:rPr>
      </w:pPr>
      <w:r>
        <w:rPr>
          <w:rFonts w:ascii="宋体" w:hAnsi="宋体"/>
        </w:rPr>
        <w:t>2010年因工作变动，市委保</w:t>
      </w:r>
      <w:r>
        <w:rPr>
          <w:rFonts w:hint="eastAsia" w:ascii="宋体" w:hAnsi="宋体"/>
        </w:rPr>
        <w:t>密委员会主要领导缺位，四月份，经市委批准，重新调整市委保密委员会领导成员，原市委副书记刘清生任市委保密委员会主任，部分单位保密领导小组也作相应的调整，并且能及时报韶关市保密局备案，做到组织健全，分管领导到位，保密人员落实。为加强对初任保密员和在岗保密员的管理，有效提升保密队伍的业务素质，市委保密委以会代班的形式，</w:t>
      </w:r>
      <w:r>
        <w:rPr>
          <w:rFonts w:ascii="宋体" w:hAnsi="宋体"/>
        </w:rPr>
        <w:t>4月12日在迎宾馆召开全市保密</w:t>
      </w:r>
      <w:r>
        <w:rPr>
          <w:rFonts w:hint="eastAsia" w:ascii="宋体" w:hAnsi="宋体"/>
        </w:rPr>
        <w:t>工作会议，一是组织全体参会人员传达学习中央、省、市保密工作会议精神，二是组织全市保密员认真学习新《保密法》的基本知识。</w:t>
      </w:r>
    </w:p>
    <w:p w14:paraId="2B41DE08">
      <w:pPr>
        <w:pStyle w:val="4"/>
      </w:pPr>
      <w:r>
        <w:rPr>
          <w:rFonts w:hint="eastAsia"/>
        </w:rPr>
        <w:t>【宣传新《保密法》】</w:t>
      </w:r>
    </w:p>
    <w:p w14:paraId="0F4BDAA9">
      <w:pPr>
        <w:ind w:firstLine="420"/>
        <w:rPr>
          <w:rFonts w:ascii="宋体" w:hAnsi="宋体"/>
        </w:rPr>
      </w:pPr>
      <w:r>
        <w:rPr>
          <w:rFonts w:hint="eastAsia" w:ascii="宋体" w:hAnsi="宋体"/>
        </w:rPr>
        <w:t>一是以市委办名义向各单位发文征订新《保密法》和《保密工作》杂志供广大干部职工学习，全市共征订新《保密法》</w:t>
      </w:r>
      <w:r>
        <w:rPr>
          <w:rFonts w:ascii="宋体" w:hAnsi="宋体"/>
        </w:rPr>
        <w:t>100多份，《保密工作》杂志46</w:t>
      </w:r>
      <w:r>
        <w:rPr>
          <w:rFonts w:hint="eastAsia" w:ascii="宋体" w:hAnsi="宋体"/>
        </w:rPr>
        <w:t>份；二是市委保密委在迎宾馆召开有全市办公室主任、市直分管保密工作领导和保密员参加的保密工作会议；三是组织全市保密人员和签订保密承诺书人员，参加全国保密承诺书签订员知识竞赛；四是组织市委保密委部分领导成员到韶关市委党校听取省国家保密局长张宇同志关于学习新《保密法》的专题报告和观看保密警示教育片。</w:t>
      </w:r>
    </w:p>
    <w:p w14:paraId="014ED122">
      <w:pPr>
        <w:pStyle w:val="4"/>
      </w:pPr>
      <w:r>
        <w:rPr>
          <w:rFonts w:hint="eastAsia"/>
        </w:rPr>
        <w:t>【涉密载体清理】</w:t>
      </w:r>
    </w:p>
    <w:p w14:paraId="71D6FB6B">
      <w:pPr>
        <w:ind w:firstLine="420"/>
        <w:rPr>
          <w:rFonts w:ascii="宋体" w:hAnsi="宋体"/>
        </w:rPr>
      </w:pPr>
      <w:r>
        <w:rPr>
          <w:rFonts w:hint="eastAsia" w:ascii="宋体" w:hAnsi="宋体"/>
        </w:rPr>
        <w:t>市委保密委于</w:t>
      </w:r>
      <w:r>
        <w:rPr>
          <w:rFonts w:ascii="宋体" w:hAnsi="宋体"/>
        </w:rPr>
        <w:t>5月11日</w:t>
      </w:r>
      <w:r>
        <w:rPr>
          <w:rFonts w:hint="eastAsia" w:ascii="宋体" w:hAnsi="宋体"/>
        </w:rPr>
        <w:t>下发《关于组织开展全省涉密载体清理情况检查的通知》，要求各单位一要加强领导，成立涉密载体清理工作领导小组，制定方案，明确职责，落实责任，主要领导亲自督导；二对照检查目录，开展拉网式检查，确保不漏一人、一机、一盘、一文。做到以查促改、以查促教，坚决杜绝涉密载体流失现象；三建立健全涉密载体的管理制度，建立完整的涉密载体管理工作台帐和清理档案，实现涉密人员载体清理工作的经常化和制度化。市委保密委检查组于</w:t>
      </w:r>
      <w:r>
        <w:rPr>
          <w:rFonts w:ascii="宋体" w:hAnsi="宋体"/>
        </w:rPr>
        <w:t>5月20日至24日分别对人</w:t>
      </w:r>
      <w:r>
        <w:rPr>
          <w:rFonts w:hint="eastAsia" w:ascii="宋体" w:hAnsi="宋体"/>
        </w:rPr>
        <w:t>大办、政府办、政协办、纪检会等</w:t>
      </w:r>
      <w:r>
        <w:rPr>
          <w:rFonts w:ascii="宋体" w:hAnsi="宋体"/>
        </w:rPr>
        <w:t>18个单位</w:t>
      </w:r>
      <w:r>
        <w:rPr>
          <w:rFonts w:hint="eastAsia" w:ascii="宋体" w:hAnsi="宋体"/>
        </w:rPr>
        <w:t>进行抽查，同时市委保密委还把清理出的解密件及内部资料统一运到乐昌市进行销毁。</w:t>
      </w:r>
    </w:p>
    <w:p w14:paraId="73017FEE">
      <w:pPr>
        <w:pStyle w:val="4"/>
      </w:pPr>
      <w:r>
        <w:rPr>
          <w:rFonts w:hint="eastAsia"/>
        </w:rPr>
        <w:t>【门户网站的保密监督管理】</w:t>
      </w:r>
    </w:p>
    <w:p w14:paraId="22CF9850">
      <w:pPr>
        <w:ind w:firstLine="420"/>
        <w:rPr>
          <w:rFonts w:ascii="宋体" w:hAnsi="宋体"/>
        </w:rPr>
      </w:pPr>
      <w:r>
        <w:rPr>
          <w:rFonts w:hint="eastAsia" w:ascii="宋体" w:hAnsi="宋体"/>
        </w:rPr>
        <w:t>成立检查领导小组，在公安局、信息中心、科技局、机要局等单位抽调</w:t>
      </w:r>
      <w:r>
        <w:rPr>
          <w:rFonts w:ascii="宋体" w:hAnsi="宋体"/>
        </w:rPr>
        <w:t>8名同志分为两个检查小组，</w:t>
      </w:r>
      <w:r>
        <w:rPr>
          <w:rFonts w:hint="eastAsia" w:ascii="宋体" w:hAnsi="宋体"/>
        </w:rPr>
        <w:t>利用</w:t>
      </w:r>
      <w:r>
        <w:rPr>
          <w:rFonts w:ascii="宋体" w:hAnsi="宋体"/>
        </w:rPr>
        <w:t>3天的时间，对纪检会、宣传部、法院、</w:t>
      </w:r>
      <w:r>
        <w:rPr>
          <w:rFonts w:hint="eastAsia" w:ascii="宋体" w:hAnsi="宋体"/>
        </w:rPr>
        <w:t>公安局等</w:t>
      </w:r>
      <w:r>
        <w:rPr>
          <w:rFonts w:ascii="宋体" w:hAnsi="宋体"/>
        </w:rPr>
        <w:t>41个单位的门户网站进行检查。检</w:t>
      </w:r>
      <w:r>
        <w:rPr>
          <w:rFonts w:hint="eastAsia" w:ascii="宋体" w:hAnsi="宋体"/>
        </w:rPr>
        <w:t>查采取“一听、二看”的形式逐一检查，不留形式，不走过场。</w:t>
      </w:r>
    </w:p>
    <w:p w14:paraId="595F9170">
      <w:pPr>
        <w:ind w:firstLine="420"/>
        <w:jc w:val="right"/>
        <w:rPr>
          <w:rFonts w:ascii="宋体" w:hAnsi="宋体"/>
        </w:rPr>
      </w:pPr>
      <w:r>
        <w:rPr>
          <w:rFonts w:hint="eastAsia" w:ascii="宋体" w:hAnsi="宋体"/>
        </w:rPr>
        <w:t>（刘循信）</w:t>
      </w:r>
    </w:p>
    <w:p w14:paraId="133E1921">
      <w:pPr>
        <w:ind w:firstLine="422"/>
        <w:rPr>
          <w:rFonts w:ascii="宋体" w:hAnsi="宋体"/>
        </w:rPr>
      </w:pPr>
      <w:r>
        <w:rPr>
          <w:rFonts w:hint="eastAsia" w:ascii="宋体" w:hAnsi="宋体"/>
          <w:b/>
        </w:rPr>
        <w:t>附：</w:t>
      </w:r>
      <w:r>
        <w:rPr>
          <w:rFonts w:ascii="宋体" w:hAnsi="宋体"/>
          <w:b/>
        </w:rPr>
        <w:t>2010年保密局领导班子成员名单</w:t>
      </w:r>
    </w:p>
    <w:p w14:paraId="6373CE09">
      <w:pPr>
        <w:ind w:firstLine="420"/>
        <w:rPr>
          <w:rFonts w:ascii="宋体" w:hAnsi="宋体"/>
        </w:rPr>
      </w:pPr>
      <w:r>
        <w:rPr>
          <w:rFonts w:hint="eastAsia" w:ascii="宋体" w:hAnsi="宋体"/>
        </w:rPr>
        <w:t>局长：刘循信</w:t>
      </w:r>
    </w:p>
    <w:p w14:paraId="56A1E9C9">
      <w:pPr>
        <w:pStyle w:val="3"/>
      </w:pPr>
      <w:r>
        <w:rPr>
          <w:rFonts w:hint="eastAsia"/>
        </w:rPr>
        <w:t>党校</w:t>
      </w:r>
    </w:p>
    <w:p w14:paraId="253559C2">
      <w:pPr>
        <w:pStyle w:val="4"/>
      </w:pPr>
      <w:r>
        <w:rPr>
          <w:rFonts w:hint="eastAsia"/>
        </w:rPr>
        <w:t>【概况】</w:t>
      </w:r>
    </w:p>
    <w:p w14:paraId="58ED080B">
      <w:pPr>
        <w:ind w:firstLine="420"/>
        <w:rPr>
          <w:rFonts w:ascii="宋体" w:hAnsi="宋体"/>
        </w:rPr>
      </w:pPr>
      <w:r>
        <w:rPr>
          <w:rFonts w:hint="eastAsia" w:ascii="宋体" w:hAnsi="宋体"/>
        </w:rPr>
        <w:t>中国共产党南雄市委员会党校位于南雄市雄州镇雄东路</w:t>
      </w:r>
      <w:r>
        <w:rPr>
          <w:rFonts w:ascii="宋体" w:hAnsi="宋体"/>
        </w:rPr>
        <w:t>148号，占地面积15000</w:t>
      </w:r>
      <w:r>
        <w:rPr>
          <w:rFonts w:hint="eastAsia" w:ascii="宋体" w:hAnsi="宋体"/>
        </w:rPr>
        <w:t>平方米，建筑面积</w:t>
      </w:r>
      <w:r>
        <w:rPr>
          <w:rFonts w:ascii="宋体" w:hAnsi="宋体"/>
        </w:rPr>
        <w:t>3200多平方米。2003年8</w:t>
      </w:r>
      <w:r>
        <w:rPr>
          <w:rFonts w:hint="eastAsia" w:ascii="宋体" w:hAnsi="宋体"/>
        </w:rPr>
        <w:t>月，南雄市委党校、南雄市广播电视大学、南雄市教师进修学校“三校”合并，实行一套人马、三块牌子的办学模式。由南雄市委副书记兼任校长，常务副校长主持学校日常工作，实行校务委员会的管理体制。为南雄市委直属单位，内设</w:t>
      </w:r>
      <w:r>
        <w:rPr>
          <w:rFonts w:ascii="宋体" w:hAnsi="宋体"/>
        </w:rPr>
        <w:t>6个股级机构</w:t>
      </w:r>
      <w:r>
        <w:rPr>
          <w:rFonts w:hint="eastAsia" w:ascii="宋体" w:hAnsi="宋体"/>
        </w:rPr>
        <w:t>：</w:t>
      </w:r>
      <w:r>
        <w:rPr>
          <w:rFonts w:ascii="宋体" w:hAnsi="宋体"/>
        </w:rPr>
        <w:t>办公室、</w:t>
      </w:r>
      <w:r>
        <w:rPr>
          <w:rFonts w:hint="eastAsia" w:ascii="宋体" w:hAnsi="宋体"/>
        </w:rPr>
        <w:t>教务处、培训处、电教处、后勤处、农村劳动力培训服务中心。</w:t>
      </w:r>
    </w:p>
    <w:p w14:paraId="4AD0E2DA">
      <w:pPr>
        <w:pStyle w:val="4"/>
      </w:pPr>
      <w:r>
        <w:rPr>
          <w:rFonts w:hint="eastAsia"/>
        </w:rPr>
        <w:t>【培训工作】</w:t>
      </w:r>
    </w:p>
    <w:p w14:paraId="3E3E8862">
      <w:pPr>
        <w:ind w:firstLine="420"/>
        <w:rPr>
          <w:rFonts w:ascii="宋体" w:hAnsi="宋体"/>
        </w:rPr>
      </w:pPr>
      <w:r>
        <w:rPr>
          <w:rFonts w:hint="eastAsia" w:ascii="宋体" w:hAnsi="宋体"/>
        </w:rPr>
        <w:t>中共南雄市委党校承担全市党员干部、国家公务员和中小学教师培训、轮训等在职培训，以及全市农民创业培训任务。根据乡镇的地理位置和干部集中度不同，在有条件的单位设立培训点，送教上门。先后在乡镇（雄州、湖口、黄坑、乌迳、珠玑、邓坊等）和企业（绿洲公司等）设置教学点，学校选派骨干教师“送教上门”，因地组织培训。</w:t>
      </w:r>
      <w:r>
        <w:rPr>
          <w:rFonts w:ascii="宋体" w:hAnsi="宋体"/>
        </w:rPr>
        <w:t>2010年协同有关部门完成122期、8920</w:t>
      </w:r>
      <w:r>
        <w:rPr>
          <w:rFonts w:hint="eastAsia" w:ascii="宋体" w:hAnsi="宋体"/>
        </w:rPr>
        <w:t>人次参训的各级各类培训，附表如下：</w:t>
      </w:r>
    </w:p>
    <w:p w14:paraId="3723FC19">
      <w:pPr>
        <w:ind w:firstLine="0" w:firstLineChars="0"/>
        <w:jc w:val="center"/>
        <w:rPr>
          <w:rFonts w:hint="eastAsia" w:ascii="宋体" w:hAnsi="宋体" w:cs="宋体"/>
          <w:b/>
          <w:kern w:val="0"/>
        </w:rPr>
      </w:pPr>
      <w:commentRangeStart w:id="10"/>
      <w:r>
        <w:rPr>
          <w:rFonts w:hint="eastAsia" w:ascii="宋体" w:hAnsi="宋体"/>
          <w:b/>
          <w:kern w:val="0"/>
        </w:rPr>
        <w:t>表4-1  2010年</w:t>
      </w:r>
      <w:r>
        <w:rPr>
          <w:rFonts w:hint="eastAsia" w:ascii="宋体" w:hAnsi="宋体" w:cs="宋体"/>
          <w:b/>
          <w:kern w:val="0"/>
        </w:rPr>
        <w:t>组织</w:t>
      </w:r>
      <w:r>
        <w:rPr>
          <w:rFonts w:hint="eastAsia" w:ascii="宋体" w:hAnsi="宋体" w:cs="MS Gothic"/>
          <w:b/>
          <w:kern w:val="0"/>
        </w:rPr>
        <w:t>的各</w:t>
      </w:r>
      <w:r>
        <w:rPr>
          <w:rFonts w:hint="eastAsia" w:ascii="宋体" w:hAnsi="宋体" w:cs="宋体"/>
          <w:b/>
          <w:kern w:val="0"/>
        </w:rPr>
        <w:t>级</w:t>
      </w:r>
      <w:r>
        <w:rPr>
          <w:rFonts w:hint="eastAsia" w:ascii="宋体" w:hAnsi="宋体" w:cs="MS Gothic"/>
          <w:b/>
          <w:kern w:val="0"/>
        </w:rPr>
        <w:t>各</w:t>
      </w:r>
      <w:r>
        <w:rPr>
          <w:rFonts w:hint="eastAsia" w:ascii="宋体" w:hAnsi="宋体" w:cs="宋体"/>
          <w:b/>
          <w:kern w:val="0"/>
        </w:rPr>
        <w:t>类</w:t>
      </w:r>
      <w:r>
        <w:rPr>
          <w:rFonts w:hint="eastAsia" w:ascii="宋体" w:hAnsi="宋体" w:cs="MS Gothic"/>
          <w:b/>
          <w:kern w:val="0"/>
        </w:rPr>
        <w:t>在党校的培</w:t>
      </w:r>
      <w:r>
        <w:rPr>
          <w:rFonts w:hint="eastAsia" w:ascii="宋体" w:hAnsi="宋体" w:cs="宋体"/>
          <w:b/>
          <w:kern w:val="0"/>
        </w:rPr>
        <w:t>训</w:t>
      </w:r>
      <w:commentRangeEnd w:id="10"/>
      <w:r>
        <w:rPr>
          <w:rStyle w:val="12"/>
          <w:rFonts w:ascii="宋体" w:hAnsi="宋体"/>
        </w:rPr>
        <w:commentReference w:id="10"/>
      </w: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91"/>
        <w:gridCol w:w="3875"/>
        <w:gridCol w:w="755"/>
        <w:gridCol w:w="825"/>
        <w:gridCol w:w="2116"/>
      </w:tblGrid>
      <w:tr w14:paraId="6635A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pct"/>
            <w:vAlign w:val="center"/>
          </w:tcPr>
          <w:p w14:paraId="79E197A8">
            <w:pPr>
              <w:pStyle w:val="13"/>
              <w:jc w:val="center"/>
              <w:rPr>
                <w:rFonts w:hint="eastAsia"/>
                <w:b/>
              </w:rPr>
            </w:pPr>
            <w:r>
              <w:rPr>
                <w:rFonts w:hint="eastAsia"/>
                <w:b/>
              </w:rPr>
              <w:t>时间</w:t>
            </w:r>
          </w:p>
        </w:tc>
        <w:tc>
          <w:tcPr>
            <w:tcW w:w="1945" w:type="pct"/>
            <w:vAlign w:val="center"/>
          </w:tcPr>
          <w:p w14:paraId="1CBEBD59">
            <w:pPr>
              <w:pStyle w:val="13"/>
              <w:jc w:val="center"/>
              <w:rPr>
                <w:rFonts w:hint="eastAsia"/>
                <w:b/>
              </w:rPr>
            </w:pPr>
            <w:r>
              <w:rPr>
                <w:rFonts w:hint="eastAsia"/>
                <w:b/>
              </w:rPr>
              <w:t>班别</w:t>
            </w:r>
          </w:p>
        </w:tc>
        <w:tc>
          <w:tcPr>
            <w:tcW w:w="379" w:type="pct"/>
            <w:vAlign w:val="center"/>
          </w:tcPr>
          <w:p w14:paraId="1BF6DCD9">
            <w:pPr>
              <w:pStyle w:val="13"/>
              <w:jc w:val="center"/>
              <w:rPr>
                <w:rFonts w:hint="eastAsia"/>
                <w:b/>
              </w:rPr>
            </w:pPr>
            <w:r>
              <w:rPr>
                <w:rFonts w:hint="eastAsia"/>
                <w:b/>
              </w:rPr>
              <w:t>期数</w:t>
            </w:r>
          </w:p>
        </w:tc>
        <w:tc>
          <w:tcPr>
            <w:tcW w:w="414" w:type="pct"/>
            <w:vAlign w:val="center"/>
          </w:tcPr>
          <w:p w14:paraId="693E38F1">
            <w:pPr>
              <w:pStyle w:val="13"/>
              <w:jc w:val="center"/>
              <w:rPr>
                <w:rFonts w:hint="eastAsia"/>
                <w:b/>
              </w:rPr>
            </w:pPr>
            <w:r>
              <w:rPr>
                <w:rFonts w:hint="eastAsia"/>
                <w:b/>
              </w:rPr>
              <w:t>人数</w:t>
            </w:r>
          </w:p>
        </w:tc>
        <w:tc>
          <w:tcPr>
            <w:tcW w:w="1062" w:type="pct"/>
            <w:vAlign w:val="center"/>
          </w:tcPr>
          <w:p w14:paraId="0157FE2F">
            <w:pPr>
              <w:pStyle w:val="13"/>
              <w:jc w:val="center"/>
              <w:rPr>
                <w:rFonts w:hint="eastAsia"/>
                <w:b/>
              </w:rPr>
            </w:pPr>
            <w:r>
              <w:rPr>
                <w:rFonts w:hint="eastAsia"/>
                <w:b/>
              </w:rPr>
              <w:t>主办部门</w:t>
            </w:r>
          </w:p>
        </w:tc>
      </w:tr>
      <w:tr w14:paraId="4D00B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pct"/>
            <w:vAlign w:val="center"/>
          </w:tcPr>
          <w:p w14:paraId="47263F59">
            <w:pPr>
              <w:pStyle w:val="13"/>
              <w:jc w:val="center"/>
              <w:rPr>
                <w:rFonts w:hint="eastAsia"/>
              </w:rPr>
            </w:pPr>
            <w:r>
              <w:rPr>
                <w:rFonts w:hint="eastAsia"/>
              </w:rPr>
              <w:t>04月13-16日</w:t>
            </w:r>
          </w:p>
        </w:tc>
        <w:tc>
          <w:tcPr>
            <w:tcW w:w="1945" w:type="pct"/>
            <w:vAlign w:val="center"/>
          </w:tcPr>
          <w:p w14:paraId="22BF2EEA">
            <w:pPr>
              <w:pStyle w:val="13"/>
              <w:jc w:val="center"/>
              <w:rPr>
                <w:rFonts w:hint="eastAsia"/>
              </w:rPr>
            </w:pPr>
            <w:r>
              <w:rPr>
                <w:rFonts w:hint="eastAsia"/>
              </w:rPr>
              <w:t>市直工委入党积极分子培训班</w:t>
            </w:r>
          </w:p>
        </w:tc>
        <w:tc>
          <w:tcPr>
            <w:tcW w:w="379" w:type="pct"/>
            <w:vAlign w:val="center"/>
          </w:tcPr>
          <w:p w14:paraId="0271EFA2">
            <w:pPr>
              <w:pStyle w:val="13"/>
              <w:jc w:val="center"/>
              <w:rPr>
                <w:rFonts w:hint="eastAsia"/>
              </w:rPr>
            </w:pPr>
            <w:r>
              <w:rPr>
                <w:rFonts w:hint="eastAsia"/>
              </w:rPr>
              <w:t>1</w:t>
            </w:r>
          </w:p>
        </w:tc>
        <w:tc>
          <w:tcPr>
            <w:tcW w:w="414" w:type="pct"/>
            <w:vAlign w:val="center"/>
          </w:tcPr>
          <w:p w14:paraId="539E00D1">
            <w:pPr>
              <w:pStyle w:val="13"/>
              <w:jc w:val="center"/>
              <w:rPr>
                <w:rFonts w:hint="eastAsia"/>
              </w:rPr>
            </w:pPr>
            <w:r>
              <w:rPr>
                <w:rFonts w:hint="eastAsia"/>
              </w:rPr>
              <w:t>120</w:t>
            </w:r>
          </w:p>
        </w:tc>
        <w:tc>
          <w:tcPr>
            <w:tcW w:w="1062" w:type="pct"/>
            <w:vAlign w:val="center"/>
          </w:tcPr>
          <w:p w14:paraId="093E7331">
            <w:pPr>
              <w:pStyle w:val="13"/>
              <w:jc w:val="center"/>
              <w:rPr>
                <w:rFonts w:hint="eastAsia"/>
              </w:rPr>
            </w:pPr>
            <w:r>
              <w:rPr>
                <w:rFonts w:hint="eastAsia"/>
              </w:rPr>
              <w:t>市直工委</w:t>
            </w:r>
          </w:p>
        </w:tc>
      </w:tr>
      <w:tr w14:paraId="01ED3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pct"/>
            <w:vAlign w:val="center"/>
          </w:tcPr>
          <w:p w14:paraId="6F506860">
            <w:pPr>
              <w:pStyle w:val="13"/>
              <w:jc w:val="center"/>
              <w:rPr>
                <w:rFonts w:hint="eastAsia"/>
              </w:rPr>
            </w:pPr>
            <w:r>
              <w:rPr>
                <w:rFonts w:hint="eastAsia"/>
              </w:rPr>
              <w:t>7月6日-7日</w:t>
            </w:r>
          </w:p>
        </w:tc>
        <w:tc>
          <w:tcPr>
            <w:tcW w:w="1945" w:type="pct"/>
            <w:vAlign w:val="center"/>
          </w:tcPr>
          <w:p w14:paraId="4279A4ED">
            <w:pPr>
              <w:pStyle w:val="13"/>
              <w:jc w:val="center"/>
              <w:rPr>
                <w:rFonts w:hint="eastAsia"/>
              </w:rPr>
            </w:pPr>
            <w:r>
              <w:rPr>
                <w:rFonts w:hint="eastAsia"/>
              </w:rPr>
              <w:t>市贫困村“两委”干部培训班</w:t>
            </w:r>
          </w:p>
        </w:tc>
        <w:tc>
          <w:tcPr>
            <w:tcW w:w="379" w:type="pct"/>
            <w:vAlign w:val="center"/>
          </w:tcPr>
          <w:p w14:paraId="422B6B89">
            <w:pPr>
              <w:pStyle w:val="13"/>
              <w:jc w:val="center"/>
              <w:rPr>
                <w:rFonts w:hint="eastAsia"/>
              </w:rPr>
            </w:pPr>
            <w:r>
              <w:rPr>
                <w:rFonts w:hint="eastAsia"/>
              </w:rPr>
              <w:t>1</w:t>
            </w:r>
          </w:p>
        </w:tc>
        <w:tc>
          <w:tcPr>
            <w:tcW w:w="414" w:type="pct"/>
            <w:vAlign w:val="center"/>
          </w:tcPr>
          <w:p w14:paraId="336A5840">
            <w:pPr>
              <w:pStyle w:val="13"/>
              <w:jc w:val="center"/>
              <w:rPr>
                <w:rFonts w:hint="eastAsia"/>
              </w:rPr>
            </w:pPr>
            <w:r>
              <w:rPr>
                <w:rFonts w:hint="eastAsia"/>
              </w:rPr>
              <w:t>45</w:t>
            </w:r>
          </w:p>
        </w:tc>
        <w:tc>
          <w:tcPr>
            <w:tcW w:w="1062" w:type="pct"/>
            <w:vAlign w:val="center"/>
          </w:tcPr>
          <w:p w14:paraId="50FFAEEA">
            <w:pPr>
              <w:pStyle w:val="13"/>
              <w:jc w:val="center"/>
              <w:rPr>
                <w:rFonts w:hint="eastAsia"/>
              </w:rPr>
            </w:pPr>
            <w:r>
              <w:rPr>
                <w:rFonts w:hint="eastAsia"/>
              </w:rPr>
              <w:t>组织部</w:t>
            </w:r>
          </w:p>
        </w:tc>
      </w:tr>
      <w:tr w14:paraId="4CD07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pct"/>
            <w:vAlign w:val="center"/>
          </w:tcPr>
          <w:p w14:paraId="3CA47C4D">
            <w:pPr>
              <w:pStyle w:val="13"/>
              <w:jc w:val="center"/>
              <w:rPr>
                <w:rFonts w:hint="eastAsia"/>
              </w:rPr>
            </w:pPr>
            <w:r>
              <w:rPr>
                <w:rFonts w:hint="eastAsia"/>
              </w:rPr>
              <w:t>1月-6月</w:t>
            </w:r>
          </w:p>
        </w:tc>
        <w:tc>
          <w:tcPr>
            <w:tcW w:w="1945" w:type="pct"/>
            <w:vAlign w:val="center"/>
          </w:tcPr>
          <w:p w14:paraId="490EE194">
            <w:pPr>
              <w:pStyle w:val="13"/>
              <w:jc w:val="center"/>
              <w:rPr>
                <w:rFonts w:hint="eastAsia"/>
              </w:rPr>
            </w:pPr>
            <w:r>
              <w:rPr>
                <w:rFonts w:hint="eastAsia"/>
              </w:rPr>
              <w:t>干部信息能力培训班</w:t>
            </w:r>
          </w:p>
        </w:tc>
        <w:tc>
          <w:tcPr>
            <w:tcW w:w="379" w:type="pct"/>
            <w:vAlign w:val="center"/>
          </w:tcPr>
          <w:p w14:paraId="5F35E3E1">
            <w:pPr>
              <w:pStyle w:val="13"/>
              <w:jc w:val="center"/>
              <w:rPr>
                <w:rFonts w:hint="eastAsia"/>
              </w:rPr>
            </w:pPr>
            <w:r>
              <w:rPr>
                <w:rFonts w:hint="eastAsia"/>
              </w:rPr>
              <w:t>35</w:t>
            </w:r>
          </w:p>
        </w:tc>
        <w:tc>
          <w:tcPr>
            <w:tcW w:w="414" w:type="pct"/>
            <w:vAlign w:val="center"/>
          </w:tcPr>
          <w:p w14:paraId="27F85AE8">
            <w:pPr>
              <w:pStyle w:val="13"/>
              <w:jc w:val="center"/>
              <w:rPr>
                <w:rFonts w:hint="eastAsia"/>
              </w:rPr>
            </w:pPr>
            <w:r>
              <w:rPr>
                <w:rFonts w:hint="eastAsia"/>
              </w:rPr>
              <w:t>1750</w:t>
            </w:r>
          </w:p>
        </w:tc>
        <w:tc>
          <w:tcPr>
            <w:tcW w:w="1062" w:type="pct"/>
            <w:vAlign w:val="center"/>
          </w:tcPr>
          <w:p w14:paraId="716A4ED5">
            <w:pPr>
              <w:pStyle w:val="13"/>
              <w:jc w:val="center"/>
              <w:rPr>
                <w:rFonts w:hint="eastAsia"/>
              </w:rPr>
            </w:pPr>
            <w:r>
              <w:rPr>
                <w:rFonts w:hint="eastAsia"/>
              </w:rPr>
              <w:t>组织部</w:t>
            </w:r>
          </w:p>
        </w:tc>
      </w:tr>
      <w:tr w14:paraId="4E315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pct"/>
            <w:vAlign w:val="center"/>
          </w:tcPr>
          <w:p w14:paraId="7CD9A6AE">
            <w:pPr>
              <w:pStyle w:val="13"/>
              <w:jc w:val="center"/>
              <w:rPr>
                <w:rFonts w:hint="eastAsia"/>
              </w:rPr>
            </w:pPr>
            <w:r>
              <w:rPr>
                <w:rFonts w:hint="eastAsia"/>
              </w:rPr>
              <w:t>9月-12月</w:t>
            </w:r>
          </w:p>
        </w:tc>
        <w:tc>
          <w:tcPr>
            <w:tcW w:w="1945" w:type="pct"/>
            <w:vAlign w:val="center"/>
          </w:tcPr>
          <w:p w14:paraId="5504FAC4">
            <w:pPr>
              <w:pStyle w:val="13"/>
              <w:jc w:val="center"/>
              <w:rPr>
                <w:rFonts w:hint="eastAsia"/>
              </w:rPr>
            </w:pPr>
            <w:r>
              <w:rPr>
                <w:rFonts w:hint="eastAsia"/>
              </w:rPr>
              <w:t>科级干部电脑培训班</w:t>
            </w:r>
          </w:p>
        </w:tc>
        <w:tc>
          <w:tcPr>
            <w:tcW w:w="379" w:type="pct"/>
            <w:vAlign w:val="center"/>
          </w:tcPr>
          <w:p w14:paraId="20FDB9DD">
            <w:pPr>
              <w:pStyle w:val="13"/>
              <w:jc w:val="center"/>
              <w:rPr>
                <w:rFonts w:hint="eastAsia"/>
              </w:rPr>
            </w:pPr>
            <w:r>
              <w:rPr>
                <w:rFonts w:hint="eastAsia"/>
              </w:rPr>
              <w:t>9</w:t>
            </w:r>
          </w:p>
        </w:tc>
        <w:tc>
          <w:tcPr>
            <w:tcW w:w="414" w:type="pct"/>
            <w:vAlign w:val="center"/>
          </w:tcPr>
          <w:p w14:paraId="20032950">
            <w:pPr>
              <w:pStyle w:val="13"/>
              <w:jc w:val="center"/>
              <w:rPr>
                <w:rFonts w:hint="eastAsia"/>
              </w:rPr>
            </w:pPr>
            <w:r>
              <w:rPr>
                <w:rFonts w:hint="eastAsia"/>
              </w:rPr>
              <w:t>450</w:t>
            </w:r>
          </w:p>
        </w:tc>
        <w:tc>
          <w:tcPr>
            <w:tcW w:w="1062" w:type="pct"/>
            <w:vAlign w:val="center"/>
          </w:tcPr>
          <w:p w14:paraId="258EBE9B">
            <w:pPr>
              <w:pStyle w:val="13"/>
              <w:jc w:val="center"/>
              <w:rPr>
                <w:rFonts w:hint="eastAsia"/>
              </w:rPr>
            </w:pPr>
            <w:r>
              <w:rPr>
                <w:rFonts w:hint="eastAsia"/>
              </w:rPr>
              <w:t>组织部</w:t>
            </w:r>
          </w:p>
        </w:tc>
      </w:tr>
      <w:tr w14:paraId="3F7E4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pct"/>
            <w:vAlign w:val="center"/>
          </w:tcPr>
          <w:p w14:paraId="06D66924">
            <w:pPr>
              <w:pStyle w:val="13"/>
              <w:jc w:val="center"/>
              <w:rPr>
                <w:rFonts w:hint="eastAsia"/>
              </w:rPr>
            </w:pPr>
            <w:r>
              <w:rPr>
                <w:rFonts w:hint="eastAsia"/>
              </w:rPr>
              <w:t>9月11日</w:t>
            </w:r>
          </w:p>
        </w:tc>
        <w:tc>
          <w:tcPr>
            <w:tcW w:w="1945" w:type="pct"/>
            <w:vAlign w:val="center"/>
          </w:tcPr>
          <w:p w14:paraId="74A8D7B4">
            <w:pPr>
              <w:pStyle w:val="13"/>
              <w:jc w:val="center"/>
              <w:rPr>
                <w:rFonts w:hint="eastAsia"/>
              </w:rPr>
            </w:pPr>
            <w:r>
              <w:rPr>
                <w:rFonts w:hint="eastAsia"/>
              </w:rPr>
              <w:t>“扶贫双到”电脑培训班</w:t>
            </w:r>
          </w:p>
        </w:tc>
        <w:tc>
          <w:tcPr>
            <w:tcW w:w="379" w:type="pct"/>
            <w:vAlign w:val="center"/>
          </w:tcPr>
          <w:p w14:paraId="69A5CF89">
            <w:pPr>
              <w:pStyle w:val="13"/>
              <w:jc w:val="center"/>
              <w:rPr>
                <w:rFonts w:hint="eastAsia"/>
              </w:rPr>
            </w:pPr>
            <w:r>
              <w:rPr>
                <w:rFonts w:hint="eastAsia"/>
              </w:rPr>
              <w:t>1</w:t>
            </w:r>
          </w:p>
        </w:tc>
        <w:tc>
          <w:tcPr>
            <w:tcW w:w="414" w:type="pct"/>
            <w:vAlign w:val="center"/>
          </w:tcPr>
          <w:p w14:paraId="628362DE">
            <w:pPr>
              <w:pStyle w:val="13"/>
              <w:jc w:val="center"/>
              <w:rPr>
                <w:rFonts w:hint="eastAsia"/>
              </w:rPr>
            </w:pPr>
            <w:r>
              <w:rPr>
                <w:rFonts w:hint="eastAsia"/>
              </w:rPr>
              <w:t>28</w:t>
            </w:r>
          </w:p>
        </w:tc>
        <w:tc>
          <w:tcPr>
            <w:tcW w:w="1062" w:type="pct"/>
            <w:vAlign w:val="center"/>
          </w:tcPr>
          <w:p w14:paraId="701996E1">
            <w:pPr>
              <w:pStyle w:val="13"/>
              <w:jc w:val="center"/>
              <w:rPr>
                <w:rFonts w:hint="eastAsia"/>
              </w:rPr>
            </w:pPr>
            <w:r>
              <w:rPr>
                <w:rFonts w:hint="eastAsia"/>
              </w:rPr>
              <w:t>双到办</w:t>
            </w:r>
          </w:p>
        </w:tc>
      </w:tr>
      <w:tr w14:paraId="77AEA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pct"/>
            <w:vAlign w:val="center"/>
          </w:tcPr>
          <w:p w14:paraId="108DE7B8">
            <w:pPr>
              <w:pStyle w:val="13"/>
              <w:jc w:val="center"/>
              <w:rPr>
                <w:rFonts w:hint="eastAsia"/>
              </w:rPr>
            </w:pPr>
            <w:r>
              <w:rPr>
                <w:rFonts w:hint="eastAsia"/>
              </w:rPr>
              <w:t>9月-12月</w:t>
            </w:r>
          </w:p>
        </w:tc>
        <w:tc>
          <w:tcPr>
            <w:tcW w:w="1945" w:type="pct"/>
            <w:vAlign w:val="center"/>
          </w:tcPr>
          <w:p w14:paraId="6A6484DE">
            <w:pPr>
              <w:pStyle w:val="13"/>
              <w:jc w:val="center"/>
              <w:rPr>
                <w:rFonts w:hint="eastAsia"/>
              </w:rPr>
            </w:pPr>
            <w:r>
              <w:rPr>
                <w:rFonts w:hint="eastAsia"/>
              </w:rPr>
              <w:t>公务员公共管理核心知识全员培训班</w:t>
            </w:r>
          </w:p>
        </w:tc>
        <w:tc>
          <w:tcPr>
            <w:tcW w:w="379" w:type="pct"/>
            <w:vAlign w:val="center"/>
          </w:tcPr>
          <w:p w14:paraId="6D3E63DA">
            <w:pPr>
              <w:pStyle w:val="13"/>
              <w:jc w:val="center"/>
              <w:rPr>
                <w:rFonts w:hint="eastAsia"/>
              </w:rPr>
            </w:pPr>
            <w:r>
              <w:rPr>
                <w:rFonts w:hint="eastAsia"/>
              </w:rPr>
              <w:t>10</w:t>
            </w:r>
          </w:p>
        </w:tc>
        <w:tc>
          <w:tcPr>
            <w:tcW w:w="414" w:type="pct"/>
            <w:vAlign w:val="center"/>
          </w:tcPr>
          <w:p w14:paraId="19EFE847">
            <w:pPr>
              <w:pStyle w:val="13"/>
              <w:jc w:val="center"/>
              <w:rPr>
                <w:rFonts w:hint="eastAsia"/>
              </w:rPr>
            </w:pPr>
            <w:r>
              <w:rPr>
                <w:rFonts w:hint="eastAsia"/>
              </w:rPr>
              <w:t>1600</w:t>
            </w:r>
          </w:p>
        </w:tc>
        <w:tc>
          <w:tcPr>
            <w:tcW w:w="1062" w:type="pct"/>
            <w:vAlign w:val="center"/>
          </w:tcPr>
          <w:p w14:paraId="41540DD3">
            <w:pPr>
              <w:pStyle w:val="13"/>
              <w:jc w:val="center"/>
              <w:rPr>
                <w:rFonts w:hint="eastAsia"/>
              </w:rPr>
            </w:pPr>
            <w:r>
              <w:rPr>
                <w:rFonts w:hint="eastAsia"/>
              </w:rPr>
              <w:t>人事局</w:t>
            </w:r>
          </w:p>
        </w:tc>
      </w:tr>
      <w:tr w14:paraId="07BD01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pct"/>
            <w:vAlign w:val="center"/>
          </w:tcPr>
          <w:p w14:paraId="1FB1A605">
            <w:pPr>
              <w:pStyle w:val="13"/>
              <w:jc w:val="center"/>
              <w:rPr>
                <w:rFonts w:hint="eastAsia"/>
              </w:rPr>
            </w:pPr>
            <w:r>
              <w:rPr>
                <w:rFonts w:hint="eastAsia"/>
              </w:rPr>
              <w:t>3月-12月</w:t>
            </w:r>
          </w:p>
        </w:tc>
        <w:tc>
          <w:tcPr>
            <w:tcW w:w="1945" w:type="pct"/>
            <w:vAlign w:val="center"/>
          </w:tcPr>
          <w:p w14:paraId="2EC7C43B">
            <w:pPr>
              <w:pStyle w:val="13"/>
              <w:jc w:val="center"/>
              <w:rPr>
                <w:rFonts w:hint="eastAsia"/>
              </w:rPr>
            </w:pPr>
            <w:r>
              <w:rPr>
                <w:rFonts w:hint="eastAsia"/>
              </w:rPr>
              <w:t>干部自主选学培训班</w:t>
            </w:r>
          </w:p>
        </w:tc>
        <w:tc>
          <w:tcPr>
            <w:tcW w:w="379" w:type="pct"/>
            <w:vAlign w:val="center"/>
          </w:tcPr>
          <w:p w14:paraId="518E71AD">
            <w:pPr>
              <w:pStyle w:val="13"/>
              <w:jc w:val="center"/>
              <w:rPr>
                <w:rFonts w:hint="eastAsia"/>
              </w:rPr>
            </w:pPr>
            <w:r>
              <w:rPr>
                <w:rFonts w:hint="eastAsia"/>
              </w:rPr>
              <w:t>53</w:t>
            </w:r>
          </w:p>
        </w:tc>
        <w:tc>
          <w:tcPr>
            <w:tcW w:w="414" w:type="pct"/>
            <w:vAlign w:val="center"/>
          </w:tcPr>
          <w:p w14:paraId="29AD4928">
            <w:pPr>
              <w:pStyle w:val="13"/>
              <w:jc w:val="center"/>
              <w:rPr>
                <w:rFonts w:hint="eastAsia"/>
              </w:rPr>
            </w:pPr>
            <w:r>
              <w:rPr>
                <w:rFonts w:hint="eastAsia"/>
              </w:rPr>
              <w:t>3980</w:t>
            </w:r>
          </w:p>
        </w:tc>
        <w:tc>
          <w:tcPr>
            <w:tcW w:w="1062" w:type="pct"/>
            <w:vAlign w:val="center"/>
          </w:tcPr>
          <w:p w14:paraId="240156A6">
            <w:pPr>
              <w:pStyle w:val="13"/>
              <w:jc w:val="center"/>
              <w:rPr>
                <w:rFonts w:hint="eastAsia"/>
              </w:rPr>
            </w:pPr>
            <w:r>
              <w:rPr>
                <w:rFonts w:hint="eastAsia"/>
              </w:rPr>
              <w:t>组织部</w:t>
            </w:r>
          </w:p>
        </w:tc>
      </w:tr>
      <w:tr w14:paraId="5D3693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pct"/>
            <w:vAlign w:val="center"/>
          </w:tcPr>
          <w:p w14:paraId="44D8D35E">
            <w:pPr>
              <w:pStyle w:val="13"/>
              <w:jc w:val="center"/>
              <w:rPr>
                <w:rFonts w:hint="eastAsia"/>
              </w:rPr>
            </w:pPr>
            <w:r>
              <w:rPr>
                <w:rFonts w:hint="eastAsia"/>
              </w:rPr>
              <w:t>10月-12月</w:t>
            </w:r>
          </w:p>
        </w:tc>
        <w:tc>
          <w:tcPr>
            <w:tcW w:w="1945" w:type="pct"/>
            <w:vAlign w:val="center"/>
          </w:tcPr>
          <w:p w14:paraId="26982B84">
            <w:pPr>
              <w:pStyle w:val="13"/>
              <w:jc w:val="center"/>
              <w:rPr>
                <w:rFonts w:hint="eastAsia"/>
              </w:rPr>
            </w:pPr>
            <w:r>
              <w:rPr>
                <w:rFonts w:hint="eastAsia"/>
              </w:rPr>
              <w:t>会计上岗培训</w:t>
            </w:r>
          </w:p>
        </w:tc>
        <w:tc>
          <w:tcPr>
            <w:tcW w:w="379" w:type="pct"/>
            <w:vAlign w:val="center"/>
          </w:tcPr>
          <w:p w14:paraId="5316544B">
            <w:pPr>
              <w:pStyle w:val="13"/>
              <w:jc w:val="center"/>
              <w:rPr>
                <w:rFonts w:hint="eastAsia"/>
              </w:rPr>
            </w:pPr>
            <w:r>
              <w:rPr>
                <w:rFonts w:hint="eastAsia"/>
              </w:rPr>
              <w:t>2</w:t>
            </w:r>
          </w:p>
        </w:tc>
        <w:tc>
          <w:tcPr>
            <w:tcW w:w="414" w:type="pct"/>
            <w:vAlign w:val="center"/>
          </w:tcPr>
          <w:p w14:paraId="19FD6AE2">
            <w:pPr>
              <w:pStyle w:val="13"/>
              <w:jc w:val="center"/>
              <w:rPr>
                <w:rFonts w:hint="eastAsia"/>
              </w:rPr>
            </w:pPr>
            <w:r>
              <w:rPr>
                <w:rFonts w:hint="eastAsia"/>
              </w:rPr>
              <w:t>130</w:t>
            </w:r>
          </w:p>
        </w:tc>
        <w:tc>
          <w:tcPr>
            <w:tcW w:w="1062" w:type="pct"/>
            <w:vAlign w:val="center"/>
          </w:tcPr>
          <w:p w14:paraId="23B5B2A8">
            <w:pPr>
              <w:pStyle w:val="13"/>
              <w:jc w:val="center"/>
              <w:rPr>
                <w:rFonts w:hint="eastAsia"/>
              </w:rPr>
            </w:pPr>
            <w:r>
              <w:rPr>
                <w:rFonts w:hint="eastAsia"/>
              </w:rPr>
              <w:t>财政局</w:t>
            </w:r>
          </w:p>
        </w:tc>
      </w:tr>
      <w:tr w14:paraId="6777B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pct"/>
            <w:vAlign w:val="center"/>
          </w:tcPr>
          <w:p w14:paraId="20D825EC">
            <w:pPr>
              <w:pStyle w:val="13"/>
              <w:jc w:val="center"/>
              <w:rPr>
                <w:rFonts w:hint="eastAsia"/>
              </w:rPr>
            </w:pPr>
            <w:r>
              <w:rPr>
                <w:rFonts w:hint="eastAsia"/>
              </w:rPr>
              <w:t>10月12-14日</w:t>
            </w:r>
          </w:p>
        </w:tc>
        <w:tc>
          <w:tcPr>
            <w:tcW w:w="1945" w:type="pct"/>
            <w:vAlign w:val="center"/>
          </w:tcPr>
          <w:p w14:paraId="33FF0226">
            <w:pPr>
              <w:pStyle w:val="13"/>
              <w:jc w:val="center"/>
              <w:rPr>
                <w:rFonts w:hint="eastAsia"/>
              </w:rPr>
            </w:pPr>
            <w:r>
              <w:rPr>
                <w:rFonts w:hint="eastAsia"/>
              </w:rPr>
              <w:t>农村创业青年技能培训班</w:t>
            </w:r>
          </w:p>
        </w:tc>
        <w:tc>
          <w:tcPr>
            <w:tcW w:w="379" w:type="pct"/>
            <w:vAlign w:val="center"/>
          </w:tcPr>
          <w:p w14:paraId="0D809EC4">
            <w:pPr>
              <w:pStyle w:val="13"/>
              <w:jc w:val="center"/>
              <w:rPr>
                <w:rFonts w:hint="eastAsia"/>
              </w:rPr>
            </w:pPr>
            <w:r>
              <w:rPr>
                <w:rFonts w:hint="eastAsia"/>
              </w:rPr>
              <w:t>1</w:t>
            </w:r>
          </w:p>
        </w:tc>
        <w:tc>
          <w:tcPr>
            <w:tcW w:w="414" w:type="pct"/>
            <w:vAlign w:val="center"/>
          </w:tcPr>
          <w:p w14:paraId="0A72B5AE">
            <w:pPr>
              <w:pStyle w:val="13"/>
              <w:jc w:val="center"/>
              <w:rPr>
                <w:rFonts w:hint="eastAsia"/>
              </w:rPr>
            </w:pPr>
            <w:r>
              <w:rPr>
                <w:rFonts w:hint="eastAsia"/>
              </w:rPr>
              <w:t>100</w:t>
            </w:r>
          </w:p>
        </w:tc>
        <w:tc>
          <w:tcPr>
            <w:tcW w:w="1062" w:type="pct"/>
            <w:vAlign w:val="center"/>
          </w:tcPr>
          <w:p w14:paraId="1EC098EE">
            <w:pPr>
              <w:pStyle w:val="13"/>
              <w:jc w:val="center"/>
              <w:rPr>
                <w:rFonts w:hint="eastAsia"/>
              </w:rPr>
            </w:pPr>
            <w:r>
              <w:rPr>
                <w:rFonts w:hint="eastAsia"/>
              </w:rPr>
              <w:t>组织部</w:t>
            </w:r>
          </w:p>
        </w:tc>
      </w:tr>
      <w:tr w14:paraId="7089E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pct"/>
            <w:vAlign w:val="center"/>
          </w:tcPr>
          <w:p w14:paraId="63842CDF">
            <w:pPr>
              <w:pStyle w:val="13"/>
              <w:jc w:val="center"/>
              <w:rPr>
                <w:rFonts w:hint="eastAsia"/>
              </w:rPr>
            </w:pPr>
            <w:r>
              <w:rPr>
                <w:rFonts w:hint="eastAsia"/>
              </w:rPr>
              <w:t>9月14日</w:t>
            </w:r>
          </w:p>
        </w:tc>
        <w:tc>
          <w:tcPr>
            <w:tcW w:w="1945" w:type="pct"/>
            <w:vAlign w:val="center"/>
          </w:tcPr>
          <w:p w14:paraId="1D166C9B">
            <w:pPr>
              <w:pStyle w:val="13"/>
              <w:jc w:val="center"/>
              <w:rPr>
                <w:rFonts w:hint="eastAsia"/>
              </w:rPr>
            </w:pPr>
            <w:r>
              <w:rPr>
                <w:rFonts w:hint="eastAsia"/>
              </w:rPr>
              <w:t>组工干部培训班</w:t>
            </w:r>
          </w:p>
        </w:tc>
        <w:tc>
          <w:tcPr>
            <w:tcW w:w="379" w:type="pct"/>
            <w:vAlign w:val="center"/>
          </w:tcPr>
          <w:p w14:paraId="6EA9B587">
            <w:pPr>
              <w:pStyle w:val="13"/>
              <w:jc w:val="center"/>
              <w:rPr>
                <w:rFonts w:hint="eastAsia"/>
              </w:rPr>
            </w:pPr>
            <w:r>
              <w:rPr>
                <w:rFonts w:hint="eastAsia"/>
              </w:rPr>
              <w:t>1</w:t>
            </w:r>
          </w:p>
        </w:tc>
        <w:tc>
          <w:tcPr>
            <w:tcW w:w="414" w:type="pct"/>
            <w:vAlign w:val="center"/>
          </w:tcPr>
          <w:p w14:paraId="40963794">
            <w:pPr>
              <w:pStyle w:val="13"/>
              <w:jc w:val="center"/>
              <w:rPr>
                <w:rFonts w:hint="eastAsia"/>
              </w:rPr>
            </w:pPr>
            <w:r>
              <w:rPr>
                <w:rFonts w:hint="eastAsia"/>
              </w:rPr>
              <w:t>26</w:t>
            </w:r>
          </w:p>
        </w:tc>
        <w:tc>
          <w:tcPr>
            <w:tcW w:w="1062" w:type="pct"/>
            <w:vAlign w:val="center"/>
          </w:tcPr>
          <w:p w14:paraId="357E7985">
            <w:pPr>
              <w:pStyle w:val="13"/>
              <w:jc w:val="center"/>
              <w:rPr>
                <w:rFonts w:hint="eastAsia"/>
              </w:rPr>
            </w:pPr>
            <w:r>
              <w:rPr>
                <w:rFonts w:hint="eastAsia"/>
              </w:rPr>
              <w:t>组织部</w:t>
            </w:r>
          </w:p>
        </w:tc>
      </w:tr>
      <w:tr w14:paraId="54087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pct"/>
            <w:vAlign w:val="center"/>
          </w:tcPr>
          <w:p w14:paraId="65010046">
            <w:pPr>
              <w:pStyle w:val="13"/>
              <w:jc w:val="center"/>
              <w:rPr>
                <w:rFonts w:hint="eastAsia"/>
              </w:rPr>
            </w:pPr>
            <w:r>
              <w:rPr>
                <w:rFonts w:hint="eastAsia"/>
              </w:rPr>
              <w:t>11月15日-12月13日</w:t>
            </w:r>
          </w:p>
        </w:tc>
        <w:tc>
          <w:tcPr>
            <w:tcW w:w="1945" w:type="pct"/>
            <w:vAlign w:val="center"/>
          </w:tcPr>
          <w:p w14:paraId="07B5FF8F">
            <w:pPr>
              <w:pStyle w:val="13"/>
              <w:jc w:val="center"/>
              <w:rPr>
                <w:rFonts w:hint="eastAsia"/>
              </w:rPr>
            </w:pPr>
            <w:r>
              <w:rPr>
                <w:rFonts w:hint="eastAsia"/>
              </w:rPr>
              <w:t>科级干部培训班</w:t>
            </w:r>
          </w:p>
        </w:tc>
        <w:tc>
          <w:tcPr>
            <w:tcW w:w="379" w:type="pct"/>
            <w:vAlign w:val="center"/>
          </w:tcPr>
          <w:p w14:paraId="1D067E02">
            <w:pPr>
              <w:pStyle w:val="13"/>
              <w:jc w:val="center"/>
              <w:rPr>
                <w:rFonts w:hint="eastAsia"/>
              </w:rPr>
            </w:pPr>
            <w:r>
              <w:rPr>
                <w:rFonts w:hint="eastAsia"/>
              </w:rPr>
              <w:t>2</w:t>
            </w:r>
          </w:p>
        </w:tc>
        <w:tc>
          <w:tcPr>
            <w:tcW w:w="414" w:type="pct"/>
            <w:vAlign w:val="center"/>
          </w:tcPr>
          <w:p w14:paraId="3CD314A4">
            <w:pPr>
              <w:pStyle w:val="13"/>
              <w:jc w:val="center"/>
              <w:rPr>
                <w:rFonts w:hint="eastAsia"/>
              </w:rPr>
            </w:pPr>
            <w:r>
              <w:rPr>
                <w:rFonts w:hint="eastAsia"/>
              </w:rPr>
              <w:t>260</w:t>
            </w:r>
          </w:p>
        </w:tc>
        <w:tc>
          <w:tcPr>
            <w:tcW w:w="1062" w:type="pct"/>
            <w:vAlign w:val="center"/>
          </w:tcPr>
          <w:p w14:paraId="58712328">
            <w:pPr>
              <w:pStyle w:val="13"/>
              <w:jc w:val="center"/>
              <w:rPr>
                <w:rFonts w:hint="eastAsia"/>
              </w:rPr>
            </w:pPr>
            <w:r>
              <w:rPr>
                <w:rFonts w:hint="eastAsia"/>
              </w:rPr>
              <w:t>韶关党校南雄组织部</w:t>
            </w:r>
          </w:p>
        </w:tc>
      </w:tr>
      <w:tr w14:paraId="7BC43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pct"/>
            <w:vAlign w:val="center"/>
          </w:tcPr>
          <w:p w14:paraId="65BD9E54">
            <w:pPr>
              <w:pStyle w:val="13"/>
              <w:jc w:val="center"/>
              <w:rPr>
                <w:rFonts w:hint="eastAsia"/>
              </w:rPr>
            </w:pPr>
            <w:r>
              <w:rPr>
                <w:rFonts w:hint="eastAsia"/>
              </w:rPr>
              <w:t>11月22-25日</w:t>
            </w:r>
          </w:p>
        </w:tc>
        <w:tc>
          <w:tcPr>
            <w:tcW w:w="1945" w:type="pct"/>
            <w:vAlign w:val="center"/>
          </w:tcPr>
          <w:p w14:paraId="35F48CD6">
            <w:pPr>
              <w:pStyle w:val="13"/>
              <w:jc w:val="center"/>
              <w:rPr>
                <w:rFonts w:hint="eastAsia"/>
              </w:rPr>
            </w:pPr>
            <w:r>
              <w:rPr>
                <w:rFonts w:hint="eastAsia"/>
              </w:rPr>
              <w:t>初任公务员培训班</w:t>
            </w:r>
          </w:p>
        </w:tc>
        <w:tc>
          <w:tcPr>
            <w:tcW w:w="379" w:type="pct"/>
            <w:vAlign w:val="center"/>
          </w:tcPr>
          <w:p w14:paraId="2C2E7284">
            <w:pPr>
              <w:pStyle w:val="13"/>
              <w:jc w:val="center"/>
              <w:rPr>
                <w:rFonts w:hint="eastAsia"/>
              </w:rPr>
            </w:pPr>
            <w:r>
              <w:rPr>
                <w:rFonts w:hint="eastAsia"/>
              </w:rPr>
              <w:t>1</w:t>
            </w:r>
          </w:p>
        </w:tc>
        <w:tc>
          <w:tcPr>
            <w:tcW w:w="414" w:type="pct"/>
            <w:vAlign w:val="center"/>
          </w:tcPr>
          <w:p w14:paraId="39ACA5F2">
            <w:pPr>
              <w:pStyle w:val="13"/>
              <w:jc w:val="center"/>
              <w:rPr>
                <w:rFonts w:hint="eastAsia"/>
              </w:rPr>
            </w:pPr>
            <w:r>
              <w:rPr>
                <w:rFonts w:hint="eastAsia"/>
              </w:rPr>
              <w:t>40</w:t>
            </w:r>
          </w:p>
        </w:tc>
        <w:tc>
          <w:tcPr>
            <w:tcW w:w="1062" w:type="pct"/>
            <w:vAlign w:val="center"/>
          </w:tcPr>
          <w:p w14:paraId="793A9E43">
            <w:pPr>
              <w:pStyle w:val="13"/>
              <w:jc w:val="center"/>
              <w:rPr>
                <w:rFonts w:hint="eastAsia"/>
              </w:rPr>
            </w:pPr>
            <w:r>
              <w:rPr>
                <w:rFonts w:hint="eastAsia"/>
              </w:rPr>
              <w:t>人事局</w:t>
            </w:r>
          </w:p>
        </w:tc>
      </w:tr>
      <w:tr w14:paraId="1FCE38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pct"/>
            <w:vAlign w:val="center"/>
          </w:tcPr>
          <w:p w14:paraId="6AAC240E">
            <w:pPr>
              <w:pStyle w:val="13"/>
              <w:jc w:val="center"/>
              <w:rPr>
                <w:rFonts w:hint="eastAsia"/>
              </w:rPr>
            </w:pPr>
            <w:r>
              <w:rPr>
                <w:rFonts w:hint="eastAsia"/>
              </w:rPr>
              <w:t>11月2日</w:t>
            </w:r>
          </w:p>
        </w:tc>
        <w:tc>
          <w:tcPr>
            <w:tcW w:w="1945" w:type="pct"/>
            <w:vAlign w:val="center"/>
          </w:tcPr>
          <w:p w14:paraId="56E99DD9">
            <w:pPr>
              <w:pStyle w:val="13"/>
              <w:jc w:val="center"/>
              <w:rPr>
                <w:rFonts w:hint="eastAsia"/>
              </w:rPr>
            </w:pPr>
            <w:r>
              <w:rPr>
                <w:rFonts w:hint="eastAsia"/>
              </w:rPr>
              <w:t>编制实名制培训班</w:t>
            </w:r>
          </w:p>
        </w:tc>
        <w:tc>
          <w:tcPr>
            <w:tcW w:w="379" w:type="pct"/>
            <w:vAlign w:val="center"/>
          </w:tcPr>
          <w:p w14:paraId="7BB3ED82">
            <w:pPr>
              <w:pStyle w:val="13"/>
              <w:jc w:val="center"/>
              <w:rPr>
                <w:rFonts w:hint="eastAsia"/>
              </w:rPr>
            </w:pPr>
            <w:r>
              <w:rPr>
                <w:rFonts w:hint="eastAsia"/>
              </w:rPr>
              <w:t>1</w:t>
            </w:r>
          </w:p>
        </w:tc>
        <w:tc>
          <w:tcPr>
            <w:tcW w:w="414" w:type="pct"/>
            <w:vAlign w:val="center"/>
          </w:tcPr>
          <w:p w14:paraId="0F1B26EB">
            <w:pPr>
              <w:pStyle w:val="13"/>
              <w:jc w:val="center"/>
              <w:rPr>
                <w:rFonts w:hint="eastAsia"/>
              </w:rPr>
            </w:pPr>
            <w:r>
              <w:rPr>
                <w:rFonts w:hint="eastAsia"/>
              </w:rPr>
              <w:t>55</w:t>
            </w:r>
          </w:p>
        </w:tc>
        <w:tc>
          <w:tcPr>
            <w:tcW w:w="1062" w:type="pct"/>
            <w:vAlign w:val="center"/>
          </w:tcPr>
          <w:p w14:paraId="684E4FB9">
            <w:pPr>
              <w:pStyle w:val="13"/>
              <w:jc w:val="center"/>
              <w:rPr>
                <w:rFonts w:hint="eastAsia"/>
              </w:rPr>
            </w:pPr>
            <w:r>
              <w:rPr>
                <w:rFonts w:hint="eastAsia"/>
              </w:rPr>
              <w:t>人事局</w:t>
            </w:r>
          </w:p>
        </w:tc>
      </w:tr>
      <w:tr w14:paraId="2B80B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pct"/>
            <w:vAlign w:val="center"/>
          </w:tcPr>
          <w:p w14:paraId="15F2E07E">
            <w:pPr>
              <w:pStyle w:val="13"/>
              <w:jc w:val="center"/>
              <w:rPr>
                <w:rFonts w:hint="eastAsia"/>
              </w:rPr>
            </w:pPr>
            <w:r>
              <w:rPr>
                <w:rFonts w:hint="eastAsia"/>
              </w:rPr>
              <w:t>4月8日-15日</w:t>
            </w:r>
          </w:p>
        </w:tc>
        <w:tc>
          <w:tcPr>
            <w:tcW w:w="1945" w:type="pct"/>
            <w:vAlign w:val="center"/>
          </w:tcPr>
          <w:p w14:paraId="728F8729">
            <w:pPr>
              <w:pStyle w:val="13"/>
              <w:jc w:val="center"/>
              <w:rPr>
                <w:rFonts w:hint="eastAsia"/>
              </w:rPr>
            </w:pPr>
            <w:r>
              <w:rPr>
                <w:rFonts w:hint="eastAsia"/>
              </w:rPr>
              <w:t>农村“两委”干部培训班</w:t>
            </w:r>
          </w:p>
        </w:tc>
        <w:tc>
          <w:tcPr>
            <w:tcW w:w="379" w:type="pct"/>
            <w:vAlign w:val="center"/>
          </w:tcPr>
          <w:p w14:paraId="747A4970">
            <w:pPr>
              <w:pStyle w:val="13"/>
              <w:jc w:val="center"/>
              <w:rPr>
                <w:rFonts w:hint="eastAsia"/>
              </w:rPr>
            </w:pPr>
            <w:r>
              <w:rPr>
                <w:rFonts w:hint="eastAsia"/>
              </w:rPr>
              <w:t>2</w:t>
            </w:r>
          </w:p>
        </w:tc>
        <w:tc>
          <w:tcPr>
            <w:tcW w:w="414" w:type="pct"/>
            <w:vAlign w:val="center"/>
          </w:tcPr>
          <w:p w14:paraId="123F6DDA">
            <w:pPr>
              <w:pStyle w:val="13"/>
              <w:jc w:val="center"/>
              <w:rPr>
                <w:rFonts w:hint="eastAsia"/>
              </w:rPr>
            </w:pPr>
            <w:r>
              <w:rPr>
                <w:rFonts w:hint="eastAsia"/>
              </w:rPr>
              <w:t>231</w:t>
            </w:r>
          </w:p>
        </w:tc>
        <w:tc>
          <w:tcPr>
            <w:tcW w:w="1062" w:type="pct"/>
            <w:vAlign w:val="center"/>
          </w:tcPr>
          <w:p w14:paraId="2194E50B">
            <w:pPr>
              <w:pStyle w:val="13"/>
              <w:jc w:val="center"/>
              <w:rPr>
                <w:rFonts w:hint="eastAsia"/>
              </w:rPr>
            </w:pPr>
            <w:r>
              <w:rPr>
                <w:rFonts w:hint="eastAsia"/>
              </w:rPr>
              <w:t>组织部</w:t>
            </w:r>
          </w:p>
        </w:tc>
      </w:tr>
      <w:tr w14:paraId="75AD8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pct"/>
            <w:vAlign w:val="center"/>
          </w:tcPr>
          <w:p w14:paraId="0CD266E9">
            <w:pPr>
              <w:pStyle w:val="13"/>
              <w:jc w:val="center"/>
              <w:rPr>
                <w:rFonts w:hint="eastAsia"/>
              </w:rPr>
            </w:pPr>
            <w:r>
              <w:rPr>
                <w:rFonts w:hint="eastAsia"/>
              </w:rPr>
              <w:t>4月25日-28日</w:t>
            </w:r>
          </w:p>
        </w:tc>
        <w:tc>
          <w:tcPr>
            <w:tcW w:w="1945" w:type="pct"/>
            <w:vAlign w:val="center"/>
          </w:tcPr>
          <w:p w14:paraId="38FC8231">
            <w:pPr>
              <w:pStyle w:val="13"/>
              <w:jc w:val="center"/>
              <w:rPr>
                <w:rFonts w:hint="eastAsia"/>
              </w:rPr>
            </w:pPr>
            <w:r>
              <w:rPr>
                <w:rFonts w:hint="eastAsia"/>
              </w:rPr>
              <w:t>青年团干部培训班</w:t>
            </w:r>
          </w:p>
        </w:tc>
        <w:tc>
          <w:tcPr>
            <w:tcW w:w="379" w:type="pct"/>
            <w:vAlign w:val="center"/>
          </w:tcPr>
          <w:p w14:paraId="0AC69D2D">
            <w:pPr>
              <w:pStyle w:val="13"/>
              <w:jc w:val="center"/>
              <w:rPr>
                <w:rFonts w:hint="eastAsia"/>
              </w:rPr>
            </w:pPr>
            <w:r>
              <w:rPr>
                <w:rFonts w:hint="eastAsia"/>
              </w:rPr>
              <w:t>1</w:t>
            </w:r>
          </w:p>
        </w:tc>
        <w:tc>
          <w:tcPr>
            <w:tcW w:w="414" w:type="pct"/>
            <w:vAlign w:val="center"/>
          </w:tcPr>
          <w:p w14:paraId="772EABAA">
            <w:pPr>
              <w:pStyle w:val="13"/>
              <w:jc w:val="center"/>
              <w:rPr>
                <w:rFonts w:hint="eastAsia"/>
              </w:rPr>
            </w:pPr>
            <w:r>
              <w:rPr>
                <w:rFonts w:hint="eastAsia"/>
              </w:rPr>
              <w:t>50</w:t>
            </w:r>
          </w:p>
        </w:tc>
        <w:tc>
          <w:tcPr>
            <w:tcW w:w="1062" w:type="pct"/>
            <w:vAlign w:val="center"/>
          </w:tcPr>
          <w:p w14:paraId="0E4CB99B">
            <w:pPr>
              <w:pStyle w:val="13"/>
              <w:jc w:val="center"/>
              <w:rPr>
                <w:rFonts w:hint="eastAsia"/>
              </w:rPr>
            </w:pPr>
            <w:r>
              <w:rPr>
                <w:rFonts w:hint="eastAsia"/>
              </w:rPr>
              <w:t>团委</w:t>
            </w:r>
          </w:p>
        </w:tc>
      </w:tr>
      <w:tr w14:paraId="5CE3C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pct"/>
            <w:vAlign w:val="center"/>
          </w:tcPr>
          <w:p w14:paraId="53EFF264">
            <w:pPr>
              <w:pStyle w:val="13"/>
              <w:jc w:val="center"/>
              <w:rPr>
                <w:rFonts w:hint="eastAsia"/>
              </w:rPr>
            </w:pPr>
            <w:r>
              <w:rPr>
                <w:rFonts w:hint="eastAsia"/>
              </w:rPr>
              <w:t>12月15-16日</w:t>
            </w:r>
          </w:p>
        </w:tc>
        <w:tc>
          <w:tcPr>
            <w:tcW w:w="1945" w:type="pct"/>
            <w:vAlign w:val="center"/>
          </w:tcPr>
          <w:p w14:paraId="2A74751F">
            <w:pPr>
              <w:pStyle w:val="13"/>
              <w:jc w:val="center"/>
              <w:rPr>
                <w:rFonts w:hint="eastAsia"/>
              </w:rPr>
            </w:pPr>
            <w:r>
              <w:rPr>
                <w:rFonts w:hint="eastAsia"/>
              </w:rPr>
              <w:t>收费员岗位培训班</w:t>
            </w:r>
          </w:p>
        </w:tc>
        <w:tc>
          <w:tcPr>
            <w:tcW w:w="379" w:type="pct"/>
            <w:vAlign w:val="center"/>
          </w:tcPr>
          <w:p w14:paraId="39861E19">
            <w:pPr>
              <w:pStyle w:val="13"/>
              <w:jc w:val="center"/>
              <w:rPr>
                <w:rFonts w:hint="eastAsia"/>
              </w:rPr>
            </w:pPr>
            <w:r>
              <w:rPr>
                <w:rFonts w:hint="eastAsia"/>
              </w:rPr>
              <w:t>1</w:t>
            </w:r>
          </w:p>
        </w:tc>
        <w:tc>
          <w:tcPr>
            <w:tcW w:w="414" w:type="pct"/>
            <w:vAlign w:val="center"/>
          </w:tcPr>
          <w:p w14:paraId="35DF5B41">
            <w:pPr>
              <w:pStyle w:val="13"/>
              <w:jc w:val="center"/>
              <w:rPr>
                <w:rFonts w:hint="eastAsia"/>
              </w:rPr>
            </w:pPr>
            <w:r>
              <w:rPr>
                <w:rFonts w:hint="eastAsia"/>
              </w:rPr>
              <w:t>55</w:t>
            </w:r>
          </w:p>
        </w:tc>
        <w:tc>
          <w:tcPr>
            <w:tcW w:w="1062" w:type="pct"/>
            <w:vAlign w:val="center"/>
          </w:tcPr>
          <w:p w14:paraId="11F755A9">
            <w:pPr>
              <w:pStyle w:val="13"/>
              <w:jc w:val="center"/>
              <w:rPr>
                <w:rFonts w:hint="eastAsia"/>
              </w:rPr>
            </w:pPr>
            <w:r>
              <w:rPr>
                <w:rFonts w:hint="eastAsia"/>
              </w:rPr>
              <w:t>发改局</w:t>
            </w:r>
          </w:p>
        </w:tc>
      </w:tr>
      <w:tr w14:paraId="44C5D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pct"/>
            <w:vAlign w:val="center"/>
          </w:tcPr>
          <w:p w14:paraId="4EA01A2C">
            <w:pPr>
              <w:pStyle w:val="13"/>
              <w:jc w:val="center"/>
              <w:rPr>
                <w:rFonts w:hint="eastAsia"/>
              </w:rPr>
            </w:pPr>
            <w:r>
              <w:rPr>
                <w:rFonts w:hint="eastAsia"/>
              </w:rPr>
              <w:t>合计</w:t>
            </w:r>
          </w:p>
        </w:tc>
        <w:tc>
          <w:tcPr>
            <w:tcW w:w="1945" w:type="pct"/>
            <w:vAlign w:val="center"/>
          </w:tcPr>
          <w:p w14:paraId="005136A9">
            <w:pPr>
              <w:pStyle w:val="13"/>
              <w:jc w:val="center"/>
              <w:rPr>
                <w:rFonts w:hint="eastAsia"/>
              </w:rPr>
            </w:pPr>
            <w:r>
              <w:rPr>
                <w:rFonts w:hint="eastAsia"/>
              </w:rPr>
              <w:t>122</w:t>
            </w:r>
          </w:p>
        </w:tc>
        <w:tc>
          <w:tcPr>
            <w:tcW w:w="379" w:type="pct"/>
            <w:vAlign w:val="center"/>
          </w:tcPr>
          <w:p w14:paraId="521124BA">
            <w:pPr>
              <w:pStyle w:val="13"/>
              <w:jc w:val="center"/>
              <w:rPr>
                <w:rFonts w:hint="eastAsia"/>
              </w:rPr>
            </w:pPr>
            <w:r>
              <w:rPr>
                <w:rFonts w:hint="eastAsia"/>
              </w:rPr>
              <w:t>8920</w:t>
            </w:r>
          </w:p>
        </w:tc>
        <w:tc>
          <w:tcPr>
            <w:tcW w:w="414" w:type="pct"/>
            <w:vAlign w:val="center"/>
          </w:tcPr>
          <w:p w14:paraId="55BD0CDD">
            <w:pPr>
              <w:pStyle w:val="13"/>
              <w:jc w:val="center"/>
              <w:rPr>
                <w:rFonts w:hint="eastAsia"/>
              </w:rPr>
            </w:pPr>
          </w:p>
        </w:tc>
        <w:tc>
          <w:tcPr>
            <w:tcW w:w="1062" w:type="pct"/>
            <w:vAlign w:val="center"/>
          </w:tcPr>
          <w:p w14:paraId="197C989F">
            <w:pPr>
              <w:pStyle w:val="13"/>
              <w:jc w:val="center"/>
              <w:rPr>
                <w:rFonts w:hint="eastAsia"/>
              </w:rPr>
            </w:pPr>
          </w:p>
        </w:tc>
      </w:tr>
    </w:tbl>
    <w:p w14:paraId="0500BF46">
      <w:pPr>
        <w:pStyle w:val="4"/>
      </w:pPr>
      <w:r>
        <w:rPr>
          <w:rFonts w:hint="eastAsia"/>
        </w:rPr>
        <w:t>【科研工作】</w:t>
      </w:r>
    </w:p>
    <w:p w14:paraId="49E29793">
      <w:pPr>
        <w:ind w:firstLine="420"/>
        <w:rPr>
          <w:rFonts w:ascii="宋体" w:hAnsi="宋体"/>
        </w:rPr>
      </w:pPr>
      <w:r>
        <w:rPr>
          <w:rFonts w:hint="eastAsia" w:ascii="宋体" w:hAnsi="宋体"/>
        </w:rPr>
        <w:t>中共南雄市委党校的科研工作，主要围绕建设中国特色社会主义重大现实问题的课题，结合国内国际形势及市情发展变化进行理论与实践研究，坚持科研为教学服务，为党委政府决策服务的原则来开展科研工作。加强对党和国家方针的学习、理解和运用；加强对当地经济社会发展情况的调研；加强为市委、市政府中心工作的服务意识。为当地经济社会的发展方向和策略提供理论依据和参考意见，发挥党校作为思想理论研究阵地的作用。教师教学科研取得一定成效，在各级刊物发表</w:t>
      </w:r>
      <w:r>
        <w:rPr>
          <w:rFonts w:ascii="宋体" w:hAnsi="宋体"/>
        </w:rPr>
        <w:t>7篇学术论文</w:t>
      </w:r>
      <w:r>
        <w:rPr>
          <w:rFonts w:hint="eastAsia" w:ascii="宋体" w:hAnsi="宋体"/>
        </w:rPr>
        <w:t>：</w:t>
      </w:r>
      <w:r>
        <w:rPr>
          <w:rFonts w:ascii="宋体" w:hAnsi="宋体"/>
        </w:rPr>
        <w:t>国</w:t>
      </w:r>
      <w:r>
        <w:rPr>
          <w:rFonts w:hint="eastAsia" w:ascii="宋体" w:hAnsi="宋体"/>
        </w:rPr>
        <w:t>家级</w:t>
      </w:r>
      <w:r>
        <w:rPr>
          <w:rFonts w:ascii="宋体" w:hAnsi="宋体"/>
        </w:rPr>
        <w:t>1篇、省级5篇、市级1篇。1名教师被</w:t>
      </w:r>
      <w:r>
        <w:rPr>
          <w:rFonts w:hint="eastAsia" w:ascii="宋体" w:hAnsi="宋体"/>
        </w:rPr>
        <w:t>评为</w:t>
      </w:r>
      <w:r>
        <w:rPr>
          <w:rFonts w:ascii="宋体" w:hAnsi="宋体"/>
        </w:rPr>
        <w:t>2010年度省电大系统优秀教师。</w:t>
      </w:r>
    </w:p>
    <w:p w14:paraId="2747F51D">
      <w:pPr>
        <w:pStyle w:val="4"/>
      </w:pPr>
      <w:r>
        <w:rPr>
          <w:rFonts w:hint="eastAsia"/>
        </w:rPr>
        <w:t>【理论研讨活动】</w:t>
      </w:r>
    </w:p>
    <w:p w14:paraId="386CDA46">
      <w:pPr>
        <w:ind w:firstLine="420"/>
        <w:rPr>
          <w:rFonts w:ascii="宋体" w:hAnsi="宋体"/>
        </w:rPr>
      </w:pPr>
      <w:r>
        <w:rPr>
          <w:rFonts w:hint="eastAsia" w:ascii="宋体" w:hAnsi="宋体"/>
        </w:rPr>
        <w:t>中共南雄市委党校积极组织教师开展理论研讨活动，按期举行教学研究活动，相互学习，共同提高。研究方向涉及南雄市经济社会发展、社会管理、扶贫双到、党风廉政建设、节能减排等热点话题。</w:t>
      </w:r>
    </w:p>
    <w:p w14:paraId="2F434D2F">
      <w:pPr>
        <w:pStyle w:val="4"/>
      </w:pPr>
      <w:r>
        <w:rPr>
          <w:rFonts w:hint="eastAsia"/>
        </w:rPr>
        <w:t>【信息化建设】</w:t>
      </w:r>
    </w:p>
    <w:p w14:paraId="0C64198C">
      <w:pPr>
        <w:ind w:firstLine="420"/>
        <w:rPr>
          <w:rFonts w:ascii="宋体" w:hAnsi="宋体"/>
        </w:rPr>
      </w:pPr>
      <w:r>
        <w:rPr>
          <w:rFonts w:hint="eastAsia" w:ascii="宋体" w:hAnsi="宋体"/>
        </w:rPr>
        <w:t>中共南雄市委党校建有三套卫星地面接收系统：中共中央党校干部教育卫星远程网络教学系统、中共广东省委党校干部教育卫星远程网络教学系统、中央广播电视大学卫星远程网络教学系统，能够开展现代远程教育。在互联网注册南雄市广播电视大学网站和</w:t>
      </w:r>
      <w:r>
        <w:rPr>
          <w:rFonts w:ascii="宋体" w:hAnsi="宋体"/>
        </w:rPr>
        <w:t>BBS论坛，有100台教学电脑</w:t>
      </w:r>
      <w:r>
        <w:rPr>
          <w:rFonts w:hint="eastAsia" w:ascii="宋体" w:hAnsi="宋体"/>
        </w:rPr>
        <w:t>、</w:t>
      </w:r>
      <w:r>
        <w:rPr>
          <w:rFonts w:ascii="宋体" w:hAnsi="宋体"/>
        </w:rPr>
        <w:t>17台办公电脑、1套多媒体教学设备，开通</w:t>
      </w:r>
      <w:r>
        <w:rPr>
          <w:rFonts w:hint="eastAsia" w:ascii="宋体" w:hAnsi="宋体"/>
        </w:rPr>
        <w:t>了能连通互联网的学校校园网络。</w:t>
      </w:r>
    </w:p>
    <w:p w14:paraId="4D8C5AF2">
      <w:pPr>
        <w:pStyle w:val="4"/>
      </w:pPr>
      <w:r>
        <w:rPr>
          <w:rFonts w:hint="eastAsia"/>
        </w:rPr>
        <w:t>【后勤服务】</w:t>
      </w:r>
    </w:p>
    <w:p w14:paraId="5670CA70">
      <w:pPr>
        <w:ind w:firstLine="420"/>
        <w:rPr>
          <w:rFonts w:ascii="宋体" w:hAnsi="宋体"/>
        </w:rPr>
      </w:pPr>
      <w:r>
        <w:rPr>
          <w:rFonts w:hint="eastAsia" w:ascii="宋体" w:hAnsi="宋体"/>
        </w:rPr>
        <w:t>中共南雄市委党校后勤服务以“为教学科研、学员和教职工搞好服务”为宗旨，坚持后勤改革与创新，加强基础设施建设，健全管理服务机制。学校健全服务人员、财务、卫生、餐厅和安全保卫等管理制度，为干部培训、学历教学提供有力的后勤保障。对学员宿舍进行了翻新：安装空调、热水器、有线电视各</w:t>
      </w:r>
      <w:r>
        <w:rPr>
          <w:rFonts w:ascii="宋体" w:hAnsi="宋体"/>
        </w:rPr>
        <w:t>19台，更新床上用品100套。</w:t>
      </w:r>
    </w:p>
    <w:p w14:paraId="581AB5DF">
      <w:pPr>
        <w:pStyle w:val="4"/>
      </w:pPr>
      <w:r>
        <w:rPr>
          <w:rFonts w:hint="eastAsia"/>
        </w:rPr>
        <w:t>【队伍建设】</w:t>
      </w:r>
    </w:p>
    <w:p w14:paraId="2B89C14C">
      <w:pPr>
        <w:ind w:firstLine="420"/>
        <w:rPr>
          <w:rFonts w:ascii="宋体" w:hAnsi="宋体"/>
        </w:rPr>
      </w:pPr>
      <w:r>
        <w:rPr>
          <w:rFonts w:hint="eastAsia" w:ascii="宋体" w:hAnsi="宋体"/>
        </w:rPr>
        <w:t>中共南雄市委党校现有教职工</w:t>
      </w:r>
      <w:r>
        <w:rPr>
          <w:rFonts w:ascii="宋体" w:hAnsi="宋体"/>
        </w:rPr>
        <w:t>38人，其中，专职教师23人（高级教师4</w:t>
      </w:r>
      <w:r>
        <w:rPr>
          <w:rFonts w:hint="eastAsia" w:ascii="宋体" w:hAnsi="宋体"/>
        </w:rPr>
        <w:t>人，中级教师</w:t>
      </w:r>
      <w:r>
        <w:rPr>
          <w:rFonts w:ascii="宋体" w:hAnsi="宋体"/>
        </w:rPr>
        <w:t>15人，初级教师4人），管理</w:t>
      </w:r>
      <w:r>
        <w:rPr>
          <w:rFonts w:hint="eastAsia" w:ascii="宋体" w:hAnsi="宋体"/>
        </w:rPr>
        <w:t>人员</w:t>
      </w:r>
      <w:r>
        <w:rPr>
          <w:rFonts w:ascii="宋体" w:hAnsi="宋体"/>
        </w:rPr>
        <w:t>15人。为提高教职工的政治素养，学校</w:t>
      </w:r>
      <w:r>
        <w:rPr>
          <w:rFonts w:hint="eastAsia" w:ascii="宋体" w:hAnsi="宋体"/>
        </w:rPr>
        <w:t>每月召开一次学校党组或校务委员会会议，学习国内外重大时事和党的方针政策，研究学校管理和发展的重大事项；每月开展一次教职工政治理论学习和党支部学习，为提高教师的业务水平，学校按期举行业务学习、教研活动，听课活动。每学期举行一次教案评比、一次说课竞赛，各评出</w:t>
      </w:r>
      <w:r>
        <w:rPr>
          <w:rFonts w:ascii="宋体" w:hAnsi="宋体"/>
        </w:rPr>
        <w:t>6份优秀教案、6个优秀课例。2010年派出2名教师参加省</w:t>
      </w:r>
      <w:r>
        <w:rPr>
          <w:rFonts w:hint="eastAsia" w:ascii="宋体" w:hAnsi="宋体"/>
        </w:rPr>
        <w:t>委党校专题培训、</w:t>
      </w:r>
      <w:r>
        <w:rPr>
          <w:rFonts w:ascii="宋体" w:hAnsi="宋体"/>
        </w:rPr>
        <w:t>3名教师参加地市级教学技</w:t>
      </w:r>
      <w:r>
        <w:rPr>
          <w:rFonts w:hint="eastAsia" w:ascii="宋体" w:hAnsi="宋体"/>
        </w:rPr>
        <w:t>能培训。</w:t>
      </w:r>
    </w:p>
    <w:p w14:paraId="4E2E7DCA">
      <w:pPr>
        <w:pStyle w:val="4"/>
      </w:pPr>
      <w:r>
        <w:rPr>
          <w:rFonts w:hint="eastAsia"/>
        </w:rPr>
        <w:t>【校园软硬件建设】</w:t>
      </w:r>
    </w:p>
    <w:p w14:paraId="092649DA">
      <w:pPr>
        <w:ind w:firstLine="420"/>
        <w:rPr>
          <w:rFonts w:ascii="宋体" w:hAnsi="宋体"/>
        </w:rPr>
      </w:pPr>
      <w:r>
        <w:rPr>
          <w:rFonts w:hint="eastAsia" w:ascii="宋体" w:hAnsi="宋体"/>
        </w:rPr>
        <w:t>中共南雄市委党校现有</w:t>
      </w:r>
      <w:r>
        <w:rPr>
          <w:rFonts w:ascii="宋体" w:hAnsi="宋体"/>
        </w:rPr>
        <w:t>1栋5层教学楼，1栋2层学员宿舍楼，1栋1</w:t>
      </w:r>
      <w:r>
        <w:rPr>
          <w:rFonts w:hint="eastAsia" w:ascii="宋体" w:hAnsi="宋体"/>
        </w:rPr>
        <w:t>层学员宿舍楼，</w:t>
      </w:r>
      <w:r>
        <w:rPr>
          <w:rFonts w:ascii="宋体" w:hAnsi="宋体"/>
        </w:rPr>
        <w:t>1栋2层培训基地楼。其中教</w:t>
      </w:r>
      <w:r>
        <w:rPr>
          <w:rFonts w:hint="eastAsia" w:ascii="宋体" w:hAnsi="宋体"/>
        </w:rPr>
        <w:t>室</w:t>
      </w:r>
      <w:r>
        <w:rPr>
          <w:rFonts w:ascii="宋体" w:hAnsi="宋体"/>
        </w:rPr>
        <w:t>12间，多媒体室1间，电脑室2间，图书</w:t>
      </w:r>
      <w:r>
        <w:rPr>
          <w:rFonts w:hint="eastAsia" w:ascii="宋体" w:hAnsi="宋体"/>
        </w:rPr>
        <w:t>室</w:t>
      </w:r>
      <w:r>
        <w:rPr>
          <w:rFonts w:ascii="宋体" w:hAnsi="宋体"/>
        </w:rPr>
        <w:t>1间，图书5000册，资料室、档案室、会</w:t>
      </w:r>
      <w:r>
        <w:rPr>
          <w:rFonts w:hint="eastAsia" w:ascii="宋体" w:hAnsi="宋体"/>
        </w:rPr>
        <w:t>议室、值班室各</w:t>
      </w:r>
      <w:r>
        <w:rPr>
          <w:rFonts w:ascii="宋体" w:hAnsi="宋体"/>
        </w:rPr>
        <w:t>1间；各类办公室13间，配</w:t>
      </w:r>
      <w:r>
        <w:rPr>
          <w:rFonts w:hint="eastAsia" w:ascii="宋体" w:hAnsi="宋体"/>
        </w:rPr>
        <w:t>有打印机</w:t>
      </w:r>
      <w:r>
        <w:rPr>
          <w:rFonts w:ascii="宋体" w:hAnsi="宋体"/>
        </w:rPr>
        <w:t>4台、复印机、速印机、扫描仪、</w:t>
      </w:r>
      <w:r>
        <w:rPr>
          <w:rFonts w:hint="eastAsia" w:ascii="宋体" w:hAnsi="宋体"/>
        </w:rPr>
        <w:t>传真机各</w:t>
      </w:r>
      <w:r>
        <w:rPr>
          <w:rFonts w:ascii="宋体" w:hAnsi="宋体"/>
        </w:rPr>
        <w:t>1台；餐厅1间，可容纳100人同时</w:t>
      </w:r>
      <w:r>
        <w:rPr>
          <w:rFonts w:hint="eastAsia" w:ascii="宋体" w:hAnsi="宋体"/>
        </w:rPr>
        <w:t>就餐；学员宿舍</w:t>
      </w:r>
      <w:r>
        <w:rPr>
          <w:rFonts w:ascii="宋体" w:hAnsi="宋体"/>
        </w:rPr>
        <w:t>19间，可供100人住宿。校</w:t>
      </w:r>
      <w:r>
        <w:rPr>
          <w:rFonts w:hint="eastAsia" w:ascii="宋体" w:hAnsi="宋体"/>
        </w:rPr>
        <w:t>园绿树成荫，环境优美。学校坚持以制度管人、管事，制定以下制度：《南雄市委党校行政工作管理制度》、《南雄市委党校教育教学管理制度》、《南雄市委党校班主任工作职责》、《南雄市委党校班主任工作职责量化考核奖惩制度》、《南雄市委党校教师工作职责》、《南雄市委党校教师工作职责量化考核奖惩制度》、《南雄市委党校教研活动制度》、《财会工作管理制度》、《校产管理制度》、《接待工作管理制度》、《安全卫生工作管理制度》以及各处室职责。</w:t>
      </w:r>
    </w:p>
    <w:p w14:paraId="0B1BC1B2">
      <w:pPr>
        <w:pStyle w:val="4"/>
      </w:pPr>
      <w:r>
        <w:rPr>
          <w:rFonts w:hint="eastAsia"/>
        </w:rPr>
        <w:t>【学历教育】</w:t>
      </w:r>
    </w:p>
    <w:p w14:paraId="38FE6C70">
      <w:pPr>
        <w:ind w:firstLine="420"/>
        <w:rPr>
          <w:rFonts w:ascii="宋体" w:hAnsi="宋体"/>
        </w:rPr>
      </w:pPr>
      <w:r>
        <w:rPr>
          <w:rFonts w:hint="eastAsia" w:ascii="宋体" w:hAnsi="宋体"/>
        </w:rPr>
        <w:t>学校作为中央广播电视大学韶关分校的教学点，承担国家承认学历的开放式学历教育，其中本科开设法学、行政管理、汉语言文学、英语、会计等</w:t>
      </w:r>
      <w:r>
        <w:rPr>
          <w:rFonts w:ascii="宋体" w:hAnsi="宋体"/>
        </w:rPr>
        <w:t>5个专业，专科</w:t>
      </w:r>
      <w:r>
        <w:rPr>
          <w:rFonts w:hint="eastAsia" w:ascii="宋体" w:hAnsi="宋体"/>
        </w:rPr>
        <w:t>开设法学、行政管理、小学教育、会计、电子商务、工商企业管理、旅游管理、酒店管理、物业管理、现代文员、计算机等</w:t>
      </w:r>
      <w:r>
        <w:rPr>
          <w:rFonts w:ascii="宋体" w:hAnsi="宋体"/>
        </w:rPr>
        <w:t>11个专</w:t>
      </w:r>
      <w:r>
        <w:rPr>
          <w:rFonts w:hint="eastAsia" w:ascii="宋体" w:hAnsi="宋体"/>
        </w:rPr>
        <w:t>业。</w:t>
      </w:r>
      <w:r>
        <w:rPr>
          <w:rFonts w:ascii="宋体" w:hAnsi="宋体"/>
        </w:rPr>
        <w:t>2010年在校学生829人，春、秋两季入</w:t>
      </w:r>
      <w:r>
        <w:rPr>
          <w:rFonts w:hint="eastAsia" w:ascii="宋体" w:hAnsi="宋体"/>
        </w:rPr>
        <w:t>学新生</w:t>
      </w:r>
      <w:r>
        <w:rPr>
          <w:rFonts w:ascii="宋体" w:hAnsi="宋体"/>
        </w:rPr>
        <w:t>411人，其中专科248人、本科163</w:t>
      </w:r>
      <w:r>
        <w:rPr>
          <w:rFonts w:hint="eastAsia" w:ascii="宋体" w:hAnsi="宋体"/>
        </w:rPr>
        <w:t>人。毕业生</w:t>
      </w:r>
      <w:r>
        <w:rPr>
          <w:rFonts w:ascii="宋体" w:hAnsi="宋体"/>
        </w:rPr>
        <w:t>274人，其中，本科86人，专科188人。在教学管理上，学校狠抓常规管理，</w:t>
      </w:r>
      <w:r>
        <w:rPr>
          <w:rFonts w:hint="eastAsia" w:ascii="宋体" w:hAnsi="宋体"/>
        </w:rPr>
        <w:t>建立健全各项规章制度，要求班主任认真抓好学员的思想教育工作，努力提高学员的到课率；科任教师能认真备好课、上好课，重视教学的研究与反思，不断改进教学工作，作业的布置与批改有针对性和实效性。执行考试纪律，杜绝作弊现象和监人情考。</w:t>
      </w:r>
    </w:p>
    <w:p w14:paraId="602129A2">
      <w:pPr>
        <w:pStyle w:val="4"/>
      </w:pPr>
      <w:r>
        <w:rPr>
          <w:rFonts w:hint="eastAsia"/>
        </w:rPr>
        <w:t>【开展解放思想深化改革学习讨论】</w:t>
      </w:r>
    </w:p>
    <w:p w14:paraId="16AAC064">
      <w:pPr>
        <w:ind w:firstLine="420"/>
        <w:rPr>
          <w:rFonts w:ascii="宋体" w:hAnsi="宋体"/>
        </w:rPr>
      </w:pPr>
      <w:r>
        <w:rPr>
          <w:rFonts w:hint="eastAsia" w:ascii="宋体" w:hAnsi="宋体"/>
        </w:rPr>
        <w:t>南雄市委党校根据市委的工作部署，开展解放思想深化改革学习讨论活动。按照有关要求，结合党校实际，积极开展“三会一谈”（即召开领导班子专题座谈会、中心组学习会、专题组织生活会和开展“解放思想大家谈”活动），为活动营造浓厚的学习讨论氛围。通过全面深入学习有关文件和领导讲话精神，提高教职员工的思想认识水平；通过认真仔细查摆存在问题，提出解决问题的思路、方案和措施；通过继续深化教学、后勤改革，增强培训效果，改善服务质量。学校结合自身的工作职能，努力发挥并不断创造各种优势，将解放思想作为落实科学发展的推动器，利用干部培训的有利平台，持续开展解放思想的学习讨论活动，不断提高党员干部尤其领导干部的思想认识。（董书辉）</w:t>
      </w:r>
    </w:p>
    <w:p w14:paraId="50D9DA20">
      <w:pPr>
        <w:ind w:firstLine="422"/>
        <w:rPr>
          <w:rFonts w:ascii="宋体" w:hAnsi="宋体"/>
        </w:rPr>
      </w:pPr>
      <w:r>
        <w:rPr>
          <w:rFonts w:hint="eastAsia" w:ascii="宋体" w:hAnsi="宋体"/>
          <w:b/>
        </w:rPr>
        <w:t>附：</w:t>
      </w:r>
      <w:r>
        <w:rPr>
          <w:rFonts w:ascii="宋体" w:hAnsi="宋体"/>
          <w:b/>
        </w:rPr>
        <w:t>2010年市委党校领导班子成员名单</w:t>
      </w:r>
    </w:p>
    <w:p w14:paraId="753070F9">
      <w:pPr>
        <w:ind w:firstLine="420"/>
        <w:rPr>
          <w:rFonts w:ascii="宋体" w:hAnsi="宋体"/>
        </w:rPr>
      </w:pPr>
      <w:r>
        <w:rPr>
          <w:rFonts w:hint="eastAsia" w:ascii="宋体" w:hAnsi="宋体"/>
        </w:rPr>
        <w:t>校      长：刘清生（兼）</w:t>
      </w:r>
    </w:p>
    <w:p w14:paraId="1B02B968">
      <w:pPr>
        <w:ind w:firstLine="420"/>
        <w:rPr>
          <w:rFonts w:ascii="宋体" w:hAnsi="宋体"/>
        </w:rPr>
      </w:pPr>
      <w:r>
        <w:rPr>
          <w:rFonts w:hint="eastAsia" w:ascii="宋体" w:hAnsi="宋体"/>
        </w:rPr>
        <w:t>常务副校长：何坚</w:t>
      </w:r>
    </w:p>
    <w:p w14:paraId="01747789">
      <w:pPr>
        <w:ind w:firstLine="420"/>
        <w:rPr>
          <w:rFonts w:ascii="宋体" w:hAnsi="宋体"/>
        </w:rPr>
      </w:pPr>
      <w:r>
        <w:rPr>
          <w:rFonts w:hint="eastAsia" w:ascii="宋体" w:hAnsi="宋体"/>
        </w:rPr>
        <w:t>副  校  长：何文清  何英钊  冯振根</w:t>
      </w:r>
    </w:p>
    <w:p w14:paraId="729C391A">
      <w:pPr>
        <w:ind w:firstLine="420"/>
        <w:rPr>
          <w:rFonts w:ascii="宋体" w:hAnsi="宋体"/>
        </w:rPr>
      </w:pPr>
      <w:r>
        <w:rPr>
          <w:rFonts w:hint="eastAsia" w:ascii="宋体" w:hAnsi="宋体"/>
        </w:rPr>
        <w:t>工 会 主席：邓宇行</w:t>
      </w:r>
    </w:p>
    <w:p w14:paraId="1E1BAE4A">
      <w:pPr>
        <w:pStyle w:val="3"/>
      </w:pPr>
      <w:r>
        <w:rPr>
          <w:rFonts w:hint="eastAsia"/>
        </w:rPr>
        <w:t>老干部工作</w:t>
      </w:r>
    </w:p>
    <w:p w14:paraId="0A9E7408">
      <w:pPr>
        <w:pStyle w:val="4"/>
      </w:pPr>
      <w:r>
        <w:rPr>
          <w:rFonts w:hint="eastAsia"/>
        </w:rPr>
        <w:t>【概况】</w:t>
      </w:r>
    </w:p>
    <w:p w14:paraId="73BA8C49">
      <w:pPr>
        <w:ind w:firstLine="420"/>
        <w:rPr>
          <w:rFonts w:ascii="宋体" w:hAnsi="宋体"/>
        </w:rPr>
      </w:pPr>
      <w:r>
        <w:rPr>
          <w:rFonts w:hint="eastAsia" w:ascii="宋体" w:hAnsi="宋体"/>
        </w:rPr>
        <w:t>中共南雄市委老干部局是市委主管全市离退休干部的工作机构，成立于</w:t>
      </w:r>
      <w:r>
        <w:rPr>
          <w:rFonts w:ascii="宋体" w:hAnsi="宋体"/>
        </w:rPr>
        <w:t>1983年11月。2001年，机构改革将中共南雄市委离</w:t>
      </w:r>
      <w:r>
        <w:rPr>
          <w:rFonts w:hint="eastAsia" w:ascii="宋体" w:hAnsi="宋体"/>
        </w:rPr>
        <w:t>休退休干部工作局改为现名，设有办公室、离休股、退休股三个职能股（室），核实编制</w:t>
      </w:r>
      <w:r>
        <w:rPr>
          <w:rFonts w:ascii="宋体" w:hAnsi="宋体"/>
        </w:rPr>
        <w:t>6名，其中领导职数3名（1正2副），其他</w:t>
      </w:r>
      <w:r>
        <w:rPr>
          <w:rFonts w:hint="eastAsia" w:ascii="宋体" w:hAnsi="宋体"/>
        </w:rPr>
        <w:t>干部</w:t>
      </w:r>
      <w:r>
        <w:rPr>
          <w:rFonts w:ascii="宋体" w:hAnsi="宋体"/>
        </w:rPr>
        <w:t>3名（全部为股长职数），后勤编制1</w:t>
      </w:r>
      <w:r>
        <w:rPr>
          <w:rFonts w:hint="eastAsia" w:ascii="宋体" w:hAnsi="宋体"/>
        </w:rPr>
        <w:t>名，总编制</w:t>
      </w:r>
      <w:r>
        <w:rPr>
          <w:rFonts w:ascii="宋体" w:hAnsi="宋体"/>
        </w:rPr>
        <w:t>7名，局下设一个市财政差额补</w:t>
      </w:r>
      <w:r>
        <w:rPr>
          <w:rFonts w:hint="eastAsia" w:ascii="宋体" w:hAnsi="宋体"/>
        </w:rPr>
        <w:t>贴拨款单位——南雄市老干部活动中心（</w:t>
      </w:r>
      <w:r>
        <w:rPr>
          <w:rFonts w:ascii="宋体" w:hAnsi="宋体"/>
        </w:rPr>
        <w:t>2008年定编5名），老干部活动中心总建筑</w:t>
      </w:r>
      <w:r>
        <w:rPr>
          <w:rFonts w:hint="eastAsia" w:ascii="宋体" w:hAnsi="宋体"/>
        </w:rPr>
        <w:t>面积</w:t>
      </w:r>
      <w:r>
        <w:rPr>
          <w:rFonts w:ascii="宋体" w:hAnsi="宋体"/>
        </w:rPr>
        <w:t>1418m</w:t>
      </w:r>
      <w:r>
        <w:rPr>
          <w:rFonts w:ascii="宋体" w:hAnsi="宋体"/>
          <w:vertAlign w:val="superscript"/>
        </w:rPr>
        <w:t>2</w:t>
      </w:r>
      <w:r>
        <w:rPr>
          <w:rFonts w:ascii="宋体" w:hAnsi="宋体"/>
        </w:rPr>
        <w:t>，户外活动面积1100m</w:t>
      </w:r>
      <w:r>
        <w:rPr>
          <w:rFonts w:ascii="宋体" w:hAnsi="宋体"/>
          <w:vertAlign w:val="superscript"/>
        </w:rPr>
        <w:t>2</w:t>
      </w:r>
      <w:r>
        <w:rPr>
          <w:rFonts w:ascii="宋体" w:hAnsi="宋体"/>
        </w:rPr>
        <w:t>，绿化面</w:t>
      </w:r>
      <w:r>
        <w:rPr>
          <w:rFonts w:hint="eastAsia" w:ascii="宋体" w:hAnsi="宋体"/>
        </w:rPr>
        <w:t>积</w:t>
      </w:r>
      <w:r>
        <w:rPr>
          <w:rFonts w:ascii="宋体" w:hAnsi="宋体"/>
        </w:rPr>
        <w:t>500m</w:t>
      </w:r>
      <w:r>
        <w:rPr>
          <w:rFonts w:ascii="宋体" w:hAnsi="宋体"/>
          <w:vertAlign w:val="superscript"/>
        </w:rPr>
        <w:t>2</w:t>
      </w:r>
      <w:r>
        <w:rPr>
          <w:rFonts w:ascii="宋体" w:hAnsi="宋体"/>
        </w:rPr>
        <w:t>。内设天九、麻将、象棋、乒乓球、</w:t>
      </w:r>
      <w:r>
        <w:rPr>
          <w:rFonts w:hint="eastAsia" w:ascii="宋体" w:hAnsi="宋体"/>
        </w:rPr>
        <w:t>健身、阅览等多个娱乐活动室。外设门球场</w:t>
      </w:r>
      <w:r>
        <w:rPr>
          <w:rFonts w:ascii="宋体" w:hAnsi="宋体"/>
        </w:rPr>
        <w:t>2</w:t>
      </w:r>
      <w:r>
        <w:rPr>
          <w:rFonts w:hint="eastAsia" w:ascii="宋体" w:hAnsi="宋体"/>
        </w:rPr>
        <w:t>个，是全市唯一功能齐全，服务优质的老干部活动场所。现有干部职工</w:t>
      </w:r>
      <w:r>
        <w:rPr>
          <w:rFonts w:ascii="宋体" w:hAnsi="宋体"/>
        </w:rPr>
        <w:t>8人，其中正副</w:t>
      </w:r>
      <w:r>
        <w:rPr>
          <w:rFonts w:hint="eastAsia" w:ascii="宋体" w:hAnsi="宋体"/>
        </w:rPr>
        <w:t>主任各</w:t>
      </w:r>
      <w:r>
        <w:rPr>
          <w:rFonts w:ascii="宋体" w:hAnsi="宋体"/>
        </w:rPr>
        <w:t>1人，一般职工6人。至2010年，全</w:t>
      </w:r>
      <w:r>
        <w:rPr>
          <w:rFonts w:hint="eastAsia" w:ascii="宋体" w:hAnsi="宋体"/>
        </w:rPr>
        <w:t>市有离退休干部</w:t>
      </w:r>
      <w:r>
        <w:rPr>
          <w:rFonts w:ascii="宋体" w:hAnsi="宋体"/>
        </w:rPr>
        <w:t>3944人，比2002年的3213</w:t>
      </w:r>
      <w:r>
        <w:rPr>
          <w:rFonts w:hint="eastAsia" w:ascii="宋体" w:hAnsi="宋体"/>
        </w:rPr>
        <w:t>人增加</w:t>
      </w:r>
      <w:r>
        <w:rPr>
          <w:rFonts w:ascii="宋体" w:hAnsi="宋体"/>
        </w:rPr>
        <w:t>731人。</w:t>
      </w:r>
    </w:p>
    <w:p w14:paraId="755AD20B">
      <w:pPr>
        <w:pStyle w:val="4"/>
      </w:pPr>
      <w:r>
        <w:rPr>
          <w:rFonts w:hint="eastAsia"/>
        </w:rPr>
        <w:t>【老干部的政治待遇】</w:t>
      </w:r>
    </w:p>
    <w:p w14:paraId="385FD7C0">
      <w:pPr>
        <w:ind w:firstLine="420"/>
        <w:rPr>
          <w:rFonts w:ascii="宋体" w:hAnsi="宋体"/>
        </w:rPr>
      </w:pPr>
      <w:r>
        <w:rPr>
          <w:rFonts w:hint="eastAsia" w:ascii="宋体" w:hAnsi="宋体"/>
        </w:rPr>
        <w:t>一是坚持通报工作制度，</w:t>
      </w:r>
      <w:r>
        <w:rPr>
          <w:rFonts w:ascii="宋体" w:hAnsi="宋体"/>
        </w:rPr>
        <w:t>1月27日，在迎宾馆1号会议室召开全</w:t>
      </w:r>
      <w:r>
        <w:rPr>
          <w:rFonts w:hint="eastAsia" w:ascii="宋体" w:hAnsi="宋体"/>
        </w:rPr>
        <w:t>市离休干部和副处级以上退休干部迎春茶话会，参会的离退休干部与在家的四套班子领导欢聚一堂，共叙情谊、共商发展大计。二是坚持学习制度。该局为全市离休干部个人征订《广东省老干部政治理论读本》、《秋光》、《老人报》等学习资料</w:t>
      </w:r>
      <w:r>
        <w:rPr>
          <w:rFonts w:ascii="宋体" w:hAnsi="宋体"/>
        </w:rPr>
        <w:t>550多份，同时</w:t>
      </w:r>
      <w:r>
        <w:rPr>
          <w:rFonts w:hint="eastAsia" w:ascii="宋体" w:hAnsi="宋体"/>
        </w:rPr>
        <w:t>，市老干部活动中心还征订《人民日报》、《家庭医生》、《老年报》等</w:t>
      </w:r>
      <w:r>
        <w:rPr>
          <w:rFonts w:ascii="宋体" w:hAnsi="宋体"/>
        </w:rPr>
        <w:t>12多种报刊杂志，供</w:t>
      </w:r>
      <w:r>
        <w:rPr>
          <w:rFonts w:hint="eastAsia" w:ascii="宋体" w:hAnsi="宋体"/>
        </w:rPr>
        <w:t>老同志阅读，丰富老同志的精神文化生活。三是坚持邀请老干部参加重要会议和重大活动制度。市里召开的人大会、政协会、民主推荐干部大会等重要会议和重大活动都邀请老干部参加，并安排他们在主席台或会场前排就坐，让老干部参政议政。四是组织老干部开展参观活动。春节期间和重阳节期间，分别组织</w:t>
      </w:r>
      <w:r>
        <w:rPr>
          <w:rFonts w:ascii="宋体" w:hAnsi="宋体"/>
        </w:rPr>
        <w:t>100多名老干部参观珠玑工业园和</w:t>
      </w:r>
      <w:r>
        <w:rPr>
          <w:rFonts w:hint="eastAsia" w:ascii="宋体" w:hAnsi="宋体"/>
        </w:rPr>
        <w:t>广东省委机关旧址——瑶坑村，进一步激发老干部的参政热情和革命热情，鼓励和引导老干部继续为南雄经济建设和社会各项事业奉献余热，出谋献策。</w:t>
      </w:r>
    </w:p>
    <w:p w14:paraId="25C60056">
      <w:pPr>
        <w:pStyle w:val="4"/>
      </w:pPr>
      <w:r>
        <w:rPr>
          <w:rFonts w:hint="eastAsia"/>
        </w:rPr>
        <w:t>【老干部生活待遇】</w:t>
      </w:r>
    </w:p>
    <w:p w14:paraId="5F572EA6">
      <w:pPr>
        <w:ind w:firstLine="420"/>
        <w:rPr>
          <w:rFonts w:ascii="宋体" w:hAnsi="宋体"/>
        </w:rPr>
      </w:pPr>
      <w:r>
        <w:rPr>
          <w:rFonts w:hint="eastAsia" w:ascii="宋体" w:hAnsi="宋体"/>
        </w:rPr>
        <w:t>老干局及时调整增加离退休干部生活福利待遇。一是根据上级文件精神，及时调整增加离休干部的护理费标准，并做到按时足额发放。至</w:t>
      </w:r>
      <w:r>
        <w:rPr>
          <w:rFonts w:ascii="宋体" w:hAnsi="宋体"/>
        </w:rPr>
        <w:t>2010年底，有18名</w:t>
      </w:r>
      <w:r>
        <w:rPr>
          <w:rFonts w:hint="eastAsia" w:ascii="宋体" w:hAnsi="宋体"/>
        </w:rPr>
        <w:t>因瘫痪在床生活不能自理的离休干部护理费由</w:t>
      </w:r>
      <w:r>
        <w:rPr>
          <w:rFonts w:ascii="宋体" w:hAnsi="宋体"/>
        </w:rPr>
        <w:t>250元增加到8</w:t>
      </w:r>
      <w:r>
        <w:rPr>
          <w:rFonts w:hint="eastAsia" w:ascii="宋体" w:hAnsi="宋体"/>
        </w:rPr>
        <w:t>0</w:t>
      </w:r>
      <w:r>
        <w:rPr>
          <w:rFonts w:ascii="宋体" w:hAnsi="宋体"/>
        </w:rPr>
        <w:t>0元。二是2010年底落实</w:t>
      </w:r>
      <w:r>
        <w:rPr>
          <w:rFonts w:hint="eastAsia" w:ascii="宋体" w:hAnsi="宋体"/>
        </w:rPr>
        <w:t>政策，有</w:t>
      </w:r>
      <w:r>
        <w:rPr>
          <w:rFonts w:ascii="宋体" w:hAnsi="宋体"/>
        </w:rPr>
        <w:t>91名离休干部增加生活补贴，增加</w:t>
      </w:r>
      <w:r>
        <w:rPr>
          <w:rFonts w:hint="eastAsia" w:ascii="宋体" w:hAnsi="宋体"/>
        </w:rPr>
        <w:t>工资和生活津贴</w:t>
      </w:r>
      <w:r>
        <w:rPr>
          <w:rFonts w:ascii="宋体" w:hAnsi="宋体"/>
        </w:rPr>
        <w:t>36.4万元，人均月增333.24</w:t>
      </w:r>
      <w:r>
        <w:rPr>
          <w:rFonts w:hint="eastAsia" w:ascii="宋体" w:hAnsi="宋体"/>
        </w:rPr>
        <w:t>元。其中处级以上离休干部</w:t>
      </w:r>
      <w:r>
        <w:rPr>
          <w:rFonts w:ascii="宋体" w:hAnsi="宋体"/>
        </w:rPr>
        <w:t>33人，月人均增405元；科级以上离休</w:t>
      </w:r>
      <w:r>
        <w:rPr>
          <w:rFonts w:hint="eastAsia" w:ascii="宋体" w:hAnsi="宋体"/>
        </w:rPr>
        <w:t>干</w:t>
      </w:r>
      <w:r>
        <w:rPr>
          <w:rFonts w:ascii="宋体" w:hAnsi="宋体"/>
        </w:rPr>
        <w:t>部7人，月人均增310元；科员以下离休干部51人，月人均增290元。</w:t>
      </w:r>
    </w:p>
    <w:p w14:paraId="1BCF76D3">
      <w:pPr>
        <w:pStyle w:val="4"/>
      </w:pPr>
      <w:r>
        <w:rPr>
          <w:rFonts w:hint="eastAsia"/>
        </w:rPr>
        <w:t>【离休干部医药费管理】</w:t>
      </w:r>
    </w:p>
    <w:p w14:paraId="0A3DB9B3">
      <w:pPr>
        <w:ind w:firstLine="420"/>
        <w:rPr>
          <w:rFonts w:ascii="宋体" w:hAnsi="宋体"/>
        </w:rPr>
      </w:pPr>
      <w:r>
        <w:rPr>
          <w:rFonts w:hint="eastAsia" w:ascii="宋体" w:hAnsi="宋体"/>
        </w:rPr>
        <w:t>完善离休干部医药费管理机制。一方面，特殊情况特殊处理，对大病重病和家庭经济较困难的离休干部住院采取分段结帐报帐方法，方便老干部。另一方面，严格执行</w:t>
      </w:r>
      <w:r>
        <w:rPr>
          <w:rFonts w:ascii="宋体" w:hAnsi="宋体"/>
        </w:rPr>
        <w:t>2004年以来市制定的离休</w:t>
      </w:r>
      <w:r>
        <w:rPr>
          <w:rFonts w:hint="eastAsia" w:ascii="宋体" w:hAnsi="宋体"/>
        </w:rPr>
        <w:t>干部医药费奖励办法。办法规定，凡离休干部一年内报销医药费在</w:t>
      </w:r>
      <w:r>
        <w:rPr>
          <w:rFonts w:ascii="宋体" w:hAnsi="宋体"/>
        </w:rPr>
        <w:t>500元以下的奖励500</w:t>
      </w:r>
      <w:r>
        <w:rPr>
          <w:rFonts w:hint="eastAsia" w:ascii="宋体" w:hAnsi="宋体"/>
        </w:rPr>
        <w:t>元，全年不报医药费的奖励</w:t>
      </w:r>
      <w:r>
        <w:rPr>
          <w:rFonts w:ascii="宋体" w:hAnsi="宋体"/>
        </w:rPr>
        <w:t>2000元。此外，</w:t>
      </w:r>
      <w:r>
        <w:rPr>
          <w:rFonts w:hint="eastAsia" w:ascii="宋体" w:hAnsi="宋体"/>
        </w:rPr>
        <w:t>还建立老干部帮困机制，每年春节，对有特殊困难的离休干部，除正常的慰问外，还要给予困难补助，</w:t>
      </w:r>
      <w:r>
        <w:rPr>
          <w:rFonts w:ascii="宋体" w:hAnsi="宋体"/>
        </w:rPr>
        <w:t>2010年春节下发老干部困难</w:t>
      </w:r>
      <w:r>
        <w:rPr>
          <w:rFonts w:hint="eastAsia" w:ascii="宋体" w:hAnsi="宋体"/>
        </w:rPr>
        <w:t>补助金</w:t>
      </w:r>
      <w:r>
        <w:rPr>
          <w:rFonts w:ascii="宋体" w:hAnsi="宋体"/>
        </w:rPr>
        <w:t>13万元。</w:t>
      </w:r>
    </w:p>
    <w:p w14:paraId="7A06A6FB">
      <w:pPr>
        <w:pStyle w:val="4"/>
      </w:pPr>
      <w:r>
        <w:rPr>
          <w:rFonts w:hint="eastAsia"/>
        </w:rPr>
        <w:t>【走访慰问老干部】</w:t>
      </w:r>
    </w:p>
    <w:p w14:paraId="783EA3F8">
      <w:pPr>
        <w:ind w:firstLine="420"/>
        <w:rPr>
          <w:rFonts w:ascii="宋体" w:hAnsi="宋体"/>
        </w:rPr>
      </w:pPr>
      <w:r>
        <w:rPr>
          <w:rFonts w:hint="eastAsia" w:ascii="宋体" w:hAnsi="宋体"/>
        </w:rPr>
        <w:t>除传统节日开展慰问活动，老干局还抓好日常走访慰问工作，平时对住院就医的离退休干部、异地居住的离休干部以及已故离休干部遗属等进行走访慰问送温暖活动。</w:t>
      </w:r>
      <w:r>
        <w:rPr>
          <w:rFonts w:ascii="宋体" w:hAnsi="宋体"/>
        </w:rPr>
        <w:t>2010年，共组织走访离休干部208人次。老干局认真做好老干部的来信来访</w:t>
      </w:r>
      <w:r>
        <w:rPr>
          <w:rFonts w:hint="eastAsia" w:ascii="宋体" w:hAnsi="宋体"/>
        </w:rPr>
        <w:t>维稳工作，共处理老干部来信来访件</w:t>
      </w:r>
      <w:r>
        <w:rPr>
          <w:rFonts w:ascii="宋体" w:hAnsi="宋体"/>
        </w:rPr>
        <w:t>18宗，</w:t>
      </w:r>
      <w:r>
        <w:rPr>
          <w:rFonts w:hint="eastAsia" w:ascii="宋体" w:hAnsi="宋体"/>
        </w:rPr>
        <w:t>办结率</w:t>
      </w:r>
      <w:r>
        <w:rPr>
          <w:rFonts w:ascii="宋体" w:hAnsi="宋体"/>
        </w:rPr>
        <w:t>100%，进一步稳定老干部队伍。</w:t>
      </w:r>
    </w:p>
    <w:p w14:paraId="2A5A48D3">
      <w:pPr>
        <w:pStyle w:val="4"/>
      </w:pPr>
      <w:r>
        <w:rPr>
          <w:rFonts w:hint="eastAsia"/>
        </w:rPr>
        <w:t>【组织老干部开展各项文体活动】</w:t>
      </w:r>
    </w:p>
    <w:p w14:paraId="003582F8">
      <w:pPr>
        <w:ind w:firstLine="420"/>
        <w:rPr>
          <w:rFonts w:ascii="宋体" w:hAnsi="宋体"/>
        </w:rPr>
      </w:pPr>
      <w:r>
        <w:rPr>
          <w:rFonts w:hint="eastAsia" w:ascii="宋体" w:hAnsi="宋体"/>
        </w:rPr>
        <w:t>组织老干部开展丰富多彩、有益身心健康的文体活动，丰富老干部的晚年生活。一是每个季度定期开展季度门球赛，共组织</w:t>
      </w:r>
      <w:r>
        <w:rPr>
          <w:rFonts w:ascii="宋体" w:hAnsi="宋体"/>
        </w:rPr>
        <w:t>4期400多人次参</w:t>
      </w:r>
      <w:r>
        <w:rPr>
          <w:rFonts w:hint="eastAsia" w:ascii="宋体" w:hAnsi="宋体"/>
        </w:rPr>
        <w:t>加；二是</w:t>
      </w:r>
      <w:r>
        <w:rPr>
          <w:rFonts w:ascii="宋体" w:hAnsi="宋体"/>
        </w:rPr>
        <w:t>10月11日至13日举办</w:t>
      </w:r>
      <w:r>
        <w:rPr>
          <w:rFonts w:hint="eastAsia" w:ascii="宋体" w:hAnsi="宋体"/>
        </w:rPr>
        <w:t>“</w:t>
      </w:r>
      <w:r>
        <w:rPr>
          <w:rFonts w:ascii="宋体" w:hAnsi="宋体"/>
        </w:rPr>
        <w:t>老人节</w:t>
      </w:r>
      <w:r>
        <w:rPr>
          <w:rFonts w:hint="eastAsia" w:ascii="宋体" w:hAnsi="宋体"/>
        </w:rPr>
        <w:t>”综合文体比赛活动，来自全市各镇、市直机关单位和企事业单位的</w:t>
      </w:r>
      <w:r>
        <w:rPr>
          <w:rFonts w:ascii="宋体" w:hAnsi="宋体"/>
        </w:rPr>
        <w:t>200多名离退休干部</w:t>
      </w:r>
      <w:r>
        <w:rPr>
          <w:rFonts w:hint="eastAsia" w:ascii="宋体" w:hAnsi="宋体"/>
        </w:rPr>
        <w:t>参加门球、乒乓球、棋牌共</w:t>
      </w:r>
      <w:r>
        <w:rPr>
          <w:rFonts w:ascii="宋体" w:hAnsi="宋体"/>
        </w:rPr>
        <w:t>5个项目的文体</w:t>
      </w:r>
      <w:r>
        <w:rPr>
          <w:rFonts w:hint="eastAsia" w:ascii="宋体" w:hAnsi="宋体"/>
        </w:rPr>
        <w:t>比赛；三是以雄州诗社为阵地开展老干部书画、诗歌日常活动；四是协助老游击战士联谊会开展清明扫墓，南雄解放纪念日、老寿星祝寿等活动，</w:t>
      </w:r>
      <w:r>
        <w:rPr>
          <w:rFonts w:ascii="宋体" w:hAnsi="宋体"/>
        </w:rPr>
        <w:t>2010年老人节该局为13位80</w:t>
      </w:r>
      <w:r>
        <w:rPr>
          <w:rFonts w:hint="eastAsia" w:ascii="宋体" w:hAnsi="宋体"/>
        </w:rPr>
        <w:t>岁老寿星准备寿礼，由市领导带队上门祝寿。</w:t>
      </w:r>
    </w:p>
    <w:p w14:paraId="0C519474">
      <w:pPr>
        <w:pStyle w:val="4"/>
      </w:pPr>
      <w:r>
        <w:rPr>
          <w:rFonts w:hint="eastAsia"/>
        </w:rPr>
        <w:t>【引导老干部发挥作用】</w:t>
      </w:r>
    </w:p>
    <w:p w14:paraId="664D3265">
      <w:pPr>
        <w:ind w:firstLine="420"/>
        <w:rPr>
          <w:rFonts w:ascii="宋体" w:hAnsi="宋体"/>
        </w:rPr>
      </w:pPr>
      <w:r>
        <w:rPr>
          <w:rFonts w:hint="eastAsia" w:ascii="宋体" w:hAnsi="宋体"/>
        </w:rPr>
        <w:t>围绕市委、市政府中心工作，引导和鼓励老干部充分发挥自身优势，参与南雄经济建设和各项社会事业。如关工委全年筹集资金</w:t>
      </w:r>
      <w:r>
        <w:rPr>
          <w:rFonts w:ascii="宋体" w:hAnsi="宋体"/>
        </w:rPr>
        <w:t>58万元开展济困助学</w:t>
      </w:r>
      <w:r>
        <w:rPr>
          <w:rFonts w:hint="eastAsia" w:ascii="宋体" w:hAnsi="宋体"/>
        </w:rPr>
        <w:t>活动，奖励优秀学生</w:t>
      </w:r>
      <w:r>
        <w:rPr>
          <w:rFonts w:ascii="宋体" w:hAnsi="宋体"/>
        </w:rPr>
        <w:t>186人；举办农村创业</w:t>
      </w:r>
      <w:r>
        <w:rPr>
          <w:rFonts w:hint="eastAsia" w:ascii="宋体" w:hAnsi="宋体"/>
        </w:rPr>
        <w:t>青年提高培训班</w:t>
      </w:r>
      <w:r>
        <w:rPr>
          <w:rFonts w:ascii="宋体" w:hAnsi="宋体"/>
        </w:rPr>
        <w:t>9期，培训学员1006人次，</w:t>
      </w:r>
      <w:r>
        <w:rPr>
          <w:rFonts w:hint="eastAsia" w:ascii="宋体" w:hAnsi="宋体"/>
        </w:rPr>
        <w:t>通过学习培训，有不少青年已成为种养大户，年收入上百万元的有</w:t>
      </w:r>
      <w:r>
        <w:rPr>
          <w:rFonts w:ascii="宋体" w:hAnsi="宋体"/>
        </w:rPr>
        <w:t>4户。老游击战士联谊</w:t>
      </w:r>
      <w:r>
        <w:rPr>
          <w:rFonts w:hint="eastAsia" w:ascii="宋体" w:hAnsi="宋体"/>
        </w:rPr>
        <w:t>会组织老同志到中小学校为青少年上辅导课</w:t>
      </w:r>
      <w:r>
        <w:rPr>
          <w:rFonts w:ascii="宋体" w:hAnsi="宋体"/>
        </w:rPr>
        <w:t>6</w:t>
      </w:r>
      <w:r>
        <w:rPr>
          <w:rFonts w:hint="eastAsia" w:ascii="宋体" w:hAnsi="宋体"/>
        </w:rPr>
        <w:t>场次，受教育的青少年学生</w:t>
      </w:r>
      <w:r>
        <w:rPr>
          <w:rFonts w:ascii="宋体" w:hAnsi="宋体"/>
        </w:rPr>
        <w:t>3万多人次。老</w:t>
      </w:r>
      <w:r>
        <w:rPr>
          <w:rFonts w:hint="eastAsia" w:ascii="宋体" w:hAnsi="宋体"/>
        </w:rPr>
        <w:t>促会的同志情系老区，争取上级部门的支持，筹资</w:t>
      </w:r>
      <w:r>
        <w:rPr>
          <w:rFonts w:ascii="宋体" w:hAnsi="宋体"/>
        </w:rPr>
        <w:t>100多万元搞好老区交通、水利、学校</w:t>
      </w:r>
      <w:r>
        <w:rPr>
          <w:rFonts w:hint="eastAsia" w:ascii="宋体" w:hAnsi="宋体"/>
        </w:rPr>
        <w:t>等基础设施建设，支持革命烈士后裔扶贫助学。</w:t>
      </w:r>
    </w:p>
    <w:p w14:paraId="459B1B50">
      <w:pPr>
        <w:pStyle w:val="4"/>
      </w:pPr>
      <w:r>
        <w:rPr>
          <w:rFonts w:hint="eastAsia"/>
        </w:rPr>
        <w:t>【加强自身建设】</w:t>
      </w:r>
    </w:p>
    <w:p w14:paraId="4220BDB3">
      <w:pPr>
        <w:ind w:firstLine="420"/>
        <w:rPr>
          <w:rFonts w:ascii="宋体" w:hAnsi="宋体"/>
        </w:rPr>
      </w:pPr>
      <w:r>
        <w:rPr>
          <w:rFonts w:hint="eastAsia" w:ascii="宋体" w:hAnsi="宋体"/>
        </w:rPr>
        <w:t>一是坚持集中学习制度，规定每周五下午为干部职工集中学习日，不断提高干部职工理论素养和业务水平；二是扎实开展“受了表扬，我们怎么办”大学习大讨论活动、“树立正确权力观，提高执行力”、纪律教育学习月和争先创优等一系列教育活动，增强为老干部服务的信念和荣誉感；三是健全和完善各项工作制度，根据新形势对老干部工作提出的新要求，对离退休干部待遇落实、老干部医药费管理、老干部信访工作制度、局政务公开等各项规章制度进行完善，为老干部工作的科学发展提供制度保障。</w:t>
      </w:r>
    </w:p>
    <w:p w14:paraId="4944D4DD">
      <w:pPr>
        <w:ind w:firstLine="420"/>
        <w:jc w:val="right"/>
        <w:rPr>
          <w:rFonts w:ascii="宋体" w:hAnsi="宋体"/>
        </w:rPr>
      </w:pPr>
      <w:r>
        <w:rPr>
          <w:rFonts w:hint="eastAsia" w:ascii="宋体" w:hAnsi="宋体"/>
        </w:rPr>
        <w:t>（赖毅鹏）</w:t>
      </w:r>
    </w:p>
    <w:p w14:paraId="09AC47C6">
      <w:pPr>
        <w:ind w:firstLine="422"/>
        <w:rPr>
          <w:rFonts w:ascii="宋体" w:hAnsi="宋体"/>
          <w:b/>
        </w:rPr>
      </w:pPr>
      <w:r>
        <w:rPr>
          <w:rFonts w:hint="eastAsia" w:ascii="宋体" w:hAnsi="宋体"/>
          <w:b/>
        </w:rPr>
        <w:t>附：</w:t>
      </w:r>
      <w:r>
        <w:rPr>
          <w:rFonts w:ascii="宋体" w:hAnsi="宋体"/>
          <w:b/>
        </w:rPr>
        <w:t>2010年老干局领导班子成员名单</w:t>
      </w:r>
    </w:p>
    <w:p w14:paraId="62B6342A">
      <w:pPr>
        <w:ind w:firstLine="420"/>
        <w:rPr>
          <w:rFonts w:ascii="宋体" w:hAnsi="宋体"/>
        </w:rPr>
      </w:pPr>
      <w:r>
        <w:rPr>
          <w:rFonts w:hint="eastAsia" w:ascii="宋体" w:hAnsi="宋体"/>
        </w:rPr>
        <w:t>局  长：陈章分（兼）</w:t>
      </w:r>
    </w:p>
    <w:p w14:paraId="2D554635">
      <w:pPr>
        <w:ind w:firstLine="420"/>
        <w:rPr>
          <w:rFonts w:ascii="宋体" w:hAnsi="宋体"/>
        </w:rPr>
      </w:pPr>
      <w:r>
        <w:rPr>
          <w:rFonts w:hint="eastAsia" w:ascii="宋体" w:hAnsi="宋体"/>
        </w:rPr>
        <w:t>副局长：曾冠雄  饶纪有</w:t>
      </w:r>
    </w:p>
    <w:p w14:paraId="7DAEDB25">
      <w:pPr>
        <w:pStyle w:val="3"/>
      </w:pPr>
      <w:r>
        <w:rPr>
          <w:rFonts w:hint="eastAsia"/>
        </w:rPr>
        <w:t>信访工作</w:t>
      </w:r>
    </w:p>
    <w:p w14:paraId="6237671F">
      <w:pPr>
        <w:pStyle w:val="4"/>
      </w:pPr>
      <w:r>
        <w:rPr>
          <w:rFonts w:hint="eastAsia"/>
        </w:rPr>
        <w:t>【概况】</w:t>
      </w:r>
    </w:p>
    <w:p w14:paraId="4A19A282">
      <w:pPr>
        <w:ind w:firstLine="420"/>
        <w:rPr>
          <w:rFonts w:ascii="宋体" w:hAnsi="宋体"/>
        </w:rPr>
      </w:pPr>
      <w:r>
        <w:rPr>
          <w:rFonts w:ascii="宋体" w:hAnsi="宋体"/>
        </w:rPr>
        <w:t>2010年，按照</w:t>
      </w:r>
      <w:r>
        <w:rPr>
          <w:rFonts w:hint="eastAsia" w:ascii="宋体" w:hAnsi="宋体"/>
        </w:rPr>
        <w:t>“</w:t>
      </w:r>
      <w:r>
        <w:rPr>
          <w:rFonts w:ascii="宋体" w:hAnsi="宋体"/>
        </w:rPr>
        <w:t>大接访、大化解、</w:t>
      </w:r>
      <w:r>
        <w:rPr>
          <w:rFonts w:hint="eastAsia" w:ascii="宋体" w:hAnsi="宋体"/>
        </w:rPr>
        <w:t>大宣传”的信访工作总体思路，不断推进工作，全市信访工作呈现出“一好转三提高”（一好转即：信访秩序得到好转；三提高即：信访办结率、停访息诉率、群众满意率提高）良好态势。南雄市共接待群众来信来访</w:t>
      </w:r>
      <w:r>
        <w:rPr>
          <w:rFonts w:ascii="宋体" w:hAnsi="宋体"/>
        </w:rPr>
        <w:t>975</w:t>
      </w:r>
      <w:r>
        <w:rPr>
          <w:rFonts w:hint="eastAsia" w:ascii="宋体" w:hAnsi="宋体"/>
        </w:rPr>
        <w:t>批（件）</w:t>
      </w:r>
      <w:r>
        <w:rPr>
          <w:rFonts w:ascii="宋体" w:hAnsi="宋体"/>
        </w:rPr>
        <w:t>2461人次，同比分别下降6%和11%。其中来信312件，同比下降8%；来访663批2461人次，同比分别下降12%和11%</w:t>
      </w:r>
      <w:r>
        <w:rPr>
          <w:rFonts w:hint="eastAsia" w:ascii="宋体" w:hAnsi="宋体"/>
        </w:rPr>
        <w:t>（其中集体访</w:t>
      </w:r>
      <w:r>
        <w:rPr>
          <w:rFonts w:ascii="宋体" w:hAnsi="宋体"/>
        </w:rPr>
        <w:t>66批876人次，同比分别下降9%和4%）。经韶关市加强信访工作和维护社</w:t>
      </w:r>
      <w:r>
        <w:rPr>
          <w:rFonts w:hint="eastAsia" w:ascii="宋体" w:hAnsi="宋体"/>
        </w:rPr>
        <w:t>会稳定协调领导小组目标考核，</w:t>
      </w:r>
      <w:r>
        <w:rPr>
          <w:rFonts w:ascii="宋体" w:hAnsi="宋体"/>
        </w:rPr>
        <w:t>2010年南雄</w:t>
      </w:r>
      <w:r>
        <w:rPr>
          <w:rFonts w:hint="eastAsia" w:ascii="宋体" w:hAnsi="宋体"/>
        </w:rPr>
        <w:t>市信访工作被评为优秀等级。</w:t>
      </w:r>
    </w:p>
    <w:p w14:paraId="51C06089">
      <w:pPr>
        <w:pStyle w:val="4"/>
      </w:pPr>
      <w:r>
        <w:rPr>
          <w:rFonts w:hint="eastAsia"/>
        </w:rPr>
        <w:t>【基层信访工作】</w:t>
      </w:r>
    </w:p>
    <w:p w14:paraId="71759994">
      <w:pPr>
        <w:ind w:firstLine="420"/>
        <w:rPr>
          <w:rFonts w:ascii="宋体" w:hAnsi="宋体"/>
        </w:rPr>
      </w:pPr>
      <w:r>
        <w:rPr>
          <w:rFonts w:hint="eastAsia" w:ascii="宋体" w:hAnsi="宋体"/>
        </w:rPr>
        <w:t>按照“以人为本、关注民生、依法治访、创建和谐”的工作宗旨，以“事要解决”为主要任务，以“维护和谐”为工作目标及市委、市政府“履行职责，加快发展”活动的要求，一是在乡镇（街道）科局构筑“三位一体”人民调解网络格局，配齐人员、建立组织、完善制度，为调处化解民间矛盾纠纷建立有效工作平台。二是按照“五有”的要求，</w:t>
      </w:r>
      <w:r>
        <w:rPr>
          <w:rFonts w:ascii="宋体" w:hAnsi="宋体"/>
        </w:rPr>
        <w:t>18个乡镇（街道）和有关</w:t>
      </w:r>
      <w:r>
        <w:rPr>
          <w:rFonts w:hint="eastAsia" w:ascii="宋体" w:hAnsi="宋体"/>
        </w:rPr>
        <w:t>科局均建立信访接待室，实行信访制度上墙，规范信访档案。三是建立信访信息报告制度。随时将重大信访信息及时上报市信访局，以便掌握信访情况。四是推进信访网络化建设，市、镇（街道）科局两级实现办公现代化，提高信访工作效率。</w:t>
      </w:r>
    </w:p>
    <w:p w14:paraId="29C0D27F">
      <w:pPr>
        <w:pStyle w:val="4"/>
      </w:pPr>
      <w:r>
        <w:rPr>
          <w:rFonts w:hint="eastAsia"/>
        </w:rPr>
        <w:t>【畅通信访渠道】</w:t>
      </w:r>
    </w:p>
    <w:p w14:paraId="5E9B8B7B">
      <w:pPr>
        <w:ind w:firstLine="420"/>
        <w:rPr>
          <w:rFonts w:ascii="宋体" w:hAnsi="宋体"/>
        </w:rPr>
      </w:pPr>
      <w:r>
        <w:rPr>
          <w:rFonts w:hint="eastAsia" w:ascii="宋体" w:hAnsi="宋体"/>
        </w:rPr>
        <w:t>完善信访诉求表达方式，畅通信访渠道，规范信访行为，形成良好的信访秩序。</w:t>
      </w:r>
      <w:r>
        <w:rPr>
          <w:rFonts w:ascii="宋体" w:hAnsi="宋体"/>
        </w:rPr>
        <w:t>2010年新建信访维稳办公大楼，</w:t>
      </w:r>
      <w:r>
        <w:rPr>
          <w:rFonts w:hint="eastAsia" w:ascii="宋体" w:hAnsi="宋体"/>
        </w:rPr>
        <w:t>总面积约</w:t>
      </w:r>
      <w:r>
        <w:rPr>
          <w:rFonts w:ascii="宋体" w:hAnsi="宋体"/>
        </w:rPr>
        <w:t>1001平方米，信访维稳办公大楼设</w:t>
      </w:r>
      <w:r>
        <w:rPr>
          <w:rFonts w:hint="eastAsia" w:ascii="宋体" w:hAnsi="宋体"/>
        </w:rPr>
        <w:t>有候访室、接访大厅、接访室、警务室、调解室、档案资料室、视频会议室、会议室、办公室等功能室，畅通群众诉求渠道。与此同时，在南雄市综治信访维稳管理系统网站开设网上信访“信访信箱”栏目，并安排专人管理网上信访工作，受理群众网上信访咨询，为群众开通信访“直通车”。对网上接收的信访信件每日进行梳理，逐一分类处理。一般信访信件移交相关责任部门处理，并在规定时限内办结回复。重大案件市领导亲自挂帅，一抓到底。做到桩桩有人管、件件有着落、事事有回音。坚持执行党政领导干部阅批群众来信制度，开展“大接访”活动，并扩展为市领导干部定期接待群众来访工作，带案下访约访和包案处理信访问题；开展市委书记、市长大接访活动，同时开展镇（街道）书记镇长（主任）大接访活动。在全国</w:t>
      </w:r>
      <w:r>
        <w:rPr>
          <w:rFonts w:hint="eastAsia" w:ascii="宋体" w:hAnsi="宋体"/>
          <w:lang w:eastAsia="zh-CN"/>
        </w:rPr>
        <w:t>两会</w:t>
      </w:r>
      <w:r>
        <w:rPr>
          <w:rFonts w:hint="eastAsia" w:ascii="宋体" w:hAnsi="宋体"/>
        </w:rPr>
        <w:t>期间以及清明、国庆前后开展领导大接访活动，市、镇（街道）各级领导共</w:t>
      </w:r>
      <w:r>
        <w:rPr>
          <w:rFonts w:ascii="宋体" w:hAnsi="宋体"/>
        </w:rPr>
        <w:t>180</w:t>
      </w:r>
      <w:r>
        <w:rPr>
          <w:rFonts w:hint="eastAsia" w:ascii="宋体" w:hAnsi="宋体"/>
        </w:rPr>
        <w:t>人参加活动，接待来访群众</w:t>
      </w:r>
      <w:r>
        <w:rPr>
          <w:rFonts w:ascii="宋体" w:hAnsi="宋体"/>
        </w:rPr>
        <w:t>257批584人次，</w:t>
      </w:r>
      <w:r>
        <w:rPr>
          <w:rFonts w:hint="eastAsia" w:ascii="宋体" w:hAnsi="宋体"/>
        </w:rPr>
        <w:t>现场化解矛盾纠纷</w:t>
      </w:r>
      <w:r>
        <w:rPr>
          <w:rFonts w:ascii="宋体" w:hAnsi="宋体"/>
        </w:rPr>
        <w:t>120宗，从源头上解决群</w:t>
      </w:r>
      <w:r>
        <w:rPr>
          <w:rFonts w:hint="eastAsia" w:ascii="宋体" w:hAnsi="宋体"/>
        </w:rPr>
        <w:t>众上访问题。</w:t>
      </w:r>
    </w:p>
    <w:p w14:paraId="39D4E357">
      <w:pPr>
        <w:pStyle w:val="4"/>
      </w:pPr>
      <w:r>
        <w:rPr>
          <w:rFonts w:hint="eastAsia"/>
        </w:rPr>
        <w:t>【化解信访积案】</w:t>
      </w:r>
    </w:p>
    <w:p w14:paraId="0F5140BC">
      <w:pPr>
        <w:ind w:firstLine="420"/>
        <w:rPr>
          <w:rFonts w:ascii="宋体" w:hAnsi="宋体"/>
        </w:rPr>
      </w:pPr>
      <w:r>
        <w:rPr>
          <w:rFonts w:hint="eastAsia" w:ascii="宋体" w:hAnsi="宋体"/>
        </w:rPr>
        <w:t>南雄市信访部门扎实履行职责，为党分忧，现场调解各类矛盾纠纷，为党委政府决策提供信息，预防和减少信访事项的发生，同时着力开展“信访积案化解年”活动。制定化解信访积案的实施方案，成立领导小组，从人力、物力、财力上确保化解一批信访积案。</w:t>
      </w:r>
      <w:r>
        <w:rPr>
          <w:rFonts w:ascii="宋体" w:hAnsi="宋体"/>
        </w:rPr>
        <w:t>2010年，南雄市在信访</w:t>
      </w:r>
      <w:r>
        <w:rPr>
          <w:rFonts w:hint="eastAsia" w:ascii="宋体" w:hAnsi="宋体"/>
        </w:rPr>
        <w:t>积案化解领导小组的领导下，由信访部门牵头，多部门的通力合作，化解信访积案，对一些涉及面广、情况复杂的由分管工作的市领导亲自带队下到基层，主动化解信访积案。共化解信访积案</w:t>
      </w:r>
      <w:r>
        <w:rPr>
          <w:rFonts w:ascii="宋体" w:hAnsi="宋体"/>
        </w:rPr>
        <w:t>11宗，有效维护南雄市的社</w:t>
      </w:r>
      <w:r>
        <w:rPr>
          <w:rFonts w:hint="eastAsia" w:ascii="宋体" w:hAnsi="宋体"/>
        </w:rPr>
        <w:t>会稳定，促进经济较快发展。</w:t>
      </w:r>
    </w:p>
    <w:p w14:paraId="1B300207">
      <w:pPr>
        <w:pStyle w:val="4"/>
      </w:pPr>
      <w:r>
        <w:rPr>
          <w:rFonts w:hint="eastAsia"/>
        </w:rPr>
        <w:t>【创新工作机制】</w:t>
      </w:r>
    </w:p>
    <w:p w14:paraId="02E0573A">
      <w:pPr>
        <w:ind w:firstLine="420"/>
        <w:rPr>
          <w:rFonts w:ascii="宋体" w:hAnsi="宋体"/>
        </w:rPr>
      </w:pPr>
      <w:r>
        <w:rPr>
          <w:rFonts w:ascii="宋体" w:hAnsi="宋体"/>
        </w:rPr>
        <w:t>2010年初，组建南雄市</w:t>
      </w:r>
      <w:r>
        <w:rPr>
          <w:rFonts w:hint="eastAsia" w:ascii="宋体" w:hAnsi="宋体"/>
        </w:rPr>
        <w:t>民间纠纷调处中心，在全韶关率先成立县级市民间纠纷调处中心，在财力和物力上给予支持。民间纠纷调处中心按照上访案件涉及的企业改制、涉法涉诉、农村农业、社会救助、征地拆迁、林业旅游、文教卫生、交通环保等领域，采取以调解办理为主，自办、帮办、协办、联办相结合的方式开展工作，变治理为服务，变上访为下访，变被动为主动，变堵防为疏导，变一时息访到彻底解决，变层层转办为层层解决，变事后处理为事前预防，形成群众工作、信访工作、民生工作综合、互补的工作模式。构筑从单一部门孤军奋战到全市上下统一领导、部门协调、各负其责、齐抓共管的群众工作新格局。</w:t>
      </w:r>
    </w:p>
    <w:p w14:paraId="68105411">
      <w:pPr>
        <w:pStyle w:val="4"/>
      </w:pPr>
      <w:r>
        <w:rPr>
          <w:rFonts w:hint="eastAsia"/>
        </w:rPr>
        <w:t>【信访法规宣传】</w:t>
      </w:r>
    </w:p>
    <w:p w14:paraId="21A51375">
      <w:pPr>
        <w:ind w:firstLine="420"/>
        <w:rPr>
          <w:rFonts w:hint="eastAsia" w:ascii="宋体" w:hAnsi="宋体"/>
        </w:rPr>
      </w:pPr>
      <w:r>
        <w:rPr>
          <w:rFonts w:hint="eastAsia" w:ascii="宋体" w:hAnsi="宋体"/>
        </w:rPr>
        <w:t>开展“</w:t>
      </w:r>
      <w:r>
        <w:rPr>
          <w:rFonts w:ascii="宋体" w:hAnsi="宋体"/>
        </w:rPr>
        <w:t>12.4</w:t>
      </w:r>
      <w:r>
        <w:rPr>
          <w:rFonts w:hint="eastAsia" w:ascii="宋体" w:hAnsi="宋体"/>
        </w:rPr>
        <w:t>”</w:t>
      </w:r>
      <w:r>
        <w:rPr>
          <w:rFonts w:ascii="宋体" w:hAnsi="宋体"/>
        </w:rPr>
        <w:t>法制宣传</w:t>
      </w:r>
      <w:r>
        <w:rPr>
          <w:rFonts w:hint="eastAsia" w:ascii="宋体" w:hAnsi="宋体"/>
        </w:rPr>
        <w:t>日活动，印发《信访条例》和《广东省实施〈信访条例〉办法》资料</w:t>
      </w:r>
      <w:r>
        <w:rPr>
          <w:rFonts w:ascii="宋体" w:hAnsi="宋体"/>
        </w:rPr>
        <w:t>800多份，使干部、</w:t>
      </w:r>
      <w:r>
        <w:rPr>
          <w:rFonts w:hint="eastAsia" w:ascii="宋体" w:hAnsi="宋体"/>
        </w:rPr>
        <w:t>群众知法、守法、依法有序地行使自己的信访权利规范群众信访秩序。</w:t>
      </w:r>
    </w:p>
    <w:p w14:paraId="2D2A8743">
      <w:pPr>
        <w:pStyle w:val="4"/>
        <w:rPr>
          <w:rFonts w:hint="eastAsia"/>
        </w:rPr>
      </w:pPr>
      <w:r>
        <w:rPr>
          <w:rFonts w:hint="eastAsia"/>
        </w:rPr>
        <w:t>【加强队伍建设】</w:t>
      </w:r>
    </w:p>
    <w:p w14:paraId="69F6BE12">
      <w:pPr>
        <w:ind w:firstLine="420"/>
        <w:rPr>
          <w:rFonts w:ascii="宋体" w:hAnsi="宋体"/>
        </w:rPr>
      </w:pPr>
      <w:r>
        <w:rPr>
          <w:rFonts w:ascii="宋体" w:hAnsi="宋体"/>
        </w:rPr>
        <w:t>2010年，全体信访干部</w:t>
      </w:r>
      <w:r>
        <w:rPr>
          <w:rFonts w:hint="eastAsia" w:ascii="宋体" w:hAnsi="宋体"/>
        </w:rPr>
        <w:t>积极参加省、韶关市以及南雄市的政治教育、专业培训，选派负责网络信访工作的专职人员参加广东省信访局组织的计算机操作培训，网络办信力度得到有效推进。建立健全后备干部和新提拨副科领导干部到信访部门挂职锻炼制度，安排</w:t>
      </w:r>
      <w:r>
        <w:rPr>
          <w:rFonts w:ascii="宋体" w:hAnsi="宋体"/>
        </w:rPr>
        <w:t>9名新提拨的副科领导干部</w:t>
      </w:r>
      <w:r>
        <w:rPr>
          <w:rFonts w:hint="eastAsia" w:ascii="宋体" w:hAnsi="宋体"/>
        </w:rPr>
        <w:t>到信访部门挂职任信访督察员，提高领导干部处理信访事项的能力。制定信访干部每月学习例会制度，每月定期组织全市信访干部集中学习、召开例会、总结工作经验、学习政策、交流心得、分析研究案例、批评指正等形式提升干部的办信能力，增强队伍素质。</w:t>
      </w:r>
    </w:p>
    <w:p w14:paraId="6FE76D05">
      <w:pPr>
        <w:pStyle w:val="4"/>
      </w:pPr>
      <w:r>
        <w:rPr>
          <w:rFonts w:hint="eastAsia"/>
        </w:rPr>
        <w:t>【综合信息工作】</w:t>
      </w:r>
    </w:p>
    <w:p w14:paraId="0FC1C46F">
      <w:pPr>
        <w:ind w:firstLine="420"/>
        <w:rPr>
          <w:rFonts w:ascii="宋体" w:hAnsi="宋体"/>
        </w:rPr>
      </w:pPr>
      <w:r>
        <w:rPr>
          <w:rFonts w:hint="eastAsia" w:ascii="宋体" w:hAnsi="宋体"/>
        </w:rPr>
        <w:t>建立《南雄市信访和维稳工作内部专报》制度，及时向领导汇报敏感、重大的信访事宜，及早采取应急措施，掌握工作的主动权。坚持每周印发《一周信访动态》、《南雄信访事项重要摘报》、每月印发《南雄信访动态》通报，定时排查矛盾纠纷，总结当月信访工作情况，分析研判信访信息，切实发挥信访部门的参谋助手作用，做好信息反馈。</w:t>
      </w:r>
      <w:r>
        <w:rPr>
          <w:rFonts w:ascii="宋体" w:hAnsi="宋体"/>
        </w:rPr>
        <w:t>2010年，南雄市信访局印发《一周</w:t>
      </w:r>
      <w:r>
        <w:rPr>
          <w:rFonts w:hint="eastAsia" w:ascii="宋体" w:hAnsi="宋体"/>
        </w:rPr>
        <w:t>信访动态》</w:t>
      </w:r>
      <w:r>
        <w:rPr>
          <w:rFonts w:ascii="宋体" w:hAnsi="宋体"/>
        </w:rPr>
        <w:t>49期、《南雄信访事项重要摘报》</w:t>
      </w:r>
      <w:r>
        <w:rPr>
          <w:rFonts w:hint="eastAsia" w:ascii="宋体" w:hAnsi="宋体"/>
        </w:rPr>
        <w:t>信息</w:t>
      </w:r>
      <w:r>
        <w:rPr>
          <w:rFonts w:ascii="宋体" w:hAnsi="宋体"/>
        </w:rPr>
        <w:t>20多次、《南雄信访动态》通报12次。</w:t>
      </w:r>
      <w:r>
        <w:rPr>
          <w:rFonts w:hint="eastAsia" w:ascii="宋体" w:hAnsi="宋体"/>
        </w:rPr>
        <w:t>做好调研工作，有针对性地开展调查研究，撰写《用群众工作统揽信访工作》、《做好三服务》等调研文章。</w:t>
      </w:r>
    </w:p>
    <w:p w14:paraId="2B5AFD9E">
      <w:pPr>
        <w:ind w:firstLine="420"/>
        <w:jc w:val="right"/>
        <w:rPr>
          <w:rFonts w:ascii="宋体" w:hAnsi="宋体"/>
        </w:rPr>
      </w:pPr>
      <w:r>
        <w:rPr>
          <w:rFonts w:hint="eastAsia" w:ascii="宋体" w:hAnsi="宋体"/>
        </w:rPr>
        <w:t>（刘水英）</w:t>
      </w:r>
    </w:p>
    <w:p w14:paraId="75B0280C">
      <w:pPr>
        <w:ind w:firstLine="422"/>
        <w:rPr>
          <w:rFonts w:ascii="宋体" w:hAnsi="宋体"/>
        </w:rPr>
      </w:pPr>
      <w:r>
        <w:rPr>
          <w:rFonts w:hint="eastAsia" w:ascii="宋体" w:hAnsi="宋体"/>
          <w:b/>
        </w:rPr>
        <w:t>附：</w:t>
      </w:r>
      <w:r>
        <w:rPr>
          <w:rFonts w:ascii="宋体" w:hAnsi="宋体"/>
          <w:b/>
        </w:rPr>
        <w:t>2010年信访局领导班子成员名单</w:t>
      </w:r>
    </w:p>
    <w:p w14:paraId="7D8185F3">
      <w:pPr>
        <w:ind w:firstLine="420"/>
        <w:rPr>
          <w:rFonts w:ascii="宋体" w:hAnsi="宋体"/>
        </w:rPr>
      </w:pPr>
      <w:r>
        <w:rPr>
          <w:rFonts w:hint="eastAsia" w:ascii="宋体" w:hAnsi="宋体"/>
        </w:rPr>
        <w:t>局  长：刘  飞（兼）</w:t>
      </w:r>
    </w:p>
    <w:p w14:paraId="122DC5E7">
      <w:pPr>
        <w:ind w:firstLine="420"/>
        <w:rPr>
          <w:rFonts w:ascii="宋体" w:hAnsi="宋体"/>
        </w:rPr>
      </w:pPr>
      <w:r>
        <w:rPr>
          <w:rFonts w:hint="eastAsia" w:ascii="宋体" w:hAnsi="宋体"/>
        </w:rPr>
        <w:t>副局长：陈志刚  谢祥英</w:t>
      </w:r>
    </w:p>
    <w:p w14:paraId="4CF8FB82">
      <w:pPr>
        <w:pStyle w:val="2"/>
      </w:pPr>
      <w:r>
        <w:rPr>
          <w:rFonts w:hint="eastAsia"/>
        </w:rPr>
        <w:t>南雄市人大常委会</w:t>
      </w:r>
    </w:p>
    <w:p w14:paraId="4E23CA98">
      <w:pPr>
        <w:pStyle w:val="3"/>
      </w:pPr>
      <w:r>
        <w:rPr>
          <w:rFonts w:hint="eastAsia"/>
        </w:rPr>
        <w:t>综述</w:t>
      </w:r>
    </w:p>
    <w:p w14:paraId="22315E88">
      <w:pPr>
        <w:pStyle w:val="4"/>
      </w:pPr>
      <w:r>
        <w:rPr>
          <w:rFonts w:hint="eastAsia"/>
        </w:rPr>
        <w:t>【概况】</w:t>
      </w:r>
    </w:p>
    <w:p w14:paraId="72397F0F">
      <w:pPr>
        <w:ind w:firstLine="420"/>
        <w:rPr>
          <w:rFonts w:ascii="宋体" w:hAnsi="宋体"/>
        </w:rPr>
      </w:pPr>
      <w:r>
        <w:rPr>
          <w:rFonts w:hint="eastAsia" w:ascii="宋体" w:hAnsi="宋体"/>
        </w:rPr>
        <w:t>南雄市人大常委会机关内设“一室四委”。即：办公室、内务司法工作委员会、经济工作委员会、教科文卫工作委员会、选举联络人事任免工作委员会。编制</w:t>
      </w:r>
      <w:r>
        <w:rPr>
          <w:rFonts w:ascii="宋体" w:hAnsi="宋体"/>
        </w:rPr>
        <w:t>21人，其</w:t>
      </w:r>
      <w:r>
        <w:rPr>
          <w:rFonts w:hint="eastAsia" w:ascii="宋体" w:hAnsi="宋体"/>
        </w:rPr>
        <w:t>中行政编制</w:t>
      </w:r>
      <w:r>
        <w:rPr>
          <w:rFonts w:ascii="宋体" w:hAnsi="宋体"/>
        </w:rPr>
        <w:t>19人，事业编制2人。2010年，</w:t>
      </w:r>
      <w:r>
        <w:rPr>
          <w:rFonts w:hint="eastAsia" w:ascii="宋体" w:hAnsi="宋体"/>
        </w:rPr>
        <w:t>围绕市委的决策部署，忠实履行宪法和法律赋予的各项职责。不断提升人大工作水平，为加快推进富裕文明和谐安康的粤北门户城市建设作出积极贡献；加强社会主义民主法制建设，保障和促进南雄市经济社会又好又快发展，发挥其重要作用。</w:t>
      </w:r>
    </w:p>
    <w:p w14:paraId="7CDFB115">
      <w:pPr>
        <w:pStyle w:val="4"/>
      </w:pPr>
      <w:r>
        <w:rPr>
          <w:rFonts w:hint="eastAsia"/>
        </w:rPr>
        <w:t>【监督工作】</w:t>
      </w:r>
    </w:p>
    <w:p w14:paraId="0DD70EAF">
      <w:pPr>
        <w:ind w:firstLine="420"/>
        <w:rPr>
          <w:rFonts w:ascii="宋体" w:hAnsi="宋体"/>
        </w:rPr>
      </w:pPr>
      <w:r>
        <w:rPr>
          <w:rFonts w:hint="eastAsia" w:ascii="宋体" w:hAnsi="宋体"/>
        </w:rPr>
        <w:t>常委会发挥监督职能，坚持工作监督、法律监督与人事监督三结合。坚持把执法监督摆上重要议事日程，把监督的着力点放在推动和落实科学发展观上，围绕市委中心工作，服务大局、促进发展开展监督。加强对“一府两院”的监督，听取和审议市政府为南雄市人民办理的各项工作落实情况。</w:t>
      </w:r>
      <w:r>
        <w:rPr>
          <w:rFonts w:ascii="宋体" w:hAnsi="宋体"/>
        </w:rPr>
        <w:t>2010年常委会对市交通运输局、市教育局、</w:t>
      </w:r>
      <w:r>
        <w:rPr>
          <w:rFonts w:hint="eastAsia" w:ascii="宋体" w:hAnsi="宋体"/>
        </w:rPr>
        <w:t>市旅游局、市环保局四个单位贯彻执行宪法和法律法规，依法行政，落实执法责任制贯彻执行人大及其常委会会议决议、决定和服务经济社会发展情况进行评议，听取评议单位的自查报告，要求被评议单位认真抓好整改落实。常委会综合运用审议、视察、调研等方式推动市发展大局工作的落实，加强对人大任命干部的监督，不定期开展对任命干部的工作监督，要求常委会任命的国家机关工作人员每年向常委会递交书面履职情况报告。</w:t>
      </w:r>
    </w:p>
    <w:p w14:paraId="5DDE921A">
      <w:pPr>
        <w:pStyle w:val="4"/>
      </w:pPr>
      <w:r>
        <w:rPr>
          <w:rFonts w:hint="eastAsia"/>
        </w:rPr>
        <w:t>【议案与建议办理工作】</w:t>
      </w:r>
    </w:p>
    <w:p w14:paraId="483C4529">
      <w:pPr>
        <w:ind w:firstLine="420"/>
        <w:rPr>
          <w:rFonts w:ascii="宋体" w:hAnsi="宋体"/>
        </w:rPr>
      </w:pPr>
      <w:r>
        <w:rPr>
          <w:rFonts w:ascii="宋体" w:hAnsi="宋体"/>
        </w:rPr>
        <w:t>2010年受理人民</w:t>
      </w:r>
      <w:r>
        <w:rPr>
          <w:rFonts w:hint="eastAsia" w:ascii="宋体" w:hAnsi="宋体"/>
        </w:rPr>
        <w:t>群众来信来访</w:t>
      </w:r>
      <w:r>
        <w:rPr>
          <w:rFonts w:ascii="宋体" w:hAnsi="宋体"/>
        </w:rPr>
        <w:t>67件143人次，处理全国、省、</w:t>
      </w:r>
      <w:r>
        <w:rPr>
          <w:rFonts w:hint="eastAsia" w:ascii="宋体" w:hAnsi="宋体"/>
        </w:rPr>
        <w:t>韶关市人大批转来信</w:t>
      </w:r>
      <w:r>
        <w:rPr>
          <w:rFonts w:ascii="宋体" w:hAnsi="宋体"/>
        </w:rPr>
        <w:t>12宗，办结率达100%</w:t>
      </w:r>
      <w:r>
        <w:rPr>
          <w:rFonts w:hint="eastAsia" w:ascii="宋体" w:hAnsi="宋体"/>
        </w:rPr>
        <w:t>。在全年</w:t>
      </w:r>
      <w:r>
        <w:rPr>
          <w:rFonts w:ascii="宋体" w:hAnsi="宋体"/>
        </w:rPr>
        <w:t>42件代表议案、建议中得到基本解决</w:t>
      </w:r>
      <w:r>
        <w:rPr>
          <w:rFonts w:hint="eastAsia" w:ascii="宋体" w:hAnsi="宋体"/>
        </w:rPr>
        <w:t>的</w:t>
      </w:r>
      <w:r>
        <w:rPr>
          <w:rFonts w:ascii="宋体" w:hAnsi="宋体"/>
        </w:rPr>
        <w:t>16件，占38.1%，列入计划解决的11件，</w:t>
      </w:r>
      <w:r>
        <w:rPr>
          <w:rFonts w:hint="eastAsia" w:ascii="宋体" w:hAnsi="宋体"/>
        </w:rPr>
        <w:t>占</w:t>
      </w:r>
      <w:r>
        <w:rPr>
          <w:rFonts w:ascii="宋体" w:hAnsi="宋体"/>
        </w:rPr>
        <w:t>26.2%，做出解释的15件，占35.7%，代</w:t>
      </w:r>
      <w:r>
        <w:rPr>
          <w:rFonts w:hint="eastAsia" w:ascii="宋体" w:hAnsi="宋体"/>
        </w:rPr>
        <w:t>表反馈的满意和基本满意达</w:t>
      </w:r>
      <w:r>
        <w:rPr>
          <w:rFonts w:ascii="宋体" w:hAnsi="宋体"/>
        </w:rPr>
        <w:t>100%。</w:t>
      </w:r>
    </w:p>
    <w:p w14:paraId="06606546">
      <w:pPr>
        <w:pStyle w:val="4"/>
      </w:pPr>
      <w:r>
        <w:rPr>
          <w:rFonts w:hint="eastAsia"/>
        </w:rPr>
        <w:t>【代表工作】</w:t>
      </w:r>
    </w:p>
    <w:p w14:paraId="276ED1C4">
      <w:pPr>
        <w:ind w:firstLine="420"/>
        <w:rPr>
          <w:rFonts w:ascii="宋体" w:hAnsi="宋体"/>
        </w:rPr>
      </w:pPr>
      <w:r>
        <w:rPr>
          <w:rFonts w:hint="eastAsia" w:ascii="宋体" w:hAnsi="宋体"/>
        </w:rPr>
        <w:t>常委会充分发挥代表作用，推动代表法的贯彻实施。围绕市委中心工作，指导代表关注热点，发挥好代表作用提出了具体要求关注民生，积极开展形式多样的代表活动。</w:t>
      </w:r>
      <w:r>
        <w:rPr>
          <w:rFonts w:ascii="宋体" w:hAnsi="宋体"/>
        </w:rPr>
        <w:t>8月组织市人大代表、及相关人员204人召开征求代表对市人大常委会和</w:t>
      </w:r>
      <w:r>
        <w:rPr>
          <w:rFonts w:hint="eastAsia" w:ascii="宋体" w:hAnsi="宋体"/>
        </w:rPr>
        <w:t>“</w:t>
      </w:r>
      <w:r>
        <w:rPr>
          <w:rFonts w:ascii="宋体" w:hAnsi="宋体"/>
        </w:rPr>
        <w:t>一府</w:t>
      </w:r>
      <w:r>
        <w:rPr>
          <w:rFonts w:hint="eastAsia" w:ascii="宋体" w:hAnsi="宋体"/>
        </w:rPr>
        <w:t>两院”工作情况的建议、批评和意见座谈会和视察；组织</w:t>
      </w:r>
      <w:r>
        <w:rPr>
          <w:rFonts w:ascii="宋体" w:hAnsi="宋体"/>
        </w:rPr>
        <w:t>6次代表视察和调研活动；60</w:t>
      </w:r>
      <w:r>
        <w:rPr>
          <w:rFonts w:hint="eastAsia" w:ascii="宋体" w:hAnsi="宋体"/>
        </w:rPr>
        <w:t>人次代表参加执法检查和议案建议督办；</w:t>
      </w:r>
      <w:r>
        <w:rPr>
          <w:rFonts w:ascii="宋体" w:hAnsi="宋体"/>
        </w:rPr>
        <w:t>7名</w:t>
      </w:r>
      <w:r>
        <w:rPr>
          <w:rFonts w:hint="eastAsia" w:ascii="宋体" w:hAnsi="宋体"/>
        </w:rPr>
        <w:t>代表列席了市人大常委会会议。</w:t>
      </w:r>
    </w:p>
    <w:p w14:paraId="29527D0A">
      <w:pPr>
        <w:pStyle w:val="4"/>
      </w:pPr>
      <w:r>
        <w:rPr>
          <w:rFonts w:hint="eastAsia"/>
        </w:rPr>
        <w:t>【换届选举工作】</w:t>
      </w:r>
    </w:p>
    <w:p w14:paraId="247F74FA">
      <w:pPr>
        <w:ind w:firstLine="420"/>
        <w:rPr>
          <w:rFonts w:ascii="宋体" w:hAnsi="宋体"/>
        </w:rPr>
      </w:pPr>
      <w:r>
        <w:rPr>
          <w:rFonts w:hint="eastAsia" w:ascii="宋体" w:hAnsi="宋体"/>
        </w:rPr>
        <w:t>南雄市第十一届人民代表大会，于</w:t>
      </w:r>
      <w:r>
        <w:rPr>
          <w:rFonts w:ascii="宋体" w:hAnsi="宋体"/>
        </w:rPr>
        <w:t>2003年3月任期届满。换届选举工</w:t>
      </w:r>
      <w:r>
        <w:rPr>
          <w:rFonts w:hint="eastAsia" w:ascii="宋体" w:hAnsi="宋体"/>
        </w:rPr>
        <w:t>作从</w:t>
      </w:r>
      <w:r>
        <w:rPr>
          <w:rFonts w:ascii="宋体" w:hAnsi="宋体"/>
        </w:rPr>
        <w:t>2002年12月15日开始至2003年2月28</w:t>
      </w:r>
      <w:r>
        <w:rPr>
          <w:rFonts w:hint="eastAsia" w:ascii="宋体" w:hAnsi="宋体"/>
        </w:rPr>
        <w:t>日全部结束，选出了市十二届人大代表</w:t>
      </w:r>
      <w:r>
        <w:rPr>
          <w:rFonts w:ascii="宋体" w:hAnsi="宋体"/>
        </w:rPr>
        <w:t>210</w:t>
      </w:r>
      <w:r>
        <w:rPr>
          <w:rFonts w:hint="eastAsia" w:ascii="宋体" w:hAnsi="宋体"/>
        </w:rPr>
        <w:t>名。市第十二届人民代表大会</w:t>
      </w:r>
      <w:r>
        <w:rPr>
          <w:rFonts w:ascii="宋体" w:hAnsi="宋体"/>
        </w:rPr>
        <w:t>2006年届满，</w:t>
      </w:r>
      <w:r>
        <w:rPr>
          <w:rFonts w:hint="eastAsia" w:ascii="宋体" w:hAnsi="宋体"/>
        </w:rPr>
        <w:t>换届选举工作从</w:t>
      </w:r>
      <w:r>
        <w:rPr>
          <w:rFonts w:ascii="宋体" w:hAnsi="宋体"/>
        </w:rPr>
        <w:t>2006年9月5日开始至12月8日全部结束，选出市十三届人大代表207名。</w:t>
      </w:r>
    </w:p>
    <w:p w14:paraId="09A01B88">
      <w:pPr>
        <w:pStyle w:val="4"/>
      </w:pPr>
      <w:r>
        <w:rPr>
          <w:rFonts w:hint="eastAsia"/>
        </w:rPr>
        <w:t>【宣传工作】</w:t>
      </w:r>
    </w:p>
    <w:p w14:paraId="5A7348F6">
      <w:pPr>
        <w:ind w:firstLine="420"/>
        <w:rPr>
          <w:rFonts w:ascii="宋体" w:hAnsi="宋体"/>
        </w:rPr>
      </w:pPr>
      <w:r>
        <w:rPr>
          <w:rFonts w:hint="eastAsia" w:ascii="宋体" w:hAnsi="宋体"/>
        </w:rPr>
        <w:t>常委会重视抓好人大宣传信息和理论研究工作，运用报纸、广播、电视、网络、杂志、刊物等各种信息平台宣传人民代表大会制度、宣传人大及其常委会工作、宣传人大代表履职情况，扩大社会的影响力，提高广大公民有序参与民主政治的积极性。</w:t>
      </w:r>
      <w:r>
        <w:rPr>
          <w:rFonts w:ascii="宋体" w:hAnsi="宋体"/>
        </w:rPr>
        <w:t>2010年，在广播电台、电视台、网络宣传人</w:t>
      </w:r>
      <w:r>
        <w:rPr>
          <w:rFonts w:hint="eastAsia" w:ascii="宋体" w:hAnsi="宋体"/>
        </w:rPr>
        <w:t>民代表大会制度；召开全市人大宣传信息工作座谈会；举办</w:t>
      </w:r>
      <w:r>
        <w:rPr>
          <w:rFonts w:ascii="宋体" w:hAnsi="宋体"/>
        </w:rPr>
        <w:t>1期全市人大通讯员培训班</w:t>
      </w:r>
      <w:r>
        <w:rPr>
          <w:rFonts w:hint="eastAsia" w:ascii="宋体" w:hAnsi="宋体"/>
        </w:rPr>
        <w:t>；办好《南雄人大》、《市人大常委会会议纪要》；通过纪念市人大常委会建立</w:t>
      </w:r>
      <w:r>
        <w:rPr>
          <w:rFonts w:ascii="宋体" w:hAnsi="宋体"/>
        </w:rPr>
        <w:t>30周年庆</w:t>
      </w:r>
      <w:r>
        <w:rPr>
          <w:rFonts w:hint="eastAsia" w:ascii="宋体" w:hAnsi="宋体"/>
        </w:rPr>
        <w:t>典活动征集文稿，对所征集的文稿进行优秀作品评比，加大对人大各项工作的宣传。</w:t>
      </w:r>
    </w:p>
    <w:p w14:paraId="4C9804C1">
      <w:pPr>
        <w:pStyle w:val="4"/>
      </w:pPr>
      <w:r>
        <w:rPr>
          <w:rFonts w:hint="eastAsia"/>
        </w:rPr>
        <w:t>【自身建设】</w:t>
      </w:r>
    </w:p>
    <w:p w14:paraId="2800F678">
      <w:pPr>
        <w:ind w:firstLine="420"/>
        <w:rPr>
          <w:rFonts w:ascii="宋体" w:hAnsi="宋体"/>
        </w:rPr>
      </w:pPr>
      <w:r>
        <w:rPr>
          <w:rFonts w:hint="eastAsia" w:ascii="宋体" w:hAnsi="宋体"/>
        </w:rPr>
        <w:t>常委会坚持以“三个代表”重要思想为指导，加强理论学习，贯彻党的十七大和十七届各次全会精神，牢固树立和落实科学的发展观和正确的政绩观。在抓班子、带队伍、促发展上下功夫，不断创新思维，拓展思路；紧扣市委中心工作，结合人大工作的特点，以强化服务职能为核心，发挥综合协调、参谋助手、督办服务作用，服务质量全面提高；围绕主题，深入开展调查研究，听取和审议“一府两院”专项工作报告，开展执法检查，组织代表视察检查</w:t>
      </w:r>
      <w:r>
        <w:rPr>
          <w:rFonts w:ascii="宋体" w:hAnsi="宋体"/>
        </w:rPr>
        <w:t>8次，检查</w:t>
      </w:r>
      <w:r>
        <w:rPr>
          <w:rFonts w:hint="eastAsia" w:ascii="宋体" w:hAnsi="宋体"/>
        </w:rPr>
        <w:t>和视察</w:t>
      </w:r>
      <w:r>
        <w:rPr>
          <w:rFonts w:ascii="宋体" w:hAnsi="宋体"/>
        </w:rPr>
        <w:t>3项法律法规的实施情况；依法任免</w:t>
      </w:r>
      <w:r>
        <w:rPr>
          <w:rFonts w:hint="eastAsia" w:ascii="宋体" w:hAnsi="宋体"/>
        </w:rPr>
        <w:t>国家机关工作人员，全面完成各项工作任务，开创工作新局面。</w:t>
      </w:r>
    </w:p>
    <w:p w14:paraId="63583C94">
      <w:pPr>
        <w:pStyle w:val="3"/>
      </w:pPr>
      <w:r>
        <w:rPr>
          <w:rFonts w:hint="eastAsia"/>
        </w:rPr>
        <w:t>市人大及常委会重要会议</w:t>
      </w:r>
    </w:p>
    <w:p w14:paraId="26B8324C">
      <w:pPr>
        <w:pStyle w:val="4"/>
      </w:pPr>
      <w:r>
        <w:rPr>
          <w:rFonts w:hint="eastAsia"/>
        </w:rPr>
        <w:t>【十二届人大一次会议】</w:t>
      </w:r>
    </w:p>
    <w:p w14:paraId="0FB191C7">
      <w:pPr>
        <w:ind w:firstLine="420"/>
        <w:rPr>
          <w:rFonts w:ascii="宋体" w:hAnsi="宋体"/>
        </w:rPr>
      </w:pPr>
      <w:r>
        <w:rPr>
          <w:rFonts w:ascii="宋体" w:hAnsi="宋体"/>
        </w:rPr>
        <w:t>2003年3月10日</w:t>
      </w:r>
      <w:r>
        <w:rPr>
          <w:rFonts w:hint="eastAsia" w:ascii="宋体" w:hAnsi="宋体"/>
        </w:rPr>
        <w:t>~</w:t>
      </w:r>
      <w:r>
        <w:rPr>
          <w:rFonts w:ascii="宋体" w:hAnsi="宋体"/>
        </w:rPr>
        <w:t>14日，会议依法选举何为星为市第十二届</w:t>
      </w:r>
      <w:r>
        <w:rPr>
          <w:rFonts w:hint="eastAsia" w:ascii="宋体" w:hAnsi="宋体"/>
        </w:rPr>
        <w:t>人民代表大会常务委员会主任，欧阳效元、刘发群、涂运发、李冰为副主任，</w:t>
      </w:r>
      <w:r>
        <w:rPr>
          <w:rFonts w:ascii="宋体" w:hAnsi="宋体"/>
        </w:rPr>
        <w:t>14名常务</w:t>
      </w:r>
      <w:r>
        <w:rPr>
          <w:rFonts w:hint="eastAsia" w:ascii="宋体" w:hAnsi="宋体"/>
        </w:rPr>
        <w:t>委员会委员。</w:t>
      </w:r>
    </w:p>
    <w:p w14:paraId="3DB24163">
      <w:pPr>
        <w:pStyle w:val="4"/>
      </w:pPr>
      <w:r>
        <w:rPr>
          <w:rFonts w:hint="eastAsia"/>
        </w:rPr>
        <w:t>【十二届人大二次会议】</w:t>
      </w:r>
    </w:p>
    <w:p w14:paraId="308BD4A0">
      <w:pPr>
        <w:ind w:firstLine="420"/>
        <w:rPr>
          <w:rFonts w:ascii="宋体" w:hAnsi="宋体"/>
        </w:rPr>
      </w:pPr>
      <w:r>
        <w:rPr>
          <w:rFonts w:ascii="宋体" w:hAnsi="宋体"/>
        </w:rPr>
        <w:t>2004年3月2日</w:t>
      </w:r>
      <w:r>
        <w:rPr>
          <w:rFonts w:hint="eastAsia" w:ascii="宋体" w:hAnsi="宋体"/>
        </w:rPr>
        <w:t>~</w:t>
      </w:r>
      <w:r>
        <w:rPr>
          <w:rFonts w:ascii="宋体" w:hAnsi="宋体"/>
        </w:rPr>
        <w:t>5日，会议依法选出南雄市出席韶关市第十</w:t>
      </w:r>
      <w:r>
        <w:rPr>
          <w:rFonts w:hint="eastAsia" w:ascii="宋体" w:hAnsi="宋体"/>
        </w:rPr>
        <w:t>一届人民代表大会代表</w:t>
      </w:r>
      <w:r>
        <w:rPr>
          <w:rFonts w:ascii="宋体" w:hAnsi="宋体"/>
        </w:rPr>
        <w:t>32名</w:t>
      </w:r>
      <w:r>
        <w:rPr>
          <w:rFonts w:hint="eastAsia" w:ascii="宋体" w:hAnsi="宋体"/>
        </w:rPr>
        <w:t>：</w:t>
      </w:r>
      <w:r>
        <w:rPr>
          <w:rFonts w:ascii="宋体" w:hAnsi="宋体"/>
        </w:rPr>
        <w:t>王广珠、邓辉</w:t>
      </w:r>
      <w:r>
        <w:rPr>
          <w:rFonts w:hint="eastAsia" w:ascii="宋体" w:hAnsi="宋体"/>
        </w:rPr>
        <w:t>武、尹本良、尹庆霞（女）、叶贤荣、刘明英（女）、刘烈善、刘富平、李萍（女）、李天勤、吴文禄、吴丙香（女）、何为星、张桂通、张堂耀、张雄生、陈世锋、陈志红（女）、陈浩强、林楚欣、欧阳效元、罗顺林、周百龄、聂菁、郭慧敏（女）、黄志新、彭小梅（女）、游伦芳、游贯文、谢章齐、雷名连（女）、蓝启贵。</w:t>
      </w:r>
    </w:p>
    <w:p w14:paraId="7FB75051">
      <w:pPr>
        <w:pStyle w:val="4"/>
      </w:pPr>
      <w:r>
        <w:rPr>
          <w:rFonts w:hint="eastAsia"/>
        </w:rPr>
        <w:t>【十二届人大三次会议】</w:t>
      </w:r>
    </w:p>
    <w:p w14:paraId="169CBC5F">
      <w:pPr>
        <w:ind w:firstLine="420"/>
        <w:rPr>
          <w:rFonts w:ascii="宋体" w:hAnsi="宋体"/>
        </w:rPr>
      </w:pPr>
      <w:r>
        <w:rPr>
          <w:rFonts w:ascii="宋体" w:hAnsi="宋体"/>
        </w:rPr>
        <w:t>2005年2月26日</w:t>
      </w:r>
      <w:r>
        <w:rPr>
          <w:rFonts w:hint="eastAsia" w:ascii="宋体" w:hAnsi="宋体"/>
        </w:rPr>
        <w:t>~</w:t>
      </w:r>
      <w:r>
        <w:rPr>
          <w:rFonts w:ascii="宋体" w:hAnsi="宋体"/>
        </w:rPr>
        <w:t>3月1日，会议依法选举林楚欣为南雄市第</w:t>
      </w:r>
      <w:r>
        <w:rPr>
          <w:rFonts w:hint="eastAsia" w:ascii="宋体" w:hAnsi="宋体"/>
        </w:rPr>
        <w:t>十二届人大常委会主任，梁斌、吴运秀（女）为市十二届人大常委会委员，许建设为市长，李荣生为法院院长，栾怀持为检察院检察长。</w:t>
      </w:r>
    </w:p>
    <w:p w14:paraId="6004F4D8">
      <w:pPr>
        <w:pStyle w:val="4"/>
      </w:pPr>
      <w:r>
        <w:rPr>
          <w:rFonts w:hint="eastAsia"/>
        </w:rPr>
        <w:t>【十二届人大四次会议】</w:t>
      </w:r>
    </w:p>
    <w:p w14:paraId="1B706529">
      <w:pPr>
        <w:ind w:firstLine="420"/>
        <w:rPr>
          <w:rFonts w:ascii="宋体" w:hAnsi="宋体"/>
        </w:rPr>
      </w:pPr>
      <w:r>
        <w:rPr>
          <w:rFonts w:ascii="宋体" w:hAnsi="宋体"/>
        </w:rPr>
        <w:t>2006年2月21日</w:t>
      </w:r>
      <w:r>
        <w:rPr>
          <w:rFonts w:hint="eastAsia" w:ascii="宋体" w:hAnsi="宋体"/>
        </w:rPr>
        <w:t>~</w:t>
      </w:r>
      <w:r>
        <w:rPr>
          <w:rFonts w:ascii="宋体" w:hAnsi="宋体"/>
        </w:rPr>
        <w:t>2月24</w:t>
      </w:r>
      <w:r>
        <w:rPr>
          <w:rFonts w:hint="eastAsia" w:ascii="宋体" w:hAnsi="宋体"/>
        </w:rPr>
        <w:t>日</w:t>
      </w:r>
      <w:r>
        <w:rPr>
          <w:rFonts w:ascii="宋体" w:hAnsi="宋体"/>
        </w:rPr>
        <w:t>，会议依法选举郭盛霖、陈焱煌</w:t>
      </w:r>
      <w:r>
        <w:rPr>
          <w:rFonts w:hint="eastAsia" w:ascii="宋体" w:hAnsi="宋体"/>
        </w:rPr>
        <w:t>为南雄市第十二届人大常委会委员。</w:t>
      </w:r>
    </w:p>
    <w:p w14:paraId="49700F36">
      <w:pPr>
        <w:pStyle w:val="4"/>
      </w:pPr>
      <w:r>
        <w:rPr>
          <w:rFonts w:hint="eastAsia"/>
        </w:rPr>
        <w:t>【十三届人大一次会议】</w:t>
      </w:r>
    </w:p>
    <w:p w14:paraId="4BC54C58">
      <w:pPr>
        <w:ind w:firstLine="420"/>
        <w:rPr>
          <w:rFonts w:ascii="宋体" w:hAnsi="宋体"/>
        </w:rPr>
      </w:pPr>
      <w:r>
        <w:rPr>
          <w:rFonts w:ascii="宋体" w:hAnsi="宋体"/>
        </w:rPr>
        <w:t>2006年12月4日</w:t>
      </w:r>
      <w:r>
        <w:rPr>
          <w:rFonts w:hint="eastAsia" w:ascii="宋体" w:hAnsi="宋体"/>
        </w:rPr>
        <w:t>~</w:t>
      </w:r>
      <w:r>
        <w:rPr>
          <w:rFonts w:ascii="宋体" w:hAnsi="宋体"/>
        </w:rPr>
        <w:t>12月8日，会议依法选举林楚欣为市十三</w:t>
      </w:r>
      <w:r>
        <w:rPr>
          <w:rFonts w:hint="eastAsia" w:ascii="宋体" w:hAnsi="宋体"/>
        </w:rPr>
        <w:t>届人大常委会主任，肖芬先、李总路、涂运发、李冰、陈培兰、张宗财为副主任，梁斌、刘发龙、张芳文、郭盛霖、陈焱煌、杨会英（女）、凌生、马细妹（女）、陈伦寿、谭小山、刘章山、卢道明、蔡先锋为常务委员会委员；依法选举许建设为市长，王荣光、何人平、童铁丁、罗战勇、卜小燕（女）、何光明为副市长；依法选举肖裕忠为市人民法院院长；依法选举栾怀持为市人民检察院检察长（须报经韶关市人民检察院检察长提请韶关市人大常委会批准）；依法选举出出席韶关市第十二届人民代表大会代表</w:t>
      </w:r>
      <w:r>
        <w:rPr>
          <w:rFonts w:ascii="宋体" w:hAnsi="宋体"/>
        </w:rPr>
        <w:t>34名，其中，</w:t>
      </w:r>
      <w:r>
        <w:rPr>
          <w:rFonts w:hint="eastAsia" w:ascii="宋体" w:hAnsi="宋体"/>
        </w:rPr>
        <w:t>韶关市派选</w:t>
      </w:r>
      <w:r>
        <w:rPr>
          <w:rFonts w:ascii="宋体" w:hAnsi="宋体"/>
        </w:rPr>
        <w:t>5名</w:t>
      </w:r>
      <w:r>
        <w:rPr>
          <w:rFonts w:hint="eastAsia" w:ascii="宋体" w:hAnsi="宋体"/>
        </w:rPr>
        <w:t>：</w:t>
      </w:r>
      <w:r>
        <w:rPr>
          <w:rFonts w:ascii="宋体" w:hAnsi="宋体"/>
        </w:rPr>
        <w:t>华培强、赖龙福、张金发、</w:t>
      </w:r>
      <w:r>
        <w:rPr>
          <w:rFonts w:hint="eastAsia" w:ascii="宋体" w:hAnsi="宋体"/>
        </w:rPr>
        <w:t>陈光、陈俊林、林楚欣、许建设、肖芬先、刘宏伟、何人平、陈仁麟、李天勤、张桂通、温文英（女）、林琼（女）、张嘉婉（女）、尹本良、刘烈善、罗顺林、刘发军、尹庆霞（女）、陈献瑜、李光演、郭慧敏（女）、肖秀珠（女）、张启湖、徐平庆、卢德政、李传忠、邓辉武、雷名连（女）、杨模连、梁占武、欧阳克初。</w:t>
      </w:r>
    </w:p>
    <w:p w14:paraId="60A11DFD">
      <w:pPr>
        <w:pStyle w:val="4"/>
      </w:pPr>
      <w:r>
        <w:rPr>
          <w:rFonts w:hint="eastAsia"/>
        </w:rPr>
        <w:t>【十三届人大二次会议】</w:t>
      </w:r>
    </w:p>
    <w:p w14:paraId="2096335D">
      <w:pPr>
        <w:ind w:firstLine="420"/>
        <w:rPr>
          <w:rFonts w:ascii="宋体" w:hAnsi="宋体"/>
        </w:rPr>
      </w:pPr>
      <w:r>
        <w:rPr>
          <w:rFonts w:ascii="宋体" w:hAnsi="宋体"/>
        </w:rPr>
        <w:t>2007年4月22日</w:t>
      </w:r>
      <w:r>
        <w:rPr>
          <w:rFonts w:hint="eastAsia" w:ascii="宋体" w:hAnsi="宋体"/>
        </w:rPr>
        <w:t>~</w:t>
      </w:r>
      <w:r>
        <w:rPr>
          <w:rFonts w:ascii="宋体" w:hAnsi="宋体"/>
        </w:rPr>
        <w:t>4月24日，会议依法选举刘运平、黄履华、</w:t>
      </w:r>
      <w:r>
        <w:rPr>
          <w:rFonts w:hint="eastAsia" w:ascii="宋体" w:hAnsi="宋体"/>
        </w:rPr>
        <w:t>廖宣明为南雄市第十三届人大常委会委员，许志新为市长。</w:t>
      </w:r>
    </w:p>
    <w:p w14:paraId="232DB65E">
      <w:pPr>
        <w:pStyle w:val="4"/>
      </w:pPr>
      <w:r>
        <w:rPr>
          <w:rFonts w:hint="eastAsia"/>
        </w:rPr>
        <w:t>【十三届人大三次会议】</w:t>
      </w:r>
    </w:p>
    <w:p w14:paraId="2E5AE00B">
      <w:pPr>
        <w:ind w:firstLine="420"/>
        <w:rPr>
          <w:rFonts w:ascii="宋体" w:hAnsi="宋体"/>
        </w:rPr>
      </w:pPr>
      <w:r>
        <w:rPr>
          <w:rFonts w:ascii="宋体" w:hAnsi="宋体"/>
        </w:rPr>
        <w:t>2008年2月18日</w:t>
      </w:r>
      <w:r>
        <w:rPr>
          <w:rFonts w:hint="eastAsia" w:ascii="宋体" w:hAnsi="宋体"/>
        </w:rPr>
        <w:t>~</w:t>
      </w:r>
      <w:r>
        <w:rPr>
          <w:rFonts w:ascii="宋体" w:hAnsi="宋体"/>
        </w:rPr>
        <w:t>2月20日，会议依法选举蔡德华、陈泽明</w:t>
      </w:r>
      <w:r>
        <w:rPr>
          <w:rFonts w:hint="eastAsia" w:ascii="宋体" w:hAnsi="宋体"/>
        </w:rPr>
        <w:t>为南雄市第十三届人大常委会委员，邢丽、许志新为出席韶关市十二届人大代表。</w:t>
      </w:r>
    </w:p>
    <w:p w14:paraId="50673570">
      <w:pPr>
        <w:pStyle w:val="4"/>
      </w:pPr>
      <w:r>
        <w:rPr>
          <w:rFonts w:hint="eastAsia"/>
        </w:rPr>
        <w:t>【十三届人大四次会议】</w:t>
      </w:r>
    </w:p>
    <w:p w14:paraId="6AF1E5EF">
      <w:pPr>
        <w:ind w:firstLine="420"/>
        <w:rPr>
          <w:rFonts w:ascii="宋体" w:hAnsi="宋体"/>
        </w:rPr>
      </w:pPr>
      <w:r>
        <w:rPr>
          <w:rFonts w:ascii="宋体" w:hAnsi="宋体"/>
        </w:rPr>
        <w:t>2009年3月2日</w:t>
      </w:r>
      <w:r>
        <w:rPr>
          <w:rFonts w:hint="eastAsia" w:ascii="宋体" w:hAnsi="宋体"/>
        </w:rPr>
        <w:t>~</w:t>
      </w:r>
      <w:r>
        <w:rPr>
          <w:rFonts w:ascii="宋体" w:hAnsi="宋体"/>
        </w:rPr>
        <w:t>3月4日，本次会议代表提出议案13件，建</w:t>
      </w:r>
      <w:r>
        <w:rPr>
          <w:rFonts w:hint="eastAsia" w:ascii="宋体" w:hAnsi="宋体"/>
        </w:rPr>
        <w:t>议、批评和意见</w:t>
      </w:r>
      <w:r>
        <w:rPr>
          <w:rFonts w:ascii="宋体" w:hAnsi="宋体"/>
        </w:rPr>
        <w:t>23件。</w:t>
      </w:r>
    </w:p>
    <w:p w14:paraId="210E82FD">
      <w:pPr>
        <w:pStyle w:val="4"/>
      </w:pPr>
      <w:r>
        <w:rPr>
          <w:rFonts w:hint="eastAsia"/>
        </w:rPr>
        <w:t>【十三届人大五次会议】</w:t>
      </w:r>
    </w:p>
    <w:p w14:paraId="4CF8C55C">
      <w:pPr>
        <w:ind w:firstLine="420"/>
        <w:rPr>
          <w:rFonts w:ascii="宋体" w:hAnsi="宋体"/>
        </w:rPr>
      </w:pPr>
      <w:r>
        <w:rPr>
          <w:rFonts w:ascii="宋体" w:hAnsi="宋体"/>
        </w:rPr>
        <w:t>2010年1月19日</w:t>
      </w:r>
      <w:r>
        <w:rPr>
          <w:rFonts w:hint="eastAsia" w:ascii="宋体" w:hAnsi="宋体"/>
        </w:rPr>
        <w:t>~</w:t>
      </w:r>
      <w:r>
        <w:rPr>
          <w:rFonts w:ascii="宋体" w:hAnsi="宋体"/>
        </w:rPr>
        <w:t>1月21日，南雄市第十三届人民代表大会</w:t>
      </w:r>
      <w:r>
        <w:rPr>
          <w:rFonts w:hint="eastAsia" w:ascii="宋体" w:hAnsi="宋体"/>
        </w:rPr>
        <w:t>第五次会议在市区召开。本次会议应到代表</w:t>
      </w:r>
      <w:r>
        <w:rPr>
          <w:rFonts w:ascii="宋体" w:hAnsi="宋体"/>
        </w:rPr>
        <w:t>210人，实际到会208人。会议听取和审议市</w:t>
      </w:r>
      <w:r>
        <w:rPr>
          <w:rFonts w:hint="eastAsia" w:ascii="宋体" w:hAnsi="宋体"/>
        </w:rPr>
        <w:t>长许志新代表市政府所作的政府工作报告、书面审议南雄市</w:t>
      </w:r>
      <w:r>
        <w:rPr>
          <w:rFonts w:ascii="宋体" w:hAnsi="宋体"/>
        </w:rPr>
        <w:t>2009年国民经济和社会发展</w:t>
      </w:r>
      <w:r>
        <w:rPr>
          <w:rFonts w:hint="eastAsia" w:ascii="宋体" w:hAnsi="宋体"/>
        </w:rPr>
        <w:t>计划执行情况和</w:t>
      </w:r>
      <w:r>
        <w:rPr>
          <w:rFonts w:ascii="宋体" w:hAnsi="宋体"/>
        </w:rPr>
        <w:t>2010年计划（草案）报告、</w:t>
      </w:r>
      <w:r>
        <w:rPr>
          <w:rFonts w:hint="eastAsia" w:ascii="宋体" w:hAnsi="宋体"/>
        </w:rPr>
        <w:t>南雄市</w:t>
      </w:r>
      <w:r>
        <w:rPr>
          <w:rFonts w:ascii="宋体" w:hAnsi="宋体"/>
        </w:rPr>
        <w:t>2009年财政预算执行情况和2010年财</w:t>
      </w:r>
      <w:r>
        <w:rPr>
          <w:rFonts w:hint="eastAsia" w:ascii="宋体" w:hAnsi="宋体"/>
        </w:rPr>
        <w:t>政预算（草案）报告、听取和审议市人大常委会常务副主任肖芬先所作的市人大常委会工作报告、市人民法院院长肖裕忠所作的市人民法院工作报告、市人民检察院检察长栾怀持所作的市人民检察院工作报告。并通过各项工作报告决议。会议依法选举赖长林、柯油松为市十三届人大常委会委员；本次会议代表提出议案</w:t>
      </w:r>
      <w:r>
        <w:rPr>
          <w:rFonts w:ascii="宋体" w:hAnsi="宋体"/>
        </w:rPr>
        <w:t>11件，建议、批评和意见31件。</w:t>
      </w:r>
    </w:p>
    <w:p w14:paraId="4BC3D969">
      <w:pPr>
        <w:pStyle w:val="4"/>
      </w:pPr>
      <w:r>
        <w:rPr>
          <w:rFonts w:hint="eastAsia"/>
        </w:rPr>
        <w:t>【十三届人大常委会二十七次会议】</w:t>
      </w:r>
    </w:p>
    <w:p w14:paraId="3EA76BB4">
      <w:pPr>
        <w:ind w:firstLine="420"/>
        <w:rPr>
          <w:rFonts w:ascii="宋体" w:hAnsi="宋体"/>
        </w:rPr>
      </w:pPr>
      <w:r>
        <w:rPr>
          <w:rFonts w:ascii="宋体" w:hAnsi="宋体"/>
        </w:rPr>
        <w:t>2010</w:t>
      </w:r>
      <w:r>
        <w:rPr>
          <w:rFonts w:hint="eastAsia" w:ascii="宋体" w:hAnsi="宋体"/>
        </w:rPr>
        <w:t>年</w:t>
      </w:r>
      <w:r>
        <w:rPr>
          <w:rFonts w:ascii="宋体" w:hAnsi="宋体"/>
        </w:rPr>
        <w:t>4月2日，会议决定免去赖向阳南雄市公安</w:t>
      </w:r>
      <w:r>
        <w:rPr>
          <w:rFonts w:hint="eastAsia" w:ascii="宋体" w:hAnsi="宋体"/>
        </w:rPr>
        <w:t>局局长职务，任命邓志聪为市人民政府副市长，刘悦明为市公安局局长。</w:t>
      </w:r>
    </w:p>
    <w:p w14:paraId="3E05C5E9">
      <w:pPr>
        <w:pStyle w:val="4"/>
      </w:pPr>
      <w:r>
        <w:rPr>
          <w:rFonts w:hint="eastAsia"/>
        </w:rPr>
        <w:t>【十三届人大常委会二十八次会议】</w:t>
      </w:r>
    </w:p>
    <w:p w14:paraId="41899410">
      <w:pPr>
        <w:ind w:firstLine="420"/>
        <w:rPr>
          <w:rFonts w:ascii="宋体" w:hAnsi="宋体"/>
        </w:rPr>
      </w:pPr>
      <w:r>
        <w:rPr>
          <w:rFonts w:ascii="宋体" w:hAnsi="宋体"/>
        </w:rPr>
        <w:t>4月8</w:t>
      </w:r>
      <w:r>
        <w:rPr>
          <w:rFonts w:hint="eastAsia" w:ascii="宋体" w:hAnsi="宋体"/>
        </w:rPr>
        <w:t>日，会议审议通过南雄市人大常委会关于市国税局、市林业局评议整改工作落实情况的决定。</w:t>
      </w:r>
    </w:p>
    <w:p w14:paraId="19129630">
      <w:pPr>
        <w:pStyle w:val="4"/>
      </w:pPr>
      <w:r>
        <w:rPr>
          <w:rFonts w:hint="eastAsia"/>
        </w:rPr>
        <w:t>【十三届人大常委会三十次会议】</w:t>
      </w:r>
    </w:p>
    <w:p w14:paraId="448E81BB">
      <w:pPr>
        <w:ind w:firstLine="420"/>
        <w:rPr>
          <w:rFonts w:ascii="宋体" w:hAnsi="宋体"/>
        </w:rPr>
      </w:pPr>
      <w:r>
        <w:rPr>
          <w:rFonts w:ascii="宋体" w:hAnsi="宋体"/>
        </w:rPr>
        <w:t>6月18日</w:t>
      </w:r>
      <w:r>
        <w:rPr>
          <w:rFonts w:hint="eastAsia" w:ascii="宋体" w:hAnsi="宋体"/>
        </w:rPr>
        <w:t>举行，会议决定任命麦允谦为南雄市人民政府副市长，任命邓春红、邓春英、何青春、曾美银和钟履芬为市人民法院人民陪审员。</w:t>
      </w:r>
    </w:p>
    <w:p w14:paraId="37EC0F39">
      <w:pPr>
        <w:pStyle w:val="4"/>
      </w:pPr>
      <w:r>
        <w:rPr>
          <w:rFonts w:hint="eastAsia"/>
        </w:rPr>
        <w:t>【十三届人大常委会三十一次会议】</w:t>
      </w:r>
    </w:p>
    <w:p w14:paraId="782AA9F8">
      <w:pPr>
        <w:ind w:firstLine="420"/>
        <w:rPr>
          <w:rFonts w:ascii="宋体" w:hAnsi="宋体"/>
        </w:rPr>
      </w:pPr>
      <w:r>
        <w:rPr>
          <w:rFonts w:ascii="宋体" w:hAnsi="宋体"/>
        </w:rPr>
        <w:t>8月24</w:t>
      </w:r>
      <w:r>
        <w:rPr>
          <w:rFonts w:hint="eastAsia" w:ascii="宋体" w:hAnsi="宋体"/>
        </w:rPr>
        <w:t>日，会议决定接受林楚欣辞去南雄市十三届人大常委会主任职务，肖芬先为市十三届人大常委会代理主任。</w:t>
      </w:r>
    </w:p>
    <w:p w14:paraId="0E758C6E">
      <w:pPr>
        <w:pStyle w:val="4"/>
      </w:pPr>
      <w:r>
        <w:rPr>
          <w:rFonts w:hint="eastAsia"/>
        </w:rPr>
        <w:t>【十三届人大常委会三十二次会议】</w:t>
      </w:r>
    </w:p>
    <w:p w14:paraId="1CFAC7ED">
      <w:pPr>
        <w:ind w:firstLine="420"/>
        <w:rPr>
          <w:rFonts w:ascii="宋体" w:hAnsi="宋体"/>
        </w:rPr>
      </w:pPr>
      <w:r>
        <w:rPr>
          <w:rFonts w:ascii="宋体" w:hAnsi="宋体"/>
        </w:rPr>
        <w:t>10月20日，会议任命刘清生为南雄市人民政府副</w:t>
      </w:r>
      <w:r>
        <w:rPr>
          <w:rFonts w:hint="eastAsia" w:ascii="宋体" w:hAnsi="宋体"/>
        </w:rPr>
        <w:t>市长，决定接受许志新辞去市人民政府市长职务、刘清生为市人民政府代理市长。</w:t>
      </w:r>
    </w:p>
    <w:p w14:paraId="1EF58596">
      <w:pPr>
        <w:pStyle w:val="4"/>
      </w:pPr>
      <w:r>
        <w:rPr>
          <w:rFonts w:hint="eastAsia"/>
        </w:rPr>
        <w:t>【十三届人大常委会三十三次会议】</w:t>
      </w:r>
    </w:p>
    <w:p w14:paraId="2DE0F9E3">
      <w:pPr>
        <w:ind w:firstLine="420"/>
        <w:rPr>
          <w:rFonts w:ascii="宋体" w:hAnsi="宋体"/>
        </w:rPr>
      </w:pPr>
      <w:r>
        <w:rPr>
          <w:rFonts w:ascii="宋体" w:hAnsi="宋体"/>
        </w:rPr>
        <w:t>10月27日，会议听取和审议南雄市人民政府《关</w:t>
      </w:r>
      <w:r>
        <w:rPr>
          <w:rFonts w:hint="eastAsia" w:ascii="宋体" w:hAnsi="宋体"/>
        </w:rPr>
        <w:t>于办理市十三届人大五次会议代表议案、建议和批评意见办理情况的报告》、《关于承办</w:t>
      </w:r>
      <w:r>
        <w:rPr>
          <w:rFonts w:ascii="宋体" w:hAnsi="宋体"/>
        </w:rPr>
        <w:t>2010年</w:t>
      </w:r>
      <w:r>
        <w:rPr>
          <w:rFonts w:hint="eastAsia" w:ascii="宋体" w:hAnsi="宋体"/>
        </w:rPr>
        <w:t>“</w:t>
      </w:r>
      <w:r>
        <w:rPr>
          <w:rFonts w:ascii="宋体" w:hAnsi="宋体"/>
        </w:rPr>
        <w:t>八件实事</w:t>
      </w:r>
      <w:r>
        <w:rPr>
          <w:rFonts w:hint="eastAsia" w:ascii="宋体" w:hAnsi="宋体"/>
        </w:rPr>
        <w:t>”</w:t>
      </w:r>
      <w:r>
        <w:rPr>
          <w:rFonts w:ascii="宋体" w:hAnsi="宋体"/>
        </w:rPr>
        <w:t>工作进展情况的报告》</w:t>
      </w:r>
      <w:r>
        <w:rPr>
          <w:rFonts w:hint="eastAsia" w:ascii="宋体" w:hAnsi="宋体"/>
        </w:rPr>
        <w:t>和《关于南雄市</w:t>
      </w:r>
      <w:r>
        <w:rPr>
          <w:rFonts w:ascii="宋体" w:hAnsi="宋体"/>
        </w:rPr>
        <w:t>2010年</w:t>
      </w:r>
      <w:r>
        <w:rPr>
          <w:rFonts w:hint="eastAsia" w:ascii="宋体" w:hAnsi="宋体"/>
        </w:rPr>
        <w:t>“</w:t>
      </w:r>
      <w:r>
        <w:rPr>
          <w:rFonts w:ascii="宋体" w:hAnsi="宋体"/>
        </w:rPr>
        <w:t>八大重点项目（工</w:t>
      </w:r>
      <w:r>
        <w:rPr>
          <w:rFonts w:hint="eastAsia" w:ascii="宋体" w:hAnsi="宋体"/>
        </w:rPr>
        <w:t>作）”进展情况的报告》；免去吴传麟、潘记通的市人民检察院检察员职务。</w:t>
      </w:r>
    </w:p>
    <w:p w14:paraId="04714944">
      <w:pPr>
        <w:ind w:firstLine="420"/>
        <w:rPr>
          <w:rFonts w:ascii="宋体" w:hAnsi="宋体"/>
        </w:rPr>
      </w:pPr>
      <w:r>
        <w:rPr>
          <w:rFonts w:ascii="宋体" w:hAnsi="宋体"/>
        </w:rPr>
        <w:t>11月18日，南雄市举行纪念市人大常委</w:t>
      </w:r>
      <w:r>
        <w:rPr>
          <w:rFonts w:hint="eastAsia" w:ascii="宋体" w:hAnsi="宋体"/>
        </w:rPr>
        <w:t>会设立</w:t>
      </w:r>
      <w:r>
        <w:rPr>
          <w:rFonts w:ascii="宋体" w:hAnsi="宋体"/>
        </w:rPr>
        <w:t>30周年大会，回顾总结市人大常委会30年来取得的辉煌成就和宝贵经验，坚持继</w:t>
      </w:r>
      <w:r>
        <w:rPr>
          <w:rFonts w:hint="eastAsia" w:ascii="宋体" w:hAnsi="宋体"/>
        </w:rPr>
        <w:t>续做好南雄市人大工作。市委书记许志新、市人大常委会代理主任肖芬先作重要讲话。</w:t>
      </w:r>
    </w:p>
    <w:p w14:paraId="02DADEE7">
      <w:pPr>
        <w:pStyle w:val="4"/>
      </w:pPr>
      <w:r>
        <w:rPr>
          <w:rFonts w:hint="eastAsia"/>
        </w:rPr>
        <w:t>【十三届人大常委会三十四次会议】</w:t>
      </w:r>
    </w:p>
    <w:p w14:paraId="769C5FB3">
      <w:pPr>
        <w:ind w:firstLine="420"/>
        <w:rPr>
          <w:rFonts w:ascii="宋体" w:hAnsi="宋体"/>
        </w:rPr>
      </w:pPr>
      <w:r>
        <w:rPr>
          <w:rFonts w:ascii="宋体" w:hAnsi="宋体"/>
        </w:rPr>
        <w:t>11月24日举行，会议决定任命董圣国为市人力资</w:t>
      </w:r>
      <w:r>
        <w:rPr>
          <w:rFonts w:hint="eastAsia" w:ascii="宋体" w:hAnsi="宋体"/>
        </w:rPr>
        <w:t>源和社会保障局局长、廖声华为市经济和信息化局局长、李皋辉为市科学技术局（市知识产权局）局长、李传忠为市住房和城乡规划建设局局长、陈如亮为市交通运输局局长、何启林为市水务局局长、朱运通为市食品药品监督管理局局长。</w:t>
      </w:r>
    </w:p>
    <w:p w14:paraId="7887F78E">
      <w:pPr>
        <w:pStyle w:val="4"/>
      </w:pPr>
      <w:r>
        <w:rPr>
          <w:rFonts w:hint="eastAsia"/>
        </w:rPr>
        <w:t>【十三届人大常委会三十五次会议】</w:t>
      </w:r>
    </w:p>
    <w:p w14:paraId="6ADB061E">
      <w:pPr>
        <w:ind w:firstLine="420"/>
        <w:rPr>
          <w:rFonts w:ascii="宋体" w:hAnsi="宋体"/>
        </w:rPr>
      </w:pPr>
      <w:r>
        <w:rPr>
          <w:rFonts w:ascii="宋体" w:hAnsi="宋体"/>
        </w:rPr>
        <w:t>12月14日举行，会议对南雄市交通运输局、市教</w:t>
      </w:r>
      <w:r>
        <w:rPr>
          <w:rFonts w:hint="eastAsia" w:ascii="宋体" w:hAnsi="宋体"/>
        </w:rPr>
        <w:t>育局、市旅游局、市环保局进行工作评议；听取和审议市政府《关于对</w:t>
      </w:r>
      <w:r>
        <w:rPr>
          <w:rFonts w:ascii="宋体" w:hAnsi="宋体"/>
        </w:rPr>
        <w:t>2010年市人大常</w:t>
      </w:r>
      <w:r>
        <w:rPr>
          <w:rFonts w:hint="eastAsia" w:ascii="宋体" w:hAnsi="宋体"/>
        </w:rPr>
        <w:t>委会会议提出的建议、批评和意见办理落实情况报告》；审议市人大常委会主任会议提出《关于召开南雄市第十三届人民代表大会第六次会议的有关事项》，决定市十三届人大六次会议于</w:t>
      </w:r>
      <w:r>
        <w:rPr>
          <w:rFonts w:ascii="宋体" w:hAnsi="宋体"/>
        </w:rPr>
        <w:t>2011年1月16日至19日在市区南雄</w:t>
      </w:r>
      <w:r>
        <w:rPr>
          <w:rFonts w:hint="eastAsia" w:ascii="宋体" w:hAnsi="宋体"/>
        </w:rPr>
        <w:t>大会堂召开；审议并补选市十三届人大代表的事项。</w:t>
      </w:r>
    </w:p>
    <w:p w14:paraId="03193269">
      <w:pPr>
        <w:pStyle w:val="3"/>
      </w:pPr>
      <w:r>
        <w:rPr>
          <w:rFonts w:hint="eastAsia"/>
        </w:rPr>
        <w:t>南雄人大常委会领导职务变动</w:t>
      </w:r>
    </w:p>
    <w:p w14:paraId="4A24D20C">
      <w:pPr>
        <w:pStyle w:val="4"/>
      </w:pPr>
      <w:r>
        <w:rPr>
          <w:rFonts w:hint="eastAsia"/>
        </w:rPr>
        <w:t>【市第十三届人大常委会主任、副主任、委员名单】</w:t>
      </w:r>
    </w:p>
    <w:p w14:paraId="48A45AC2">
      <w:pPr>
        <w:ind w:firstLine="420"/>
        <w:rPr>
          <w:rFonts w:ascii="宋体" w:hAnsi="宋体"/>
        </w:rPr>
      </w:pPr>
      <w:r>
        <w:rPr>
          <w:rFonts w:hint="eastAsia" w:ascii="宋体" w:hAnsi="宋体"/>
        </w:rPr>
        <w:t>主  任：林楚欣（</w:t>
      </w:r>
      <w:r>
        <w:rPr>
          <w:rFonts w:ascii="宋体" w:hAnsi="宋体"/>
        </w:rPr>
        <w:t>2006.12.4</w:t>
      </w:r>
      <w:r>
        <w:rPr>
          <w:rFonts w:hint="eastAsia" w:ascii="宋体" w:hAnsi="宋体"/>
        </w:rPr>
        <w:t>—</w:t>
      </w:r>
      <w:r>
        <w:rPr>
          <w:rFonts w:ascii="宋体" w:hAnsi="宋体"/>
        </w:rPr>
        <w:t>2010.8.24</w:t>
      </w:r>
      <w:r>
        <w:rPr>
          <w:rFonts w:hint="eastAsia" w:ascii="宋体" w:hAnsi="宋体"/>
        </w:rPr>
        <w:t>）</w:t>
      </w:r>
    </w:p>
    <w:p w14:paraId="5FCE4032">
      <w:pPr>
        <w:ind w:firstLine="1260" w:firstLineChars="600"/>
        <w:rPr>
          <w:rFonts w:ascii="宋体" w:hAnsi="宋体"/>
        </w:rPr>
      </w:pPr>
      <w:r>
        <w:rPr>
          <w:rFonts w:hint="eastAsia" w:ascii="宋体" w:hAnsi="宋体"/>
        </w:rPr>
        <w:t>许志新（</w:t>
      </w:r>
      <w:r>
        <w:rPr>
          <w:rFonts w:ascii="宋体" w:hAnsi="宋体"/>
        </w:rPr>
        <w:t>2011.1.18</w:t>
      </w:r>
      <w:r>
        <w:rPr>
          <w:rFonts w:hint="eastAsia" w:ascii="宋体" w:hAnsi="宋体"/>
        </w:rPr>
        <w:t>—</w:t>
      </w:r>
      <w:r>
        <w:rPr>
          <w:rFonts w:ascii="宋体" w:hAnsi="宋体"/>
        </w:rPr>
        <w:t>在任）</w:t>
      </w:r>
    </w:p>
    <w:p w14:paraId="5910F974">
      <w:pPr>
        <w:ind w:firstLine="420"/>
        <w:rPr>
          <w:rFonts w:ascii="宋体" w:hAnsi="宋体"/>
        </w:rPr>
      </w:pPr>
      <w:r>
        <w:rPr>
          <w:rFonts w:hint="eastAsia" w:ascii="宋体" w:hAnsi="宋体"/>
        </w:rPr>
        <w:t>副主任：肖芬先（</w:t>
      </w:r>
      <w:r>
        <w:rPr>
          <w:rFonts w:ascii="宋体" w:hAnsi="宋体"/>
        </w:rPr>
        <w:t>2006.12.4</w:t>
      </w:r>
      <w:r>
        <w:rPr>
          <w:rFonts w:hint="eastAsia" w:ascii="宋体" w:hAnsi="宋体"/>
        </w:rPr>
        <w:t>—</w:t>
      </w:r>
      <w:r>
        <w:rPr>
          <w:rFonts w:ascii="宋体" w:hAnsi="宋体"/>
        </w:rPr>
        <w:t>在任）</w:t>
      </w:r>
    </w:p>
    <w:p w14:paraId="07C49616">
      <w:pPr>
        <w:ind w:firstLine="1260" w:firstLineChars="600"/>
        <w:rPr>
          <w:rFonts w:ascii="宋体" w:hAnsi="宋体"/>
        </w:rPr>
      </w:pPr>
      <w:r>
        <w:rPr>
          <w:rFonts w:hint="eastAsia" w:ascii="宋体" w:hAnsi="宋体"/>
        </w:rPr>
        <w:t>李总路（</w:t>
      </w:r>
      <w:r>
        <w:rPr>
          <w:rFonts w:ascii="宋体" w:hAnsi="宋体"/>
        </w:rPr>
        <w:t>2006.12.4</w:t>
      </w:r>
      <w:r>
        <w:rPr>
          <w:rFonts w:hint="eastAsia" w:ascii="宋体" w:hAnsi="宋体"/>
        </w:rPr>
        <w:t>—</w:t>
      </w:r>
      <w:r>
        <w:rPr>
          <w:rFonts w:ascii="宋体" w:hAnsi="宋体"/>
        </w:rPr>
        <w:t>在任）</w:t>
      </w:r>
    </w:p>
    <w:p w14:paraId="1CA977BF">
      <w:pPr>
        <w:ind w:firstLine="1260" w:firstLineChars="600"/>
        <w:rPr>
          <w:rFonts w:ascii="宋体" w:hAnsi="宋体"/>
        </w:rPr>
      </w:pPr>
      <w:r>
        <w:rPr>
          <w:rFonts w:hint="eastAsia" w:ascii="宋体" w:hAnsi="宋体"/>
        </w:rPr>
        <w:t>涂运发（</w:t>
      </w:r>
      <w:r>
        <w:rPr>
          <w:rFonts w:ascii="宋体" w:hAnsi="宋体"/>
        </w:rPr>
        <w:t>2006.12.4</w:t>
      </w:r>
      <w:r>
        <w:rPr>
          <w:rFonts w:hint="eastAsia" w:ascii="宋体" w:hAnsi="宋体"/>
        </w:rPr>
        <w:t>—</w:t>
      </w:r>
      <w:r>
        <w:rPr>
          <w:rFonts w:ascii="宋体" w:hAnsi="宋体"/>
        </w:rPr>
        <w:t>在任）</w:t>
      </w:r>
    </w:p>
    <w:p w14:paraId="66241ACF">
      <w:pPr>
        <w:ind w:firstLine="1260" w:firstLineChars="600"/>
        <w:rPr>
          <w:rFonts w:ascii="宋体" w:hAnsi="宋体"/>
        </w:rPr>
      </w:pPr>
      <w:r>
        <w:rPr>
          <w:rFonts w:hint="eastAsia" w:ascii="宋体" w:hAnsi="宋体"/>
        </w:rPr>
        <w:t>李冰（</w:t>
      </w:r>
      <w:r>
        <w:rPr>
          <w:rFonts w:ascii="宋体" w:hAnsi="宋体"/>
        </w:rPr>
        <w:t>2006.12.4</w:t>
      </w:r>
      <w:r>
        <w:rPr>
          <w:rFonts w:hint="eastAsia" w:ascii="宋体" w:hAnsi="宋体"/>
        </w:rPr>
        <w:t>—</w:t>
      </w:r>
      <w:r>
        <w:rPr>
          <w:rFonts w:ascii="宋体" w:hAnsi="宋体"/>
        </w:rPr>
        <w:t>在任）</w:t>
      </w:r>
    </w:p>
    <w:p w14:paraId="26FEAEA8">
      <w:pPr>
        <w:ind w:firstLine="1260" w:firstLineChars="600"/>
        <w:rPr>
          <w:rFonts w:ascii="宋体" w:hAnsi="宋体"/>
        </w:rPr>
      </w:pPr>
      <w:r>
        <w:rPr>
          <w:rFonts w:hint="eastAsia" w:ascii="宋体" w:hAnsi="宋体"/>
        </w:rPr>
        <w:t>陈培兰（</w:t>
      </w:r>
      <w:r>
        <w:rPr>
          <w:rFonts w:ascii="宋体" w:hAnsi="宋体"/>
        </w:rPr>
        <w:t>2006.12.4</w:t>
      </w:r>
      <w:r>
        <w:rPr>
          <w:rFonts w:hint="eastAsia" w:ascii="宋体" w:hAnsi="宋体"/>
        </w:rPr>
        <w:t>—</w:t>
      </w:r>
      <w:r>
        <w:rPr>
          <w:rFonts w:ascii="宋体" w:hAnsi="宋体"/>
        </w:rPr>
        <w:t>在任）</w:t>
      </w:r>
    </w:p>
    <w:p w14:paraId="01356FE3">
      <w:pPr>
        <w:ind w:firstLine="1260" w:firstLineChars="600"/>
        <w:rPr>
          <w:rFonts w:ascii="宋体" w:hAnsi="宋体"/>
        </w:rPr>
      </w:pPr>
      <w:r>
        <w:rPr>
          <w:rFonts w:hint="eastAsia" w:ascii="宋体" w:hAnsi="宋体"/>
        </w:rPr>
        <w:t>张宗财（</w:t>
      </w:r>
      <w:r>
        <w:rPr>
          <w:rFonts w:ascii="宋体" w:hAnsi="宋体"/>
        </w:rPr>
        <w:t>2006.12.4</w:t>
      </w:r>
      <w:r>
        <w:rPr>
          <w:rFonts w:hint="eastAsia" w:ascii="宋体" w:hAnsi="宋体"/>
        </w:rPr>
        <w:t>—</w:t>
      </w:r>
      <w:r>
        <w:rPr>
          <w:rFonts w:ascii="宋体" w:hAnsi="宋体"/>
        </w:rPr>
        <w:t>在任）</w:t>
      </w:r>
    </w:p>
    <w:p w14:paraId="2B906057">
      <w:pPr>
        <w:ind w:firstLine="420"/>
        <w:rPr>
          <w:rFonts w:ascii="宋体" w:hAnsi="宋体"/>
        </w:rPr>
      </w:pPr>
      <w:r>
        <w:rPr>
          <w:rFonts w:hint="eastAsia" w:ascii="宋体" w:hAnsi="宋体"/>
        </w:rPr>
        <w:t>委  员：梁  斌（</w:t>
      </w:r>
      <w:r>
        <w:rPr>
          <w:rFonts w:ascii="宋体" w:hAnsi="宋体"/>
        </w:rPr>
        <w:t>2006.12.4</w:t>
      </w:r>
      <w:r>
        <w:rPr>
          <w:rFonts w:hint="eastAsia" w:ascii="宋体" w:hAnsi="宋体"/>
        </w:rPr>
        <w:t>—</w:t>
      </w:r>
      <w:r>
        <w:rPr>
          <w:rFonts w:ascii="宋体" w:hAnsi="宋体"/>
        </w:rPr>
        <w:t>在任）</w:t>
      </w:r>
    </w:p>
    <w:p w14:paraId="4AB80286">
      <w:pPr>
        <w:ind w:firstLine="1260" w:firstLineChars="600"/>
        <w:rPr>
          <w:rFonts w:ascii="宋体" w:hAnsi="宋体"/>
        </w:rPr>
      </w:pPr>
      <w:r>
        <w:rPr>
          <w:rFonts w:hint="eastAsia" w:ascii="宋体" w:hAnsi="宋体"/>
        </w:rPr>
        <w:t>刘发龙（</w:t>
      </w:r>
      <w:r>
        <w:rPr>
          <w:rFonts w:ascii="宋体" w:hAnsi="宋体"/>
        </w:rPr>
        <w:t>2006.12.42009.3.4</w:t>
      </w:r>
      <w:r>
        <w:rPr>
          <w:rFonts w:hint="eastAsia" w:ascii="宋体" w:hAnsi="宋体"/>
        </w:rPr>
        <w:t>）</w:t>
      </w:r>
    </w:p>
    <w:p w14:paraId="3CA45EA1">
      <w:pPr>
        <w:ind w:firstLine="1260" w:firstLineChars="600"/>
        <w:rPr>
          <w:rFonts w:ascii="宋体" w:hAnsi="宋体"/>
        </w:rPr>
      </w:pPr>
      <w:r>
        <w:rPr>
          <w:rFonts w:hint="eastAsia" w:ascii="宋体" w:hAnsi="宋体"/>
        </w:rPr>
        <w:t>张芳文（</w:t>
      </w:r>
      <w:r>
        <w:rPr>
          <w:rFonts w:ascii="宋体" w:hAnsi="宋体"/>
        </w:rPr>
        <w:t>2006.12.4</w:t>
      </w:r>
      <w:r>
        <w:rPr>
          <w:rFonts w:hint="eastAsia" w:ascii="宋体" w:hAnsi="宋体"/>
        </w:rPr>
        <w:t>—</w:t>
      </w:r>
      <w:r>
        <w:rPr>
          <w:rFonts w:ascii="宋体" w:hAnsi="宋体"/>
        </w:rPr>
        <w:t>在任）</w:t>
      </w:r>
    </w:p>
    <w:p w14:paraId="57F8216E">
      <w:pPr>
        <w:ind w:firstLine="1260" w:firstLineChars="600"/>
        <w:rPr>
          <w:rFonts w:ascii="宋体" w:hAnsi="宋体"/>
        </w:rPr>
      </w:pPr>
      <w:r>
        <w:rPr>
          <w:rFonts w:hint="eastAsia" w:ascii="宋体" w:hAnsi="宋体"/>
        </w:rPr>
        <w:t>郭盛霖（</w:t>
      </w:r>
      <w:r>
        <w:rPr>
          <w:rFonts w:ascii="宋体" w:hAnsi="宋体"/>
        </w:rPr>
        <w:t>2006.12.4</w:t>
      </w:r>
      <w:r>
        <w:rPr>
          <w:rFonts w:hint="eastAsia" w:ascii="宋体" w:hAnsi="宋体"/>
        </w:rPr>
        <w:t>—</w:t>
      </w:r>
      <w:r>
        <w:rPr>
          <w:rFonts w:ascii="宋体" w:hAnsi="宋体"/>
        </w:rPr>
        <w:t>在任）</w:t>
      </w:r>
    </w:p>
    <w:p w14:paraId="4DD4221A">
      <w:pPr>
        <w:ind w:firstLine="1260" w:firstLineChars="600"/>
        <w:rPr>
          <w:rFonts w:ascii="宋体" w:hAnsi="宋体"/>
        </w:rPr>
      </w:pPr>
      <w:r>
        <w:rPr>
          <w:rFonts w:hint="eastAsia" w:ascii="宋体" w:hAnsi="宋体"/>
        </w:rPr>
        <w:t>陈焱煌（</w:t>
      </w:r>
      <w:r>
        <w:rPr>
          <w:rFonts w:ascii="宋体" w:hAnsi="宋体"/>
        </w:rPr>
        <w:t>2006.12.4</w:t>
      </w:r>
      <w:r>
        <w:rPr>
          <w:rFonts w:hint="eastAsia" w:ascii="宋体" w:hAnsi="宋体"/>
        </w:rPr>
        <w:t>—</w:t>
      </w:r>
      <w:r>
        <w:rPr>
          <w:rFonts w:ascii="宋体" w:hAnsi="宋体"/>
        </w:rPr>
        <w:t>在任）</w:t>
      </w:r>
    </w:p>
    <w:p w14:paraId="1D01D0FB">
      <w:pPr>
        <w:ind w:firstLine="1260" w:firstLineChars="600"/>
        <w:rPr>
          <w:rFonts w:ascii="宋体" w:hAnsi="宋体"/>
        </w:rPr>
      </w:pPr>
      <w:r>
        <w:rPr>
          <w:rFonts w:hint="eastAsia" w:ascii="宋体" w:hAnsi="宋体"/>
        </w:rPr>
        <w:t>杨会英（</w:t>
      </w:r>
      <w:r>
        <w:rPr>
          <w:rFonts w:ascii="宋体" w:hAnsi="宋体"/>
        </w:rPr>
        <w:t>2006.12.4</w:t>
      </w:r>
      <w:r>
        <w:rPr>
          <w:rFonts w:hint="eastAsia" w:ascii="宋体" w:hAnsi="宋体"/>
        </w:rPr>
        <w:t>—</w:t>
      </w:r>
      <w:r>
        <w:rPr>
          <w:rFonts w:ascii="宋体" w:hAnsi="宋体"/>
        </w:rPr>
        <w:t>在任）</w:t>
      </w:r>
    </w:p>
    <w:p w14:paraId="4CDCE0C5">
      <w:pPr>
        <w:ind w:firstLine="1260" w:firstLineChars="600"/>
        <w:rPr>
          <w:rFonts w:ascii="宋体" w:hAnsi="宋体"/>
        </w:rPr>
      </w:pPr>
      <w:r>
        <w:rPr>
          <w:rFonts w:hint="eastAsia" w:ascii="宋体" w:hAnsi="宋体"/>
        </w:rPr>
        <w:t>凌  生（</w:t>
      </w:r>
      <w:r>
        <w:rPr>
          <w:rFonts w:ascii="宋体" w:hAnsi="宋体"/>
        </w:rPr>
        <w:t>2006.12.4</w:t>
      </w:r>
      <w:r>
        <w:rPr>
          <w:rFonts w:hint="eastAsia" w:ascii="宋体" w:hAnsi="宋体"/>
        </w:rPr>
        <w:t>—</w:t>
      </w:r>
      <w:r>
        <w:rPr>
          <w:rFonts w:ascii="宋体" w:hAnsi="宋体"/>
        </w:rPr>
        <w:t>在任）</w:t>
      </w:r>
    </w:p>
    <w:p w14:paraId="00731EDF">
      <w:pPr>
        <w:ind w:firstLine="1260" w:firstLineChars="600"/>
        <w:rPr>
          <w:rFonts w:ascii="宋体" w:hAnsi="宋体"/>
        </w:rPr>
      </w:pPr>
      <w:r>
        <w:rPr>
          <w:rFonts w:hint="eastAsia" w:ascii="宋体" w:hAnsi="宋体"/>
        </w:rPr>
        <w:t>马细妹（</w:t>
      </w:r>
      <w:r>
        <w:rPr>
          <w:rFonts w:ascii="宋体" w:hAnsi="宋体"/>
        </w:rPr>
        <w:t>2006.12.4-2009.3.4</w:t>
      </w:r>
      <w:r>
        <w:rPr>
          <w:rFonts w:hint="eastAsia" w:ascii="宋体" w:hAnsi="宋体"/>
        </w:rPr>
        <w:t>）</w:t>
      </w:r>
    </w:p>
    <w:p w14:paraId="2CDECF6F">
      <w:pPr>
        <w:ind w:firstLine="1260" w:firstLineChars="600"/>
        <w:rPr>
          <w:rFonts w:ascii="宋体" w:hAnsi="宋体"/>
        </w:rPr>
      </w:pPr>
      <w:r>
        <w:rPr>
          <w:rFonts w:hint="eastAsia" w:ascii="宋体" w:hAnsi="宋体"/>
        </w:rPr>
        <w:t>陈伦寿（</w:t>
      </w:r>
      <w:r>
        <w:rPr>
          <w:rFonts w:ascii="宋体" w:hAnsi="宋体"/>
        </w:rPr>
        <w:t>2006.12.4</w:t>
      </w:r>
      <w:r>
        <w:rPr>
          <w:rFonts w:hint="eastAsia" w:ascii="宋体" w:hAnsi="宋体"/>
        </w:rPr>
        <w:t>—</w:t>
      </w:r>
      <w:r>
        <w:rPr>
          <w:rFonts w:ascii="宋体" w:hAnsi="宋体"/>
        </w:rPr>
        <w:t>在任）</w:t>
      </w:r>
    </w:p>
    <w:p w14:paraId="1524F95E">
      <w:pPr>
        <w:ind w:firstLine="1260" w:firstLineChars="600"/>
        <w:rPr>
          <w:rFonts w:ascii="宋体" w:hAnsi="宋体"/>
        </w:rPr>
      </w:pPr>
      <w:r>
        <w:rPr>
          <w:rFonts w:hint="eastAsia" w:ascii="宋体" w:hAnsi="宋体"/>
        </w:rPr>
        <w:t>谭小山（</w:t>
      </w:r>
      <w:r>
        <w:rPr>
          <w:rFonts w:ascii="宋体" w:hAnsi="宋体"/>
        </w:rPr>
        <w:t>2006.12.4</w:t>
      </w:r>
      <w:r>
        <w:rPr>
          <w:rFonts w:hint="eastAsia" w:ascii="宋体" w:hAnsi="宋体"/>
        </w:rPr>
        <w:t>—</w:t>
      </w:r>
      <w:r>
        <w:rPr>
          <w:rFonts w:ascii="宋体" w:hAnsi="宋体"/>
        </w:rPr>
        <w:t>在任）</w:t>
      </w:r>
    </w:p>
    <w:p w14:paraId="68DAFDE2">
      <w:pPr>
        <w:ind w:firstLine="1260" w:firstLineChars="600"/>
        <w:rPr>
          <w:rFonts w:ascii="宋体" w:hAnsi="宋体"/>
        </w:rPr>
      </w:pPr>
      <w:r>
        <w:rPr>
          <w:rFonts w:hint="eastAsia" w:ascii="宋体" w:hAnsi="宋体"/>
        </w:rPr>
        <w:t>刘章山（</w:t>
      </w:r>
      <w:r>
        <w:rPr>
          <w:rFonts w:ascii="宋体" w:hAnsi="宋体"/>
        </w:rPr>
        <w:t>2006.12.4</w:t>
      </w:r>
      <w:r>
        <w:rPr>
          <w:rFonts w:hint="eastAsia" w:ascii="宋体" w:hAnsi="宋体"/>
        </w:rPr>
        <w:t>—</w:t>
      </w:r>
      <w:r>
        <w:rPr>
          <w:rFonts w:ascii="宋体" w:hAnsi="宋体"/>
        </w:rPr>
        <w:t>在任）</w:t>
      </w:r>
    </w:p>
    <w:p w14:paraId="1319EB1C">
      <w:pPr>
        <w:ind w:firstLine="1260" w:firstLineChars="600"/>
        <w:rPr>
          <w:rFonts w:ascii="宋体" w:hAnsi="宋体"/>
        </w:rPr>
      </w:pPr>
      <w:r>
        <w:rPr>
          <w:rFonts w:hint="eastAsia" w:ascii="宋体" w:hAnsi="宋体"/>
        </w:rPr>
        <w:t>卢道明（</w:t>
      </w:r>
      <w:r>
        <w:rPr>
          <w:rFonts w:ascii="宋体" w:hAnsi="宋体"/>
        </w:rPr>
        <w:t>2006.12.4</w:t>
      </w:r>
      <w:r>
        <w:rPr>
          <w:rFonts w:hint="eastAsia" w:ascii="宋体" w:hAnsi="宋体"/>
        </w:rPr>
        <w:t>—</w:t>
      </w:r>
      <w:r>
        <w:rPr>
          <w:rFonts w:ascii="宋体" w:hAnsi="宋体"/>
        </w:rPr>
        <w:t>2009.3.4</w:t>
      </w:r>
      <w:r>
        <w:rPr>
          <w:rFonts w:hint="eastAsia" w:ascii="宋体" w:hAnsi="宋体"/>
        </w:rPr>
        <w:t>）</w:t>
      </w:r>
    </w:p>
    <w:p w14:paraId="2B89321F">
      <w:pPr>
        <w:ind w:firstLine="1260" w:firstLineChars="600"/>
        <w:rPr>
          <w:rFonts w:ascii="宋体" w:hAnsi="宋体"/>
        </w:rPr>
      </w:pPr>
      <w:r>
        <w:rPr>
          <w:rFonts w:hint="eastAsia" w:ascii="宋体" w:hAnsi="宋体"/>
        </w:rPr>
        <w:t>蔡先锋（</w:t>
      </w:r>
      <w:r>
        <w:rPr>
          <w:rFonts w:ascii="宋体" w:hAnsi="宋体"/>
        </w:rPr>
        <w:t>2006.12.4</w:t>
      </w:r>
      <w:r>
        <w:rPr>
          <w:rFonts w:hint="eastAsia" w:ascii="宋体" w:hAnsi="宋体"/>
        </w:rPr>
        <w:t>—</w:t>
      </w:r>
      <w:r>
        <w:rPr>
          <w:rFonts w:ascii="宋体" w:hAnsi="宋体"/>
        </w:rPr>
        <w:t>2009.3.4</w:t>
      </w:r>
      <w:r>
        <w:rPr>
          <w:rFonts w:hint="eastAsia" w:ascii="宋体" w:hAnsi="宋体"/>
        </w:rPr>
        <w:t>）</w:t>
      </w:r>
    </w:p>
    <w:p w14:paraId="5F8EE720">
      <w:pPr>
        <w:ind w:firstLine="1260" w:firstLineChars="600"/>
        <w:rPr>
          <w:rFonts w:ascii="宋体" w:hAnsi="宋体"/>
        </w:rPr>
      </w:pPr>
      <w:r>
        <w:rPr>
          <w:rFonts w:hint="eastAsia" w:ascii="宋体" w:hAnsi="宋体"/>
        </w:rPr>
        <w:t>刘运平（</w:t>
      </w:r>
      <w:r>
        <w:rPr>
          <w:rFonts w:ascii="宋体" w:hAnsi="宋体"/>
        </w:rPr>
        <w:t>2007.4.24</w:t>
      </w:r>
      <w:r>
        <w:rPr>
          <w:rFonts w:hint="eastAsia" w:ascii="宋体" w:hAnsi="宋体"/>
        </w:rPr>
        <w:t>—</w:t>
      </w:r>
      <w:r>
        <w:rPr>
          <w:rFonts w:ascii="宋体" w:hAnsi="宋体"/>
        </w:rPr>
        <w:t>在任）</w:t>
      </w:r>
    </w:p>
    <w:p w14:paraId="545D7476">
      <w:pPr>
        <w:ind w:firstLine="1260" w:firstLineChars="600"/>
        <w:rPr>
          <w:rFonts w:ascii="宋体" w:hAnsi="宋体"/>
        </w:rPr>
      </w:pPr>
      <w:r>
        <w:rPr>
          <w:rFonts w:hint="eastAsia" w:ascii="宋体" w:hAnsi="宋体"/>
        </w:rPr>
        <w:t>黄履华（</w:t>
      </w:r>
      <w:r>
        <w:rPr>
          <w:rFonts w:ascii="宋体" w:hAnsi="宋体"/>
        </w:rPr>
        <w:t>2007.4.24</w:t>
      </w:r>
      <w:r>
        <w:rPr>
          <w:rFonts w:hint="eastAsia" w:ascii="宋体" w:hAnsi="宋体"/>
        </w:rPr>
        <w:t>—</w:t>
      </w:r>
      <w:r>
        <w:rPr>
          <w:rFonts w:ascii="宋体" w:hAnsi="宋体"/>
        </w:rPr>
        <w:t>在任）</w:t>
      </w:r>
    </w:p>
    <w:p w14:paraId="2C2B5EDB">
      <w:pPr>
        <w:ind w:firstLine="1260" w:firstLineChars="600"/>
        <w:rPr>
          <w:rFonts w:ascii="宋体" w:hAnsi="宋体"/>
        </w:rPr>
      </w:pPr>
      <w:r>
        <w:rPr>
          <w:rFonts w:hint="eastAsia" w:ascii="宋体" w:hAnsi="宋体"/>
        </w:rPr>
        <w:t>廖宣明（</w:t>
      </w:r>
      <w:r>
        <w:rPr>
          <w:rFonts w:ascii="宋体" w:hAnsi="宋体"/>
        </w:rPr>
        <w:t>2007.4.24</w:t>
      </w:r>
      <w:r>
        <w:rPr>
          <w:rFonts w:hint="eastAsia" w:ascii="宋体" w:hAnsi="宋体"/>
        </w:rPr>
        <w:t>—</w:t>
      </w:r>
      <w:r>
        <w:rPr>
          <w:rFonts w:ascii="宋体" w:hAnsi="宋体"/>
        </w:rPr>
        <w:t>在任）</w:t>
      </w:r>
    </w:p>
    <w:p w14:paraId="1B8EF76E">
      <w:pPr>
        <w:ind w:firstLine="1260" w:firstLineChars="600"/>
        <w:rPr>
          <w:rFonts w:ascii="宋体" w:hAnsi="宋体"/>
        </w:rPr>
      </w:pPr>
      <w:r>
        <w:rPr>
          <w:rFonts w:hint="eastAsia" w:ascii="宋体" w:hAnsi="宋体"/>
        </w:rPr>
        <w:t>蔡德华（</w:t>
      </w:r>
      <w:r>
        <w:rPr>
          <w:rFonts w:ascii="宋体" w:hAnsi="宋体"/>
        </w:rPr>
        <w:t>20</w:t>
      </w:r>
      <w:r>
        <w:rPr>
          <w:rFonts w:hint="eastAsia" w:ascii="宋体" w:hAnsi="宋体"/>
        </w:rPr>
        <w:t>0</w:t>
      </w:r>
      <w:r>
        <w:rPr>
          <w:rFonts w:ascii="宋体" w:hAnsi="宋体"/>
        </w:rPr>
        <w:t>8.2.20在任）</w:t>
      </w:r>
    </w:p>
    <w:p w14:paraId="3B5C63B1">
      <w:pPr>
        <w:ind w:firstLine="1260" w:firstLineChars="600"/>
        <w:rPr>
          <w:rFonts w:ascii="宋体" w:hAnsi="宋体"/>
        </w:rPr>
      </w:pPr>
      <w:r>
        <w:rPr>
          <w:rFonts w:hint="eastAsia" w:ascii="宋体" w:hAnsi="宋体"/>
        </w:rPr>
        <w:t>陈泽明（</w:t>
      </w:r>
      <w:r>
        <w:rPr>
          <w:rFonts w:ascii="宋体" w:hAnsi="宋体"/>
        </w:rPr>
        <w:t>2008.2.20</w:t>
      </w:r>
      <w:r>
        <w:rPr>
          <w:rFonts w:hint="eastAsia" w:ascii="宋体" w:hAnsi="宋体"/>
        </w:rPr>
        <w:t>—</w:t>
      </w:r>
      <w:r>
        <w:rPr>
          <w:rFonts w:ascii="宋体" w:hAnsi="宋体"/>
        </w:rPr>
        <w:t>在任）</w:t>
      </w:r>
    </w:p>
    <w:p w14:paraId="74B4F41A">
      <w:pPr>
        <w:ind w:firstLine="1260" w:firstLineChars="600"/>
        <w:rPr>
          <w:rFonts w:ascii="宋体" w:hAnsi="宋体"/>
        </w:rPr>
      </w:pPr>
      <w:r>
        <w:rPr>
          <w:rFonts w:hint="eastAsia" w:ascii="宋体" w:hAnsi="宋体"/>
        </w:rPr>
        <w:t>赖长林（</w:t>
      </w:r>
      <w:r>
        <w:rPr>
          <w:rFonts w:ascii="宋体" w:hAnsi="宋体"/>
        </w:rPr>
        <w:t>2010.1.21</w:t>
      </w:r>
      <w:r>
        <w:rPr>
          <w:rFonts w:hint="eastAsia" w:ascii="宋体" w:hAnsi="宋体"/>
        </w:rPr>
        <w:t>—</w:t>
      </w:r>
      <w:r>
        <w:rPr>
          <w:rFonts w:ascii="宋体" w:hAnsi="宋体"/>
        </w:rPr>
        <w:t>在任）</w:t>
      </w:r>
    </w:p>
    <w:p w14:paraId="61C9B7CD">
      <w:pPr>
        <w:ind w:firstLine="1260" w:firstLineChars="600"/>
        <w:rPr>
          <w:rFonts w:ascii="宋体" w:hAnsi="宋体"/>
        </w:rPr>
      </w:pPr>
      <w:r>
        <w:rPr>
          <w:rFonts w:hint="eastAsia" w:ascii="宋体" w:hAnsi="宋体"/>
        </w:rPr>
        <w:t>柯油松（</w:t>
      </w:r>
      <w:r>
        <w:rPr>
          <w:rFonts w:ascii="宋体" w:hAnsi="宋体"/>
        </w:rPr>
        <w:t>2010.1.21</w:t>
      </w:r>
      <w:r>
        <w:rPr>
          <w:rFonts w:hint="eastAsia" w:ascii="宋体" w:hAnsi="宋体"/>
        </w:rPr>
        <w:t>—</w:t>
      </w:r>
      <w:r>
        <w:rPr>
          <w:rFonts w:ascii="宋体" w:hAnsi="宋体"/>
        </w:rPr>
        <w:t>在任</w:t>
      </w:r>
      <w:r>
        <w:rPr>
          <w:rFonts w:hint="eastAsia" w:ascii="宋体" w:hAnsi="宋体"/>
        </w:rPr>
        <w:t>）</w:t>
      </w:r>
    </w:p>
    <w:p w14:paraId="5E3BC4D4">
      <w:pPr>
        <w:pStyle w:val="3"/>
      </w:pPr>
      <w:r>
        <w:rPr>
          <w:rFonts w:hint="eastAsia"/>
        </w:rPr>
        <w:t>重要活动及主要工作</w:t>
      </w:r>
    </w:p>
    <w:p w14:paraId="513D0A7E">
      <w:pPr>
        <w:pStyle w:val="4"/>
      </w:pPr>
      <w:r>
        <w:rPr>
          <w:rFonts w:hint="eastAsia"/>
        </w:rPr>
        <w:t>【决定重大事项】</w:t>
      </w:r>
    </w:p>
    <w:p w14:paraId="089742DB">
      <w:pPr>
        <w:ind w:firstLine="420"/>
        <w:rPr>
          <w:rFonts w:ascii="宋体" w:hAnsi="宋体"/>
        </w:rPr>
      </w:pPr>
      <w:r>
        <w:rPr>
          <w:rFonts w:ascii="宋体" w:hAnsi="宋体"/>
        </w:rPr>
        <w:t>2010年，市人大常委会</w:t>
      </w:r>
      <w:r>
        <w:rPr>
          <w:rFonts w:hint="eastAsia" w:ascii="宋体" w:hAnsi="宋体"/>
        </w:rPr>
        <w:t>会议共作出决议、决定</w:t>
      </w:r>
      <w:r>
        <w:rPr>
          <w:rFonts w:ascii="宋体" w:hAnsi="宋体"/>
        </w:rPr>
        <w:t>13项</w:t>
      </w:r>
      <w:r>
        <w:rPr>
          <w:rFonts w:hint="eastAsia" w:ascii="宋体" w:hAnsi="宋体"/>
        </w:rPr>
        <w:t>：</w:t>
      </w:r>
      <w:r>
        <w:rPr>
          <w:rFonts w:ascii="宋体" w:hAnsi="宋体"/>
        </w:rPr>
        <w:t>（1）决定免去</w:t>
      </w:r>
      <w:r>
        <w:rPr>
          <w:rFonts w:hint="eastAsia" w:ascii="宋体" w:hAnsi="宋体"/>
        </w:rPr>
        <w:t>赖向阳南雄市公安局局长职务；任命邓志聪为市政府副市长，刘悦明同志为公安局局长；（</w:t>
      </w:r>
      <w:r>
        <w:rPr>
          <w:rFonts w:ascii="宋体" w:hAnsi="宋体"/>
        </w:rPr>
        <w:t>2）审议通过市人大常委会关于市国税局、</w:t>
      </w:r>
      <w:r>
        <w:rPr>
          <w:rFonts w:hint="eastAsia" w:ascii="宋体" w:hAnsi="宋体"/>
        </w:rPr>
        <w:t>市林业局评议整改工作落实情况的决定；（</w:t>
      </w:r>
      <w:r>
        <w:rPr>
          <w:rFonts w:ascii="宋体" w:hAnsi="宋体"/>
        </w:rPr>
        <w:t>3</w:t>
      </w:r>
      <w:r>
        <w:rPr>
          <w:rFonts w:hint="eastAsia" w:ascii="宋体" w:hAnsi="宋体"/>
        </w:rPr>
        <w:t>）审议通过市人大常委会关于办理《加强低保对象管理的议案》的决定；（</w:t>
      </w:r>
      <w:r>
        <w:rPr>
          <w:rFonts w:ascii="宋体" w:hAnsi="宋体"/>
        </w:rPr>
        <w:t>4）决定任命麦</w:t>
      </w:r>
      <w:r>
        <w:rPr>
          <w:rFonts w:hint="eastAsia" w:ascii="宋体" w:hAnsi="宋体"/>
        </w:rPr>
        <w:t>允谦为市政府副市长，任命邓春红、邓春英、何青春、曾美银和钟履芬为市人民法院人民陪审员；（</w:t>
      </w:r>
      <w:r>
        <w:rPr>
          <w:rFonts w:ascii="宋体" w:hAnsi="宋体"/>
        </w:rPr>
        <w:t>5）决定《关于同意南雄市有线数</w:t>
      </w:r>
      <w:r>
        <w:rPr>
          <w:rFonts w:hint="eastAsia" w:ascii="宋体" w:hAnsi="宋体"/>
        </w:rPr>
        <w:t>字电视整体转换工程及南雄市国道老</w:t>
      </w:r>
      <w:r>
        <w:rPr>
          <w:rFonts w:ascii="宋体" w:hAnsi="宋体"/>
        </w:rPr>
        <w:t>323线</w:t>
      </w:r>
      <w:r>
        <w:rPr>
          <w:rFonts w:hint="eastAsia" w:ascii="宋体" w:hAnsi="宋体"/>
        </w:rPr>
        <w:t>穿城段综合配套改造工程（第一期）两个项目提供财政回购资金并纳入财政年度预算的决议》；（</w:t>
      </w:r>
      <w:r>
        <w:rPr>
          <w:rFonts w:ascii="宋体" w:hAnsi="宋体"/>
        </w:rPr>
        <w:t>6）《关于调整南雄市工业园区国道323线以西西南角地块用地性质的决议》；</w:t>
      </w:r>
      <w:r>
        <w:rPr>
          <w:rFonts w:hint="eastAsia" w:ascii="宋体" w:hAnsi="宋体"/>
        </w:rPr>
        <w:t>（</w:t>
      </w:r>
      <w:r>
        <w:rPr>
          <w:rFonts w:ascii="宋体" w:hAnsi="宋体"/>
        </w:rPr>
        <w:t>7）决定接受林楚欣辞去市十三届人大常委</w:t>
      </w:r>
      <w:r>
        <w:rPr>
          <w:rFonts w:hint="eastAsia" w:ascii="宋体" w:hAnsi="宋体"/>
        </w:rPr>
        <w:t>会主任职务；（</w:t>
      </w:r>
      <w:r>
        <w:rPr>
          <w:rFonts w:ascii="宋体" w:hAnsi="宋体"/>
        </w:rPr>
        <w:t>8）决定肖芬先为市十三届人</w:t>
      </w:r>
      <w:r>
        <w:rPr>
          <w:rFonts w:hint="eastAsia" w:ascii="宋体" w:hAnsi="宋体"/>
        </w:rPr>
        <w:t>大常委会代理主任；（</w:t>
      </w:r>
      <w:r>
        <w:rPr>
          <w:rFonts w:ascii="宋体" w:hAnsi="宋体"/>
        </w:rPr>
        <w:t>9）任命刘清生为市政</w:t>
      </w:r>
      <w:r>
        <w:rPr>
          <w:rFonts w:hint="eastAsia" w:ascii="宋体" w:hAnsi="宋体"/>
        </w:rPr>
        <w:t>府副市长，决定接受许志新辞去市政府市长职务，决定刘清生为市政府代理市长；（</w:t>
      </w:r>
      <w:r>
        <w:rPr>
          <w:rFonts w:ascii="宋体" w:hAnsi="宋体"/>
        </w:rPr>
        <w:t>10）</w:t>
      </w:r>
      <w:r>
        <w:rPr>
          <w:rFonts w:hint="eastAsia" w:ascii="宋体" w:hAnsi="宋体"/>
        </w:rPr>
        <w:t>免去吴传麟、潘记通的市人民检察院检察员职务；（</w:t>
      </w:r>
      <w:r>
        <w:rPr>
          <w:rFonts w:ascii="宋体" w:hAnsi="宋体"/>
        </w:rPr>
        <w:t>11）决定任命董圣国为市人力资源和</w:t>
      </w:r>
      <w:r>
        <w:rPr>
          <w:rFonts w:hint="eastAsia" w:ascii="宋体" w:hAnsi="宋体"/>
        </w:rPr>
        <w:t>社会保障局局长、廖声华为市经济和信息化局局长、李皋辉为市科学技术局（市知识产权局）局长、李传忠为市住房和城乡规划建设局局长、陈如亮为市交通运输局局长、何启林为市水务局局长、朱运通为市食品药品监督管理局局长；（</w:t>
      </w:r>
      <w:r>
        <w:rPr>
          <w:rFonts w:ascii="宋体" w:hAnsi="宋体"/>
        </w:rPr>
        <w:t>12）审议市人大常委会主</w:t>
      </w:r>
      <w:r>
        <w:rPr>
          <w:rFonts w:hint="eastAsia" w:ascii="宋体" w:hAnsi="宋体"/>
        </w:rPr>
        <w:t>任会议提出的《关于召开南雄市第十三届人民代表大会第六次会议的有关事项》，决定市十三届人大六次会议于</w:t>
      </w:r>
      <w:r>
        <w:rPr>
          <w:rFonts w:ascii="宋体" w:hAnsi="宋体"/>
        </w:rPr>
        <w:t>2011年1月16日至19日在市区南雄大会堂召开；（13）审议市</w:t>
      </w:r>
      <w:r>
        <w:rPr>
          <w:rFonts w:hint="eastAsia" w:ascii="宋体" w:hAnsi="宋体"/>
        </w:rPr>
        <w:t>政府《关于提请审议南雄市新城影剧院用地性质调整的议案》并作出决议，同意对市新城影剧院地块用地性质调整。</w:t>
      </w:r>
    </w:p>
    <w:p w14:paraId="722BAB34">
      <w:pPr>
        <w:pStyle w:val="4"/>
      </w:pPr>
      <w:r>
        <w:rPr>
          <w:rFonts w:hint="eastAsia"/>
        </w:rPr>
        <w:t>【</w:t>
      </w:r>
      <w:r>
        <w:rPr>
          <w:rFonts w:hint="eastAsia"/>
          <w:lang w:eastAsia="zh-CN"/>
        </w:rPr>
        <w:t>人大常委会会议</w:t>
      </w:r>
      <w:r>
        <w:rPr>
          <w:rFonts w:hint="eastAsia"/>
        </w:rPr>
        <w:t>】</w:t>
      </w:r>
    </w:p>
    <w:p w14:paraId="6CFAEC22">
      <w:pPr>
        <w:ind w:firstLine="420"/>
        <w:rPr>
          <w:rFonts w:ascii="宋体" w:hAnsi="宋体"/>
        </w:rPr>
      </w:pPr>
      <w:r>
        <w:rPr>
          <w:rFonts w:ascii="宋体" w:hAnsi="宋体"/>
        </w:rPr>
        <w:t>2010年，市人大常委会</w:t>
      </w:r>
      <w:r>
        <w:rPr>
          <w:rFonts w:hint="eastAsia" w:ascii="宋体" w:hAnsi="宋体"/>
        </w:rPr>
        <w:t>共召开</w:t>
      </w:r>
      <w:r>
        <w:rPr>
          <w:rFonts w:ascii="宋体" w:hAnsi="宋体"/>
        </w:rPr>
        <w:t>8次常委会会议。会议审议和决定的</w:t>
      </w:r>
      <w:r>
        <w:rPr>
          <w:rFonts w:hint="eastAsia" w:ascii="宋体" w:hAnsi="宋体"/>
        </w:rPr>
        <w:t>主要事项有：听取和审议市政府《关于执行〈广东省城乡居（村）民最低生活保障制度实施办法〉》情况的报告；听取和审议市政府关于南雄市中小学生思想品德教育及学校、学生安全工作情况汇报；听取和审议市政府关于贯彻执行〈广东省预算审批监督条例〉情况的报告；听取和审议市政府关于南雄市</w:t>
      </w:r>
      <w:r>
        <w:rPr>
          <w:rFonts w:ascii="宋体" w:hAnsi="宋体"/>
        </w:rPr>
        <w:t>2009年财政决算草案的报告；通过《关于批</w:t>
      </w:r>
      <w:r>
        <w:rPr>
          <w:rFonts w:hint="eastAsia" w:ascii="宋体" w:hAnsi="宋体"/>
        </w:rPr>
        <w:t>准南雄市</w:t>
      </w:r>
      <w:r>
        <w:rPr>
          <w:rFonts w:ascii="宋体" w:hAnsi="宋体"/>
        </w:rPr>
        <w:t>2009年本级决算的决议》；决定批</w:t>
      </w:r>
      <w:r>
        <w:rPr>
          <w:rFonts w:hint="eastAsia" w:ascii="宋体" w:hAnsi="宋体"/>
        </w:rPr>
        <w:t>准</w:t>
      </w:r>
      <w:r>
        <w:rPr>
          <w:rFonts w:ascii="宋体" w:hAnsi="宋体"/>
        </w:rPr>
        <w:t>2009年市级决算；听取和审议市人大常委</w:t>
      </w:r>
      <w:r>
        <w:rPr>
          <w:rFonts w:hint="eastAsia" w:ascii="宋体" w:hAnsi="宋体"/>
        </w:rPr>
        <w:t>会第</w:t>
      </w:r>
      <w:r>
        <w:rPr>
          <w:rFonts w:ascii="宋体" w:hAnsi="宋体"/>
        </w:rPr>
        <w:t>38次主任会议关于</w:t>
      </w:r>
      <w:r>
        <w:rPr>
          <w:rFonts w:hint="eastAsia" w:ascii="宋体" w:hAnsi="宋体"/>
        </w:rPr>
        <w:t>“</w:t>
      </w:r>
      <w:r>
        <w:rPr>
          <w:rFonts w:ascii="宋体" w:hAnsi="宋体"/>
        </w:rPr>
        <w:t>市人大常委会作出</w:t>
      </w:r>
      <w:r>
        <w:rPr>
          <w:rFonts w:hint="eastAsia" w:ascii="宋体" w:hAnsi="宋体"/>
        </w:rPr>
        <w:t>二项决议”事项的报告；听取和审议市政府关于〈中华人民共和国矿产资源法〉贯彻落实情况的报告；听取和审议市政府关于南雄市</w:t>
      </w:r>
      <w:r>
        <w:rPr>
          <w:rFonts w:ascii="宋体" w:hAnsi="宋体"/>
        </w:rPr>
        <w:t>2010年上半年国民经济和社会发展计划执</w:t>
      </w:r>
      <w:r>
        <w:rPr>
          <w:rFonts w:hint="eastAsia" w:ascii="宋体" w:hAnsi="宋体"/>
        </w:rPr>
        <w:t>行情况的报告；听取和审议市政府关于南雄市</w:t>
      </w:r>
      <w:r>
        <w:rPr>
          <w:rFonts w:ascii="宋体" w:hAnsi="宋体"/>
        </w:rPr>
        <w:t>2010年上半年财政运行情况的报告；听取</w:t>
      </w:r>
      <w:r>
        <w:rPr>
          <w:rFonts w:hint="eastAsia" w:ascii="宋体" w:hAnsi="宋体"/>
        </w:rPr>
        <w:t>和审议市政府关于办理市十三届人大五次会议代表议案、建议和批评意见办理情况的报告；听取和审议市政府关于承办</w:t>
      </w:r>
      <w:r>
        <w:rPr>
          <w:rFonts w:ascii="宋体" w:hAnsi="宋体"/>
        </w:rPr>
        <w:t>2010年</w:t>
      </w:r>
      <w:r>
        <w:rPr>
          <w:rFonts w:hint="eastAsia" w:ascii="宋体" w:hAnsi="宋体"/>
        </w:rPr>
        <w:t>“</w:t>
      </w:r>
      <w:r>
        <w:rPr>
          <w:rFonts w:ascii="宋体" w:hAnsi="宋体"/>
        </w:rPr>
        <w:t>八</w:t>
      </w:r>
      <w:r>
        <w:rPr>
          <w:rFonts w:hint="eastAsia" w:ascii="宋体" w:hAnsi="宋体"/>
        </w:rPr>
        <w:t>件实事”工作进展情况的报告；听取和审议市政府关于南雄市</w:t>
      </w:r>
      <w:r>
        <w:rPr>
          <w:rFonts w:ascii="宋体" w:hAnsi="宋体"/>
        </w:rPr>
        <w:t>2010年</w:t>
      </w:r>
      <w:r>
        <w:rPr>
          <w:rFonts w:hint="eastAsia" w:ascii="宋体" w:hAnsi="宋体"/>
        </w:rPr>
        <w:t>“</w:t>
      </w:r>
      <w:r>
        <w:rPr>
          <w:rFonts w:ascii="宋体" w:hAnsi="宋体"/>
        </w:rPr>
        <w:t>八大重点项目</w:t>
      </w:r>
      <w:r>
        <w:rPr>
          <w:rFonts w:hint="eastAsia" w:ascii="宋体" w:hAnsi="宋体"/>
        </w:rPr>
        <w:t>（工作）”即：（</w:t>
      </w:r>
      <w:r>
        <w:rPr>
          <w:rFonts w:ascii="宋体" w:hAnsi="宋体"/>
        </w:rPr>
        <w:t>1）二期园区建设；（2）招商</w:t>
      </w:r>
      <w:r>
        <w:rPr>
          <w:rFonts w:hint="eastAsia" w:ascii="宋体" w:hAnsi="宋体"/>
        </w:rPr>
        <w:t>引资及第一园区建设；（</w:t>
      </w:r>
      <w:r>
        <w:rPr>
          <w:rFonts w:ascii="宋体" w:hAnsi="宋体"/>
        </w:rPr>
        <w:t>3）龙华山旅游项目</w:t>
      </w:r>
      <w:r>
        <w:rPr>
          <w:rFonts w:hint="eastAsia" w:ascii="宋体" w:hAnsi="宋体"/>
        </w:rPr>
        <w:t>建设；（</w:t>
      </w:r>
      <w:r>
        <w:rPr>
          <w:rFonts w:ascii="宋体" w:hAnsi="宋体"/>
        </w:rPr>
        <w:t>4）城市建设；（5）水泥厂项目建设；6）扶贫攻坚和林改工作；（7）民营经济发</w:t>
      </w:r>
      <w:r>
        <w:rPr>
          <w:rFonts w:hint="eastAsia" w:ascii="宋体" w:hAnsi="宋体"/>
        </w:rPr>
        <w:t>展工作；（</w:t>
      </w:r>
      <w:r>
        <w:rPr>
          <w:rFonts w:ascii="宋体" w:hAnsi="宋体"/>
        </w:rPr>
        <w:t>8）华电热电冷联供项目建设进展</w:t>
      </w:r>
      <w:r>
        <w:rPr>
          <w:rFonts w:hint="eastAsia" w:ascii="宋体" w:hAnsi="宋体"/>
        </w:rPr>
        <w:t>情况的报告；听取和审议市政府关于对</w:t>
      </w:r>
      <w:r>
        <w:rPr>
          <w:rFonts w:ascii="宋体" w:hAnsi="宋体"/>
        </w:rPr>
        <w:t>2010</w:t>
      </w:r>
      <w:r>
        <w:rPr>
          <w:rFonts w:hint="eastAsia" w:ascii="宋体" w:hAnsi="宋体"/>
        </w:rPr>
        <w:t>年市人大常委会会议提出的建议、批评和意见办理落实情况报告；对市交通运输局、市教育局、市旅游局、市环保局四个部门进行工作评议；审议并通过补选市十三届人大代表的事项，听取市人民法院《关于贯彻执行〈法官行为规范（试行）〉情况工作报告》、《关于开展反渎职侵权检察工作的报告》。</w:t>
      </w:r>
    </w:p>
    <w:p w14:paraId="484A2DFB">
      <w:pPr>
        <w:pStyle w:val="4"/>
      </w:pPr>
      <w:r>
        <w:rPr>
          <w:rFonts w:hint="eastAsia"/>
        </w:rPr>
        <w:t>【人事任免】</w:t>
      </w:r>
    </w:p>
    <w:p w14:paraId="09A90F21">
      <w:pPr>
        <w:ind w:firstLine="420"/>
        <w:rPr>
          <w:rFonts w:ascii="宋体" w:hAnsi="宋体"/>
        </w:rPr>
      </w:pPr>
      <w:r>
        <w:rPr>
          <w:rFonts w:ascii="宋体" w:hAnsi="宋体"/>
        </w:rPr>
        <w:t>2010年，常委会依法任命国</w:t>
      </w:r>
      <w:r>
        <w:rPr>
          <w:rFonts w:hint="eastAsia" w:ascii="宋体" w:hAnsi="宋体"/>
        </w:rPr>
        <w:t>家机关工作人员</w:t>
      </w:r>
      <w:r>
        <w:rPr>
          <w:rFonts w:ascii="宋体" w:hAnsi="宋体"/>
        </w:rPr>
        <w:t>16次人，免去职务3人。其</w:t>
      </w:r>
      <w:r>
        <w:rPr>
          <w:rFonts w:hint="eastAsia" w:ascii="宋体" w:hAnsi="宋体"/>
        </w:rPr>
        <w:t>中，任命、决定任命市政府组成人员职务</w:t>
      </w:r>
      <w:r>
        <w:rPr>
          <w:rFonts w:ascii="宋体" w:hAnsi="宋体"/>
        </w:rPr>
        <w:t>11</w:t>
      </w:r>
      <w:r>
        <w:rPr>
          <w:rFonts w:hint="eastAsia" w:ascii="宋体" w:hAnsi="宋体"/>
        </w:rPr>
        <w:t>人；任命市中级人民法院工作人员职务</w:t>
      </w:r>
      <w:r>
        <w:rPr>
          <w:rFonts w:ascii="宋体" w:hAnsi="宋体"/>
        </w:rPr>
        <w:t>4人。</w:t>
      </w:r>
      <w:r>
        <w:rPr>
          <w:rFonts w:hint="eastAsia" w:ascii="宋体" w:hAnsi="宋体"/>
        </w:rPr>
        <w:t>免去市政府组成人员职务</w:t>
      </w:r>
      <w:r>
        <w:rPr>
          <w:rFonts w:ascii="宋体" w:hAnsi="宋体"/>
        </w:rPr>
        <w:t>1人；免去市人民</w:t>
      </w:r>
      <w:r>
        <w:rPr>
          <w:rFonts w:hint="eastAsia" w:ascii="宋体" w:hAnsi="宋体"/>
        </w:rPr>
        <w:t>检察院工作人员职务</w:t>
      </w:r>
      <w:r>
        <w:rPr>
          <w:rFonts w:ascii="宋体" w:hAnsi="宋体"/>
        </w:rPr>
        <w:t>2人。</w:t>
      </w:r>
    </w:p>
    <w:p w14:paraId="3CB080EF">
      <w:pPr>
        <w:pStyle w:val="4"/>
      </w:pPr>
      <w:r>
        <w:rPr>
          <w:rFonts w:hint="eastAsia"/>
        </w:rPr>
        <w:t>【调研活动】</w:t>
      </w:r>
    </w:p>
    <w:p w14:paraId="48B495C3">
      <w:pPr>
        <w:ind w:firstLine="420"/>
        <w:rPr>
          <w:rFonts w:ascii="宋体" w:hAnsi="宋体"/>
        </w:rPr>
      </w:pPr>
      <w:r>
        <w:rPr>
          <w:rFonts w:ascii="宋体" w:hAnsi="宋体"/>
        </w:rPr>
        <w:t>4月27日，韶关市人大选工委</w:t>
      </w:r>
      <w:r>
        <w:rPr>
          <w:rFonts w:hint="eastAsia" w:ascii="宋体" w:hAnsi="宋体"/>
        </w:rPr>
        <w:t>主任何积卿一行</w:t>
      </w:r>
      <w:r>
        <w:rPr>
          <w:rFonts w:ascii="宋体" w:hAnsi="宋体"/>
        </w:rPr>
        <w:t>5人在南雄市人大常委会副</w:t>
      </w:r>
      <w:r>
        <w:rPr>
          <w:rFonts w:hint="eastAsia" w:ascii="宋体" w:hAnsi="宋体"/>
        </w:rPr>
        <w:t>主任肖自强陪同下与南雄选区的省、市部分人大代表及市人大机关干部进行座谈，就如何为代表履职服务进行调研；</w:t>
      </w:r>
      <w:r>
        <w:rPr>
          <w:rFonts w:ascii="宋体" w:hAnsi="宋体"/>
        </w:rPr>
        <w:t>5月7日市人大</w:t>
      </w:r>
      <w:r>
        <w:rPr>
          <w:rFonts w:hint="eastAsia" w:ascii="宋体" w:hAnsi="宋体"/>
        </w:rPr>
        <w:t>常委会组织韶关市第十二届人大代表（南雄选区）对坪田、南亩镇扶贫开发“双到”工作进行专题视察和调研；</w:t>
      </w:r>
      <w:r>
        <w:rPr>
          <w:rFonts w:ascii="宋体" w:hAnsi="宋体"/>
        </w:rPr>
        <w:t>11月24日、25日</w:t>
      </w:r>
      <w:r>
        <w:rPr>
          <w:rFonts w:hint="eastAsia" w:ascii="宋体" w:hAnsi="宋体"/>
        </w:rPr>
        <w:t>市人大常委会组织常委会委员对市交通运输局、市教育局、市旅游局、市环保局</w:t>
      </w:r>
      <w:r>
        <w:rPr>
          <w:rFonts w:ascii="宋体" w:hAnsi="宋体"/>
        </w:rPr>
        <w:t>4个单</w:t>
      </w:r>
      <w:r>
        <w:rPr>
          <w:rFonts w:hint="eastAsia" w:ascii="宋体" w:hAnsi="宋体"/>
        </w:rPr>
        <w:t>位进行工作评议调查了解。</w:t>
      </w:r>
    </w:p>
    <w:p w14:paraId="5FC2013D">
      <w:pPr>
        <w:pStyle w:val="4"/>
      </w:pPr>
      <w:r>
        <w:rPr>
          <w:rFonts w:hint="eastAsia"/>
        </w:rPr>
        <w:t>【视察工作】</w:t>
      </w:r>
    </w:p>
    <w:p w14:paraId="26723748">
      <w:pPr>
        <w:ind w:firstLine="420"/>
        <w:rPr>
          <w:rFonts w:ascii="宋体" w:hAnsi="宋体"/>
        </w:rPr>
      </w:pPr>
      <w:r>
        <w:rPr>
          <w:rFonts w:ascii="宋体" w:hAnsi="宋体"/>
        </w:rPr>
        <w:t>2010年，6月9日、10日常委</w:t>
      </w:r>
      <w:r>
        <w:rPr>
          <w:rFonts w:hint="eastAsia" w:ascii="宋体" w:hAnsi="宋体"/>
        </w:rPr>
        <w:t>会组织市人大常委会委员对</w:t>
      </w:r>
      <w:r>
        <w:rPr>
          <w:rFonts w:ascii="宋体" w:hAnsi="宋体"/>
        </w:rPr>
        <w:t>14个有关单位调</w:t>
      </w:r>
      <w:r>
        <w:rPr>
          <w:rFonts w:hint="eastAsia" w:ascii="宋体" w:hAnsi="宋体"/>
        </w:rPr>
        <w:t>查视察关于《广东省预算审批监督条例》贯彻落实情况；</w:t>
      </w:r>
      <w:r>
        <w:rPr>
          <w:rFonts w:ascii="宋体" w:hAnsi="宋体"/>
        </w:rPr>
        <w:t>8月19日常委会组织常委会委</w:t>
      </w:r>
      <w:r>
        <w:rPr>
          <w:rFonts w:hint="eastAsia" w:ascii="宋体" w:hAnsi="宋体"/>
        </w:rPr>
        <w:t>员</w:t>
      </w:r>
      <w:r>
        <w:rPr>
          <w:rFonts w:ascii="宋体" w:hAnsi="宋体"/>
        </w:rPr>
        <w:t>22人对7镇和国土资源局关于贯彻落实</w:t>
      </w:r>
      <w:r>
        <w:rPr>
          <w:rFonts w:hint="eastAsia" w:ascii="宋体" w:hAnsi="宋体"/>
        </w:rPr>
        <w:t>《矿产资源法》的宣传教育、保护利用、安全生产、资源补偿、税收制度和依法行政情况进行视察，对</w:t>
      </w:r>
      <w:r>
        <w:rPr>
          <w:rFonts w:ascii="宋体" w:hAnsi="宋体"/>
        </w:rPr>
        <w:t>4个科局单位关于2010年上半</w:t>
      </w:r>
      <w:r>
        <w:rPr>
          <w:rFonts w:hint="eastAsia" w:ascii="宋体" w:hAnsi="宋体"/>
        </w:rPr>
        <w:t>年预算执行情况、国民经济和社会发展计划执行情况视察；</w:t>
      </w:r>
      <w:r>
        <w:rPr>
          <w:rFonts w:ascii="宋体" w:hAnsi="宋体"/>
        </w:rPr>
        <w:t>10月21日常委会组成人员视</w:t>
      </w:r>
      <w:r>
        <w:rPr>
          <w:rFonts w:hint="eastAsia" w:ascii="宋体" w:hAnsi="宋体"/>
        </w:rPr>
        <w:t>察市政府承诺的八件实事实施现场，听取和审议市政府关于八件实事进展情况的报告，推动项目建设进程，所涉及的有农业开发交通基础设施、保障性住房、环保检测、水库除险加固、饮水安全八件实事均已基本完成。</w:t>
      </w:r>
    </w:p>
    <w:p w14:paraId="276942EC">
      <w:pPr>
        <w:ind w:firstLine="420"/>
        <w:jc w:val="right"/>
        <w:rPr>
          <w:rFonts w:ascii="宋体" w:hAnsi="宋体"/>
        </w:rPr>
      </w:pPr>
      <w:r>
        <w:rPr>
          <w:rFonts w:hint="eastAsia" w:ascii="宋体" w:hAnsi="宋体"/>
        </w:rPr>
        <w:t>（梁志萍）</w:t>
      </w:r>
    </w:p>
    <w:p w14:paraId="415E4DAB">
      <w:pPr>
        <w:ind w:firstLine="0" w:firstLineChars="0"/>
        <w:rPr>
          <w:rFonts w:ascii="宋体" w:hAnsi="宋体"/>
        </w:rPr>
      </w:pPr>
      <w:r>
        <w:rPr>
          <w:rFonts w:hint="eastAsia" w:ascii="宋体" w:hAnsi="宋体"/>
          <w:b/>
        </w:rPr>
        <w:t>附：</w:t>
      </w:r>
      <w:r>
        <w:rPr>
          <w:rFonts w:ascii="宋体" w:hAnsi="宋体"/>
          <w:b/>
        </w:rPr>
        <w:t>2010年市人大办公室、各工委领导班子</w:t>
      </w:r>
      <w:r>
        <w:rPr>
          <w:rFonts w:hint="eastAsia" w:ascii="宋体" w:hAnsi="宋体"/>
          <w:b/>
        </w:rPr>
        <w:t>成员名单</w:t>
      </w:r>
    </w:p>
    <w:p w14:paraId="7BAECA4C">
      <w:pPr>
        <w:ind w:firstLine="0" w:firstLineChars="0"/>
        <w:rPr>
          <w:rFonts w:ascii="宋体" w:hAnsi="宋体"/>
        </w:rPr>
      </w:pPr>
      <w:r>
        <w:rPr>
          <w:rFonts w:hint="eastAsia" w:ascii="宋体" w:hAnsi="宋体"/>
        </w:rPr>
        <w:t>办公室主任：梁  斌</w:t>
      </w:r>
    </w:p>
    <w:p w14:paraId="3B6149C8">
      <w:pPr>
        <w:ind w:firstLine="409" w:firstLineChars="195"/>
        <w:rPr>
          <w:rFonts w:ascii="宋体" w:hAnsi="宋体"/>
        </w:rPr>
      </w:pPr>
      <w:r>
        <w:rPr>
          <w:rFonts w:hint="eastAsia" w:ascii="宋体" w:hAnsi="宋体"/>
        </w:rPr>
        <w:t>副主任：钟历桂  曾昭雄</w:t>
      </w:r>
    </w:p>
    <w:p w14:paraId="468EC312">
      <w:pPr>
        <w:ind w:firstLine="0" w:firstLineChars="0"/>
        <w:rPr>
          <w:rFonts w:ascii="宋体" w:hAnsi="宋体"/>
        </w:rPr>
      </w:pPr>
      <w:r>
        <w:rPr>
          <w:rFonts w:hint="eastAsia" w:ascii="宋体" w:hAnsi="宋体"/>
        </w:rPr>
        <w:t>内务司法工委主任：陈焱煌</w:t>
      </w:r>
    </w:p>
    <w:p w14:paraId="3989EDFB">
      <w:pPr>
        <w:ind w:firstLine="420"/>
        <w:rPr>
          <w:rFonts w:ascii="宋体" w:hAnsi="宋体"/>
        </w:rPr>
      </w:pPr>
      <w:r>
        <w:rPr>
          <w:rFonts w:hint="eastAsia" w:ascii="宋体" w:hAnsi="宋体"/>
        </w:rPr>
        <w:t>经济工委主任：刘运平</w:t>
      </w:r>
    </w:p>
    <w:p w14:paraId="570069E8">
      <w:pPr>
        <w:ind w:firstLine="0" w:firstLineChars="0"/>
        <w:rPr>
          <w:rFonts w:ascii="宋体" w:hAnsi="宋体"/>
        </w:rPr>
      </w:pPr>
      <w:r>
        <w:rPr>
          <w:rFonts w:hint="eastAsia" w:ascii="宋体" w:hAnsi="宋体"/>
        </w:rPr>
        <w:t>教科文卫工委主任：郭盛霖</w:t>
      </w:r>
    </w:p>
    <w:p w14:paraId="0820B5FA">
      <w:pPr>
        <w:ind w:firstLine="1039" w:firstLineChars="495"/>
        <w:rPr>
          <w:rFonts w:ascii="宋体" w:hAnsi="宋体"/>
        </w:rPr>
      </w:pPr>
      <w:r>
        <w:rPr>
          <w:rFonts w:hint="eastAsia" w:ascii="宋体" w:hAnsi="宋体"/>
        </w:rPr>
        <w:t>副主任：池宏安</w:t>
      </w:r>
    </w:p>
    <w:p w14:paraId="57434A93">
      <w:pPr>
        <w:ind w:firstLine="0" w:firstLineChars="0"/>
        <w:rPr>
          <w:rFonts w:ascii="宋体" w:hAnsi="宋体"/>
        </w:rPr>
      </w:pPr>
      <w:r>
        <w:rPr>
          <w:rFonts w:hint="eastAsia" w:ascii="宋体" w:hAnsi="宋体"/>
        </w:rPr>
        <w:t>选联任工委主任：赖长林</w:t>
      </w:r>
    </w:p>
    <w:p w14:paraId="2D1447BC">
      <w:pPr>
        <w:ind w:firstLine="840" w:firstLineChars="400"/>
        <w:rPr>
          <w:rFonts w:ascii="宋体" w:hAnsi="宋体"/>
        </w:rPr>
      </w:pPr>
      <w:r>
        <w:rPr>
          <w:rFonts w:hint="eastAsia" w:ascii="宋体" w:hAnsi="宋体"/>
        </w:rPr>
        <w:t>副主任：朱概铭</w:t>
      </w:r>
    </w:p>
    <w:p w14:paraId="433706F9">
      <w:pPr>
        <w:pStyle w:val="3"/>
      </w:pPr>
      <w:r>
        <w:rPr>
          <w:rFonts w:hint="eastAsia"/>
        </w:rPr>
        <w:t>依法治市</w:t>
      </w:r>
    </w:p>
    <w:p w14:paraId="3472CBBA">
      <w:pPr>
        <w:pStyle w:val="4"/>
      </w:pPr>
      <w:r>
        <w:rPr>
          <w:rFonts w:hint="eastAsia"/>
        </w:rPr>
        <w:t>【概况】</w:t>
      </w:r>
    </w:p>
    <w:p w14:paraId="51F0D63C">
      <w:pPr>
        <w:ind w:firstLine="420"/>
        <w:rPr>
          <w:rFonts w:ascii="宋体" w:hAnsi="宋体"/>
        </w:rPr>
      </w:pPr>
      <w:r>
        <w:rPr>
          <w:rFonts w:hint="eastAsia" w:ascii="宋体" w:hAnsi="宋体"/>
        </w:rPr>
        <w:t>中共南雄市委依法治市领导小组于</w:t>
      </w:r>
      <w:r>
        <w:rPr>
          <w:rFonts w:ascii="宋体" w:hAnsi="宋体"/>
        </w:rPr>
        <w:t>1997年4月成立。同年6月经市机编委批准，</w:t>
      </w:r>
      <w:r>
        <w:rPr>
          <w:rFonts w:hint="eastAsia" w:ascii="宋体" w:hAnsi="宋体"/>
        </w:rPr>
        <w:t>设立中共南雄市委依法治市领导小组办公室（简称依法治市办），正科级常设机构，设有两个股室，编制</w:t>
      </w:r>
      <w:r>
        <w:rPr>
          <w:rFonts w:ascii="宋体" w:hAnsi="宋体"/>
        </w:rPr>
        <w:t>5人，负责依法治市的日常</w:t>
      </w:r>
      <w:r>
        <w:rPr>
          <w:rFonts w:hint="eastAsia" w:ascii="宋体" w:hAnsi="宋体"/>
        </w:rPr>
        <w:t>工作。市直副科以上单位、各镇也相应地成立依法治局（镇）领导小组，由单位一把手任组长，下设办公室，落实专（兼）职办公室人员。</w:t>
      </w:r>
    </w:p>
    <w:p w14:paraId="137BBD08">
      <w:pPr>
        <w:pStyle w:val="4"/>
      </w:pPr>
      <w:r>
        <w:rPr>
          <w:rFonts w:hint="eastAsia"/>
        </w:rPr>
        <w:t>【行政执行力建设】</w:t>
      </w:r>
    </w:p>
    <w:p w14:paraId="5ADF8BBB">
      <w:pPr>
        <w:ind w:firstLine="420"/>
        <w:rPr>
          <w:rFonts w:ascii="宋体" w:hAnsi="宋体"/>
        </w:rPr>
      </w:pPr>
      <w:r>
        <w:rPr>
          <w:rFonts w:hint="eastAsia" w:ascii="宋体" w:hAnsi="宋体"/>
        </w:rPr>
        <w:t>围绕依法治市领导体制和工作机制、完善监督考核和责任追究制、建立和完善执行力责任考核、评议、警示、奖罚制，对全市</w:t>
      </w:r>
      <w:r>
        <w:rPr>
          <w:rFonts w:ascii="宋体" w:hAnsi="宋体"/>
        </w:rPr>
        <w:t>73个部门和单位评议考核，</w:t>
      </w:r>
      <w:r>
        <w:rPr>
          <w:rFonts w:hint="eastAsia" w:ascii="宋体" w:hAnsi="宋体"/>
        </w:rPr>
        <w:t>评议考核分为优秀、良好、合格、不合格四个等级，评议考核完毕后，把考核结果报送依法治市领导小组成员征求意见，被评为优秀（先进）单位和先进个人的还经市纪委、市组织部、市计生局、市信访办审核后，再报市委常委会讨论决定，依法治市工作还把重大决策执行情况作为考核政绩和领导干部选拔任用的主要依据，使行政监督贯穿于行政决策、行政执行的每一个环节，做到有权必有责，用权受监督、侵权要赔偿、违法受追究。</w:t>
      </w:r>
    </w:p>
    <w:p w14:paraId="6E05E0EA">
      <w:pPr>
        <w:pStyle w:val="4"/>
      </w:pPr>
      <w:r>
        <w:rPr>
          <w:rFonts w:hint="eastAsia"/>
        </w:rPr>
        <w:t>【政府信息公开】</w:t>
      </w:r>
    </w:p>
    <w:p w14:paraId="5E084A3A">
      <w:pPr>
        <w:ind w:firstLine="420"/>
        <w:rPr>
          <w:rFonts w:ascii="宋体" w:hAnsi="宋体"/>
        </w:rPr>
      </w:pPr>
      <w:r>
        <w:rPr>
          <w:rFonts w:hint="eastAsia" w:ascii="宋体" w:hAnsi="宋体"/>
        </w:rPr>
        <w:t>为深化政府信息公开，拓宽监督渠道，市政府规范性文件全部在“南雄市人民政府公众信息网”上公开，在网站设立“市长信箱”、“公众留言”、“投诉举报”、“</w:t>
      </w:r>
      <w:r>
        <w:rPr>
          <w:rFonts w:ascii="宋体" w:hAnsi="宋体"/>
        </w:rPr>
        <w:t>OA办公系统</w:t>
      </w:r>
      <w:r>
        <w:rPr>
          <w:rFonts w:hint="eastAsia" w:ascii="宋体" w:hAnsi="宋体"/>
        </w:rPr>
        <w:t>”</w:t>
      </w:r>
      <w:r>
        <w:rPr>
          <w:rFonts w:ascii="宋体" w:hAnsi="宋体"/>
        </w:rPr>
        <w:t>、</w:t>
      </w:r>
      <w:r>
        <w:rPr>
          <w:rFonts w:hint="eastAsia" w:ascii="宋体" w:hAnsi="宋体"/>
        </w:rPr>
        <w:t>“</w:t>
      </w:r>
      <w:r>
        <w:rPr>
          <w:rFonts w:ascii="宋体" w:hAnsi="宋体"/>
        </w:rPr>
        <w:t>审批时限监督</w:t>
      </w:r>
      <w:r>
        <w:rPr>
          <w:rFonts w:hint="eastAsia" w:ascii="宋体" w:hAnsi="宋体"/>
        </w:rPr>
        <w:t>”“网上监察大厅”、“民生热线”、“连心楼”等栏目和论坛。妥善处理群众反映的难点热点问题，受理人民群众和企业的咨询、投诉和意见建议，确保群众的知情权、参与权和监督权，提高服务质量和水平。</w:t>
      </w:r>
    </w:p>
    <w:p w14:paraId="09BFC323">
      <w:pPr>
        <w:pStyle w:val="4"/>
      </w:pPr>
      <w:r>
        <w:rPr>
          <w:rFonts w:hint="eastAsia"/>
        </w:rPr>
        <w:t>【法制宣传教育】</w:t>
      </w:r>
    </w:p>
    <w:p w14:paraId="480EEDBA">
      <w:pPr>
        <w:ind w:firstLine="420"/>
        <w:rPr>
          <w:rFonts w:ascii="宋体" w:hAnsi="宋体"/>
        </w:rPr>
      </w:pPr>
      <w:r>
        <w:rPr>
          <w:rFonts w:hint="eastAsia" w:ascii="宋体" w:hAnsi="宋体"/>
        </w:rPr>
        <w:t>市司法行政部门发挥法制宣传教育的职能作用，推进法制宣传“六进”（进机关、进乡村、进社区、进校园、进企业、进单位）和创建民主法治村活动，积极参与综合治理工作和“平安镇（街、社区）、”“无毒社区”创建活动。创办“南雄市民间纠纷调处中心”、“</w:t>
      </w:r>
      <w:r>
        <w:rPr>
          <w:rFonts w:ascii="宋体" w:hAnsi="宋体"/>
        </w:rPr>
        <w:t>3+1</w:t>
      </w:r>
      <w:r>
        <w:rPr>
          <w:rFonts w:hint="eastAsia" w:ascii="宋体" w:hAnsi="宋体"/>
        </w:rPr>
        <w:t>”</w:t>
      </w:r>
      <w:r>
        <w:rPr>
          <w:rFonts w:ascii="宋体" w:hAnsi="宋体"/>
        </w:rPr>
        <w:t>的调解模式，建立健</w:t>
      </w:r>
      <w:r>
        <w:rPr>
          <w:rFonts w:hint="eastAsia" w:ascii="宋体" w:hAnsi="宋体"/>
        </w:rPr>
        <w:t>全基层接访和信访工作目标管理机制，明确党政领导和职能单位联合接访的工作要求、形式、程序及处置办法，动员和引导广大群众自觉参与法治实践，深化依法治理工作。</w:t>
      </w:r>
    </w:p>
    <w:p w14:paraId="6DB1FD46">
      <w:pPr>
        <w:pStyle w:val="4"/>
      </w:pPr>
      <w:r>
        <w:rPr>
          <w:rFonts w:hint="eastAsia"/>
        </w:rPr>
        <w:t>【五五普法成效显著】</w:t>
      </w:r>
    </w:p>
    <w:p w14:paraId="26DA2DAB">
      <w:pPr>
        <w:ind w:firstLine="420"/>
        <w:rPr>
          <w:rFonts w:ascii="宋体" w:hAnsi="宋体"/>
        </w:rPr>
      </w:pPr>
      <w:r>
        <w:rPr>
          <w:rFonts w:hint="eastAsia" w:ascii="宋体" w:hAnsi="宋体"/>
        </w:rPr>
        <w:t>市委、市人大、市政府把领导干部学法情况作为干部考核、任免的依据，领导干部任前要全面进行廉政法规的集中学习和统一考试。组织全市干部、教师、企事业干部职工、农村乡镇干部参加</w:t>
      </w:r>
      <w:r>
        <w:rPr>
          <w:rFonts w:ascii="宋体" w:hAnsi="宋体"/>
        </w:rPr>
        <w:t>2010年度由普法办组织的法律法规学习和考</w:t>
      </w:r>
      <w:r>
        <w:rPr>
          <w:rFonts w:hint="eastAsia" w:ascii="宋体" w:hAnsi="宋体"/>
        </w:rPr>
        <w:t>试。圆满完成“五五”普法检查验收。</w:t>
      </w:r>
    </w:p>
    <w:p w14:paraId="2C2C766A">
      <w:pPr>
        <w:pStyle w:val="4"/>
      </w:pPr>
      <w:r>
        <w:rPr>
          <w:rFonts w:hint="eastAsia"/>
        </w:rPr>
        <w:t>【荣誉称号】</w:t>
      </w:r>
    </w:p>
    <w:p w14:paraId="2DBC9E29">
      <w:pPr>
        <w:ind w:firstLine="420"/>
        <w:rPr>
          <w:rFonts w:ascii="宋体" w:hAnsi="宋体"/>
        </w:rPr>
      </w:pPr>
      <w:r>
        <w:rPr>
          <w:rFonts w:ascii="宋体" w:hAnsi="宋体"/>
        </w:rPr>
        <w:t>2010年，南雄市被评为</w:t>
      </w:r>
      <w:r>
        <w:rPr>
          <w:rFonts w:hint="eastAsia" w:ascii="宋体" w:hAnsi="宋体"/>
        </w:rPr>
        <w:t>“</w:t>
      </w:r>
      <w:r>
        <w:rPr>
          <w:rFonts w:ascii="宋体" w:hAnsi="宋体"/>
        </w:rPr>
        <w:t>全</w:t>
      </w:r>
      <w:r>
        <w:rPr>
          <w:rFonts w:hint="eastAsia" w:ascii="宋体" w:hAnsi="宋体"/>
        </w:rPr>
        <w:t>国法治县（市、区）创建活动先进单位”，受全国普法办公室表彰。</w:t>
      </w:r>
    </w:p>
    <w:p w14:paraId="21BB08FC">
      <w:pPr>
        <w:ind w:firstLine="420"/>
        <w:jc w:val="right"/>
        <w:rPr>
          <w:rFonts w:ascii="宋体" w:hAnsi="宋体"/>
        </w:rPr>
      </w:pPr>
      <w:r>
        <w:rPr>
          <w:rFonts w:hint="eastAsia" w:ascii="宋体" w:hAnsi="宋体"/>
        </w:rPr>
        <w:t>（李玉英）</w:t>
      </w:r>
    </w:p>
    <w:p w14:paraId="699DE5CB">
      <w:pPr>
        <w:ind w:firstLine="0" w:firstLineChars="0"/>
        <w:rPr>
          <w:rFonts w:ascii="宋体" w:hAnsi="宋体"/>
        </w:rPr>
      </w:pPr>
      <w:r>
        <w:rPr>
          <w:rFonts w:hint="eastAsia" w:ascii="宋体" w:hAnsi="宋体"/>
          <w:b/>
        </w:rPr>
        <w:t>附：</w:t>
      </w:r>
      <w:r>
        <w:rPr>
          <w:rFonts w:ascii="宋体" w:hAnsi="宋体"/>
          <w:b/>
        </w:rPr>
        <w:t>2010年依法治市办领导班子成员名单</w:t>
      </w:r>
    </w:p>
    <w:p w14:paraId="5A294043">
      <w:pPr>
        <w:ind w:firstLine="0" w:firstLineChars="0"/>
        <w:rPr>
          <w:rFonts w:ascii="宋体" w:hAnsi="宋体"/>
        </w:rPr>
      </w:pPr>
      <w:r>
        <w:rPr>
          <w:rFonts w:hint="eastAsia" w:ascii="宋体" w:hAnsi="宋体"/>
        </w:rPr>
        <w:t>副主任：范少敏</w:t>
      </w:r>
    </w:p>
    <w:p w14:paraId="2E78650D">
      <w:pPr>
        <w:pStyle w:val="2"/>
      </w:pPr>
      <w:r>
        <w:rPr>
          <w:rFonts w:hint="eastAsia"/>
        </w:rPr>
        <w:t>南雄市人民政府</w:t>
      </w:r>
    </w:p>
    <w:p w14:paraId="38020574">
      <w:pPr>
        <w:pStyle w:val="3"/>
      </w:pPr>
      <w:r>
        <w:rPr>
          <w:rFonts w:hint="eastAsia"/>
        </w:rPr>
        <w:t>市政府常务会议</w:t>
      </w:r>
    </w:p>
    <w:p w14:paraId="3D79BDB2">
      <w:pPr>
        <w:ind w:firstLine="420"/>
        <w:rPr>
          <w:rFonts w:ascii="宋体" w:hAnsi="宋体"/>
        </w:rPr>
      </w:pPr>
      <w:r>
        <w:rPr>
          <w:rFonts w:ascii="宋体" w:hAnsi="宋体"/>
        </w:rPr>
        <w:t>2010年共召开市政府常务会议10次，会</w:t>
      </w:r>
      <w:r>
        <w:rPr>
          <w:rFonts w:hint="eastAsia" w:ascii="宋体" w:hAnsi="宋体"/>
        </w:rPr>
        <w:t>议主要讨论研究了以下内容：精细化工基地二期园区规划建设问题；农业产业发展总体规划；成立南雄市城市开发建设投资公司；筹建南雄市城市投资公司；雄中路</w:t>
      </w:r>
      <w:r>
        <w:rPr>
          <w:rFonts w:ascii="宋体" w:hAnsi="宋体"/>
        </w:rPr>
        <w:t>79号地附</w:t>
      </w:r>
      <w:r>
        <w:rPr>
          <w:rFonts w:hint="eastAsia" w:ascii="宋体" w:hAnsi="宋体"/>
        </w:rPr>
        <w:t>近的道路规划进调整；水泥厂技改项目建设；奥维斯龙华山温泉度假村项目建设；珠玑镇</w:t>
      </w:r>
      <w:r>
        <w:rPr>
          <w:rFonts w:ascii="宋体" w:hAnsi="宋体"/>
        </w:rPr>
        <w:t>220K</w:t>
      </w:r>
      <w:r>
        <w:rPr>
          <w:rFonts w:hint="eastAsia" w:ascii="宋体" w:hAnsi="宋体"/>
        </w:rPr>
        <w:t>V</w:t>
      </w:r>
      <w:r>
        <w:rPr>
          <w:rFonts w:ascii="宋体" w:hAnsi="宋体"/>
        </w:rPr>
        <w:t>变电站项目元宵节后开工建设问题；</w:t>
      </w:r>
      <w:r>
        <w:rPr>
          <w:rFonts w:hint="eastAsia" w:ascii="宋体" w:hAnsi="宋体"/>
        </w:rPr>
        <w:t>华电、粤海生物发电项目建设；绿洲公司生产线扩建项目；南雄市新华书店转企改制问题；调整城市生活垃圾处理费问题；“三旧”改造问题；建设南雄市环境空气自动监测系统；精细化工园区英达利公司地块用地性质改变问题；审议《关于进一步促进民营经济发展的若干意见（修改稿）》；征地建设南雄市汽车客运站；审议《南雄市协税护税工作责任分解表》；讨论房地产税费一体化征管；讨论国有资产的调拨问题；合作建设南雄市管道燃气项目议题；讨论人防易地建设费征收管理办法；新城影剧院建设问题；老城改造中未完成拆迁地块的改造；加强道路交通运输市场管理；增加机关单位工作人员职务津贴及离退休人员生活补贴问题；增加事业单位工作人员奖励性绩效工资及离退休人员生活补贴问题；讨论淘金砂沙石和立天沙石公司申请经营权期限延期；进一步完善镇级兽医体制改革；有线数字电视整体转换工作；启动全安中学的搬迁重建工作，雄州中学、黎口中学合并建设新雄州中学，八一路小学异地重建等教育问题；增加司法行政部门人均公用经费问题；城投公司向韶关农业发展银行借款收储土地等问题；通过了《南雄市人民政府重大事项听证制度》等六项制度（办法）和决策流程图；将市就业中心纳入财政预算问题；设立南雄市土地储备中心；精细化工基地非法占用土地案有关责任人行政处分问题；“三旧”改造拆除“空心村”的政策确定问题；二期园区道路建设问题；新国道</w:t>
      </w:r>
      <w:r>
        <w:rPr>
          <w:rFonts w:ascii="宋体" w:hAnsi="宋体"/>
        </w:rPr>
        <w:t>323线遗留问题；变更新城影剧院用地性</w:t>
      </w:r>
      <w:r>
        <w:rPr>
          <w:rFonts w:hint="eastAsia" w:ascii="宋体" w:hAnsi="宋体"/>
        </w:rPr>
        <w:t>质问题；兴建市交通运输综合行政执法中心；南雄市预制构件厂破产企业职工安置问题；解决二轻工业总公司及其下属企业的历史遗留问题；安排“九大公共卫生服务”配套资金方案；市外贸总公司实施企业转制工作；南亩联办林场经营权转让问题；对朱德雄结扎后遗症的一次性补偿问题；讨论《市政府工作规则》。</w:t>
      </w:r>
    </w:p>
    <w:p w14:paraId="3F41A349">
      <w:pPr>
        <w:pStyle w:val="3"/>
      </w:pPr>
      <w:r>
        <w:rPr>
          <w:rFonts w:hint="eastAsia"/>
        </w:rPr>
        <w:t>市长办公会议</w:t>
      </w:r>
    </w:p>
    <w:p w14:paraId="079B3025">
      <w:pPr>
        <w:ind w:firstLine="420"/>
        <w:rPr>
          <w:rFonts w:ascii="宋体" w:hAnsi="宋体"/>
        </w:rPr>
      </w:pPr>
      <w:r>
        <w:rPr>
          <w:rFonts w:ascii="宋体" w:hAnsi="宋体"/>
        </w:rPr>
        <w:t>2010年，召开市长办公会议4次，主要</w:t>
      </w:r>
      <w:r>
        <w:rPr>
          <w:rFonts w:hint="eastAsia" w:ascii="宋体" w:hAnsi="宋体"/>
        </w:rPr>
        <w:t>研究部署以下工作：部署赣韶铁路（南雄段）征地拆迁工作；确保全市重点项目建设、加快经济社会发展提供用地保障问题；加快推进二期园区建设的工作部署和安排；加快推进奥威斯旅游休闲度假项目建设问题。</w:t>
      </w:r>
    </w:p>
    <w:p w14:paraId="7B231386">
      <w:pPr>
        <w:pStyle w:val="3"/>
      </w:pPr>
      <w:r>
        <w:rPr>
          <w:rFonts w:hint="eastAsia"/>
        </w:rPr>
        <w:t>市政府工作会议</w:t>
      </w:r>
    </w:p>
    <w:p w14:paraId="2F38CB85">
      <w:pPr>
        <w:ind w:firstLine="420"/>
        <w:rPr>
          <w:rFonts w:ascii="宋体" w:hAnsi="宋体"/>
        </w:rPr>
      </w:pPr>
      <w:r>
        <w:rPr>
          <w:rFonts w:ascii="宋体" w:hAnsi="宋体"/>
        </w:rPr>
        <w:t>2010年，共召开市政府工作会议16次，</w:t>
      </w:r>
      <w:r>
        <w:rPr>
          <w:rFonts w:hint="eastAsia" w:ascii="宋体" w:hAnsi="宋体"/>
        </w:rPr>
        <w:t>会议主要部署解决以下问题：春运安全暨春运动员工作；韶赣高速公路石料供应问题；精细化工园区内</w:t>
      </w:r>
      <w:r>
        <w:rPr>
          <w:rFonts w:ascii="宋体" w:hAnsi="宋体"/>
        </w:rPr>
        <w:t>49.01亩工业用地转变为工</w:t>
      </w:r>
      <w:r>
        <w:rPr>
          <w:rFonts w:hint="eastAsia" w:ascii="宋体" w:hAnsi="宋体"/>
        </w:rPr>
        <w:t>业园配套综合用地工作；解决彤置富水泥建材投资有限公司技改“日产</w:t>
      </w:r>
      <w:r>
        <w:rPr>
          <w:rFonts w:ascii="宋体" w:hAnsi="宋体"/>
        </w:rPr>
        <w:t>4500吨孰料新型</w:t>
      </w:r>
      <w:r>
        <w:rPr>
          <w:rFonts w:hint="eastAsia" w:ascii="宋体" w:hAnsi="宋体"/>
        </w:rPr>
        <w:t>干法水泥生产线技改工程项目用电问题”；深化医药卫生体制改革问题；</w:t>
      </w:r>
      <w:r>
        <w:rPr>
          <w:rFonts w:ascii="宋体" w:hAnsi="宋体"/>
        </w:rPr>
        <w:t>2010年中央预算</w:t>
      </w:r>
      <w:r>
        <w:rPr>
          <w:rFonts w:hint="eastAsia" w:ascii="宋体" w:hAnsi="宋体"/>
        </w:rPr>
        <w:t>内污水配套管网专项资金建设项目有关事宜；市殡葬管理所购置平板炉和高档捡灰炉的问题；加快园区配套设施建设工作，推进行政生活服务中心（金泰源办公楼）装修工作；南雄市新城影剧院建设问题；南雄古寨沟酒业有限公司的用地及相关问题进行研究；解决城镇低收入家庭困难人员经适房申购问题进行研究；西气东输二线管道工程南雄段建设遗留问题的解决；南雄市融资平台贷款“统一会谈”工作；温氏集团养猪场粪污处理规范化管理工作。</w:t>
      </w:r>
    </w:p>
    <w:p w14:paraId="60C375F7">
      <w:pPr>
        <w:pStyle w:val="3"/>
      </w:pPr>
      <w:r>
        <w:rPr>
          <w:rFonts w:hint="eastAsia"/>
        </w:rPr>
        <w:t>市政府其他重要会议</w:t>
      </w:r>
    </w:p>
    <w:p w14:paraId="64189A9B">
      <w:pPr>
        <w:ind w:firstLine="420"/>
        <w:rPr>
          <w:rFonts w:ascii="宋体" w:hAnsi="宋体"/>
        </w:rPr>
      </w:pPr>
      <w:r>
        <w:rPr>
          <w:rFonts w:ascii="宋体" w:hAnsi="宋体"/>
        </w:rPr>
        <w:t>2010年，南雄市政府召开其他重要会议</w:t>
      </w:r>
      <w:r>
        <w:rPr>
          <w:rFonts w:hint="eastAsia" w:ascii="宋体" w:hAnsi="宋体"/>
        </w:rPr>
        <w:t>有：全市经济形势分析会，全年共召开</w:t>
      </w:r>
      <w:r>
        <w:rPr>
          <w:rFonts w:ascii="宋体" w:hAnsi="宋体"/>
        </w:rPr>
        <w:t>4次，</w:t>
      </w:r>
      <w:r>
        <w:rPr>
          <w:rFonts w:hint="eastAsia" w:ascii="宋体" w:hAnsi="宋体"/>
        </w:rPr>
        <w:t>每季度召开一次，主要研究分析前一季度全市经济运行情况，部署下一阶段经济工作，查找经济发展中存在问题，提出解决办法，为推动全市经济快速发展保驾护航。经济形势分析会由市政府主持召开，市委主要领导、市政府市长、副市长、市直副科以上单位一把手，镇（街）党（工）委书记、镇长参加会议。会议一般由重要经济部门汇报分析上一季度全市经济运行情况，市长做全市经济形势分析，市委书记做总结发言。会议要求全市各级部门、各单位要紧密围绕市委、市政府经济发展目标要求，克服困难，实现全市经济持续快速发展，为打造南雄粤北门户城市建设目标而努力。</w:t>
      </w:r>
    </w:p>
    <w:p w14:paraId="0FD9A57A">
      <w:pPr>
        <w:pStyle w:val="4"/>
      </w:pPr>
      <w:r>
        <w:rPr>
          <w:rFonts w:hint="eastAsia"/>
        </w:rPr>
        <w:t>2010年南雄市人民政府领导职务变动</w:t>
      </w:r>
    </w:p>
    <w:p w14:paraId="00128A36">
      <w:pPr>
        <w:ind w:firstLine="0" w:firstLineChars="0"/>
        <w:rPr>
          <w:rFonts w:ascii="宋体" w:hAnsi="宋体"/>
        </w:rPr>
      </w:pPr>
      <w:r>
        <w:rPr>
          <w:rFonts w:hint="eastAsia" w:ascii="宋体" w:hAnsi="宋体"/>
        </w:rPr>
        <w:t>市      长：许志新（任至</w:t>
      </w:r>
      <w:r>
        <w:rPr>
          <w:rFonts w:ascii="宋体" w:hAnsi="宋体"/>
        </w:rPr>
        <w:t>2010年10月）</w:t>
      </w:r>
    </w:p>
    <w:p w14:paraId="5BB85EF6">
      <w:pPr>
        <w:ind w:firstLine="0" w:firstLineChars="0"/>
        <w:rPr>
          <w:rFonts w:ascii="宋体" w:hAnsi="宋体"/>
        </w:rPr>
      </w:pPr>
      <w:r>
        <w:rPr>
          <w:rFonts w:hint="eastAsia" w:ascii="宋体" w:hAnsi="宋体"/>
        </w:rPr>
        <w:t>代  市  长：刘清生（</w:t>
      </w:r>
      <w:r>
        <w:rPr>
          <w:rFonts w:ascii="宋体" w:hAnsi="宋体"/>
        </w:rPr>
        <w:t>2010年10月任）</w:t>
      </w:r>
    </w:p>
    <w:p w14:paraId="0A8BCB05">
      <w:pPr>
        <w:ind w:firstLine="0" w:firstLineChars="0"/>
        <w:rPr>
          <w:rFonts w:ascii="宋体" w:hAnsi="宋体"/>
        </w:rPr>
      </w:pPr>
      <w:r>
        <w:rPr>
          <w:rFonts w:hint="eastAsia" w:ascii="宋体" w:hAnsi="宋体"/>
        </w:rPr>
        <w:t>常务副市长：王荣光</w:t>
      </w:r>
    </w:p>
    <w:p w14:paraId="1D8EA635">
      <w:pPr>
        <w:ind w:firstLine="0" w:firstLineChars="0"/>
        <w:rPr>
          <w:rFonts w:ascii="宋体" w:hAnsi="宋体"/>
        </w:rPr>
      </w:pPr>
      <w:r>
        <w:rPr>
          <w:rFonts w:hint="eastAsia" w:ascii="宋体" w:hAnsi="宋体"/>
        </w:rPr>
        <w:t>副  市  长：何人平</w:t>
      </w:r>
    </w:p>
    <w:p w14:paraId="2DA502A9">
      <w:pPr>
        <w:ind w:firstLine="1260" w:firstLineChars="600"/>
        <w:rPr>
          <w:rFonts w:ascii="宋体" w:hAnsi="宋体"/>
        </w:rPr>
      </w:pPr>
      <w:r>
        <w:rPr>
          <w:rFonts w:hint="eastAsia" w:ascii="宋体" w:hAnsi="宋体"/>
        </w:rPr>
        <w:t>罗战勇</w:t>
      </w:r>
    </w:p>
    <w:p w14:paraId="69D08BDE">
      <w:pPr>
        <w:ind w:firstLine="1260" w:firstLineChars="600"/>
        <w:rPr>
          <w:rFonts w:ascii="宋体" w:hAnsi="宋体"/>
        </w:rPr>
      </w:pPr>
      <w:r>
        <w:rPr>
          <w:rFonts w:hint="eastAsia" w:ascii="宋体" w:hAnsi="宋体"/>
        </w:rPr>
        <w:t>卜小燕</w:t>
      </w:r>
    </w:p>
    <w:p w14:paraId="0D102262">
      <w:pPr>
        <w:ind w:firstLine="1260" w:firstLineChars="600"/>
        <w:rPr>
          <w:rFonts w:ascii="宋体" w:hAnsi="宋体"/>
        </w:rPr>
      </w:pPr>
      <w:r>
        <w:rPr>
          <w:rFonts w:hint="eastAsia" w:ascii="宋体" w:hAnsi="宋体"/>
        </w:rPr>
        <w:t>何光明</w:t>
      </w:r>
    </w:p>
    <w:p w14:paraId="6EC8EE81">
      <w:pPr>
        <w:ind w:firstLine="1260" w:firstLineChars="600"/>
        <w:rPr>
          <w:rFonts w:ascii="宋体" w:hAnsi="宋体"/>
        </w:rPr>
      </w:pPr>
      <w:r>
        <w:rPr>
          <w:rFonts w:hint="eastAsia" w:ascii="宋体" w:hAnsi="宋体"/>
        </w:rPr>
        <w:t>刘发龙</w:t>
      </w:r>
    </w:p>
    <w:p w14:paraId="33E3A319">
      <w:pPr>
        <w:ind w:firstLine="1260" w:firstLineChars="600"/>
        <w:rPr>
          <w:rFonts w:ascii="宋体" w:hAnsi="宋体"/>
        </w:rPr>
      </w:pPr>
      <w:r>
        <w:rPr>
          <w:rFonts w:hint="eastAsia" w:ascii="宋体" w:hAnsi="宋体"/>
        </w:rPr>
        <w:t>邓志聪（</w:t>
      </w:r>
      <w:r>
        <w:rPr>
          <w:rFonts w:ascii="宋体" w:hAnsi="宋体"/>
        </w:rPr>
        <w:t>2010年4月任）</w:t>
      </w:r>
    </w:p>
    <w:p w14:paraId="31E69275">
      <w:pPr>
        <w:ind w:firstLine="1260" w:firstLineChars="600"/>
        <w:rPr>
          <w:rFonts w:ascii="宋体" w:hAnsi="宋体"/>
        </w:rPr>
      </w:pPr>
      <w:r>
        <w:rPr>
          <w:rFonts w:hint="eastAsia" w:ascii="宋体" w:hAnsi="宋体"/>
        </w:rPr>
        <w:t>麦允谦（</w:t>
      </w:r>
      <w:r>
        <w:rPr>
          <w:rFonts w:ascii="宋体" w:hAnsi="宋体"/>
        </w:rPr>
        <w:t>2010年6月任）</w:t>
      </w:r>
    </w:p>
    <w:p w14:paraId="768A105D">
      <w:pPr>
        <w:ind w:firstLine="0" w:firstLineChars="0"/>
        <w:rPr>
          <w:rFonts w:ascii="宋体" w:hAnsi="宋体"/>
        </w:rPr>
      </w:pPr>
      <w:r>
        <w:rPr>
          <w:rFonts w:hint="eastAsia" w:ascii="宋体" w:hAnsi="宋体"/>
        </w:rPr>
        <w:t>市长  助理：吕道宏</w:t>
      </w:r>
    </w:p>
    <w:p w14:paraId="0C98E515">
      <w:pPr>
        <w:pStyle w:val="3"/>
      </w:pPr>
      <w:r>
        <w:rPr>
          <w:rFonts w:hint="eastAsia"/>
        </w:rPr>
        <w:t>政府办公室工作</w:t>
      </w:r>
    </w:p>
    <w:p w14:paraId="48D68EF1">
      <w:pPr>
        <w:pStyle w:val="4"/>
      </w:pPr>
      <w:r>
        <w:rPr>
          <w:rFonts w:hint="eastAsia"/>
        </w:rPr>
        <w:t>【概况】</w:t>
      </w:r>
    </w:p>
    <w:p w14:paraId="71ADF114">
      <w:pPr>
        <w:ind w:firstLine="420"/>
        <w:rPr>
          <w:rFonts w:ascii="宋体" w:hAnsi="宋体"/>
        </w:rPr>
      </w:pPr>
      <w:r>
        <w:rPr>
          <w:rFonts w:hint="eastAsia" w:ascii="宋体" w:hAnsi="宋体"/>
        </w:rPr>
        <w:t>南雄市政府办公室是市政府门面和参谋部门，是市政府综合工作部门，主要工作任务是“三服务”（服务领导、服务基层、服务群众）。主要具体工作是完成市政府文件起草、上传下达、下情上报和筹办市政府召开的各类会议。办公室内设人秘股、调研股、督查室、综合协调股、建议提案股、应急办、政府纪检中心组、法制局、外事侨务局、政府采购中心。</w:t>
      </w:r>
    </w:p>
    <w:p w14:paraId="3945BB4E">
      <w:pPr>
        <w:pStyle w:val="4"/>
      </w:pPr>
      <w:r>
        <w:rPr>
          <w:rFonts w:hint="eastAsia"/>
        </w:rPr>
        <w:t>【督察督办和综合协调工作】</w:t>
      </w:r>
    </w:p>
    <w:p w14:paraId="1BF5D6BE">
      <w:pPr>
        <w:ind w:firstLine="420"/>
        <w:rPr>
          <w:rFonts w:ascii="宋体" w:hAnsi="宋体"/>
        </w:rPr>
      </w:pPr>
      <w:r>
        <w:rPr>
          <w:rFonts w:hint="eastAsia" w:ascii="宋体" w:hAnsi="宋体"/>
        </w:rPr>
        <w:t>每年政府办有计划、有组织、有步骤的对市政府决议、决定、重点项目及领导批示交办的事项开展督查、督办。在督办工作中注意抓好三个环节：及时督查有关部门拿出贯彻执行的具体意见，定期跟踪执行情况；搞好部门协调，防止发生扯皮，推脱现象；跟踪、审核完成情况，及时汇总报告。协调工作室沟通情况，统一认识，消除分歧，达成一致，保证各项事业顺利开展，使整个工作顺利运转的关键。由于具体工作中，各自的职责和任务不同，同一件事情容易出现“推诿、扯皮”现象，如果不及时协调，将对决策的有效实施产生不利影响。为更好的推进政府各项工作的有利推进，政府办坚持原则性与灵活性的有机结合，工作中讲究协调艺术。注意处理好同业务部门的关系，具体工作召集各有关部门协商解决。如工业园二期园区征地问题，工作难度大，矛盾突出，个别几家单位难以很好的完成此项工作，政府办多次协调有关部门，解决征地过程中出现的规划、拆迁、补偿、安置、信访等，保证这项工作的顺利进行。政府办在具体的协调过程中，注意培养公正良好的形象，增强自身的协调能力。由于注意这些，使得政府办在组织大型活动和重要事项中，都能得到有关部门的大力协助，关系融洽，保证各项工作的圆满完成。</w:t>
      </w:r>
    </w:p>
    <w:p w14:paraId="0CE11B4B">
      <w:pPr>
        <w:pStyle w:val="4"/>
      </w:pPr>
      <w:r>
        <w:rPr>
          <w:rFonts w:hint="eastAsia"/>
        </w:rPr>
        <w:t>【制度化和规范化建设】</w:t>
      </w:r>
    </w:p>
    <w:p w14:paraId="0F91ADC3">
      <w:pPr>
        <w:ind w:firstLine="420"/>
        <w:rPr>
          <w:rFonts w:ascii="宋体" w:hAnsi="宋体"/>
        </w:rPr>
      </w:pPr>
      <w:r>
        <w:rPr>
          <w:rFonts w:hint="eastAsia" w:ascii="宋体" w:hAnsi="宋体"/>
        </w:rPr>
        <w:t>南雄市政府办公室围绕政府中心工作，不断强化“三服务”意识，积极发挥参谋助手、督促检查、综合协调和保障服务的作用，实现办公室各项工作水平的新突破，为政府各项工作高效快捷开展，为全市的经济社会又好又快发展做出积极的贡献。</w:t>
      </w:r>
    </w:p>
    <w:p w14:paraId="135306CF">
      <w:pPr>
        <w:ind w:firstLine="420"/>
        <w:rPr>
          <w:rFonts w:ascii="宋体" w:hAnsi="宋体"/>
        </w:rPr>
      </w:pPr>
      <w:r>
        <w:rPr>
          <w:rFonts w:ascii="宋体" w:hAnsi="宋体"/>
        </w:rPr>
        <w:t>1、不断优化强化办公室职能，服务水平</w:t>
      </w:r>
      <w:r>
        <w:rPr>
          <w:rFonts w:hint="eastAsia" w:ascii="宋体" w:hAnsi="宋体"/>
        </w:rPr>
        <w:t>有新提高。政府办围绕政府中心工作，重大决策，全市重点项目建设开展重点督查，及时下发督查通报，表扬先进、鞭策后进，有力推动政府重大决策的贯彻落实，在全市形成拼抢赶超的良好局面。围绕全市经济社会发展中的重大问题，按照市政府领导的要求，积极开展信息调研工作，努力提高信息质量，服务领导决策，健全信息报送制度，畅通信息报送渠道，确保全市信息报送制度的规范化、制度化。发挥主观能动性，坚持原则性与灵活性相结合，耐心细致地做好服务领导、协调部门工作。利用发文、电话、会议等各种形式，及时把市委的重大决策和重要部署传达到基层，把基层的工作情况、意见建议反映给领导。</w:t>
      </w:r>
    </w:p>
    <w:p w14:paraId="278B3013">
      <w:pPr>
        <w:ind w:firstLine="420"/>
        <w:rPr>
          <w:rFonts w:ascii="宋体" w:hAnsi="宋体"/>
        </w:rPr>
      </w:pPr>
      <w:r>
        <w:rPr>
          <w:rFonts w:ascii="宋体" w:hAnsi="宋体"/>
        </w:rPr>
        <w:t>2、加强办公室队伍建设，办公室面貌焕</w:t>
      </w:r>
      <w:r>
        <w:rPr>
          <w:rFonts w:hint="eastAsia" w:ascii="宋体" w:hAnsi="宋体"/>
        </w:rPr>
        <w:t>然一新。政府办公室把学习作为提高干部队伍素质、搞好服务的重要前提，采取有效措施，长抓不懈。坚持每个月组织全办干部集体学习中央、省、市文件精神和公文写作、信息收集、调查研究等技能，干部队伍的能力水平得到提升，收到良好的效果。在总结办公室工作规律和经验的基础上，健全工作制度，明确工作程序，使办公室各项工作便于操作，便于管理，有章可循。细化岗位职责。对办公室领导班子、各股、各个岗位的职责任务、目标要求进行量化分解，责任到人，切实做到平时分工明确、任务具体、各尽其职、各负其责，忙时相互协作，使办公室各项工作既有分工，又有协作，始终保持高效快速有序运转。规范工作程序。对会务、办文、调研等工作作详细的规定，避免工作的随意性和盲目性，减少工作纰漏。健全规章制度。出台值班、办公设备管理、车辆管理等多项工作制度，并按制度管理，使各项工作效率明显加快，服务质量明显提高。</w:t>
      </w:r>
    </w:p>
    <w:p w14:paraId="5E610444">
      <w:pPr>
        <w:pStyle w:val="4"/>
      </w:pPr>
      <w:r>
        <w:rPr>
          <w:rFonts w:hint="eastAsia"/>
        </w:rPr>
        <w:t>【行政复议和行政诉讼等法制工作】</w:t>
      </w:r>
    </w:p>
    <w:p w14:paraId="5FD87FF6">
      <w:pPr>
        <w:ind w:firstLine="420"/>
        <w:rPr>
          <w:rFonts w:ascii="宋体" w:hAnsi="宋体"/>
        </w:rPr>
      </w:pPr>
      <w:r>
        <w:rPr>
          <w:rFonts w:hint="eastAsia" w:ascii="宋体" w:hAnsi="宋体"/>
        </w:rPr>
        <w:t>贯彻执行国家和省、市政府法制工作的方针、政策、法律、法规、规章，为政府依法行政发挥积极作用。</w:t>
      </w:r>
    </w:p>
    <w:p w14:paraId="0E0EA5A2">
      <w:pPr>
        <w:ind w:firstLine="420"/>
        <w:rPr>
          <w:rFonts w:ascii="宋体" w:hAnsi="宋体"/>
        </w:rPr>
      </w:pPr>
      <w:r>
        <w:rPr>
          <w:rFonts w:ascii="宋体" w:hAnsi="宋体"/>
        </w:rPr>
        <w:t>1、审核、清理、编纂规范性法律文件。</w:t>
      </w:r>
      <w:r>
        <w:rPr>
          <w:rFonts w:hint="eastAsia" w:ascii="宋体" w:hAnsi="宋体"/>
        </w:rPr>
        <w:t>贯彻中央精神，不断推进社会主义法制进程，进一步规范政府行为，依法行政，使政府管理经济、社会的行为逐步纳入到法制化的轨道。</w:t>
      </w:r>
    </w:p>
    <w:p w14:paraId="0287CFA6">
      <w:pPr>
        <w:ind w:firstLine="420"/>
        <w:rPr>
          <w:rFonts w:ascii="宋体" w:hAnsi="宋体"/>
        </w:rPr>
      </w:pPr>
      <w:r>
        <w:rPr>
          <w:rFonts w:ascii="宋体" w:hAnsi="宋体"/>
        </w:rPr>
        <w:t>2、法律知识普及、法律法规培训。深入</w:t>
      </w:r>
      <w:r>
        <w:rPr>
          <w:rFonts w:hint="eastAsia" w:ascii="宋体" w:hAnsi="宋体"/>
        </w:rPr>
        <w:t>开展依法行政、法律推广和依法治市活动，举办经常性法律知识培训，让知法、懂法、守法观念深入人心。开展经常性法律检查工作，监督、检查法律落实情况。全市干部、群众法律意识得到普遍提高，依法办事、依法行政的观念和能力得到普遍提高。</w:t>
      </w:r>
    </w:p>
    <w:p w14:paraId="65E53111">
      <w:pPr>
        <w:ind w:firstLine="420"/>
        <w:rPr>
          <w:rFonts w:ascii="宋体" w:hAnsi="宋体"/>
        </w:rPr>
      </w:pPr>
      <w:r>
        <w:rPr>
          <w:rFonts w:ascii="宋体" w:hAnsi="宋体"/>
        </w:rPr>
        <w:t>3、办好人大议案、政协提案工作。每年</w:t>
      </w:r>
      <w:r>
        <w:rPr>
          <w:rFonts w:hint="eastAsia" w:ascii="宋体" w:hAnsi="宋体"/>
        </w:rPr>
        <w:t>的人大会结束之后，即召开有关单位碰头会，确定单位、落实到人，及时转办提案。做到议案、提案件件有落实，事事有答复，在规定时间内完成好此项工作。</w:t>
      </w:r>
      <w:r>
        <w:rPr>
          <w:rFonts w:ascii="宋体" w:hAnsi="宋体"/>
        </w:rPr>
        <w:t>2003年至2010年</w:t>
      </w:r>
      <w:r>
        <w:rPr>
          <w:rFonts w:hint="eastAsia" w:ascii="宋体" w:hAnsi="宋体"/>
        </w:rPr>
        <w:t>间，人大、政协议案办理满意率均达百分之百。</w:t>
      </w:r>
    </w:p>
    <w:p w14:paraId="109994DD">
      <w:pPr>
        <w:ind w:firstLine="0" w:firstLineChars="0"/>
        <w:rPr>
          <w:rFonts w:ascii="宋体" w:hAnsi="宋体"/>
        </w:rPr>
      </w:pPr>
      <w:r>
        <w:rPr>
          <w:rFonts w:hint="eastAsia" w:ascii="宋体" w:hAnsi="宋体"/>
          <w:b/>
        </w:rPr>
        <w:t>附：</w:t>
      </w:r>
      <w:r>
        <w:rPr>
          <w:rFonts w:ascii="宋体" w:hAnsi="宋体"/>
          <w:b/>
        </w:rPr>
        <w:t>2010年政府办领导班子成员名单</w:t>
      </w:r>
    </w:p>
    <w:p w14:paraId="0E4F1A73">
      <w:pPr>
        <w:ind w:firstLine="0" w:firstLineChars="0"/>
        <w:rPr>
          <w:rFonts w:ascii="宋体" w:hAnsi="宋体"/>
        </w:rPr>
      </w:pPr>
      <w:r>
        <w:rPr>
          <w:rFonts w:hint="eastAsia" w:ascii="宋体" w:hAnsi="宋体"/>
        </w:rPr>
        <w:t>主  任：周宏忠</w:t>
      </w:r>
    </w:p>
    <w:p w14:paraId="385D2B27">
      <w:pPr>
        <w:ind w:firstLine="0" w:firstLineChars="0"/>
        <w:rPr>
          <w:rFonts w:ascii="宋体" w:hAnsi="宋体"/>
        </w:rPr>
      </w:pPr>
      <w:r>
        <w:rPr>
          <w:rFonts w:hint="eastAsia" w:ascii="宋体" w:hAnsi="宋体"/>
        </w:rPr>
        <w:t>纪检组长：张  新</w:t>
      </w:r>
    </w:p>
    <w:p w14:paraId="047F9D03">
      <w:pPr>
        <w:ind w:firstLine="0" w:firstLineChars="0"/>
        <w:rPr>
          <w:rFonts w:ascii="宋体" w:hAnsi="宋体"/>
        </w:rPr>
      </w:pPr>
      <w:r>
        <w:rPr>
          <w:rFonts w:hint="eastAsia" w:ascii="宋体" w:hAnsi="宋体"/>
        </w:rPr>
        <w:t>副主任：曾宪忠  吴  勤  邓昌忠  曾  炳  刘光彬  陈宝林</w:t>
      </w:r>
    </w:p>
    <w:p w14:paraId="67812D6C">
      <w:pPr>
        <w:pStyle w:val="3"/>
      </w:pPr>
      <w:r>
        <w:rPr>
          <w:rFonts w:hint="eastAsia"/>
        </w:rPr>
        <w:t>人事社保工作</w:t>
      </w:r>
    </w:p>
    <w:p w14:paraId="4A59FF8B">
      <w:pPr>
        <w:pStyle w:val="4"/>
      </w:pPr>
      <w:r>
        <w:rPr>
          <w:rFonts w:hint="eastAsia"/>
        </w:rPr>
        <w:t>【概况】</w:t>
      </w:r>
    </w:p>
    <w:p w14:paraId="74D5E009">
      <w:pPr>
        <w:ind w:firstLine="420"/>
        <w:rPr>
          <w:rFonts w:ascii="宋体" w:hAnsi="宋体"/>
        </w:rPr>
      </w:pPr>
      <w:r>
        <w:rPr>
          <w:rFonts w:hint="eastAsia" w:ascii="宋体" w:hAnsi="宋体"/>
        </w:rPr>
        <w:t>市人事局</w:t>
      </w:r>
      <w:r>
        <w:rPr>
          <w:rFonts w:ascii="宋体" w:hAnsi="宋体"/>
        </w:rPr>
        <w:t>2010年编制15人，</w:t>
      </w:r>
      <w:r>
        <w:rPr>
          <w:rFonts w:hint="eastAsia" w:ascii="宋体" w:hAnsi="宋体"/>
        </w:rPr>
        <w:t>设办公室、公务员管理股、专业技术人员管理股、工资福利股、培训教育股、人事争议仲裁委员会办公室、人才工作管理办公室。</w:t>
      </w:r>
    </w:p>
    <w:p w14:paraId="457E1C0D">
      <w:pPr>
        <w:pStyle w:val="4"/>
      </w:pPr>
      <w:r>
        <w:rPr>
          <w:rFonts w:hint="eastAsia"/>
        </w:rPr>
        <w:t>【机构改革与编制管理】</w:t>
      </w:r>
    </w:p>
    <w:p w14:paraId="2C29A8C2">
      <w:pPr>
        <w:ind w:firstLine="420"/>
        <w:rPr>
          <w:rFonts w:ascii="宋体" w:hAnsi="宋体"/>
        </w:rPr>
      </w:pPr>
      <w:r>
        <w:rPr>
          <w:rFonts w:hint="eastAsia" w:ascii="宋体" w:hAnsi="宋体"/>
        </w:rPr>
        <w:t>执行机构编制管理暂行规定，控制机关、事业单位编制，做好机构编制管理的日常工作。一是新设立合作医疗服务中心等三个事业单位，为市人民医院等三个事业单位增加编制。二是为机要局等单位制定三定方案。三是椐据工作需要对市直有关单位调整内设机构。全面完成全市事业单位网上年检工作。根据规定要求完成全市</w:t>
      </w:r>
      <w:r>
        <w:rPr>
          <w:rFonts w:ascii="宋体" w:hAnsi="宋体"/>
        </w:rPr>
        <w:t>169个事业单位网上年检，年检率为95%，年检合格率为100%。</w:t>
      </w:r>
      <w:r>
        <w:rPr>
          <w:rFonts w:hint="eastAsia" w:ascii="宋体" w:hAnsi="宋体"/>
        </w:rPr>
        <w:t>按照精简统一效能的原则，组织实施南雄市政府机构大部制改革，</w:t>
      </w:r>
      <w:r>
        <w:rPr>
          <w:rFonts w:ascii="宋体" w:hAnsi="宋体"/>
        </w:rPr>
        <w:t>5月6日召开全市</w:t>
      </w:r>
      <w:r>
        <w:rPr>
          <w:rFonts w:hint="eastAsia" w:ascii="宋体" w:hAnsi="宋体"/>
        </w:rPr>
        <w:t>动员大会，根据韶关市委、市政府的批复南雄市政府设</w:t>
      </w:r>
      <w:r>
        <w:rPr>
          <w:rFonts w:ascii="宋体" w:hAnsi="宋体"/>
        </w:rPr>
        <w:t>26个工作部门，有16个单位有变</w:t>
      </w:r>
      <w:r>
        <w:rPr>
          <w:rFonts w:hint="eastAsia" w:ascii="宋体" w:hAnsi="宋体"/>
        </w:rPr>
        <w:t>动。由于组织严密，工作到位，在机改过程中确保思想不散、秩序不乱、工作不断、国有资产不流失，确保改革的顺利完成。</w:t>
      </w:r>
    </w:p>
    <w:p w14:paraId="49F55A62">
      <w:pPr>
        <w:pStyle w:val="4"/>
      </w:pPr>
      <w:r>
        <w:rPr>
          <w:rFonts w:hint="eastAsia"/>
        </w:rPr>
        <w:t>【人才服务工作】</w:t>
      </w:r>
    </w:p>
    <w:p w14:paraId="0CF0B67C">
      <w:pPr>
        <w:ind w:firstLine="420"/>
        <w:rPr>
          <w:rFonts w:ascii="宋体" w:hAnsi="宋体"/>
        </w:rPr>
      </w:pPr>
      <w:r>
        <w:rPr>
          <w:rFonts w:hint="eastAsia" w:ascii="宋体" w:hAnsi="宋体"/>
        </w:rPr>
        <w:t>办理人事代理</w:t>
      </w:r>
      <w:r>
        <w:rPr>
          <w:rFonts w:ascii="宋体" w:hAnsi="宋体"/>
        </w:rPr>
        <w:t>183宗，其</w:t>
      </w:r>
      <w:r>
        <w:rPr>
          <w:rFonts w:hint="eastAsia" w:ascii="宋体" w:hAnsi="宋体"/>
        </w:rPr>
        <w:t>中办理转正定级</w:t>
      </w:r>
      <w:r>
        <w:rPr>
          <w:rFonts w:ascii="宋体" w:hAnsi="宋体"/>
        </w:rPr>
        <w:t>183人，办理年度考核742人</w:t>
      </w:r>
      <w:r>
        <w:rPr>
          <w:rFonts w:hint="eastAsia" w:ascii="宋体" w:hAnsi="宋体"/>
        </w:rPr>
        <w:t>次；调整档案工资</w:t>
      </w:r>
      <w:r>
        <w:rPr>
          <w:rFonts w:ascii="宋体" w:hAnsi="宋体"/>
        </w:rPr>
        <w:t>742人次；为人事代理人</w:t>
      </w:r>
      <w:r>
        <w:rPr>
          <w:rFonts w:hint="eastAsia" w:ascii="宋体" w:hAnsi="宋体"/>
        </w:rPr>
        <w:t>员办理调档手续有</w:t>
      </w:r>
      <w:r>
        <w:rPr>
          <w:rFonts w:ascii="宋体" w:hAnsi="宋体"/>
        </w:rPr>
        <w:t>179人，人事代理调出市</w:t>
      </w:r>
      <w:r>
        <w:rPr>
          <w:rFonts w:hint="eastAsia" w:ascii="宋体" w:hAnsi="宋体"/>
        </w:rPr>
        <w:t>外</w:t>
      </w:r>
      <w:r>
        <w:rPr>
          <w:rFonts w:ascii="宋体" w:hAnsi="宋体"/>
        </w:rPr>
        <w:t>164人，市内安排24人，为事业单位申请</w:t>
      </w:r>
      <w:r>
        <w:rPr>
          <w:rFonts w:hint="eastAsia" w:ascii="宋体" w:hAnsi="宋体"/>
        </w:rPr>
        <w:t>辞职人员办理辞职手续</w:t>
      </w:r>
      <w:r>
        <w:rPr>
          <w:rFonts w:ascii="宋体" w:hAnsi="宋体"/>
        </w:rPr>
        <w:t>16人（自动离职1</w:t>
      </w:r>
      <w:r>
        <w:rPr>
          <w:rFonts w:hint="eastAsia" w:ascii="宋体" w:hAnsi="宋体"/>
        </w:rPr>
        <w:t>人）。同时，按规定及时完成</w:t>
      </w:r>
      <w:r>
        <w:rPr>
          <w:rFonts w:ascii="宋体" w:hAnsi="宋体"/>
        </w:rPr>
        <w:t>79名（其中教</w:t>
      </w:r>
      <w:r>
        <w:rPr>
          <w:rFonts w:hint="eastAsia" w:ascii="宋体" w:hAnsi="宋体"/>
        </w:rPr>
        <w:t>育</w:t>
      </w:r>
      <w:r>
        <w:rPr>
          <w:rFonts w:ascii="宋体" w:hAnsi="宋体"/>
        </w:rPr>
        <w:t>62名，卫生32名，建设局2名，环保局2</w:t>
      </w:r>
      <w:r>
        <w:rPr>
          <w:rFonts w:hint="eastAsia" w:ascii="宋体" w:hAnsi="宋体"/>
        </w:rPr>
        <w:t>名）</w:t>
      </w:r>
      <w:r>
        <w:rPr>
          <w:rFonts w:ascii="宋体" w:hAnsi="宋体"/>
        </w:rPr>
        <w:t>2009年引进和招考毕业生转正考察工作，</w:t>
      </w:r>
      <w:r>
        <w:rPr>
          <w:rFonts w:hint="eastAsia" w:ascii="宋体" w:hAnsi="宋体"/>
        </w:rPr>
        <w:t>及时为他们办理转正定级手续。按照省、市人社部门的有关培训教育规定，提高公务员和专业技术人员服务科学发展能力、依法行政能力和创新能力，共培训</w:t>
      </w:r>
      <w:r>
        <w:rPr>
          <w:rFonts w:ascii="宋体" w:hAnsi="宋体"/>
        </w:rPr>
        <w:t>10209人次，其</w:t>
      </w:r>
      <w:r>
        <w:rPr>
          <w:rFonts w:hint="eastAsia" w:ascii="宋体" w:hAnsi="宋体"/>
        </w:rPr>
        <w:t>中公务员</w:t>
      </w:r>
      <w:r>
        <w:rPr>
          <w:rFonts w:ascii="宋体" w:hAnsi="宋体"/>
        </w:rPr>
        <w:t>3794人次，专业技术人员6415人</w:t>
      </w:r>
      <w:r>
        <w:rPr>
          <w:rFonts w:hint="eastAsia" w:ascii="宋体" w:hAnsi="宋体"/>
        </w:rPr>
        <w:t>次，培训内容有</w:t>
      </w:r>
      <w:r>
        <w:rPr>
          <w:rFonts w:ascii="宋体" w:hAnsi="宋体"/>
        </w:rPr>
        <w:t>25项，培训时间为98天</w:t>
      </w:r>
      <w:r>
        <w:rPr>
          <w:rFonts w:hint="eastAsia" w:ascii="宋体" w:hAnsi="宋体"/>
        </w:rPr>
        <w:t>。</w:t>
      </w:r>
    </w:p>
    <w:p w14:paraId="4E4FFD7D">
      <w:pPr>
        <w:pStyle w:val="4"/>
      </w:pPr>
      <w:r>
        <w:rPr>
          <w:rFonts w:hint="eastAsia"/>
        </w:rPr>
        <w:t>【高校毕业生就业】</w:t>
      </w:r>
    </w:p>
    <w:p w14:paraId="09D39CF6">
      <w:pPr>
        <w:ind w:firstLine="420"/>
        <w:rPr>
          <w:rFonts w:ascii="宋体" w:hAnsi="宋体"/>
        </w:rPr>
      </w:pPr>
      <w:r>
        <w:rPr>
          <w:rFonts w:hint="eastAsia" w:ascii="宋体" w:hAnsi="宋体"/>
        </w:rPr>
        <w:t>为</w:t>
      </w:r>
      <w:r>
        <w:rPr>
          <w:rFonts w:ascii="宋体" w:hAnsi="宋体"/>
        </w:rPr>
        <w:t>1143名毕业生办理</w:t>
      </w:r>
      <w:r>
        <w:rPr>
          <w:rFonts w:hint="eastAsia" w:ascii="宋体" w:hAnsi="宋体"/>
        </w:rPr>
        <w:t>报到手续，其中本科生</w:t>
      </w:r>
      <w:r>
        <w:rPr>
          <w:rFonts w:ascii="宋体" w:hAnsi="宋体"/>
        </w:rPr>
        <w:t>176名，专科生967</w:t>
      </w:r>
      <w:r>
        <w:rPr>
          <w:rFonts w:hint="eastAsia" w:ascii="宋体" w:hAnsi="宋体"/>
        </w:rPr>
        <w:t>名。认真做好毕业生的个人资料信息收集，主动向社会用人单位推荐吸纳毕业生。</w:t>
      </w:r>
      <w:r>
        <w:rPr>
          <w:rFonts w:ascii="宋体" w:hAnsi="宋体"/>
        </w:rPr>
        <w:t>144名</w:t>
      </w:r>
      <w:r>
        <w:rPr>
          <w:rFonts w:hint="eastAsia" w:ascii="宋体" w:hAnsi="宋体"/>
        </w:rPr>
        <w:t>毕业生为市机关、事业单位通过招考、引进聘（录）用（其中有</w:t>
      </w:r>
      <w:r>
        <w:rPr>
          <w:rFonts w:ascii="宋体" w:hAnsi="宋体"/>
        </w:rPr>
        <w:t>9名研究生、80名本科</w:t>
      </w:r>
      <w:r>
        <w:rPr>
          <w:rFonts w:hint="eastAsia" w:ascii="宋体" w:hAnsi="宋体"/>
        </w:rPr>
        <w:t>毕业生、</w:t>
      </w:r>
      <w:r>
        <w:rPr>
          <w:rFonts w:ascii="宋体" w:hAnsi="宋体"/>
        </w:rPr>
        <w:t>44名大专毕业生、11名中专毕业</w:t>
      </w:r>
      <w:r>
        <w:rPr>
          <w:rFonts w:hint="eastAsia" w:ascii="宋体" w:hAnsi="宋体"/>
        </w:rPr>
        <w:t>生）。接收</w:t>
      </w:r>
      <w:r>
        <w:rPr>
          <w:rFonts w:ascii="宋体" w:hAnsi="宋体"/>
        </w:rPr>
        <w:t>20名参加</w:t>
      </w:r>
      <w:r>
        <w:rPr>
          <w:rFonts w:hint="eastAsia" w:ascii="宋体" w:hAnsi="宋体"/>
        </w:rPr>
        <w:t>“</w:t>
      </w:r>
      <w:r>
        <w:rPr>
          <w:rFonts w:ascii="宋体" w:hAnsi="宋体"/>
        </w:rPr>
        <w:t>三支一扶</w:t>
      </w:r>
      <w:r>
        <w:rPr>
          <w:rFonts w:hint="eastAsia" w:ascii="宋体" w:hAnsi="宋体"/>
        </w:rPr>
        <w:t>”</w:t>
      </w:r>
      <w:r>
        <w:rPr>
          <w:rFonts w:ascii="宋体" w:hAnsi="宋体"/>
        </w:rPr>
        <w:t>的大学生</w:t>
      </w:r>
      <w:r>
        <w:rPr>
          <w:rFonts w:hint="eastAsia" w:ascii="宋体" w:hAnsi="宋体"/>
        </w:rPr>
        <w:t>到农业、乡镇卫生院和农村一线学校扶持农业和卫生、教育工作，其中：支教</w:t>
      </w:r>
      <w:r>
        <w:rPr>
          <w:rFonts w:ascii="宋体" w:hAnsi="宋体"/>
        </w:rPr>
        <w:t>17名，支</w:t>
      </w:r>
      <w:r>
        <w:rPr>
          <w:rFonts w:hint="eastAsia" w:ascii="宋体" w:hAnsi="宋体"/>
        </w:rPr>
        <w:t>医</w:t>
      </w:r>
      <w:r>
        <w:rPr>
          <w:rFonts w:ascii="宋体" w:hAnsi="宋体"/>
        </w:rPr>
        <w:t>2名，支农1名。为7名参加2008年</w:t>
      </w:r>
      <w:r>
        <w:rPr>
          <w:rFonts w:hint="eastAsia" w:ascii="宋体" w:hAnsi="宋体"/>
        </w:rPr>
        <w:t>“</w:t>
      </w:r>
      <w:r>
        <w:rPr>
          <w:rFonts w:ascii="宋体" w:hAnsi="宋体"/>
        </w:rPr>
        <w:t>三</w:t>
      </w:r>
      <w:r>
        <w:rPr>
          <w:rFonts w:hint="eastAsia" w:ascii="宋体" w:hAnsi="宋体"/>
        </w:rPr>
        <w:t>支一扶”大学生办理服务期满手续，在</w:t>
      </w:r>
      <w:r>
        <w:rPr>
          <w:rFonts w:ascii="宋体" w:hAnsi="宋体"/>
        </w:rPr>
        <w:t>2010</w:t>
      </w:r>
      <w:r>
        <w:rPr>
          <w:rFonts w:hint="eastAsia" w:ascii="宋体" w:hAnsi="宋体"/>
        </w:rPr>
        <w:t>年事业单位专业技术人员招考中，给予符合报考条件的服务期满的“三支一扶”大学生加</w:t>
      </w:r>
      <w:r>
        <w:rPr>
          <w:rFonts w:ascii="宋体" w:hAnsi="宋体"/>
        </w:rPr>
        <w:t>10分的优惠，并按规定安排3名2008年服</w:t>
      </w:r>
      <w:r>
        <w:rPr>
          <w:rFonts w:hint="eastAsia" w:ascii="宋体" w:hAnsi="宋体"/>
        </w:rPr>
        <w:t>务期满“三支一扶”未就业大学生在教育系统就业。</w:t>
      </w:r>
    </w:p>
    <w:p w14:paraId="4E002663">
      <w:pPr>
        <w:pStyle w:val="4"/>
      </w:pPr>
      <w:r>
        <w:rPr>
          <w:rFonts w:hint="eastAsia"/>
        </w:rPr>
        <w:t>【人才引进】</w:t>
      </w:r>
    </w:p>
    <w:p w14:paraId="3C5E991A">
      <w:pPr>
        <w:ind w:firstLine="420"/>
        <w:rPr>
          <w:rFonts w:ascii="宋体" w:hAnsi="宋体"/>
        </w:rPr>
      </w:pPr>
      <w:r>
        <w:rPr>
          <w:rFonts w:hint="eastAsia" w:ascii="宋体" w:hAnsi="宋体"/>
        </w:rPr>
        <w:t>先后组织教育、卫生、环保和招商引资企业等单位分别多次赴韶关等地参加毕业生供需见面会，积极拓宽渠道引进人才。全市引进紧缺、急需人才</w:t>
      </w:r>
      <w:r>
        <w:rPr>
          <w:rFonts w:ascii="宋体" w:hAnsi="宋体"/>
        </w:rPr>
        <w:t>69人（研究生9人，本科60人），其中</w:t>
      </w:r>
      <w:r>
        <w:rPr>
          <w:rFonts w:hint="eastAsia" w:ascii="宋体" w:hAnsi="宋体"/>
        </w:rPr>
        <w:t>：</w:t>
      </w:r>
      <w:r>
        <w:rPr>
          <w:rFonts w:ascii="宋体" w:hAnsi="宋体"/>
        </w:rPr>
        <w:t>教育类专业47人，</w:t>
      </w:r>
      <w:r>
        <w:rPr>
          <w:rFonts w:hint="eastAsia" w:ascii="宋体" w:hAnsi="宋体"/>
        </w:rPr>
        <w:t>卫生类专业</w:t>
      </w:r>
      <w:r>
        <w:rPr>
          <w:rFonts w:ascii="宋体" w:hAnsi="宋体"/>
        </w:rPr>
        <w:t>21人，环保1人。</w:t>
      </w:r>
    </w:p>
    <w:p w14:paraId="2610AF40">
      <w:pPr>
        <w:pStyle w:val="4"/>
      </w:pPr>
      <w:r>
        <w:rPr>
          <w:rFonts w:hint="eastAsia"/>
        </w:rPr>
        <w:t>【军转干部安置与服务工作】</w:t>
      </w:r>
    </w:p>
    <w:p w14:paraId="2EB63A27">
      <w:pPr>
        <w:ind w:firstLine="420"/>
        <w:rPr>
          <w:rFonts w:ascii="宋体" w:hAnsi="宋体"/>
        </w:rPr>
      </w:pPr>
      <w:r>
        <w:rPr>
          <w:rFonts w:hint="eastAsia" w:ascii="宋体" w:hAnsi="宋体"/>
        </w:rPr>
        <w:t>不断提高解困和退休金补助标准，制定调整企业军转干部解困待遇标准，为</w:t>
      </w:r>
      <w:r>
        <w:rPr>
          <w:rFonts w:ascii="宋体" w:hAnsi="宋体"/>
        </w:rPr>
        <w:t>49名退休及失业企业军转</w:t>
      </w:r>
      <w:r>
        <w:rPr>
          <w:rFonts w:hint="eastAsia" w:ascii="宋体" w:hAnsi="宋体"/>
        </w:rPr>
        <w:t>干部每人每月增加</w:t>
      </w:r>
      <w:r>
        <w:rPr>
          <w:rFonts w:ascii="宋体" w:hAnsi="宋体"/>
        </w:rPr>
        <w:t>30元。坚持做好企业军转</w:t>
      </w:r>
      <w:r>
        <w:rPr>
          <w:rFonts w:hint="eastAsia" w:ascii="宋体" w:hAnsi="宋体"/>
        </w:rPr>
        <w:t>干部的思想政治工作，通过定期或不定期召开企业军转干部代表座谈会，在重要节假日开展慰问活动等形式，建立政府与企业军转干部正常沟通交流的平台，引导企业军转干部共同维护南雄社会稳定。</w:t>
      </w:r>
    </w:p>
    <w:p w14:paraId="432D4117">
      <w:pPr>
        <w:pStyle w:val="4"/>
      </w:pPr>
      <w:r>
        <w:rPr>
          <w:rFonts w:hint="eastAsia"/>
        </w:rPr>
        <w:t>【干部管理】</w:t>
      </w:r>
    </w:p>
    <w:p w14:paraId="6268C766">
      <w:pPr>
        <w:ind w:firstLine="420"/>
        <w:rPr>
          <w:rFonts w:ascii="宋体" w:hAnsi="宋体"/>
        </w:rPr>
      </w:pPr>
      <w:r>
        <w:rPr>
          <w:rFonts w:hint="eastAsia" w:ascii="宋体" w:hAnsi="宋体"/>
        </w:rPr>
        <w:t>做好公务员招考录用工作。根据省、韶关市的部署，</w:t>
      </w:r>
      <w:r>
        <w:rPr>
          <w:rFonts w:ascii="宋体" w:hAnsi="宋体"/>
        </w:rPr>
        <w:t>2010年通过资格审查、</w:t>
      </w:r>
      <w:r>
        <w:rPr>
          <w:rFonts w:hint="eastAsia" w:ascii="宋体" w:hAnsi="宋体"/>
        </w:rPr>
        <w:t>笔试、面试、资格复审、体检、考核合格，全市录用镇机关公务员</w:t>
      </w:r>
      <w:r>
        <w:rPr>
          <w:rFonts w:ascii="宋体" w:hAnsi="宋体"/>
        </w:rPr>
        <w:t>20人，基层国土所5</w:t>
      </w:r>
      <w:r>
        <w:rPr>
          <w:rFonts w:hint="eastAsia" w:ascii="宋体" w:hAnsi="宋体"/>
        </w:rPr>
        <w:t>人，基层司法所</w:t>
      </w:r>
      <w:r>
        <w:rPr>
          <w:rFonts w:ascii="宋体" w:hAnsi="宋体"/>
        </w:rPr>
        <w:t>5人，公安局10人，公安森</w:t>
      </w:r>
      <w:r>
        <w:rPr>
          <w:rFonts w:hint="eastAsia" w:ascii="宋体" w:hAnsi="宋体"/>
        </w:rPr>
        <w:t>林分局</w:t>
      </w:r>
      <w:r>
        <w:rPr>
          <w:rFonts w:ascii="宋体" w:hAnsi="宋体"/>
        </w:rPr>
        <w:t>2人，检察院3人，优秀村官2人，合</w:t>
      </w:r>
      <w:r>
        <w:rPr>
          <w:rFonts w:hint="eastAsia" w:ascii="宋体" w:hAnsi="宋体"/>
        </w:rPr>
        <w:t>计录用公务员</w:t>
      </w:r>
      <w:r>
        <w:rPr>
          <w:rFonts w:ascii="宋体" w:hAnsi="宋体"/>
        </w:rPr>
        <w:t>49人（不含选调生）</w:t>
      </w:r>
      <w:r>
        <w:rPr>
          <w:rFonts w:hint="eastAsia" w:ascii="宋体" w:hAnsi="宋体"/>
        </w:rPr>
        <w:t>。做好机关、事业单位</w:t>
      </w:r>
      <w:r>
        <w:rPr>
          <w:rFonts w:ascii="宋体" w:hAnsi="宋体"/>
        </w:rPr>
        <w:t>2009年年度考核工</w:t>
      </w:r>
      <w:r>
        <w:rPr>
          <w:rFonts w:hint="eastAsia" w:ascii="宋体" w:hAnsi="宋体"/>
        </w:rPr>
        <w:t>作。全市参加</w:t>
      </w:r>
      <w:r>
        <w:rPr>
          <w:rFonts w:ascii="宋体" w:hAnsi="宋体"/>
        </w:rPr>
        <w:t>2009年年度考核总人数9112</w:t>
      </w:r>
      <w:r>
        <w:rPr>
          <w:rFonts w:hint="eastAsia" w:ascii="宋体" w:hAnsi="宋体"/>
        </w:rPr>
        <w:t>人，实际参加人数</w:t>
      </w:r>
      <w:r>
        <w:rPr>
          <w:rFonts w:ascii="宋体" w:hAnsi="宋体"/>
        </w:rPr>
        <w:t>9076人。优秀等次1123</w:t>
      </w:r>
      <w:r>
        <w:rPr>
          <w:rFonts w:hint="eastAsia" w:ascii="宋体" w:hAnsi="宋体"/>
        </w:rPr>
        <w:t>人，占总人数的</w:t>
      </w:r>
      <w:r>
        <w:rPr>
          <w:rFonts w:ascii="宋体" w:hAnsi="宋体"/>
        </w:rPr>
        <w:t>12.3%。称职（合格）等次7801人，占总人数85.5%；不称职（不合</w:t>
      </w:r>
      <w:r>
        <w:rPr>
          <w:rFonts w:hint="eastAsia" w:ascii="宋体" w:hAnsi="宋体"/>
        </w:rPr>
        <w:t>格）等次</w:t>
      </w:r>
      <w:r>
        <w:rPr>
          <w:rFonts w:ascii="宋体" w:hAnsi="宋体"/>
        </w:rPr>
        <w:t>16人，占总人数的0.14%；不定等</w:t>
      </w:r>
      <w:r>
        <w:rPr>
          <w:rFonts w:hint="eastAsia" w:ascii="宋体" w:hAnsi="宋体"/>
        </w:rPr>
        <w:t>次</w:t>
      </w:r>
      <w:r>
        <w:rPr>
          <w:rFonts w:ascii="宋体" w:hAnsi="宋体"/>
        </w:rPr>
        <w:t>141人，占总人数的1.5%。</w:t>
      </w:r>
      <w:r>
        <w:rPr>
          <w:rFonts w:hint="eastAsia" w:ascii="宋体" w:hAnsi="宋体"/>
        </w:rPr>
        <w:t>完成</w:t>
      </w:r>
      <w:r>
        <w:rPr>
          <w:rFonts w:ascii="宋体" w:hAnsi="宋体"/>
        </w:rPr>
        <w:t>13名镇机关新录用公务员推行导师</w:t>
      </w:r>
      <w:r>
        <w:rPr>
          <w:rFonts w:hint="eastAsia" w:ascii="宋体" w:hAnsi="宋体"/>
        </w:rPr>
        <w:t>制的选聘工作，并对新录用公务员进行公务员登记。审核档案。做好公务员调任转任工作，</w:t>
      </w:r>
      <w:r>
        <w:rPr>
          <w:rFonts w:ascii="宋体" w:hAnsi="宋体"/>
        </w:rPr>
        <w:t>2010年办理公务员调动31人。</w:t>
      </w:r>
    </w:p>
    <w:p w14:paraId="440D4BCD">
      <w:pPr>
        <w:pStyle w:val="4"/>
      </w:pPr>
      <w:r>
        <w:rPr>
          <w:rFonts w:hint="eastAsia"/>
        </w:rPr>
        <w:t>【职称工作】</w:t>
      </w:r>
    </w:p>
    <w:p w14:paraId="075A098D">
      <w:pPr>
        <w:ind w:firstLine="420"/>
        <w:rPr>
          <w:rFonts w:ascii="宋体" w:hAnsi="宋体"/>
        </w:rPr>
      </w:pPr>
      <w:r>
        <w:rPr>
          <w:rFonts w:hint="eastAsia" w:ascii="宋体" w:hAnsi="宋体"/>
        </w:rPr>
        <w:t>按规定操作，把职称评聘的有关条件、程序等规定向社会公示，做到不超比例申报、申报材料真实规范。</w:t>
      </w:r>
      <w:r>
        <w:rPr>
          <w:rFonts w:ascii="宋体" w:hAnsi="宋体"/>
        </w:rPr>
        <w:t>2010年全市</w:t>
      </w:r>
      <w:r>
        <w:rPr>
          <w:rFonts w:hint="eastAsia" w:ascii="宋体" w:hAnsi="宋体"/>
        </w:rPr>
        <w:t>新增专业技术人员</w:t>
      </w:r>
      <w:r>
        <w:rPr>
          <w:rFonts w:ascii="宋体" w:hAnsi="宋体"/>
        </w:rPr>
        <w:t>370人，其中高级43人、</w:t>
      </w:r>
      <w:r>
        <w:rPr>
          <w:rFonts w:hint="eastAsia" w:ascii="宋体" w:hAnsi="宋体"/>
        </w:rPr>
        <w:t>中级</w:t>
      </w:r>
      <w:r>
        <w:rPr>
          <w:rFonts w:ascii="宋体" w:hAnsi="宋体"/>
        </w:rPr>
        <w:t>171人、初级156人。向省推荐99人参</w:t>
      </w:r>
      <w:r>
        <w:rPr>
          <w:rFonts w:hint="eastAsia" w:ascii="宋体" w:hAnsi="宋体"/>
        </w:rPr>
        <w:t>加高级职称评审，向韶关推荐</w:t>
      </w:r>
      <w:r>
        <w:rPr>
          <w:rFonts w:ascii="宋体" w:hAnsi="宋体"/>
        </w:rPr>
        <w:t>185人参加中</w:t>
      </w:r>
      <w:r>
        <w:rPr>
          <w:rFonts w:hint="eastAsia" w:ascii="宋体" w:hAnsi="宋体"/>
        </w:rPr>
        <w:t>级职称评审，向南雄市推荐</w:t>
      </w:r>
      <w:r>
        <w:rPr>
          <w:rFonts w:ascii="宋体" w:hAnsi="宋体"/>
        </w:rPr>
        <w:t>37人参加初级职</w:t>
      </w:r>
      <w:r>
        <w:rPr>
          <w:rFonts w:hint="eastAsia" w:ascii="宋体" w:hAnsi="宋体"/>
        </w:rPr>
        <w:t>称评审。对在企业、事业单位和挂靠的</w:t>
      </w:r>
      <w:r>
        <w:rPr>
          <w:rFonts w:ascii="宋体" w:hAnsi="宋体"/>
        </w:rPr>
        <w:t>122</w:t>
      </w:r>
      <w:r>
        <w:rPr>
          <w:rFonts w:hint="eastAsia" w:ascii="宋体" w:hAnsi="宋体"/>
        </w:rPr>
        <w:t>名大中专毕业生办理初次职称认定手续。</w:t>
      </w:r>
    </w:p>
    <w:p w14:paraId="562A528C">
      <w:pPr>
        <w:pStyle w:val="4"/>
      </w:pPr>
      <w:r>
        <w:rPr>
          <w:rFonts w:hint="eastAsia"/>
        </w:rPr>
        <w:t>【专业技术人员管理】</w:t>
      </w:r>
    </w:p>
    <w:p w14:paraId="7400A85B">
      <w:pPr>
        <w:ind w:firstLine="420"/>
        <w:rPr>
          <w:rFonts w:ascii="宋体" w:hAnsi="宋体"/>
        </w:rPr>
      </w:pPr>
      <w:r>
        <w:rPr>
          <w:rFonts w:ascii="宋体" w:hAnsi="宋体"/>
        </w:rPr>
        <w:t>2010年对</w:t>
      </w:r>
      <w:r>
        <w:rPr>
          <w:rFonts w:hint="eastAsia" w:ascii="宋体" w:hAnsi="宋体"/>
        </w:rPr>
        <w:t>已</w:t>
      </w:r>
      <w:r>
        <w:rPr>
          <w:rFonts w:ascii="宋体" w:hAnsi="宋体"/>
        </w:rPr>
        <w:t>取得职</w:t>
      </w:r>
      <w:r>
        <w:rPr>
          <w:rFonts w:hint="eastAsia" w:ascii="宋体" w:hAnsi="宋体"/>
        </w:rPr>
        <w:t>称的</w:t>
      </w:r>
      <w:r>
        <w:rPr>
          <w:rFonts w:ascii="宋体" w:hAnsi="宋体"/>
        </w:rPr>
        <w:t>512名专技人员，依据资格证、继续教</w:t>
      </w:r>
      <w:r>
        <w:rPr>
          <w:rFonts w:hint="eastAsia" w:ascii="宋体" w:hAnsi="宋体"/>
        </w:rPr>
        <w:t>育证进行审批聘任。先后组织外语、经济类的报名考试工作。全市报考经济类专业</w:t>
      </w:r>
      <w:r>
        <w:rPr>
          <w:rFonts w:ascii="宋体" w:hAnsi="宋体"/>
        </w:rPr>
        <w:t>51</w:t>
      </w:r>
      <w:r>
        <w:rPr>
          <w:rFonts w:hint="eastAsia" w:ascii="宋体" w:hAnsi="宋体"/>
        </w:rPr>
        <w:t>人，其中中级</w:t>
      </w:r>
      <w:r>
        <w:rPr>
          <w:rFonts w:ascii="宋体" w:hAnsi="宋体"/>
        </w:rPr>
        <w:t>42人、初级9人。对统计、审</w:t>
      </w:r>
      <w:r>
        <w:rPr>
          <w:rFonts w:hint="eastAsia" w:ascii="宋体" w:hAnsi="宋体"/>
        </w:rPr>
        <w:t>计等报考人数较少的专业，协助相关单位做好报考工作。</w:t>
      </w:r>
    </w:p>
    <w:p w14:paraId="40D64484">
      <w:pPr>
        <w:pStyle w:val="4"/>
      </w:pPr>
      <w:r>
        <w:rPr>
          <w:rFonts w:hint="eastAsia"/>
        </w:rPr>
        <w:t>【人事考试】</w:t>
      </w:r>
    </w:p>
    <w:p w14:paraId="1713CE20">
      <w:pPr>
        <w:ind w:firstLine="420"/>
        <w:rPr>
          <w:rFonts w:ascii="宋体" w:hAnsi="宋体"/>
        </w:rPr>
      </w:pPr>
      <w:r>
        <w:rPr>
          <w:rFonts w:hint="eastAsia" w:ascii="宋体" w:hAnsi="宋体"/>
        </w:rPr>
        <w:t>围绕全市经济社会发展大局，创新人才培养、引进、激励和服务等工作，进一步健全和完善事业单位公开招聘制度，推进教育、卫生系统等工作人员招聘工作。</w:t>
      </w:r>
      <w:r>
        <w:rPr>
          <w:rFonts w:ascii="宋体" w:hAnsi="宋体"/>
        </w:rPr>
        <w:t>2010年1月至2010年12月，根据南雄市事</w:t>
      </w:r>
      <w:r>
        <w:rPr>
          <w:rFonts w:hint="eastAsia" w:ascii="宋体" w:hAnsi="宋体"/>
        </w:rPr>
        <w:t>业单位的需求，面向社会公开招聘大中专院校毕业生</w:t>
      </w:r>
      <w:r>
        <w:rPr>
          <w:rFonts w:ascii="宋体" w:hAnsi="宋体"/>
        </w:rPr>
        <w:t>146人。整个招聘过程通过资格政</w:t>
      </w:r>
      <w:r>
        <w:rPr>
          <w:rFonts w:hint="eastAsia" w:ascii="宋体" w:hAnsi="宋体"/>
        </w:rPr>
        <w:t>审、笔试、面试、体检、考核等程序，全程由市纪检监察、新闻单位、阳光使者实施监督。对</w:t>
      </w:r>
      <w:r>
        <w:rPr>
          <w:rFonts w:ascii="宋体" w:hAnsi="宋体"/>
        </w:rPr>
        <w:t>2008年3名</w:t>
      </w:r>
      <w:r>
        <w:rPr>
          <w:rFonts w:hint="eastAsia" w:ascii="宋体" w:hAnsi="宋体"/>
        </w:rPr>
        <w:t>“</w:t>
      </w:r>
      <w:r>
        <w:rPr>
          <w:rFonts w:ascii="宋体" w:hAnsi="宋体"/>
        </w:rPr>
        <w:t>三支一扶</w:t>
      </w:r>
      <w:r>
        <w:rPr>
          <w:rFonts w:hint="eastAsia" w:ascii="宋体" w:hAnsi="宋体"/>
        </w:rPr>
        <w:t>”</w:t>
      </w:r>
      <w:r>
        <w:rPr>
          <w:rFonts w:ascii="宋体" w:hAnsi="宋体"/>
        </w:rPr>
        <w:t>（支农、支</w:t>
      </w:r>
      <w:r>
        <w:rPr>
          <w:rFonts w:hint="eastAsia" w:ascii="宋体" w:hAnsi="宋体"/>
        </w:rPr>
        <w:t>医、支教、扶贫）服务期满大学生（本科</w:t>
      </w:r>
      <w:r>
        <w:rPr>
          <w:rFonts w:ascii="宋体" w:hAnsi="宋体"/>
        </w:rPr>
        <w:t>1</w:t>
      </w:r>
      <w:r>
        <w:rPr>
          <w:rFonts w:hint="eastAsia" w:ascii="宋体" w:hAnsi="宋体"/>
        </w:rPr>
        <w:t>人，专科</w:t>
      </w:r>
      <w:r>
        <w:rPr>
          <w:rFonts w:ascii="宋体" w:hAnsi="宋体"/>
        </w:rPr>
        <w:t>2人）办理服务期满聘用为农村小</w:t>
      </w:r>
      <w:r>
        <w:rPr>
          <w:rFonts w:hint="eastAsia" w:ascii="宋体" w:hAnsi="宋体"/>
        </w:rPr>
        <w:t>学教师的有关手续。</w:t>
      </w:r>
    </w:p>
    <w:p w14:paraId="231A6C8D">
      <w:pPr>
        <w:pStyle w:val="4"/>
      </w:pPr>
      <w:r>
        <w:rPr>
          <w:rFonts w:hint="eastAsia"/>
        </w:rPr>
        <w:t>【工资与福利】</w:t>
      </w:r>
    </w:p>
    <w:p w14:paraId="03D6C099">
      <w:pPr>
        <w:ind w:firstLine="420"/>
        <w:rPr>
          <w:rFonts w:ascii="宋体" w:hAnsi="宋体"/>
        </w:rPr>
      </w:pPr>
      <w:r>
        <w:rPr>
          <w:rFonts w:hint="eastAsia" w:ascii="宋体" w:hAnsi="宋体"/>
        </w:rPr>
        <w:t>全市机关单位工作人员从</w:t>
      </w:r>
      <w:r>
        <w:rPr>
          <w:rFonts w:ascii="宋体" w:hAnsi="宋体"/>
        </w:rPr>
        <w:t>2010年1月起人均增资120元</w:t>
      </w:r>
      <w:r>
        <w:rPr>
          <w:rFonts w:hint="eastAsia" w:ascii="宋体" w:hAnsi="宋体"/>
        </w:rPr>
        <w:t>/</w:t>
      </w:r>
      <w:r>
        <w:rPr>
          <w:rFonts w:ascii="宋体" w:hAnsi="宋体"/>
        </w:rPr>
        <w:t>月，从7月起</w:t>
      </w:r>
      <w:r>
        <w:rPr>
          <w:rFonts w:hint="eastAsia" w:ascii="宋体" w:hAnsi="宋体"/>
        </w:rPr>
        <w:t>人均增资</w:t>
      </w:r>
      <w:r>
        <w:rPr>
          <w:rFonts w:ascii="宋体" w:hAnsi="宋体"/>
        </w:rPr>
        <w:t>130元</w:t>
      </w:r>
      <w:r>
        <w:rPr>
          <w:rFonts w:hint="eastAsia" w:ascii="宋体" w:hAnsi="宋体"/>
        </w:rPr>
        <w:t>/</w:t>
      </w:r>
      <w:r>
        <w:rPr>
          <w:rFonts w:ascii="宋体" w:hAnsi="宋体"/>
        </w:rPr>
        <w:t>月的津贴新标准；事业单位</w:t>
      </w:r>
      <w:r>
        <w:rPr>
          <w:rFonts w:hint="eastAsia" w:ascii="宋体" w:hAnsi="宋体"/>
        </w:rPr>
        <w:t>从</w:t>
      </w:r>
      <w:r>
        <w:rPr>
          <w:rFonts w:ascii="宋体" w:hAnsi="宋体"/>
        </w:rPr>
        <w:t>2010年1月起执行绩效工资制度，由市委</w:t>
      </w:r>
      <w:r>
        <w:rPr>
          <w:rFonts w:hint="eastAsia" w:ascii="宋体" w:hAnsi="宋体"/>
        </w:rPr>
        <w:t>、市政府增资人均</w:t>
      </w:r>
      <w:r>
        <w:rPr>
          <w:rFonts w:ascii="宋体" w:hAnsi="宋体"/>
        </w:rPr>
        <w:t>120元</w:t>
      </w:r>
      <w:r>
        <w:rPr>
          <w:rFonts w:hint="eastAsia" w:ascii="宋体" w:hAnsi="宋体"/>
        </w:rPr>
        <w:t>/</w:t>
      </w:r>
      <w:r>
        <w:rPr>
          <w:rFonts w:ascii="宋体" w:hAnsi="宋体"/>
        </w:rPr>
        <w:t>月作为奖励性绩效工</w:t>
      </w:r>
      <w:r>
        <w:rPr>
          <w:rFonts w:hint="eastAsia" w:ascii="宋体" w:hAnsi="宋体"/>
        </w:rPr>
        <w:t>资，从</w:t>
      </w:r>
      <w:r>
        <w:rPr>
          <w:rFonts w:ascii="宋体" w:hAnsi="宋体"/>
        </w:rPr>
        <w:t>7月起增资人均130元</w:t>
      </w:r>
      <w:r>
        <w:rPr>
          <w:rFonts w:hint="eastAsia" w:ascii="宋体" w:hAnsi="宋体"/>
        </w:rPr>
        <w:t>/</w:t>
      </w:r>
      <w:r>
        <w:rPr>
          <w:rFonts w:ascii="宋体" w:hAnsi="宋体"/>
        </w:rPr>
        <w:t>月列入奖励性</w:t>
      </w:r>
      <w:r>
        <w:rPr>
          <w:rFonts w:hint="eastAsia" w:ascii="宋体" w:hAnsi="宋体"/>
        </w:rPr>
        <w:t>绩效工资标准。完成审核机关单位、中小学校工作人员及离退休人员</w:t>
      </w:r>
      <w:r>
        <w:rPr>
          <w:rFonts w:ascii="宋体" w:hAnsi="宋体"/>
        </w:rPr>
        <w:t>112856人次（月均9338人次）财政统发工资工作，并制作工资</w:t>
      </w:r>
      <w:r>
        <w:rPr>
          <w:rFonts w:hint="eastAsia" w:ascii="宋体" w:hAnsi="宋体"/>
        </w:rPr>
        <w:t>发放明细表。审核事业单位工作人员及离退休人员工资。做好各种调研、调查工作。及时办理人员退休及批复抚恤金和遗属生活困难补助等日常工作。</w:t>
      </w:r>
    </w:p>
    <w:p w14:paraId="2857BBAF">
      <w:pPr>
        <w:ind w:firstLine="0" w:firstLineChars="0"/>
        <w:jc w:val="right"/>
        <w:rPr>
          <w:rFonts w:ascii="宋体" w:hAnsi="宋体"/>
        </w:rPr>
      </w:pPr>
      <w:r>
        <w:rPr>
          <w:rFonts w:hint="eastAsia" w:ascii="宋体" w:hAnsi="宋体"/>
        </w:rPr>
        <w:t>（赖泰宠）</w:t>
      </w:r>
    </w:p>
    <w:p w14:paraId="7441D617">
      <w:pPr>
        <w:ind w:firstLine="0" w:firstLineChars="0"/>
        <w:rPr>
          <w:rFonts w:ascii="宋体" w:hAnsi="宋体"/>
        </w:rPr>
      </w:pPr>
      <w:r>
        <w:rPr>
          <w:rFonts w:hint="eastAsia" w:ascii="宋体" w:hAnsi="宋体"/>
          <w:b/>
        </w:rPr>
        <w:t>附：</w:t>
      </w:r>
      <w:r>
        <w:rPr>
          <w:rFonts w:ascii="宋体" w:hAnsi="宋体"/>
          <w:b/>
        </w:rPr>
        <w:t>2010年人社局领导班子成员名单</w:t>
      </w:r>
    </w:p>
    <w:p w14:paraId="4150B66C">
      <w:pPr>
        <w:ind w:firstLine="0" w:firstLineChars="0"/>
        <w:rPr>
          <w:rFonts w:ascii="宋体" w:hAnsi="宋体"/>
        </w:rPr>
      </w:pPr>
      <w:r>
        <w:rPr>
          <w:rFonts w:hint="eastAsia" w:ascii="宋体" w:hAnsi="宋体"/>
        </w:rPr>
        <w:t>局  长：董圣国（兼）</w:t>
      </w:r>
    </w:p>
    <w:p w14:paraId="277C7A97">
      <w:pPr>
        <w:ind w:firstLine="0" w:firstLineChars="0"/>
        <w:rPr>
          <w:rFonts w:ascii="宋体" w:hAnsi="宋体"/>
        </w:rPr>
      </w:pPr>
      <w:r>
        <w:rPr>
          <w:rFonts w:hint="eastAsia" w:ascii="宋体" w:hAnsi="宋体"/>
        </w:rPr>
        <w:t>副局长：丘继成  曾国庆  张荣凤  钟  海</w:t>
      </w:r>
    </w:p>
    <w:p w14:paraId="7020808D">
      <w:pPr>
        <w:ind w:firstLine="0" w:firstLineChars="0"/>
        <w:rPr>
          <w:rFonts w:ascii="宋体" w:hAnsi="宋体"/>
        </w:rPr>
      </w:pPr>
      <w:r>
        <w:rPr>
          <w:rFonts w:hint="eastAsia" w:ascii="宋体" w:hAnsi="宋体"/>
        </w:rPr>
        <w:t>纪检组长：黄得胜</w:t>
      </w:r>
    </w:p>
    <w:p w14:paraId="10AFED74">
      <w:pPr>
        <w:pStyle w:val="3"/>
      </w:pPr>
      <w:r>
        <w:rPr>
          <w:rFonts w:hint="eastAsia"/>
        </w:rPr>
        <w:t>机关事务工作</w:t>
      </w:r>
    </w:p>
    <w:p w14:paraId="50208102">
      <w:pPr>
        <w:pStyle w:val="4"/>
      </w:pPr>
      <w:r>
        <w:rPr>
          <w:rFonts w:hint="eastAsia"/>
        </w:rPr>
        <w:t>【概况】</w:t>
      </w:r>
    </w:p>
    <w:p w14:paraId="2E265A0B">
      <w:pPr>
        <w:ind w:firstLine="420"/>
        <w:rPr>
          <w:rFonts w:ascii="宋体" w:hAnsi="宋体"/>
        </w:rPr>
      </w:pPr>
      <w:r>
        <w:rPr>
          <w:rFonts w:hint="eastAsia" w:ascii="宋体" w:hAnsi="宋体"/>
        </w:rPr>
        <w:t>南雄市政府机关事务中心是管理市委、市政府机关大院事务的机构。隶属政府组成正科级工作部门，内设机构有人秘股、物业管理股、财务股、保卫股、接待股。中心机关行政编制</w:t>
      </w:r>
      <w:r>
        <w:rPr>
          <w:rFonts w:ascii="宋体" w:hAnsi="宋体"/>
        </w:rPr>
        <w:t>9名，其中</w:t>
      </w:r>
      <w:r>
        <w:rPr>
          <w:rFonts w:hint="eastAsia" w:ascii="宋体" w:hAnsi="宋体"/>
        </w:rPr>
        <w:t>：</w:t>
      </w:r>
      <w:r>
        <w:rPr>
          <w:rFonts w:ascii="宋体" w:hAnsi="宋体"/>
        </w:rPr>
        <w:t>主任1名，副主</w:t>
      </w:r>
      <w:r>
        <w:rPr>
          <w:rFonts w:hint="eastAsia" w:ascii="宋体" w:hAnsi="宋体"/>
        </w:rPr>
        <w:t>任</w:t>
      </w:r>
      <w:r>
        <w:rPr>
          <w:rFonts w:ascii="宋体" w:hAnsi="宋体"/>
        </w:rPr>
        <w:t>2名；股长5名；其他干部1名。直属单位</w:t>
      </w:r>
      <w:r>
        <w:rPr>
          <w:rFonts w:hint="eastAsia" w:ascii="宋体" w:hAnsi="宋体"/>
        </w:rPr>
        <w:t>有市人民政府汽车队、机关生活服务所、市人民政府招待所。</w:t>
      </w:r>
    </w:p>
    <w:p w14:paraId="6AA6E928">
      <w:pPr>
        <w:pStyle w:val="4"/>
      </w:pPr>
      <w:r>
        <w:rPr>
          <w:rFonts w:hint="eastAsia"/>
        </w:rPr>
        <w:t>【财务管理】</w:t>
      </w:r>
    </w:p>
    <w:p w14:paraId="60BDCF47">
      <w:pPr>
        <w:ind w:firstLine="420"/>
        <w:rPr>
          <w:rFonts w:ascii="宋体" w:hAnsi="宋体"/>
        </w:rPr>
      </w:pPr>
      <w:r>
        <w:rPr>
          <w:rFonts w:hint="eastAsia" w:ascii="宋体" w:hAnsi="宋体"/>
        </w:rPr>
        <w:t>财务工作是机关事务中心的中心工作。为完善经费的管理制度，中心根据实际采取一系列措施：（</w:t>
      </w:r>
      <w:r>
        <w:rPr>
          <w:rFonts w:ascii="宋体" w:hAnsi="宋体"/>
        </w:rPr>
        <w:t>1）实行统一管理，</w:t>
      </w:r>
      <w:r>
        <w:rPr>
          <w:rFonts w:hint="eastAsia" w:ascii="宋体" w:hAnsi="宋体"/>
        </w:rPr>
        <w:t>分户核算的财务管理制度，确保每笔资金使用落到实处。（</w:t>
      </w:r>
      <w:r>
        <w:rPr>
          <w:rFonts w:ascii="宋体" w:hAnsi="宋体"/>
        </w:rPr>
        <w:t>2）及时按质完成市财政局布</w:t>
      </w:r>
      <w:r>
        <w:rPr>
          <w:rFonts w:hint="eastAsia" w:ascii="宋体" w:hAnsi="宋体"/>
        </w:rPr>
        <w:t>置的部门预算工作任务。（</w:t>
      </w:r>
      <w:r>
        <w:rPr>
          <w:rFonts w:ascii="宋体" w:hAnsi="宋体"/>
        </w:rPr>
        <w:t>3）要求大院各单</w:t>
      </w:r>
      <w:r>
        <w:rPr>
          <w:rFonts w:hint="eastAsia" w:ascii="宋体" w:hAnsi="宋体"/>
        </w:rPr>
        <w:t>位弘扬艰苦奋斗作风、制止奢侈浪费行为，健全财务规章制度，强化预算控制。</w:t>
      </w:r>
    </w:p>
    <w:p w14:paraId="65D70E20">
      <w:pPr>
        <w:pStyle w:val="4"/>
      </w:pPr>
      <w:r>
        <w:rPr>
          <w:rFonts w:hint="eastAsia"/>
        </w:rPr>
        <w:t>【安全保卫】</w:t>
      </w:r>
    </w:p>
    <w:p w14:paraId="207DF718">
      <w:pPr>
        <w:ind w:firstLine="420"/>
        <w:rPr>
          <w:rFonts w:ascii="宋体" w:hAnsi="宋体"/>
        </w:rPr>
      </w:pPr>
      <w:r>
        <w:rPr>
          <w:rFonts w:hint="eastAsia" w:ascii="宋体" w:hAnsi="宋体"/>
        </w:rPr>
        <w:t>（</w:t>
      </w:r>
      <w:r>
        <w:rPr>
          <w:rFonts w:ascii="宋体" w:hAnsi="宋体"/>
        </w:rPr>
        <w:t>1）对保安员实行三班三轮</w:t>
      </w:r>
      <w:r>
        <w:rPr>
          <w:rFonts w:hint="eastAsia" w:ascii="宋体" w:hAnsi="宋体"/>
        </w:rPr>
        <w:t>每班</w:t>
      </w:r>
      <w:r>
        <w:rPr>
          <w:rFonts w:ascii="宋体" w:hAnsi="宋体"/>
        </w:rPr>
        <w:t>8小时站岗服务制，对执行守护、门卫</w:t>
      </w:r>
      <w:r>
        <w:rPr>
          <w:rFonts w:hint="eastAsia" w:ascii="宋体" w:hAnsi="宋体"/>
        </w:rPr>
        <w:t>、巡逻值班等保安工作制定《保安人员制度》和《保安人员考勤制度》。</w:t>
      </w:r>
      <w:r>
        <w:rPr>
          <w:rFonts w:ascii="宋体" w:hAnsi="宋体"/>
        </w:rPr>
        <w:t>2010年，协助信</w:t>
      </w:r>
      <w:r>
        <w:rPr>
          <w:rFonts w:hint="eastAsia" w:ascii="宋体" w:hAnsi="宋体"/>
        </w:rPr>
        <w:t>访局疏导上访</w:t>
      </w:r>
      <w:r>
        <w:rPr>
          <w:rFonts w:ascii="宋体" w:hAnsi="宋体"/>
        </w:rPr>
        <w:t>80多次，达500人次。（2）定</w:t>
      </w:r>
      <w:r>
        <w:rPr>
          <w:rFonts w:hint="eastAsia" w:ascii="宋体" w:hAnsi="宋体"/>
        </w:rPr>
        <w:t>期对消防栓、灭火器等消防设施进行检测，及时清理安全通道，确保畅通无阻。（</w:t>
      </w:r>
      <w:r>
        <w:rPr>
          <w:rFonts w:ascii="宋体" w:hAnsi="宋体"/>
        </w:rPr>
        <w:t>3）做</w:t>
      </w:r>
      <w:r>
        <w:rPr>
          <w:rFonts w:hint="eastAsia" w:ascii="宋体" w:hAnsi="宋体"/>
        </w:rPr>
        <w:t>好停车场管理工作，创造便捷的停车环境。</w:t>
      </w:r>
      <w:r>
        <w:rPr>
          <w:rFonts w:ascii="宋体" w:hAnsi="宋体"/>
        </w:rPr>
        <w:t>2010年，没有发生安全事故和重大的刑事</w:t>
      </w:r>
      <w:r>
        <w:rPr>
          <w:rFonts w:hint="eastAsia" w:ascii="宋体" w:hAnsi="宋体"/>
        </w:rPr>
        <w:t>案件。</w:t>
      </w:r>
    </w:p>
    <w:p w14:paraId="3653B582">
      <w:pPr>
        <w:pStyle w:val="4"/>
      </w:pPr>
      <w:r>
        <w:rPr>
          <w:rFonts w:hint="eastAsia"/>
        </w:rPr>
        <w:t>【后勤保障】</w:t>
      </w:r>
    </w:p>
    <w:p w14:paraId="76455CB7">
      <w:pPr>
        <w:ind w:firstLine="420"/>
        <w:rPr>
          <w:rFonts w:ascii="宋体" w:hAnsi="宋体"/>
        </w:rPr>
      </w:pPr>
      <w:r>
        <w:rPr>
          <w:rFonts w:hint="eastAsia" w:ascii="宋体" w:hAnsi="宋体"/>
        </w:rPr>
        <w:t>（</w:t>
      </w:r>
      <w:r>
        <w:rPr>
          <w:rFonts w:ascii="宋体" w:hAnsi="宋体"/>
        </w:rPr>
        <w:t>1）做好会务服务。做好交</w:t>
      </w:r>
      <w:r>
        <w:rPr>
          <w:rFonts w:hint="eastAsia" w:ascii="宋体" w:hAnsi="宋体"/>
        </w:rPr>
        <w:t>通疏导和车辆停放工作，搞好会场环境卫生、调试灯光音响、布置会场氛围、安排茶水和会议用餐，确保会议顺利召开。</w:t>
      </w:r>
      <w:r>
        <w:rPr>
          <w:rFonts w:ascii="宋体" w:hAnsi="宋体"/>
        </w:rPr>
        <w:t>2010年，中</w:t>
      </w:r>
      <w:r>
        <w:rPr>
          <w:rFonts w:hint="eastAsia" w:ascii="宋体" w:hAnsi="宋体"/>
        </w:rPr>
        <w:t>心承接大小会议</w:t>
      </w:r>
      <w:r>
        <w:rPr>
          <w:rFonts w:ascii="宋体" w:hAnsi="宋体"/>
        </w:rPr>
        <w:t>203次。（2）做好设备维护</w:t>
      </w:r>
      <w:r>
        <w:rPr>
          <w:rFonts w:hint="eastAsia" w:ascii="宋体" w:hAnsi="宋体"/>
        </w:rPr>
        <w:t>工作。加强电力、供水、消防等系统的设备运行管理，切实做好空调、管网的运行测试和维护保养，及时更换损坏的空调配件，确保办公大楼、大会堂供冷正常。（</w:t>
      </w:r>
      <w:r>
        <w:rPr>
          <w:rFonts w:ascii="宋体" w:hAnsi="宋体"/>
        </w:rPr>
        <w:t>3）做好大</w:t>
      </w:r>
      <w:r>
        <w:rPr>
          <w:rFonts w:hint="eastAsia" w:ascii="宋体" w:hAnsi="宋体"/>
        </w:rPr>
        <w:t>院绿化、卫生工作，营造美化、清洁、舒适的工作环境。（</w:t>
      </w:r>
      <w:r>
        <w:rPr>
          <w:rFonts w:ascii="宋体" w:hAnsi="宋体"/>
        </w:rPr>
        <w:t>4）以</w:t>
      </w:r>
      <w:r>
        <w:rPr>
          <w:rFonts w:hint="eastAsia" w:ascii="宋体" w:hAnsi="宋体"/>
        </w:rPr>
        <w:t>“</w:t>
      </w:r>
      <w:r>
        <w:rPr>
          <w:rFonts w:ascii="宋体" w:hAnsi="宋体"/>
        </w:rPr>
        <w:t>创建节约型机关</w:t>
      </w:r>
      <w:r>
        <w:rPr>
          <w:rFonts w:hint="eastAsia" w:ascii="宋体" w:hAnsi="宋体"/>
        </w:rPr>
        <w:t>”</w:t>
      </w:r>
      <w:r>
        <w:rPr>
          <w:rFonts w:ascii="宋体" w:hAnsi="宋体"/>
        </w:rPr>
        <w:t>活</w:t>
      </w:r>
      <w:r>
        <w:rPr>
          <w:rFonts w:hint="eastAsia" w:ascii="宋体" w:hAnsi="宋体"/>
        </w:rPr>
        <w:t>动为抓手，突出机关节能特点，重点注重用水用电的节约，初步建立起能耗统计制度；对政府大院各办公室空调、台凳、电器、大院水电线路等设施，能使用以维修为主，降低行政费用成本。</w:t>
      </w:r>
    </w:p>
    <w:p w14:paraId="1AC3739C">
      <w:pPr>
        <w:pStyle w:val="4"/>
      </w:pPr>
      <w:r>
        <w:rPr>
          <w:rFonts w:hint="eastAsia"/>
        </w:rPr>
        <w:t>【接待情况】</w:t>
      </w:r>
    </w:p>
    <w:p w14:paraId="5FF14FAB">
      <w:pPr>
        <w:ind w:firstLine="420"/>
        <w:rPr>
          <w:rFonts w:ascii="宋体" w:hAnsi="宋体"/>
        </w:rPr>
      </w:pPr>
      <w:r>
        <w:rPr>
          <w:rFonts w:ascii="宋体" w:hAnsi="宋体"/>
        </w:rPr>
        <w:t>2004年以来，市接待省部级</w:t>
      </w:r>
      <w:r>
        <w:rPr>
          <w:rFonts w:hint="eastAsia" w:ascii="宋体" w:hAnsi="宋体"/>
        </w:rPr>
        <w:t>以上领导</w:t>
      </w:r>
      <w:r>
        <w:rPr>
          <w:rFonts w:ascii="宋体" w:hAnsi="宋体"/>
        </w:rPr>
        <w:t>146人次，主要有</w:t>
      </w:r>
      <w:r>
        <w:rPr>
          <w:rFonts w:hint="eastAsia" w:ascii="宋体" w:hAnsi="宋体"/>
        </w:rPr>
        <w:t>：</w:t>
      </w:r>
      <w:r>
        <w:rPr>
          <w:rFonts w:ascii="宋体" w:hAnsi="宋体"/>
        </w:rPr>
        <w:t>中共中央政治</w:t>
      </w:r>
      <w:r>
        <w:rPr>
          <w:rFonts w:hint="eastAsia" w:ascii="宋体" w:hAnsi="宋体"/>
        </w:rPr>
        <w:t>局委员、广东省委书记汪洋（</w:t>
      </w:r>
      <w:r>
        <w:rPr>
          <w:rFonts w:ascii="宋体" w:hAnsi="宋体"/>
        </w:rPr>
        <w:t>2009年6月26</w:t>
      </w:r>
      <w:r>
        <w:rPr>
          <w:rFonts w:hint="eastAsia" w:ascii="宋体" w:hAnsi="宋体"/>
        </w:rPr>
        <w:t>日至</w:t>
      </w:r>
      <w:r>
        <w:rPr>
          <w:rFonts w:ascii="宋体" w:hAnsi="宋体"/>
        </w:rPr>
        <w:t>2010年5月13日先后4次）；前中央军</w:t>
      </w:r>
      <w:r>
        <w:rPr>
          <w:rFonts w:hint="eastAsia" w:ascii="宋体" w:hAnsi="宋体"/>
        </w:rPr>
        <w:t>委副主席迟浩田；香港行政长官曾荫权（</w:t>
      </w:r>
      <w:r>
        <w:rPr>
          <w:rFonts w:ascii="宋体" w:hAnsi="宋体"/>
        </w:rPr>
        <w:t>2010年5月22日）等。接待省厅、局级领</w:t>
      </w:r>
      <w:r>
        <w:rPr>
          <w:rFonts w:hint="eastAsia" w:ascii="宋体" w:hAnsi="宋体"/>
        </w:rPr>
        <w:t>导</w:t>
      </w:r>
      <w:r>
        <w:rPr>
          <w:rFonts w:ascii="宋体" w:hAnsi="宋体"/>
        </w:rPr>
        <w:t>3225人次。接待地市级以上会议156次共1303人次。汪洋评价市接待工作时说</w:t>
      </w:r>
      <w:r>
        <w:rPr>
          <w:rFonts w:hint="eastAsia" w:ascii="宋体" w:hAnsi="宋体"/>
        </w:rPr>
        <w:t>：</w:t>
      </w:r>
      <w:r>
        <w:rPr>
          <w:rFonts w:ascii="宋体" w:hAnsi="宋体"/>
        </w:rPr>
        <w:t>作为</w:t>
      </w:r>
      <w:r>
        <w:rPr>
          <w:rFonts w:hint="eastAsia" w:ascii="宋体" w:hAnsi="宋体"/>
        </w:rPr>
        <w:t>县级接待部门，这样的接待水平在广东都很少有，甚至超过有的地级市。</w:t>
      </w:r>
    </w:p>
    <w:p w14:paraId="1554B58C">
      <w:pPr>
        <w:ind w:firstLine="0" w:firstLineChars="0"/>
        <w:jc w:val="right"/>
        <w:rPr>
          <w:rFonts w:ascii="宋体" w:hAnsi="宋体"/>
        </w:rPr>
      </w:pPr>
      <w:r>
        <w:rPr>
          <w:rFonts w:hint="eastAsia" w:ascii="宋体" w:hAnsi="宋体"/>
        </w:rPr>
        <w:t>（李呈）</w:t>
      </w:r>
    </w:p>
    <w:p w14:paraId="6CC9E855">
      <w:pPr>
        <w:ind w:firstLine="0" w:firstLineChars="0"/>
        <w:rPr>
          <w:rFonts w:ascii="宋体" w:hAnsi="宋体"/>
        </w:rPr>
      </w:pPr>
      <w:r>
        <w:rPr>
          <w:rFonts w:hint="eastAsia" w:ascii="宋体" w:hAnsi="宋体"/>
          <w:b/>
        </w:rPr>
        <w:t>附：</w:t>
      </w:r>
      <w:r>
        <w:rPr>
          <w:rFonts w:ascii="宋体" w:hAnsi="宋体"/>
          <w:b/>
        </w:rPr>
        <w:t>2010年机关事务中心领导班子成员名单</w:t>
      </w:r>
    </w:p>
    <w:p w14:paraId="6F8D0E9F">
      <w:pPr>
        <w:ind w:firstLine="0" w:firstLineChars="0"/>
        <w:rPr>
          <w:rFonts w:ascii="宋体" w:hAnsi="宋体"/>
        </w:rPr>
      </w:pPr>
      <w:r>
        <w:rPr>
          <w:rFonts w:hint="eastAsia" w:ascii="宋体" w:hAnsi="宋体"/>
        </w:rPr>
        <w:t>主  任：张海林</w:t>
      </w:r>
    </w:p>
    <w:p w14:paraId="25C61532">
      <w:pPr>
        <w:ind w:firstLine="0" w:firstLineChars="0"/>
        <w:rPr>
          <w:rFonts w:ascii="宋体" w:hAnsi="宋体"/>
        </w:rPr>
      </w:pPr>
      <w:r>
        <w:rPr>
          <w:rFonts w:hint="eastAsia" w:ascii="宋体" w:hAnsi="宋体"/>
        </w:rPr>
        <w:t>副主任：温秀英  陈川明</w:t>
      </w:r>
    </w:p>
    <w:p w14:paraId="1817E8AE">
      <w:pPr>
        <w:pStyle w:val="3"/>
      </w:pPr>
      <w:r>
        <w:rPr>
          <w:rFonts w:hint="eastAsia"/>
        </w:rPr>
        <w:t>行政服务中心</w:t>
      </w:r>
    </w:p>
    <w:p w14:paraId="2CE2DF07">
      <w:pPr>
        <w:pStyle w:val="4"/>
      </w:pPr>
      <w:r>
        <w:rPr>
          <w:rFonts w:hint="eastAsia"/>
        </w:rPr>
        <w:t>【概况】</w:t>
      </w:r>
    </w:p>
    <w:p w14:paraId="716A8FFF">
      <w:pPr>
        <w:ind w:firstLine="420"/>
        <w:rPr>
          <w:rFonts w:ascii="宋体" w:hAnsi="宋体"/>
        </w:rPr>
      </w:pPr>
      <w:r>
        <w:rPr>
          <w:rFonts w:hint="eastAsia" w:ascii="宋体" w:hAnsi="宋体"/>
        </w:rPr>
        <w:t>南雄市行政服务中心成立于</w:t>
      </w:r>
      <w:r>
        <w:rPr>
          <w:rFonts w:ascii="宋体" w:hAnsi="宋体"/>
        </w:rPr>
        <w:t>2002</w:t>
      </w:r>
      <w:r>
        <w:rPr>
          <w:rFonts w:hint="eastAsia" w:ascii="宋体" w:hAnsi="宋体"/>
        </w:rPr>
        <w:t>年</w:t>
      </w:r>
      <w:r>
        <w:rPr>
          <w:rFonts w:ascii="宋体" w:hAnsi="宋体"/>
        </w:rPr>
        <w:t>4月，为市政府直属正科级事业单位，编</w:t>
      </w:r>
      <w:r>
        <w:rPr>
          <w:rFonts w:hint="eastAsia" w:ascii="宋体" w:hAnsi="宋体"/>
        </w:rPr>
        <w:t>制</w:t>
      </w:r>
      <w:r>
        <w:rPr>
          <w:rFonts w:ascii="宋体" w:hAnsi="宋体"/>
        </w:rPr>
        <w:t>10人。位于南雄市新城浈江路28号，办公</w:t>
      </w:r>
      <w:r>
        <w:rPr>
          <w:rFonts w:hint="eastAsia" w:ascii="宋体" w:hAnsi="宋体"/>
        </w:rPr>
        <w:t>面积</w:t>
      </w:r>
      <w:r>
        <w:rPr>
          <w:rFonts w:ascii="宋体" w:hAnsi="宋体"/>
        </w:rPr>
        <w:t>880平方米。中心内设3个股室</w:t>
      </w:r>
      <w:r>
        <w:rPr>
          <w:rFonts w:hint="eastAsia" w:ascii="宋体" w:hAnsi="宋体"/>
        </w:rPr>
        <w:t>：</w:t>
      </w:r>
      <w:r>
        <w:rPr>
          <w:rFonts w:ascii="宋体" w:hAnsi="宋体"/>
        </w:rPr>
        <w:t>办公</w:t>
      </w:r>
      <w:r>
        <w:rPr>
          <w:rFonts w:hint="eastAsia" w:ascii="宋体" w:hAnsi="宋体"/>
        </w:rPr>
        <w:t>室、业务股、督查股。其主要职责是代表市政府对各行政事业单位集中进驻办事窗口，以及各类行政许可、证照办理和其它社会管理事项实施管理；承办市政务公开工作领导小组办公室、市政府信息公开工作领导小组办公室的日常事务。中心现有干部、职工共</w:t>
      </w:r>
      <w:r>
        <w:rPr>
          <w:rFonts w:ascii="宋体" w:hAnsi="宋体"/>
        </w:rPr>
        <w:t>11人，窗口工作人员42人。2010年，该中心</w:t>
      </w:r>
      <w:r>
        <w:rPr>
          <w:rFonts w:hint="eastAsia" w:ascii="宋体" w:hAnsi="宋体"/>
        </w:rPr>
        <w:t>被评为韶关市县（市、区）行政服务“优秀单位”。</w:t>
      </w:r>
    </w:p>
    <w:p w14:paraId="71E6B724">
      <w:pPr>
        <w:pStyle w:val="4"/>
      </w:pPr>
      <w:r>
        <w:rPr>
          <w:rFonts w:hint="eastAsia"/>
        </w:rPr>
        <w:t>【服务单位和服务项目】</w:t>
      </w:r>
    </w:p>
    <w:p w14:paraId="69A7DD26">
      <w:pPr>
        <w:ind w:firstLine="420"/>
        <w:rPr>
          <w:rFonts w:ascii="宋体" w:hAnsi="宋体"/>
        </w:rPr>
      </w:pPr>
      <w:r>
        <w:rPr>
          <w:rFonts w:hint="eastAsia" w:ascii="宋体" w:hAnsi="宋体"/>
        </w:rPr>
        <w:t>市行政服务中心集中全市</w:t>
      </w:r>
      <w:r>
        <w:rPr>
          <w:rFonts w:ascii="宋体" w:hAnsi="宋体"/>
        </w:rPr>
        <w:t>37个行政事业单位和经营服务单位的</w:t>
      </w:r>
      <w:r>
        <w:rPr>
          <w:rFonts w:hint="eastAsia" w:ascii="宋体" w:hAnsi="宋体"/>
        </w:rPr>
        <w:t>办事窗口，具体包括司法局、林业局、环保局、发改局、城市管理局、民政局、卫生局、农业局、水务局、财政局、国税局、住建局、评估中心、国土局、气象局、水保办、质监局、工商局、房管所、地税局、收费窗口。向社会提供</w:t>
      </w:r>
      <w:r>
        <w:rPr>
          <w:rFonts w:ascii="宋体" w:hAnsi="宋体"/>
        </w:rPr>
        <w:t>224项行政许可事项、一般业务</w:t>
      </w:r>
      <w:r>
        <w:rPr>
          <w:rFonts w:hint="eastAsia" w:ascii="宋体" w:hAnsi="宋体"/>
        </w:rPr>
        <w:t>管理事项和便民服务事项的服务。</w:t>
      </w:r>
    </w:p>
    <w:p w14:paraId="69D40701">
      <w:pPr>
        <w:pStyle w:val="4"/>
      </w:pPr>
      <w:r>
        <w:rPr>
          <w:rFonts w:hint="eastAsia"/>
        </w:rPr>
        <w:t>【管理机制和运作模式】</w:t>
      </w:r>
    </w:p>
    <w:p w14:paraId="4809D0DF">
      <w:pPr>
        <w:ind w:firstLine="420"/>
        <w:rPr>
          <w:rFonts w:ascii="宋体" w:hAnsi="宋体"/>
        </w:rPr>
      </w:pPr>
      <w:r>
        <w:rPr>
          <w:rFonts w:hint="eastAsia" w:ascii="宋体" w:hAnsi="宋体"/>
        </w:rPr>
        <w:t>市行政服务中心是南雄市人民政府派出的综合行政事务的管理服务机构，由中心管理机构和窗口单位组成。中心管理机构由省、市机构编制部门批准成立，代表南雄市人民政府行使行政服务管理职责，协调和督导各服务单位的工作。市政府根据《行政许可法》以及投资项目涉及到的前置审批、证照办理、经营服务等业务办理需要，确定具有行政审批职能的行政事业单位和经营服务单位在中心设置窗口集中办公。进驻窗口由中心统一管理，其业务实行单轨运行模式，由其所在单位负责指导。各窗口所涉及相应业务范围和各项规费必须在行政服务中心统一办理，原单位不得重复受理和收费。行政服务中心实行“一站式审批、一条龙服务、一个口子收费”的运行机制，对进入行政服务中心办理的投资报批事项，做到“一个口入，一个口出”。</w:t>
      </w:r>
    </w:p>
    <w:p w14:paraId="3BD6D646">
      <w:pPr>
        <w:pStyle w:val="4"/>
      </w:pPr>
      <w:r>
        <w:rPr>
          <w:rFonts w:hint="eastAsia"/>
        </w:rPr>
        <w:t>【主要工作成效】</w:t>
      </w:r>
    </w:p>
    <w:p w14:paraId="56662412">
      <w:pPr>
        <w:ind w:firstLine="420"/>
        <w:rPr>
          <w:rFonts w:ascii="宋体" w:hAnsi="宋体"/>
        </w:rPr>
      </w:pPr>
      <w:r>
        <w:rPr>
          <w:rFonts w:hint="eastAsia" w:ascii="宋体" w:hAnsi="宋体"/>
        </w:rPr>
        <w:t>南雄市行政服务中心从建设服务型政府出发，以“便民、规范、廉洁高效”为服务宗旨，紧紧围绕“我办事，您放心”发展目标，积极打造“行政服务超市”理念，树立窗口单位良好形象。</w:t>
      </w:r>
    </w:p>
    <w:p w14:paraId="6E1E748A">
      <w:pPr>
        <w:ind w:firstLine="420"/>
        <w:rPr>
          <w:rFonts w:ascii="宋体" w:hAnsi="宋体"/>
        </w:rPr>
      </w:pPr>
      <w:r>
        <w:rPr>
          <w:rFonts w:hint="eastAsia" w:ascii="宋体" w:hAnsi="宋体"/>
        </w:rPr>
        <w:t>完善运行机制，提升行政审批。中心在审批办证服务中坚持推行“一站式”、“全程代理”等服务方式，营造“服务经济、方便群众、提高效能”的政务环境。加强“中心”网站建设，完善网上审批服务功能，为服务对象提供规范、便捷、高效、阳光的公共服务环境。</w:t>
      </w:r>
      <w:r>
        <w:rPr>
          <w:rFonts w:ascii="宋体" w:hAnsi="宋体"/>
        </w:rPr>
        <w:t>2010年，办结业务3万多项，办结</w:t>
      </w:r>
      <w:r>
        <w:rPr>
          <w:rFonts w:hint="eastAsia" w:ascii="宋体" w:hAnsi="宋体"/>
        </w:rPr>
        <w:t>率</w:t>
      </w:r>
      <w:r>
        <w:rPr>
          <w:rFonts w:ascii="宋体" w:hAnsi="宋体"/>
        </w:rPr>
        <w:t>100%。</w:t>
      </w:r>
    </w:p>
    <w:p w14:paraId="0F0B8933">
      <w:pPr>
        <w:ind w:firstLine="420"/>
        <w:rPr>
          <w:rFonts w:ascii="宋体" w:hAnsi="宋体"/>
        </w:rPr>
      </w:pPr>
      <w:r>
        <w:rPr>
          <w:rFonts w:hint="eastAsia" w:ascii="宋体" w:hAnsi="宋体"/>
        </w:rPr>
        <w:t>打造阳光政务，推进阳光工程。推行市委权力公开透明运行“阳光工程”，积极配合市委权力公开透明运行“阳光工程”工作，同时中心以市委权力公开透明阳光工程为契机，加强中心建设，按市委权力公开透明运行“阳光工程”的要求规范房地产一体化管理中心的运作，规范政府采购、土地工程交易中心和建设工程交易中心的各项工作，加强对中心各分支机构的监管。</w:t>
      </w:r>
    </w:p>
    <w:p w14:paraId="47B2E9CD">
      <w:pPr>
        <w:ind w:firstLine="420"/>
        <w:rPr>
          <w:rFonts w:ascii="宋体" w:hAnsi="宋体"/>
        </w:rPr>
      </w:pPr>
      <w:r>
        <w:rPr>
          <w:rFonts w:hint="eastAsia" w:ascii="宋体" w:hAnsi="宋体"/>
        </w:rPr>
        <w:t>强化监管措施，深化政务公开。认真贯彻执行《中华人民共和国政府信息公开条例》，建立政务公开监督小组，编制政府信息公开目录和指南，组织公开信息内容，做好电子文本加载和纸质文本的编制等工作。在“中心”办事大厅设立市政府信息公开查阅点，放置一台专用的计算机，落实专人为群众查询政府信息提供现场咨询、疑难解答、意见建议收集录入以及依申请公开信息受理等服务。</w:t>
      </w:r>
    </w:p>
    <w:p w14:paraId="46F907DC">
      <w:pPr>
        <w:ind w:firstLine="420"/>
        <w:jc w:val="right"/>
        <w:rPr>
          <w:rFonts w:ascii="宋体" w:hAnsi="宋体"/>
        </w:rPr>
      </w:pPr>
      <w:r>
        <w:rPr>
          <w:rFonts w:hint="eastAsia" w:ascii="宋体" w:hAnsi="宋体"/>
        </w:rPr>
        <w:t>（叶新亮）</w:t>
      </w:r>
    </w:p>
    <w:p w14:paraId="024F8935">
      <w:pPr>
        <w:ind w:firstLine="0" w:firstLineChars="0"/>
        <w:rPr>
          <w:rFonts w:ascii="宋体" w:hAnsi="宋体"/>
        </w:rPr>
      </w:pPr>
      <w:r>
        <w:rPr>
          <w:rFonts w:hint="eastAsia" w:ascii="宋体" w:hAnsi="宋体"/>
          <w:b/>
        </w:rPr>
        <w:t>附：</w:t>
      </w:r>
      <w:r>
        <w:rPr>
          <w:rFonts w:ascii="宋体" w:hAnsi="宋体"/>
          <w:b/>
        </w:rPr>
        <w:t>2010年行政服务中心领导班子成员名单</w:t>
      </w:r>
    </w:p>
    <w:p w14:paraId="664DBD38">
      <w:pPr>
        <w:ind w:firstLine="0" w:firstLineChars="0"/>
        <w:rPr>
          <w:rFonts w:ascii="宋体" w:hAnsi="宋体"/>
        </w:rPr>
      </w:pPr>
      <w:r>
        <w:rPr>
          <w:rFonts w:hint="eastAsia" w:ascii="宋体" w:hAnsi="宋体"/>
        </w:rPr>
        <w:t>主  任：李  祥</w:t>
      </w:r>
    </w:p>
    <w:p w14:paraId="59128C5C">
      <w:pPr>
        <w:ind w:firstLine="0" w:firstLineChars="0"/>
        <w:rPr>
          <w:rFonts w:ascii="宋体" w:hAnsi="宋体"/>
        </w:rPr>
      </w:pPr>
      <w:r>
        <w:rPr>
          <w:rFonts w:hint="eastAsia" w:ascii="宋体" w:hAnsi="宋体"/>
        </w:rPr>
        <w:t>副主任：蔡先锋  何庆雄  姚  璟</w:t>
      </w:r>
    </w:p>
    <w:p w14:paraId="7F9FAED0">
      <w:pPr>
        <w:pStyle w:val="3"/>
      </w:pPr>
      <w:r>
        <w:rPr>
          <w:rFonts w:hint="eastAsia"/>
        </w:rPr>
        <w:t>信息服务</w:t>
      </w:r>
    </w:p>
    <w:p w14:paraId="5D8968B8">
      <w:pPr>
        <w:pStyle w:val="4"/>
      </w:pPr>
      <w:r>
        <w:rPr>
          <w:rFonts w:hint="eastAsia"/>
        </w:rPr>
        <w:t>【概况】</w:t>
      </w:r>
    </w:p>
    <w:p w14:paraId="27EB690E">
      <w:pPr>
        <w:ind w:firstLine="420"/>
        <w:rPr>
          <w:rFonts w:ascii="宋体" w:hAnsi="宋体"/>
        </w:rPr>
      </w:pPr>
      <w:r>
        <w:rPr>
          <w:rFonts w:hint="eastAsia" w:ascii="宋体" w:hAnsi="宋体"/>
        </w:rPr>
        <w:t>南雄市信息中心成立于</w:t>
      </w:r>
      <w:r>
        <w:rPr>
          <w:rFonts w:ascii="宋体" w:hAnsi="宋体"/>
        </w:rPr>
        <w:t>2001年4</w:t>
      </w:r>
      <w:r>
        <w:rPr>
          <w:rFonts w:hint="eastAsia" w:ascii="宋体" w:hAnsi="宋体"/>
        </w:rPr>
        <w:t>月，是市直副科级公益一类事业单位。主要任务是承担全市信息产业建设的规划、组织、管理和协调工作，推进全市电子政务建设和政府信息化。</w:t>
      </w:r>
    </w:p>
    <w:p w14:paraId="0967262D">
      <w:pPr>
        <w:pStyle w:val="4"/>
      </w:pPr>
      <w:r>
        <w:rPr>
          <w:rFonts w:hint="eastAsia"/>
        </w:rPr>
        <w:t>【电子政务建设】</w:t>
      </w:r>
    </w:p>
    <w:p w14:paraId="15718BE1">
      <w:pPr>
        <w:ind w:firstLine="420"/>
        <w:rPr>
          <w:rFonts w:ascii="宋体" w:hAnsi="宋体"/>
        </w:rPr>
      </w:pPr>
      <w:r>
        <w:rPr>
          <w:rFonts w:ascii="宋体" w:hAnsi="宋体"/>
        </w:rPr>
        <w:t>2002年12月，南雄市人</w:t>
      </w:r>
      <w:r>
        <w:rPr>
          <w:rFonts w:hint="eastAsia" w:ascii="宋体" w:hAnsi="宋体"/>
        </w:rPr>
        <w:t>民政府公众信息网建成，成为韶关市各县（市、区）首个政府网站，该网站功能齐全，成为综合型地方政府门户网站。</w:t>
      </w:r>
      <w:r>
        <w:rPr>
          <w:rFonts w:ascii="宋体" w:hAnsi="宋体"/>
        </w:rPr>
        <w:t>2007年5月，</w:t>
      </w:r>
      <w:r>
        <w:rPr>
          <w:rFonts w:hint="eastAsia" w:ascii="宋体" w:hAnsi="宋体"/>
        </w:rPr>
        <w:t>南雄市网上行政审批系统建成使用。</w:t>
      </w:r>
      <w:r>
        <w:rPr>
          <w:rFonts w:ascii="宋体" w:hAnsi="宋体"/>
        </w:rPr>
        <w:t>2</w:t>
      </w:r>
      <w:r>
        <w:rPr>
          <w:rFonts w:hint="eastAsia" w:ascii="宋体" w:hAnsi="宋体"/>
        </w:rPr>
        <w:t>0</w:t>
      </w:r>
      <w:r>
        <w:rPr>
          <w:rFonts w:ascii="宋体" w:hAnsi="宋体"/>
        </w:rPr>
        <w:t>08年，</w:t>
      </w:r>
      <w:r>
        <w:rPr>
          <w:rFonts w:hint="eastAsia" w:ascii="宋体" w:hAnsi="宋体"/>
        </w:rPr>
        <w:t>南雄市网上行政审批、电子监察系统和视频监控系统建成使用。</w:t>
      </w:r>
      <w:r>
        <w:rPr>
          <w:rFonts w:ascii="宋体" w:hAnsi="宋体"/>
        </w:rPr>
        <w:t>2010年10月党风廉政信</w:t>
      </w:r>
      <w:r>
        <w:rPr>
          <w:rFonts w:hint="eastAsia" w:ascii="宋体" w:hAnsi="宋体"/>
        </w:rPr>
        <w:t>息公开平台建成使用。</w:t>
      </w:r>
    </w:p>
    <w:p w14:paraId="4E58FDB2">
      <w:pPr>
        <w:pStyle w:val="4"/>
      </w:pPr>
      <w:r>
        <w:rPr>
          <w:rFonts w:hint="eastAsia"/>
        </w:rPr>
        <w:t>【山区信息化建设】</w:t>
      </w:r>
    </w:p>
    <w:p w14:paraId="490EF47A">
      <w:pPr>
        <w:ind w:firstLine="420"/>
        <w:rPr>
          <w:rFonts w:ascii="宋体" w:hAnsi="宋体"/>
        </w:rPr>
      </w:pPr>
      <w:r>
        <w:rPr>
          <w:rFonts w:ascii="宋体" w:hAnsi="宋体"/>
        </w:rPr>
        <w:t>2003年至2007年，该</w:t>
      </w:r>
      <w:r>
        <w:rPr>
          <w:rFonts w:hint="eastAsia" w:ascii="宋体" w:hAnsi="宋体"/>
        </w:rPr>
        <w:t>中心实施省山区信息化项目，建成南雄山区信息网、南雄旅游网、南雄农业科技视频点播网、移动信息发布系统。</w:t>
      </w:r>
    </w:p>
    <w:p w14:paraId="718A3347">
      <w:pPr>
        <w:pStyle w:val="4"/>
      </w:pPr>
      <w:r>
        <w:rPr>
          <w:rFonts w:hint="eastAsia"/>
        </w:rPr>
        <w:t>【连心楼建设】</w:t>
      </w:r>
    </w:p>
    <w:p w14:paraId="6B9FC6F0">
      <w:pPr>
        <w:ind w:firstLine="420"/>
        <w:rPr>
          <w:rFonts w:ascii="宋体" w:hAnsi="宋体"/>
        </w:rPr>
      </w:pPr>
      <w:r>
        <w:rPr>
          <w:rFonts w:ascii="宋体" w:hAnsi="宋体"/>
        </w:rPr>
        <w:t>2008年12月9日</w:t>
      </w:r>
      <w:r>
        <w:rPr>
          <w:rFonts w:hint="eastAsia" w:ascii="宋体" w:hAnsi="宋体"/>
        </w:rPr>
        <w:t>“</w:t>
      </w:r>
      <w:r>
        <w:rPr>
          <w:rFonts w:ascii="宋体" w:hAnsi="宋体"/>
        </w:rPr>
        <w:t>南雄连</w:t>
      </w:r>
      <w:r>
        <w:rPr>
          <w:rFonts w:hint="eastAsia" w:ascii="宋体" w:hAnsi="宋体"/>
        </w:rPr>
        <w:t>心楼”网络论坛正式开通，南雄市党、政领导班子成员轮流在论坛上值日，各镇、机关单位领导班子成员轮流以网络发言人身份解答网民问题。</w:t>
      </w:r>
      <w:r>
        <w:rPr>
          <w:rFonts w:ascii="宋体" w:hAnsi="宋体"/>
        </w:rPr>
        <w:t>2009年6月17日，中国纪检监</w:t>
      </w:r>
      <w:r>
        <w:rPr>
          <w:rFonts w:hint="eastAsia" w:ascii="宋体" w:hAnsi="宋体"/>
        </w:rPr>
        <w:t>察报头版刊登《“连心楼”里听民声一南雄通过网络问政密切联系群众纪实》。</w:t>
      </w:r>
    </w:p>
    <w:p w14:paraId="48370830">
      <w:pPr>
        <w:pStyle w:val="4"/>
      </w:pPr>
      <w:r>
        <w:rPr>
          <w:rFonts w:hint="eastAsia"/>
        </w:rPr>
        <w:t>【信息化培训】</w:t>
      </w:r>
    </w:p>
    <w:p w14:paraId="00F8BA39">
      <w:pPr>
        <w:ind w:firstLine="420"/>
        <w:rPr>
          <w:rFonts w:ascii="宋体" w:hAnsi="宋体"/>
        </w:rPr>
      </w:pPr>
      <w:r>
        <w:rPr>
          <w:rFonts w:ascii="宋体" w:hAnsi="宋体"/>
        </w:rPr>
        <w:t>2009年10月至2010年11</w:t>
      </w:r>
      <w:r>
        <w:rPr>
          <w:rFonts w:hint="eastAsia" w:ascii="宋体" w:hAnsi="宋体"/>
        </w:rPr>
        <w:t>月，该中心组织施行干部信息能力培训共</w:t>
      </w:r>
      <w:r>
        <w:rPr>
          <w:rFonts w:ascii="宋体" w:hAnsi="宋体"/>
        </w:rPr>
        <w:t>35</w:t>
      </w:r>
      <w:r>
        <w:rPr>
          <w:rFonts w:hint="eastAsia" w:ascii="宋体" w:hAnsi="宋体"/>
        </w:rPr>
        <w:t>期，培训一般干部、主任、副主任科员、科级干部、处级干部共</w:t>
      </w:r>
      <w:r>
        <w:rPr>
          <w:rFonts w:ascii="宋体" w:hAnsi="宋体"/>
        </w:rPr>
        <w:t>1900多人。2008年10</w:t>
      </w:r>
      <w:r>
        <w:rPr>
          <w:rFonts w:hint="eastAsia" w:ascii="宋体" w:hAnsi="宋体"/>
        </w:rPr>
        <w:t>月至</w:t>
      </w:r>
      <w:r>
        <w:rPr>
          <w:rFonts w:ascii="宋体" w:hAnsi="宋体"/>
        </w:rPr>
        <w:t>2010年6月，信息中心共开设15个农村</w:t>
      </w:r>
      <w:r>
        <w:rPr>
          <w:rFonts w:hint="eastAsia" w:ascii="宋体" w:hAnsi="宋体"/>
        </w:rPr>
        <w:t>中青年信息能力培训班，培训中青年农民</w:t>
      </w:r>
      <w:r>
        <w:rPr>
          <w:rFonts w:ascii="宋体" w:hAnsi="宋体"/>
        </w:rPr>
        <w:t>700</w:t>
      </w:r>
      <w:r>
        <w:rPr>
          <w:rFonts w:hint="eastAsia" w:ascii="宋体" w:hAnsi="宋体"/>
        </w:rPr>
        <w:t>多人次。</w:t>
      </w:r>
    </w:p>
    <w:p w14:paraId="1EC9FD00">
      <w:pPr>
        <w:ind w:firstLine="420"/>
        <w:jc w:val="right"/>
        <w:rPr>
          <w:rFonts w:ascii="宋体" w:hAnsi="宋体"/>
        </w:rPr>
      </w:pPr>
      <w:r>
        <w:rPr>
          <w:rFonts w:hint="eastAsia" w:ascii="宋体" w:hAnsi="宋体"/>
        </w:rPr>
        <w:t>（杨莉华）</w:t>
      </w:r>
    </w:p>
    <w:p w14:paraId="6D21346E">
      <w:pPr>
        <w:ind w:firstLine="0" w:firstLineChars="0"/>
        <w:rPr>
          <w:rFonts w:ascii="宋体" w:hAnsi="宋体"/>
        </w:rPr>
      </w:pPr>
      <w:r>
        <w:rPr>
          <w:rFonts w:hint="eastAsia" w:ascii="宋体" w:hAnsi="宋体"/>
          <w:b/>
        </w:rPr>
        <w:t>附：</w:t>
      </w:r>
      <w:r>
        <w:rPr>
          <w:rFonts w:ascii="宋体" w:hAnsi="宋体"/>
          <w:b/>
        </w:rPr>
        <w:t>2010年信息服务中心领导班子成员名单</w:t>
      </w:r>
    </w:p>
    <w:p w14:paraId="17786782">
      <w:pPr>
        <w:ind w:firstLine="0" w:firstLineChars="0"/>
        <w:rPr>
          <w:rFonts w:ascii="宋体" w:hAnsi="宋体"/>
        </w:rPr>
      </w:pPr>
      <w:r>
        <w:rPr>
          <w:rFonts w:hint="eastAsia" w:ascii="宋体" w:hAnsi="宋体"/>
        </w:rPr>
        <w:t>主  任：杨长乐</w:t>
      </w:r>
    </w:p>
    <w:p w14:paraId="45978438">
      <w:pPr>
        <w:ind w:firstLine="0" w:firstLineChars="0"/>
        <w:rPr>
          <w:rFonts w:ascii="宋体" w:hAnsi="宋体"/>
        </w:rPr>
      </w:pPr>
      <w:r>
        <w:rPr>
          <w:rFonts w:hint="eastAsia" w:ascii="宋体" w:hAnsi="宋体"/>
        </w:rPr>
        <w:t>副主任：刘宏斌  肖  凌</w:t>
      </w:r>
    </w:p>
    <w:p w14:paraId="254EB6F8">
      <w:pPr>
        <w:pStyle w:val="3"/>
      </w:pPr>
      <w:r>
        <w:rPr>
          <w:rFonts w:hint="eastAsia"/>
        </w:rPr>
        <w:t>抗灾救灾</w:t>
      </w:r>
    </w:p>
    <w:p w14:paraId="06D3BD45">
      <w:pPr>
        <w:pStyle w:val="4"/>
      </w:pPr>
      <w:r>
        <w:rPr>
          <w:rFonts w:hint="eastAsia"/>
        </w:rPr>
        <w:t>【洪涝灾害】</w:t>
      </w:r>
    </w:p>
    <w:p w14:paraId="08126CAC">
      <w:pPr>
        <w:ind w:firstLine="420"/>
        <w:rPr>
          <w:rFonts w:ascii="宋体" w:hAnsi="宋体"/>
        </w:rPr>
      </w:pPr>
      <w:r>
        <w:rPr>
          <w:rFonts w:ascii="宋体" w:hAnsi="宋体"/>
        </w:rPr>
        <w:t>2009年7月南雄市发生洪涝灾</w:t>
      </w:r>
      <w:r>
        <w:rPr>
          <w:rFonts w:hint="eastAsia" w:ascii="宋体" w:hAnsi="宋体"/>
        </w:rPr>
        <w:t>害，民政局开展房屋倒塌情况调查和缺粮调查，下拨大米</w:t>
      </w:r>
      <w:r>
        <w:rPr>
          <w:rFonts w:ascii="宋体" w:hAnsi="宋体"/>
        </w:rPr>
        <w:t>60吨，发放重建家园资金186</w:t>
      </w:r>
      <w:r>
        <w:rPr>
          <w:rFonts w:hint="eastAsia" w:ascii="宋体" w:hAnsi="宋体"/>
        </w:rPr>
        <w:t>万元，稳定</w:t>
      </w:r>
      <w:r>
        <w:rPr>
          <w:rFonts w:hint="eastAsia" w:ascii="宋体" w:hAnsi="宋体"/>
          <w:lang w:val="en-US" w:eastAsia="zh-CN"/>
        </w:rPr>
        <w:t>受</w:t>
      </w:r>
      <w:r>
        <w:rPr>
          <w:rFonts w:hint="eastAsia" w:ascii="宋体" w:hAnsi="宋体"/>
        </w:rPr>
        <w:t>灾</w:t>
      </w:r>
      <w:r>
        <w:rPr>
          <w:rFonts w:hint="eastAsia" w:ascii="宋体" w:hAnsi="宋体"/>
          <w:lang w:val="en-US" w:eastAsia="zh-CN"/>
        </w:rPr>
        <w:t>群众</w:t>
      </w:r>
      <w:r>
        <w:rPr>
          <w:rFonts w:hint="eastAsia" w:ascii="宋体" w:hAnsi="宋体"/>
        </w:rPr>
        <w:t>生活。</w:t>
      </w:r>
      <w:r>
        <w:rPr>
          <w:rFonts w:ascii="宋体" w:hAnsi="宋体"/>
        </w:rPr>
        <w:t>2010年5月、6月，</w:t>
      </w:r>
      <w:r>
        <w:rPr>
          <w:rFonts w:hint="eastAsia" w:ascii="宋体" w:hAnsi="宋体"/>
        </w:rPr>
        <w:t>南雄市遭受暴雨袭击，洪灾发生后，民政局组织开展救灾工作，解决</w:t>
      </w:r>
      <w:r>
        <w:rPr>
          <w:rFonts w:hint="eastAsia" w:ascii="宋体" w:hAnsi="宋体"/>
          <w:lang w:val="en-US" w:eastAsia="zh-CN"/>
        </w:rPr>
        <w:t>受</w:t>
      </w:r>
      <w:r>
        <w:rPr>
          <w:rFonts w:hint="eastAsia" w:ascii="宋体" w:hAnsi="宋体"/>
        </w:rPr>
        <w:t>灾</w:t>
      </w:r>
      <w:r>
        <w:rPr>
          <w:rFonts w:hint="eastAsia" w:ascii="宋体" w:hAnsi="宋体"/>
          <w:lang w:val="en-US" w:eastAsia="zh-CN"/>
        </w:rPr>
        <w:t>群众</w:t>
      </w:r>
      <w:r>
        <w:rPr>
          <w:rFonts w:hint="eastAsia" w:ascii="宋体" w:hAnsi="宋体"/>
        </w:rPr>
        <w:t>临时吃穿和安置问题，同时开展房屋倒塌情况调查和缺粮调查，下拨大米</w:t>
      </w:r>
      <w:r>
        <w:rPr>
          <w:rFonts w:ascii="宋体" w:hAnsi="宋体"/>
        </w:rPr>
        <w:t>9吨，发放重建家园资金338</w:t>
      </w:r>
      <w:r>
        <w:rPr>
          <w:rFonts w:hint="eastAsia" w:ascii="宋体" w:hAnsi="宋体"/>
        </w:rPr>
        <w:t>万元，稳定</w:t>
      </w:r>
      <w:r>
        <w:rPr>
          <w:rFonts w:hint="eastAsia" w:ascii="宋体" w:hAnsi="宋体"/>
          <w:lang w:val="en-US" w:eastAsia="zh-CN"/>
        </w:rPr>
        <w:t>受</w:t>
      </w:r>
      <w:r>
        <w:rPr>
          <w:rFonts w:hint="eastAsia" w:ascii="宋体" w:hAnsi="宋体"/>
        </w:rPr>
        <w:t>灾</w:t>
      </w:r>
      <w:r>
        <w:rPr>
          <w:rFonts w:hint="eastAsia" w:ascii="宋体" w:hAnsi="宋体"/>
          <w:lang w:val="en-US" w:eastAsia="zh-CN"/>
        </w:rPr>
        <w:t>群众</w:t>
      </w:r>
      <w:r>
        <w:rPr>
          <w:rFonts w:hint="eastAsia" w:ascii="宋体" w:hAnsi="宋体"/>
        </w:rPr>
        <w:t>生活。</w:t>
      </w:r>
    </w:p>
    <w:p w14:paraId="7D078AE3">
      <w:pPr>
        <w:pStyle w:val="4"/>
      </w:pPr>
      <w:r>
        <w:rPr>
          <w:rFonts w:hint="eastAsia"/>
        </w:rPr>
        <w:t>【冰冻灾害】</w:t>
      </w:r>
    </w:p>
    <w:p w14:paraId="74DA097A">
      <w:pPr>
        <w:ind w:firstLine="420"/>
        <w:rPr>
          <w:rFonts w:ascii="宋体" w:hAnsi="宋体"/>
        </w:rPr>
      </w:pPr>
      <w:r>
        <w:rPr>
          <w:rFonts w:ascii="宋体" w:hAnsi="宋体"/>
        </w:rPr>
        <w:t>2008年初，南雄市遭到冰雪</w:t>
      </w:r>
      <w:r>
        <w:rPr>
          <w:rFonts w:hint="eastAsia" w:ascii="宋体" w:hAnsi="宋体"/>
        </w:rPr>
        <w:t>灾害的袭击，全市有</w:t>
      </w:r>
      <w:r>
        <w:rPr>
          <w:rFonts w:ascii="宋体" w:hAnsi="宋体"/>
        </w:rPr>
        <w:t>16个镇受灾，群众生产</w:t>
      </w:r>
      <w:r>
        <w:rPr>
          <w:rFonts w:hint="eastAsia" w:ascii="宋体" w:hAnsi="宋体"/>
        </w:rPr>
        <w:t>生活受到损失，灾情发生后，市民政局采取措施，解决</w:t>
      </w:r>
      <w:r>
        <w:rPr>
          <w:rFonts w:hint="eastAsia" w:ascii="宋体" w:hAnsi="宋体"/>
          <w:lang w:val="en-US" w:eastAsia="zh-CN"/>
        </w:rPr>
        <w:t>受</w:t>
      </w:r>
      <w:r>
        <w:rPr>
          <w:rFonts w:hint="eastAsia" w:ascii="宋体" w:hAnsi="宋体"/>
        </w:rPr>
        <w:t>灾</w:t>
      </w:r>
      <w:r>
        <w:rPr>
          <w:rFonts w:hint="eastAsia" w:ascii="宋体" w:hAnsi="宋体"/>
          <w:lang w:val="en-US" w:eastAsia="zh-CN"/>
        </w:rPr>
        <w:t>群众</w:t>
      </w:r>
      <w:r>
        <w:rPr>
          <w:rFonts w:hint="eastAsia" w:ascii="宋体" w:hAnsi="宋体"/>
        </w:rPr>
        <w:t>的衣、食、住等困难，将救灾重点转移到恢复生产和重建家园工作上来。据统计，全市冰灾共倒塌房屋</w:t>
      </w:r>
      <w:r>
        <w:rPr>
          <w:rFonts w:ascii="宋体" w:hAnsi="宋体"/>
        </w:rPr>
        <w:t>1327间、损坏</w:t>
      </w:r>
      <w:r>
        <w:rPr>
          <w:rFonts w:hint="eastAsia" w:ascii="宋体" w:hAnsi="宋体"/>
        </w:rPr>
        <w:t>房屋</w:t>
      </w:r>
      <w:r>
        <w:rPr>
          <w:rFonts w:ascii="宋体" w:hAnsi="宋体"/>
        </w:rPr>
        <w:t>2452间、全倒户和重危房户612户2506</w:t>
      </w:r>
      <w:r>
        <w:rPr>
          <w:rFonts w:hint="eastAsia" w:ascii="宋体" w:hAnsi="宋体"/>
        </w:rPr>
        <w:t>人。灾情发生后，市委、市政府出台政策，采取措施，解决困难，发放棉被</w:t>
      </w:r>
      <w:r>
        <w:rPr>
          <w:rFonts w:ascii="宋体" w:hAnsi="宋体"/>
        </w:rPr>
        <w:t>3690床、棉</w:t>
      </w:r>
      <w:r>
        <w:rPr>
          <w:rFonts w:hint="eastAsia" w:ascii="宋体" w:hAnsi="宋体"/>
        </w:rPr>
        <w:t>袄</w:t>
      </w:r>
      <w:r>
        <w:rPr>
          <w:rFonts w:ascii="宋体" w:hAnsi="宋体"/>
        </w:rPr>
        <w:t>3000件、衣物3万多件、大米400多吨、</w:t>
      </w:r>
      <w:r>
        <w:rPr>
          <w:rFonts w:hint="eastAsia" w:ascii="宋体" w:hAnsi="宋体"/>
        </w:rPr>
        <w:t>矿泉水</w:t>
      </w:r>
      <w:r>
        <w:rPr>
          <w:rFonts w:ascii="宋体" w:hAnsi="宋体"/>
        </w:rPr>
        <w:t>100箱、饼干705箱、蜡烛70箱、尼</w:t>
      </w:r>
      <w:r>
        <w:rPr>
          <w:rFonts w:hint="eastAsia" w:ascii="宋体" w:hAnsi="宋体"/>
        </w:rPr>
        <w:t>龙薄膜</w:t>
      </w:r>
      <w:r>
        <w:rPr>
          <w:rFonts w:ascii="宋体" w:hAnsi="宋体"/>
        </w:rPr>
        <w:t>5吨，并给予全倒户每户补助10000</w:t>
      </w:r>
      <w:r>
        <w:rPr>
          <w:rFonts w:hint="eastAsia" w:ascii="宋体" w:hAnsi="宋体"/>
        </w:rPr>
        <w:t>元，重危户每户补助</w:t>
      </w:r>
      <w:r>
        <w:rPr>
          <w:rFonts w:ascii="宋体" w:hAnsi="宋体"/>
        </w:rPr>
        <w:t>8000元，并提供农村信</w:t>
      </w:r>
      <w:r>
        <w:rPr>
          <w:rFonts w:hint="eastAsia" w:ascii="宋体" w:hAnsi="宋体"/>
        </w:rPr>
        <w:t>用社低息贷款。</w:t>
      </w:r>
      <w:r>
        <w:rPr>
          <w:rFonts w:ascii="宋体" w:hAnsi="宋体"/>
        </w:rPr>
        <w:t>11月，全市612户全倒户和</w:t>
      </w:r>
      <w:r>
        <w:rPr>
          <w:rFonts w:hint="eastAsia" w:ascii="宋体" w:hAnsi="宋体"/>
        </w:rPr>
        <w:t>重危房户建好新房，迁入新居。</w:t>
      </w:r>
    </w:p>
    <w:p w14:paraId="04E0F7C7">
      <w:pPr>
        <w:pStyle w:val="4"/>
      </w:pPr>
      <w:r>
        <w:rPr>
          <w:rFonts w:hint="eastAsia"/>
        </w:rPr>
        <w:t>【旱灾】</w:t>
      </w:r>
    </w:p>
    <w:p w14:paraId="449E2C2A">
      <w:pPr>
        <w:ind w:firstLine="420"/>
        <w:rPr>
          <w:rFonts w:ascii="宋体" w:hAnsi="宋体"/>
        </w:rPr>
      </w:pPr>
      <w:r>
        <w:rPr>
          <w:rFonts w:ascii="宋体" w:hAnsi="宋体"/>
        </w:rPr>
        <w:t>2004年，南雄遭受旱灾。一是降</w:t>
      </w:r>
      <w:r>
        <w:rPr>
          <w:rFonts w:hint="eastAsia" w:ascii="宋体" w:hAnsi="宋体"/>
        </w:rPr>
        <w:t>雨量减少，全市</w:t>
      </w:r>
      <w:r>
        <w:rPr>
          <w:rFonts w:ascii="宋体" w:hAnsi="宋体"/>
        </w:rPr>
        <w:t>1月至11月份降雨量1057.5</w:t>
      </w:r>
      <w:r>
        <w:rPr>
          <w:rFonts w:hint="eastAsia" w:ascii="宋体" w:hAnsi="宋体"/>
        </w:rPr>
        <w:t>毫米，与上年同期对比减少</w:t>
      </w:r>
      <w:r>
        <w:rPr>
          <w:rFonts w:ascii="宋体" w:hAnsi="宋体"/>
        </w:rPr>
        <w:t>197.4毫米，减</w:t>
      </w:r>
      <w:r>
        <w:rPr>
          <w:rFonts w:hint="eastAsia" w:ascii="宋体" w:hAnsi="宋体"/>
        </w:rPr>
        <w:t>幅为</w:t>
      </w:r>
      <w:r>
        <w:rPr>
          <w:rFonts w:ascii="宋体" w:hAnsi="宋体"/>
        </w:rPr>
        <w:t>24.7%，与历年同期平均降雨减少347.6</w:t>
      </w:r>
      <w:r>
        <w:rPr>
          <w:rFonts w:hint="eastAsia" w:ascii="宋体" w:hAnsi="宋体"/>
        </w:rPr>
        <w:t>毫米，减幅</w:t>
      </w:r>
      <w:r>
        <w:rPr>
          <w:rFonts w:ascii="宋体" w:hAnsi="宋体"/>
        </w:rPr>
        <w:t>24.7%。9月份降雨量23.4毫米，</w:t>
      </w:r>
      <w:r>
        <w:rPr>
          <w:rFonts w:hint="eastAsia" w:ascii="宋体" w:hAnsi="宋体"/>
        </w:rPr>
        <w:t>与上年同期比减少</w:t>
      </w:r>
      <w:r>
        <w:rPr>
          <w:rFonts w:ascii="宋体" w:hAnsi="宋体"/>
        </w:rPr>
        <w:t>83.3毫米，10月份没有下</w:t>
      </w:r>
      <w:r>
        <w:rPr>
          <w:rFonts w:hint="eastAsia" w:ascii="宋体" w:hAnsi="宋体"/>
        </w:rPr>
        <w:t>过雨。二是山塘水库蓄水量减少，至</w:t>
      </w:r>
      <w:r>
        <w:rPr>
          <w:rFonts w:ascii="宋体" w:hAnsi="宋体"/>
        </w:rPr>
        <w:t>11月2</w:t>
      </w:r>
      <w:r>
        <w:rPr>
          <w:rFonts w:hint="eastAsia" w:ascii="宋体" w:hAnsi="宋体"/>
        </w:rPr>
        <w:t>日止，全市</w:t>
      </w:r>
      <w:r>
        <w:rPr>
          <w:rFonts w:ascii="宋体" w:hAnsi="宋体"/>
        </w:rPr>
        <w:t>13宗重点水库蓄水有效库容为3300多万立方米，与上年同期对比减少3400</w:t>
      </w:r>
      <w:r>
        <w:rPr>
          <w:rFonts w:hint="eastAsia" w:ascii="宋体" w:hAnsi="宋体"/>
        </w:rPr>
        <w:t>多万立方米。三是受旱范围大，面广。全市有界址、坪田、乌迳、油山、黄坑、邓坊、湖口、黎口、古市、珠玑</w:t>
      </w:r>
      <w:r>
        <w:rPr>
          <w:rFonts w:ascii="宋体" w:hAnsi="宋体"/>
        </w:rPr>
        <w:t>10个镇受旱，受旱</w:t>
      </w:r>
      <w:r>
        <w:rPr>
          <w:rFonts w:hint="eastAsia" w:ascii="宋体" w:hAnsi="宋体"/>
        </w:rPr>
        <w:t>面积</w:t>
      </w:r>
      <w:r>
        <w:rPr>
          <w:rFonts w:ascii="宋体" w:hAnsi="宋体"/>
        </w:rPr>
        <w:t>16.4万多亩，其中受旱严重的面积有5</w:t>
      </w:r>
      <w:r>
        <w:rPr>
          <w:rFonts w:hint="eastAsia" w:ascii="宋体" w:hAnsi="宋体"/>
        </w:rPr>
        <w:t>万多亩，失收面积</w:t>
      </w:r>
      <w:r>
        <w:rPr>
          <w:rFonts w:ascii="宋体" w:hAnsi="宋体"/>
        </w:rPr>
        <w:t>1.1万多亩。受旱的主要</w:t>
      </w:r>
      <w:r>
        <w:rPr>
          <w:rFonts w:hint="eastAsia" w:ascii="宋体" w:hAnsi="宋体"/>
        </w:rPr>
        <w:t>作物包括水稻、蕃薯、蔬菜（小辣椒为主）。因受旱而影响水稻的抽穗，灌浆，影响到水稻的增产增收。据统计，旱情给全市带来粮食减产</w:t>
      </w:r>
      <w:r>
        <w:rPr>
          <w:rFonts w:ascii="宋体" w:hAnsi="宋体"/>
        </w:rPr>
        <w:t>1.1万吨，经济损失2700万元，经济</w:t>
      </w:r>
      <w:r>
        <w:rPr>
          <w:rFonts w:hint="eastAsia" w:ascii="宋体" w:hAnsi="宋体"/>
        </w:rPr>
        <w:t>作物和其它损失</w:t>
      </w:r>
      <w:r>
        <w:rPr>
          <w:rFonts w:ascii="宋体" w:hAnsi="宋体"/>
        </w:rPr>
        <w:t>1100万元，共计损失3800万</w:t>
      </w:r>
      <w:r>
        <w:rPr>
          <w:rFonts w:hint="eastAsia" w:ascii="宋体" w:hAnsi="宋体"/>
        </w:rPr>
        <w:t>元。年冬下春全市缺</w:t>
      </w:r>
      <w:r>
        <w:rPr>
          <w:rFonts w:ascii="宋体" w:hAnsi="宋体"/>
        </w:rPr>
        <w:t>3个月口粮农户6268户</w:t>
      </w:r>
      <w:r>
        <w:rPr>
          <w:rFonts w:hint="eastAsia" w:ascii="宋体" w:hAnsi="宋体"/>
        </w:rPr>
        <w:t>、</w:t>
      </w:r>
      <w:r>
        <w:rPr>
          <w:rFonts w:ascii="宋体" w:hAnsi="宋体"/>
        </w:rPr>
        <w:t>25772人，缺口粮6个月6645户、28918人。</w:t>
      </w:r>
      <w:r>
        <w:rPr>
          <w:rFonts w:hint="eastAsia" w:ascii="宋体" w:hAnsi="宋体"/>
        </w:rPr>
        <w:t>面对严重旱情，市委、市政府采取有关措施，动员全市力量，掀起抗旱夺丰收的行动高潮，投入抗旱人数最多时</w:t>
      </w:r>
      <w:r>
        <w:rPr>
          <w:rFonts w:ascii="宋体" w:hAnsi="宋体"/>
        </w:rPr>
        <w:t>5.4万人，累计投入抗</w:t>
      </w:r>
      <w:r>
        <w:rPr>
          <w:rFonts w:hint="eastAsia" w:ascii="宋体" w:hAnsi="宋体"/>
        </w:rPr>
        <w:t>旱</w:t>
      </w:r>
      <w:r>
        <w:rPr>
          <w:rFonts w:ascii="宋体" w:hAnsi="宋体"/>
        </w:rPr>
        <w:t>20多万人次，完成水圳清淤365公里，投</w:t>
      </w:r>
      <w:r>
        <w:rPr>
          <w:rFonts w:hint="eastAsia" w:ascii="宋体" w:hAnsi="宋体"/>
        </w:rPr>
        <w:t>入抗旱机动设备</w:t>
      </w:r>
      <w:r>
        <w:rPr>
          <w:rFonts w:ascii="宋体" w:hAnsi="宋体"/>
        </w:rPr>
        <w:t>7136台（套），维修启动电</w:t>
      </w:r>
      <w:r>
        <w:rPr>
          <w:rFonts w:hint="eastAsia" w:ascii="宋体" w:hAnsi="宋体"/>
        </w:rPr>
        <w:t>排</w:t>
      </w:r>
      <w:r>
        <w:rPr>
          <w:rFonts w:ascii="宋体" w:hAnsi="宋体"/>
        </w:rPr>
        <w:t>131座，开挖水井6口。为解决抗旱工作中</w:t>
      </w:r>
      <w:r>
        <w:rPr>
          <w:rFonts w:hint="eastAsia" w:ascii="宋体" w:hAnsi="宋体"/>
        </w:rPr>
        <w:t>的资金问题，市、镇、村三级筹集</w:t>
      </w:r>
      <w:r>
        <w:rPr>
          <w:rFonts w:ascii="宋体" w:hAnsi="宋体"/>
        </w:rPr>
        <w:t>114万元</w:t>
      </w:r>
      <w:r>
        <w:rPr>
          <w:rFonts w:hint="eastAsia" w:ascii="宋体" w:hAnsi="宋体"/>
        </w:rPr>
        <w:t>投入抗旱，重点用于添置、维修抽水机设备和人工增雨作业，其中市财政投入资金</w:t>
      </w:r>
      <w:r>
        <w:rPr>
          <w:rFonts w:ascii="宋体" w:hAnsi="宋体"/>
        </w:rPr>
        <w:t>25万</w:t>
      </w:r>
      <w:r>
        <w:rPr>
          <w:rFonts w:hint="eastAsia" w:ascii="宋体" w:hAnsi="宋体"/>
        </w:rPr>
        <w:t>元，各镇及群众自筹资金</w:t>
      </w:r>
      <w:r>
        <w:rPr>
          <w:rFonts w:ascii="宋体" w:hAnsi="宋体"/>
        </w:rPr>
        <w:t>89万元。</w:t>
      </w:r>
    </w:p>
    <w:p w14:paraId="2AFC8D47">
      <w:pPr>
        <w:pStyle w:val="4"/>
      </w:pPr>
      <w:r>
        <w:rPr>
          <w:rFonts w:hint="eastAsia"/>
        </w:rPr>
        <w:t>【支援四川地震灾区建设】</w:t>
      </w:r>
    </w:p>
    <w:p w14:paraId="06991A94">
      <w:pPr>
        <w:ind w:firstLine="420"/>
        <w:rPr>
          <w:rFonts w:ascii="宋体" w:hAnsi="宋体"/>
        </w:rPr>
      </w:pPr>
      <w:r>
        <w:rPr>
          <w:rFonts w:ascii="宋体" w:hAnsi="宋体"/>
        </w:rPr>
        <w:t>20</w:t>
      </w:r>
      <w:r>
        <w:rPr>
          <w:rFonts w:hint="eastAsia" w:ascii="宋体" w:hAnsi="宋体"/>
        </w:rPr>
        <w:t>0</w:t>
      </w:r>
      <w:r>
        <w:rPr>
          <w:rFonts w:ascii="宋体" w:hAnsi="宋体"/>
        </w:rPr>
        <w:t>8年5月，四</w:t>
      </w:r>
      <w:r>
        <w:rPr>
          <w:rFonts w:hint="eastAsia" w:ascii="宋体" w:hAnsi="宋体"/>
        </w:rPr>
        <w:t>川省汶川县发生</w:t>
      </w:r>
      <w:r>
        <w:rPr>
          <w:rFonts w:ascii="宋体" w:hAnsi="宋体"/>
        </w:rPr>
        <w:t>8.0级地震。南雄市各级政府</w:t>
      </w:r>
      <w:r>
        <w:rPr>
          <w:rFonts w:hint="eastAsia" w:ascii="宋体" w:hAnsi="宋体"/>
        </w:rPr>
        <w:t>、各界人士、各企业行业筹集捐款</w:t>
      </w:r>
      <w:r>
        <w:rPr>
          <w:rFonts w:ascii="宋体" w:hAnsi="宋体"/>
        </w:rPr>
        <w:t>2315207.95元</w:t>
      </w:r>
      <w:r>
        <w:rPr>
          <w:rFonts w:hint="eastAsia" w:ascii="宋体" w:hAnsi="宋体"/>
        </w:rPr>
        <w:t>支援四川地震灾区建设，其中政府机构</w:t>
      </w:r>
      <w:r>
        <w:rPr>
          <w:rFonts w:ascii="宋体" w:hAnsi="宋体"/>
        </w:rPr>
        <w:t>1349306.20元、国有企业169793元、民营企业125862</w:t>
      </w:r>
      <w:r>
        <w:rPr>
          <w:rFonts w:hint="eastAsia" w:ascii="宋体" w:hAnsi="宋体"/>
        </w:rPr>
        <w:t>.</w:t>
      </w:r>
      <w:r>
        <w:rPr>
          <w:rFonts w:ascii="宋体" w:hAnsi="宋体"/>
        </w:rPr>
        <w:t>6元、国内民间组织127051.30元、个人350739</w:t>
      </w:r>
      <w:r>
        <w:rPr>
          <w:rFonts w:hint="eastAsia" w:ascii="宋体" w:hAnsi="宋体"/>
        </w:rPr>
        <w:t>.</w:t>
      </w:r>
      <w:r>
        <w:rPr>
          <w:rFonts w:ascii="宋体" w:hAnsi="宋体"/>
        </w:rPr>
        <w:t>88元、其他192454.97元</w:t>
      </w:r>
      <w:r>
        <w:rPr>
          <w:rFonts w:hint="eastAsia" w:ascii="宋体" w:hAnsi="宋体"/>
        </w:rPr>
        <w:t>。</w:t>
      </w:r>
    </w:p>
    <w:p w14:paraId="738DEB93">
      <w:pPr>
        <w:ind w:firstLine="420"/>
        <w:jc w:val="right"/>
        <w:rPr>
          <w:rFonts w:ascii="宋体" w:hAnsi="宋体"/>
        </w:rPr>
      </w:pPr>
      <w:r>
        <w:rPr>
          <w:rFonts w:hint="eastAsia" w:ascii="宋体" w:hAnsi="宋体"/>
        </w:rPr>
        <w:t>（李  根）</w:t>
      </w:r>
    </w:p>
    <w:p w14:paraId="5A45C9A5">
      <w:pPr>
        <w:pStyle w:val="3"/>
      </w:pPr>
      <w:r>
        <w:rPr>
          <w:rFonts w:hint="eastAsia"/>
        </w:rPr>
        <w:t>扶贫开发</w:t>
      </w:r>
    </w:p>
    <w:p w14:paraId="06070596">
      <w:pPr>
        <w:pStyle w:val="4"/>
      </w:pPr>
      <w:r>
        <w:rPr>
          <w:rFonts w:hint="eastAsia"/>
        </w:rPr>
        <w:t>【扶贫开发】</w:t>
      </w:r>
    </w:p>
    <w:p w14:paraId="15232CEB">
      <w:pPr>
        <w:ind w:firstLine="420"/>
        <w:rPr>
          <w:rFonts w:ascii="宋体" w:hAnsi="宋体"/>
        </w:rPr>
      </w:pPr>
      <w:r>
        <w:rPr>
          <w:rFonts w:hint="eastAsia" w:ascii="宋体" w:hAnsi="宋体"/>
        </w:rPr>
        <w:t>全市有行政村</w:t>
      </w:r>
      <w:r>
        <w:rPr>
          <w:rFonts w:ascii="宋体" w:hAnsi="宋体"/>
        </w:rPr>
        <w:t>208个，其中有</w:t>
      </w:r>
      <w:r>
        <w:rPr>
          <w:rFonts w:hint="eastAsia" w:ascii="宋体" w:hAnsi="宋体"/>
        </w:rPr>
        <w:t>省核定的贫困村</w:t>
      </w:r>
      <w:r>
        <w:rPr>
          <w:rFonts w:ascii="宋体" w:hAnsi="宋体"/>
        </w:rPr>
        <w:t>45个。全市共有贫困户9483</w:t>
      </w:r>
      <w:r>
        <w:rPr>
          <w:rFonts w:hint="eastAsia" w:ascii="宋体" w:hAnsi="宋体"/>
        </w:rPr>
        <w:t>户，</w:t>
      </w:r>
      <w:r>
        <w:rPr>
          <w:rFonts w:ascii="宋体" w:hAnsi="宋体"/>
        </w:rPr>
        <w:t>32381人，45个贫困村有贫困户4460户，</w:t>
      </w:r>
      <w:r>
        <w:rPr>
          <w:rFonts w:hint="eastAsia" w:ascii="宋体" w:hAnsi="宋体"/>
        </w:rPr>
        <w:t>贫困人口</w:t>
      </w:r>
      <w:r>
        <w:rPr>
          <w:rFonts w:ascii="宋体" w:hAnsi="宋体"/>
        </w:rPr>
        <w:t>16326人，其中有劳动能力的4080</w:t>
      </w:r>
      <w:r>
        <w:rPr>
          <w:rFonts w:hint="eastAsia" w:ascii="宋体" w:hAnsi="宋体"/>
        </w:rPr>
        <w:t>户</w:t>
      </w:r>
      <w:r>
        <w:rPr>
          <w:rFonts w:ascii="宋体" w:hAnsi="宋体"/>
        </w:rPr>
        <w:t>15587人，无劳动能力的低保户、五保户380户739人。按照</w:t>
      </w:r>
      <w:r>
        <w:rPr>
          <w:rFonts w:hint="eastAsia" w:ascii="宋体" w:hAnsi="宋体"/>
        </w:rPr>
        <w:t>粤</w:t>
      </w:r>
      <w:r>
        <w:rPr>
          <w:rFonts w:ascii="宋体" w:hAnsi="宋体"/>
        </w:rPr>
        <w:t>办发[2009]20号文</w:t>
      </w:r>
      <w:r>
        <w:rPr>
          <w:rFonts w:hint="eastAsia" w:ascii="宋体" w:hAnsi="宋体"/>
        </w:rPr>
        <w:t>规定，</w:t>
      </w:r>
      <w:r>
        <w:rPr>
          <w:rFonts w:ascii="宋体" w:hAnsi="宋体"/>
        </w:rPr>
        <w:t>45个贫困村中，由中直驻</w:t>
      </w:r>
      <w:r>
        <w:rPr>
          <w:rFonts w:hint="eastAsia" w:ascii="宋体" w:hAnsi="宋体"/>
        </w:rPr>
        <w:t>粤</w:t>
      </w:r>
      <w:r>
        <w:rPr>
          <w:rFonts w:ascii="宋体" w:hAnsi="宋体"/>
        </w:rPr>
        <w:t>单位帮扶1个贫困村，东莞市帮扶15个贫困村，韶关</w:t>
      </w:r>
      <w:r>
        <w:rPr>
          <w:rFonts w:hint="eastAsia" w:ascii="宋体" w:hAnsi="宋体"/>
        </w:rPr>
        <w:t>市帮扶</w:t>
      </w:r>
      <w:r>
        <w:rPr>
          <w:rFonts w:ascii="宋体" w:hAnsi="宋体"/>
        </w:rPr>
        <w:t>14个贫困村，市帮扶15个贫困村。市</w:t>
      </w:r>
      <w:r>
        <w:rPr>
          <w:rFonts w:hint="eastAsia" w:ascii="宋体" w:hAnsi="宋体"/>
        </w:rPr>
        <w:t>委、市政府高度重视，市成立扶贫开发“双到”工作领导小组，领导小组下设办公室，制订实施方案，落实帮扶责任制，开展扶贫开发“双到”工作。一是加强调查，摸清贫困户、贫困村的基本情况，建立扶贫档案；二是明确帮扶挂点对象，市直单位和省、东莞市、韶关市帮扶单位和人员落实到村、到户，实行扶贫结对子，做到“一对一”的帮扶；三是筹措扶贫资金，动员各扶贫挂点单位和全市广大干部职工捐资助贫，全年共筹集扶贫资金</w:t>
      </w:r>
      <w:r>
        <w:rPr>
          <w:rFonts w:ascii="宋体" w:hAnsi="宋体"/>
        </w:rPr>
        <w:t>5169万元；四是确定扶贫产业。</w:t>
      </w:r>
      <w:r>
        <w:rPr>
          <w:rFonts w:hint="eastAsia" w:ascii="宋体" w:hAnsi="宋体"/>
        </w:rPr>
        <w:t>把扶贫开发与龙头企业、农业专业合作社结合起来，按照“公司</w:t>
      </w:r>
      <w:r>
        <w:rPr>
          <w:rFonts w:ascii="宋体" w:hAnsi="宋体"/>
        </w:rPr>
        <w:t>+支部+专业合作社+</w:t>
      </w:r>
      <w:r>
        <w:rPr>
          <w:rFonts w:hint="eastAsia" w:ascii="宋体" w:hAnsi="宋体"/>
        </w:rPr>
        <w:t>贫困户”的捆绑式发展模式，动员金友公司、烟草公司、温氏集团南雄分公司、惠丰农业公司等龙头企业参与扶贫开发工作，制订发展黄烟、优质稻、紫薯、马铃薯、三元猪、五黑鸡、罗汉果、水果等一批扶贫产业，并根据各村、各贫困户的实际，扶持其发展</w:t>
      </w:r>
      <w:r>
        <w:rPr>
          <w:rFonts w:ascii="宋体" w:hAnsi="宋体"/>
        </w:rPr>
        <w:t>1</w:t>
      </w:r>
      <w:r>
        <w:rPr>
          <w:rFonts w:hint="eastAsia" w:ascii="宋体" w:hAnsi="宋体"/>
        </w:rPr>
        <w:t>-</w:t>
      </w:r>
      <w:r>
        <w:rPr>
          <w:rFonts w:ascii="宋体" w:hAnsi="宋体"/>
        </w:rPr>
        <w:t>2项主导产业，帮助困难户增加收入；五是举</w:t>
      </w:r>
      <w:r>
        <w:rPr>
          <w:rFonts w:hint="eastAsia" w:ascii="宋体" w:hAnsi="宋体"/>
        </w:rPr>
        <w:t>办各类扶贫培训班。按照扶贫先扶智的要求，举办了各类扶贫培训班，提高贫困户的种养水平，全年共举办优质稻、紫薯、马铃薯、罗汉果、果树、三元猪、五黑鸡等扶贫培训班</w:t>
      </w:r>
      <w:r>
        <w:rPr>
          <w:rFonts w:ascii="宋体" w:hAnsi="宋体"/>
        </w:rPr>
        <w:t>100期，参加培训人员达到1.83万多人次，</w:t>
      </w:r>
      <w:r>
        <w:rPr>
          <w:rFonts w:hint="eastAsia" w:ascii="宋体" w:hAnsi="宋体"/>
        </w:rPr>
        <w:t>其中贫困户</w:t>
      </w:r>
      <w:r>
        <w:rPr>
          <w:rFonts w:ascii="宋体" w:hAnsi="宋体"/>
        </w:rPr>
        <w:t>0.8万人次，并印发各种技术资</w:t>
      </w:r>
      <w:r>
        <w:rPr>
          <w:rFonts w:hint="eastAsia" w:ascii="宋体" w:hAnsi="宋体"/>
        </w:rPr>
        <w:t>料</w:t>
      </w:r>
      <w:r>
        <w:rPr>
          <w:rFonts w:ascii="宋体" w:hAnsi="宋体"/>
        </w:rPr>
        <w:t>2万多份，发放到贫困户手中。2010年，</w:t>
      </w:r>
      <w:r>
        <w:rPr>
          <w:rFonts w:hint="eastAsia" w:ascii="宋体" w:hAnsi="宋体"/>
        </w:rPr>
        <w:t>全市</w:t>
      </w:r>
      <w:r>
        <w:rPr>
          <w:rFonts w:ascii="宋体" w:hAnsi="宋体"/>
        </w:rPr>
        <w:t>45个贫困村投入扶贫开发资金5169万</w:t>
      </w:r>
      <w:r>
        <w:rPr>
          <w:rFonts w:hint="eastAsia" w:ascii="宋体" w:hAnsi="宋体"/>
        </w:rPr>
        <w:t>元，其中各级财政专项资金</w:t>
      </w:r>
      <w:r>
        <w:rPr>
          <w:rFonts w:ascii="宋体" w:hAnsi="宋体"/>
        </w:rPr>
        <w:t>10</w:t>
      </w:r>
      <w:r>
        <w:rPr>
          <w:rFonts w:hint="eastAsia" w:ascii="宋体" w:hAnsi="宋体"/>
        </w:rPr>
        <w:t>7</w:t>
      </w:r>
      <w:r>
        <w:rPr>
          <w:rFonts w:ascii="宋体" w:hAnsi="宋体"/>
        </w:rPr>
        <w:t>7</w:t>
      </w:r>
      <w:r>
        <w:rPr>
          <w:rFonts w:hint="eastAsia" w:ascii="宋体" w:hAnsi="宋体"/>
        </w:rPr>
        <w:t>.</w:t>
      </w:r>
      <w:r>
        <w:rPr>
          <w:rFonts w:ascii="宋体" w:hAnsi="宋体"/>
        </w:rPr>
        <w:t>5万元，帮</w:t>
      </w:r>
      <w:r>
        <w:rPr>
          <w:rFonts w:hint="eastAsia" w:ascii="宋体" w:hAnsi="宋体"/>
        </w:rPr>
        <w:t>扶单位筹集资金</w:t>
      </w:r>
      <w:r>
        <w:rPr>
          <w:rFonts w:ascii="宋体" w:hAnsi="宋体"/>
        </w:rPr>
        <w:t>2002万元，各职能部门投入</w:t>
      </w:r>
      <w:r>
        <w:rPr>
          <w:rFonts w:hint="eastAsia" w:ascii="宋体" w:hAnsi="宋体"/>
        </w:rPr>
        <w:t>资金</w:t>
      </w:r>
      <w:r>
        <w:rPr>
          <w:rFonts w:ascii="宋体" w:hAnsi="宋体"/>
        </w:rPr>
        <w:t>2039.5万元。通过帮扶推动一批优质农</w:t>
      </w:r>
      <w:r>
        <w:rPr>
          <w:rFonts w:hint="eastAsia" w:ascii="宋体" w:hAnsi="宋体"/>
        </w:rPr>
        <w:t>业产业发展，兴办一批效益好的村集体经济项目，兴建一大批基础设施建设。</w:t>
      </w:r>
      <w:r>
        <w:rPr>
          <w:rFonts w:ascii="宋体" w:hAnsi="宋体"/>
        </w:rPr>
        <w:t>2010年全</w:t>
      </w:r>
      <w:r>
        <w:rPr>
          <w:rFonts w:hint="eastAsia" w:ascii="宋体" w:hAnsi="宋体"/>
        </w:rPr>
        <w:t>市贫困村贫困户人均纯收入达</w:t>
      </w:r>
      <w:r>
        <w:rPr>
          <w:rFonts w:ascii="宋体" w:hAnsi="宋体"/>
        </w:rPr>
        <w:t>2472元，比上</w:t>
      </w:r>
      <w:r>
        <w:rPr>
          <w:rFonts w:hint="eastAsia" w:ascii="宋体" w:hAnsi="宋体"/>
        </w:rPr>
        <w:t>年增加</w:t>
      </w:r>
      <w:r>
        <w:rPr>
          <w:rFonts w:ascii="宋体" w:hAnsi="宋体"/>
        </w:rPr>
        <w:t>796元，增长47.5%，比全市农村人</w:t>
      </w:r>
      <w:r>
        <w:rPr>
          <w:rFonts w:hint="eastAsia" w:ascii="宋体" w:hAnsi="宋体"/>
        </w:rPr>
        <w:t>均纯收入增长率高</w:t>
      </w:r>
      <w:r>
        <w:rPr>
          <w:rFonts w:ascii="宋体" w:hAnsi="宋体"/>
        </w:rPr>
        <w:t>36.5个百分点，2010年全</w:t>
      </w:r>
      <w:r>
        <w:rPr>
          <w:rFonts w:hint="eastAsia" w:ascii="宋体" w:hAnsi="宋体"/>
        </w:rPr>
        <w:t>市脱贫户数有</w:t>
      </w:r>
      <w:r>
        <w:rPr>
          <w:rFonts w:ascii="宋体" w:hAnsi="宋体"/>
        </w:rPr>
        <w:t>4128户，占总贫困户的43.5%，其中45个贫困村的脱贫户数为2119</w:t>
      </w:r>
      <w:r>
        <w:rPr>
          <w:rFonts w:hint="eastAsia" w:ascii="宋体" w:hAnsi="宋体"/>
        </w:rPr>
        <w:t>户，占</w:t>
      </w:r>
      <w:r>
        <w:rPr>
          <w:rFonts w:ascii="宋体" w:hAnsi="宋体"/>
        </w:rPr>
        <w:t>47.5%，脱贫人口8621人，占贫困人</w:t>
      </w:r>
      <w:r>
        <w:rPr>
          <w:rFonts w:hint="eastAsia" w:ascii="宋体" w:hAnsi="宋体"/>
        </w:rPr>
        <w:t>口的</w:t>
      </w:r>
      <w:r>
        <w:rPr>
          <w:rFonts w:ascii="宋体" w:hAnsi="宋体"/>
        </w:rPr>
        <w:t>52.8%。高分通过韶关市和省的年终考</w:t>
      </w:r>
      <w:r>
        <w:rPr>
          <w:rFonts w:hint="eastAsia" w:ascii="宋体" w:hAnsi="宋体"/>
        </w:rPr>
        <w:t>评验收。</w:t>
      </w:r>
    </w:p>
    <w:p w14:paraId="0374943E">
      <w:pPr>
        <w:ind w:firstLine="420"/>
        <w:jc w:val="right"/>
        <w:rPr>
          <w:rFonts w:ascii="宋体" w:hAnsi="宋体"/>
        </w:rPr>
      </w:pPr>
      <w:r>
        <w:rPr>
          <w:rFonts w:hint="eastAsia" w:ascii="宋体" w:hAnsi="宋体"/>
        </w:rPr>
        <w:t>（林小燕）</w:t>
      </w:r>
    </w:p>
    <w:p w14:paraId="08077E53">
      <w:pPr>
        <w:pStyle w:val="3"/>
      </w:pPr>
      <w:r>
        <w:rPr>
          <w:rFonts w:hint="eastAsia"/>
        </w:rPr>
        <w:t>政府采购</w:t>
      </w:r>
    </w:p>
    <w:p w14:paraId="5189A558">
      <w:pPr>
        <w:ind w:firstLine="420"/>
        <w:rPr>
          <w:rFonts w:ascii="宋体" w:hAnsi="宋体"/>
        </w:rPr>
      </w:pPr>
      <w:r>
        <w:rPr>
          <w:rFonts w:hint="eastAsia" w:ascii="宋体" w:hAnsi="宋体"/>
        </w:rPr>
        <w:t>搞好政府采购工作，实行“阳光采购”。</w:t>
      </w:r>
      <w:r>
        <w:rPr>
          <w:rFonts w:ascii="宋体" w:hAnsi="宋体"/>
        </w:rPr>
        <w:t>2010年完成政府采购408宗，实现采购金额2.7亿元，节约资金1389万元，节约率5.06%；严格按照财政投资评审要求，认真</w:t>
      </w:r>
      <w:r>
        <w:rPr>
          <w:rFonts w:hint="eastAsia" w:ascii="宋体" w:hAnsi="宋体"/>
        </w:rPr>
        <w:t>审核建设工程项目预、结算。</w:t>
      </w:r>
      <w:r>
        <w:rPr>
          <w:rFonts w:ascii="宋体" w:hAnsi="宋体"/>
        </w:rPr>
        <w:t>2010年审核工</w:t>
      </w:r>
      <w:r>
        <w:rPr>
          <w:rFonts w:hint="eastAsia" w:ascii="宋体" w:hAnsi="宋体"/>
        </w:rPr>
        <w:t>程项目</w:t>
      </w:r>
      <w:r>
        <w:rPr>
          <w:rFonts w:ascii="宋体" w:hAnsi="宋体"/>
        </w:rPr>
        <w:t>446个，审定金额3亿元，节约资金2232万元，核减率为6.9%。</w:t>
      </w:r>
    </w:p>
    <w:p w14:paraId="5F8DB627">
      <w:pPr>
        <w:ind w:firstLine="420"/>
        <w:jc w:val="right"/>
        <w:rPr>
          <w:rFonts w:ascii="宋体" w:hAnsi="宋体"/>
        </w:rPr>
      </w:pPr>
      <w:r>
        <w:rPr>
          <w:rFonts w:hint="eastAsia" w:ascii="宋体" w:hAnsi="宋体"/>
        </w:rPr>
        <w:t>（邓志翔）</w:t>
      </w:r>
    </w:p>
    <w:p w14:paraId="40F3DD12">
      <w:pPr>
        <w:pStyle w:val="2"/>
      </w:pPr>
      <w:r>
        <w:rPr>
          <w:rFonts w:hint="eastAsia"/>
        </w:rPr>
        <w:t>政协南雄市委员会</w:t>
      </w:r>
    </w:p>
    <w:p w14:paraId="1BC12CB6">
      <w:pPr>
        <w:pStyle w:val="3"/>
      </w:pPr>
      <w:r>
        <w:rPr>
          <w:rFonts w:hint="eastAsia"/>
        </w:rPr>
        <w:t>综述</w:t>
      </w:r>
    </w:p>
    <w:p w14:paraId="0E531465">
      <w:pPr>
        <w:pStyle w:val="4"/>
      </w:pPr>
      <w:r>
        <w:rPr>
          <w:rFonts w:hint="eastAsia"/>
        </w:rPr>
        <w:t>【概况】</w:t>
      </w:r>
    </w:p>
    <w:p w14:paraId="1DD75E0D">
      <w:pPr>
        <w:ind w:firstLine="420"/>
        <w:rPr>
          <w:rFonts w:ascii="宋体" w:hAnsi="宋体"/>
        </w:rPr>
      </w:pPr>
      <w:r>
        <w:rPr>
          <w:rFonts w:hint="eastAsia" w:ascii="宋体" w:hAnsi="宋体"/>
        </w:rPr>
        <w:t>政协南雄市八届委员会设有</w:t>
      </w:r>
      <w:r>
        <w:rPr>
          <w:rFonts w:ascii="宋体" w:hAnsi="宋体"/>
        </w:rPr>
        <w:t>24个</w:t>
      </w:r>
      <w:r>
        <w:rPr>
          <w:rFonts w:hint="eastAsia" w:ascii="宋体" w:hAnsi="宋体"/>
        </w:rPr>
        <w:t>界别，参加单位</w:t>
      </w:r>
      <w:r>
        <w:rPr>
          <w:rFonts w:ascii="宋体" w:hAnsi="宋体"/>
        </w:rPr>
        <w:t>98个，有委员199人。设专</w:t>
      </w:r>
      <w:r>
        <w:rPr>
          <w:rFonts w:hint="eastAsia" w:ascii="宋体" w:hAnsi="宋体"/>
        </w:rPr>
        <w:t>门委员会</w:t>
      </w:r>
      <w:r>
        <w:rPr>
          <w:rFonts w:ascii="宋体" w:hAnsi="宋体"/>
        </w:rPr>
        <w:t>6个</w:t>
      </w:r>
      <w:r>
        <w:rPr>
          <w:rFonts w:hint="eastAsia" w:ascii="宋体" w:hAnsi="宋体"/>
        </w:rPr>
        <w:t>：</w:t>
      </w:r>
      <w:r>
        <w:rPr>
          <w:rFonts w:ascii="宋体" w:hAnsi="宋体"/>
        </w:rPr>
        <w:t>即提案委员会、经济委员会、</w:t>
      </w:r>
      <w:r>
        <w:rPr>
          <w:rFonts w:hint="eastAsia" w:ascii="宋体" w:hAnsi="宋体"/>
        </w:rPr>
        <w:t>教科文卫体委员会、社会法制委员会、文史资料委员会、港澳台侨和民族宗教委员会。各专门委员会主任由政协副主席兼任，副主任由各界别的有关领导兼任。同时，还根据专门委员会的具体情况，划分</w:t>
      </w:r>
      <w:r>
        <w:rPr>
          <w:rFonts w:ascii="宋体" w:hAnsi="宋体"/>
        </w:rPr>
        <w:t>6个委员小组。</w:t>
      </w:r>
      <w:r>
        <w:rPr>
          <w:rFonts w:hint="eastAsia" w:ascii="宋体" w:hAnsi="宋体"/>
        </w:rPr>
        <w:t>南雄市政协机关设有“一室二科”，即：政协办公室、组织联络科、宣传科。机关人员编制</w:t>
      </w:r>
      <w:r>
        <w:rPr>
          <w:rFonts w:ascii="宋体" w:hAnsi="宋体"/>
        </w:rPr>
        <w:t>18名（其中广东南雄珠玑巷后裔联谊</w:t>
      </w:r>
      <w:r>
        <w:rPr>
          <w:rFonts w:hint="eastAsia" w:ascii="宋体" w:hAnsi="宋体"/>
        </w:rPr>
        <w:t>会办公室编制</w:t>
      </w:r>
      <w:r>
        <w:rPr>
          <w:rFonts w:ascii="宋体" w:hAnsi="宋体"/>
        </w:rPr>
        <w:t>3名），在职人数18人，其中</w:t>
      </w:r>
      <w:r>
        <w:rPr>
          <w:rFonts w:hint="eastAsia" w:ascii="宋体" w:hAnsi="宋体"/>
        </w:rPr>
        <w:t>：科室领导职数</w:t>
      </w:r>
      <w:r>
        <w:rPr>
          <w:rFonts w:ascii="宋体" w:hAnsi="宋体"/>
        </w:rPr>
        <w:t>6人，现有领导5人。</w:t>
      </w:r>
    </w:p>
    <w:p w14:paraId="3FBA4B07">
      <w:pPr>
        <w:pStyle w:val="4"/>
      </w:pPr>
      <w:r>
        <w:rPr>
          <w:rFonts w:hint="eastAsia"/>
        </w:rPr>
        <w:t>【协商议政】</w:t>
      </w:r>
    </w:p>
    <w:p w14:paraId="2C103085">
      <w:pPr>
        <w:ind w:firstLine="420"/>
        <w:rPr>
          <w:rFonts w:ascii="宋体" w:hAnsi="宋体"/>
        </w:rPr>
      </w:pPr>
      <w:r>
        <w:rPr>
          <w:rFonts w:hint="eastAsia" w:ascii="宋体" w:hAnsi="宋体"/>
        </w:rPr>
        <w:t>常委会组织开展协商议政活动，提出意见建议。组织委员通过视察金友公司在湖口长市建立的五黑鸡养殖基地、南亩万亩油茶基地和广东华农温氏畜牧股份有限公司南亩三元杂交猪基地等特色农业，提出加大农业招商引资力度，引进推广种养新技术新品种，采取“公司</w:t>
      </w:r>
      <w:r>
        <w:rPr>
          <w:rFonts w:ascii="宋体" w:hAnsi="宋体"/>
        </w:rPr>
        <w:t>+基地+专业合作</w:t>
      </w:r>
      <w:r>
        <w:rPr>
          <w:rFonts w:hint="eastAsia" w:ascii="宋体" w:hAnsi="宋体"/>
        </w:rPr>
        <w:t>社</w:t>
      </w:r>
      <w:r>
        <w:rPr>
          <w:rFonts w:ascii="宋体" w:hAnsi="宋体"/>
        </w:rPr>
        <w:t>+农户</w:t>
      </w:r>
      <w:r>
        <w:rPr>
          <w:rFonts w:hint="eastAsia" w:ascii="宋体" w:hAnsi="宋体"/>
        </w:rPr>
        <w:t>”</w:t>
      </w:r>
      <w:r>
        <w:rPr>
          <w:rFonts w:ascii="宋体" w:hAnsi="宋体"/>
        </w:rPr>
        <w:t>的经营模式，加强引导扶持，搞</w:t>
      </w:r>
      <w:r>
        <w:rPr>
          <w:rFonts w:hint="eastAsia" w:ascii="宋体" w:hAnsi="宋体"/>
        </w:rPr>
        <w:t>好服务等意见建议。组织委员视察彤置富水泥建材投资有限公司和广东绿洲纸模包装制品有限公司等重点企业项目，就出台优惠政策，加大项目和资金的扶持，加快推进重点项目建设，发展壮大规模企业等方面提出意见建议。组织视察重点提案《关于尽快完善南雄市精细化工发展规划，做优做强精细化工产业的建议》的办理工作。政府在完善一期园区和规划二期园区的工作中，吸纳了提案中的意见建议。政协主席会议成员，部分政协常委和政协参加单位主要领导参加市委十一届九次全会，参与“十二五”规划的协商讨论。来自各民主党派、各人民团体、各界人士的政协委员代表也参加市组织的“十二五”规划建议征求意见座谈会，提出不少建设性意见建议。</w:t>
      </w:r>
    </w:p>
    <w:p w14:paraId="57C1E29D">
      <w:pPr>
        <w:pStyle w:val="4"/>
      </w:pPr>
      <w:r>
        <w:rPr>
          <w:rFonts w:hint="eastAsia"/>
        </w:rPr>
        <w:t>【调研视察】</w:t>
      </w:r>
    </w:p>
    <w:p w14:paraId="56E1F87A">
      <w:pPr>
        <w:ind w:firstLine="420"/>
        <w:rPr>
          <w:rFonts w:ascii="宋体" w:hAnsi="宋体"/>
        </w:rPr>
      </w:pPr>
      <w:r>
        <w:rPr>
          <w:rFonts w:hint="eastAsia" w:ascii="宋体" w:hAnsi="宋体"/>
        </w:rPr>
        <w:t>组织政协有关领导和委员深入主田、油山、南亩等镇开展对林业工作调研，了解市林业工作状况，组织委员评议林业工作，对加大林业宣传力度，加强林政工作管理，加大行政执法力度等提出意见建议。组织开展评议教育工作，委员们就加大教育资金投入，整合教育资源，提高教学水平，强化教师队伍建设等问题积极发言，为推进教育强市出谋献策。针对校园安全问题，委员提出的《关于构建和完善校园治安防控体系的建议》得到政府高度重视。组织委员视察南雄市村庄整治和乡村“清洁美”工程。提出在推进村庄整治和乡村“清洁美”工作中要加大宣传力度，合理规划，加大资金投入，相关单位通力合作，落实责任，科学整治村庄和整治环境等意见建议。组织委员视察重点提案《关于国道老</w:t>
      </w:r>
      <w:r>
        <w:rPr>
          <w:rFonts w:ascii="宋体" w:hAnsi="宋体"/>
        </w:rPr>
        <w:t>323线大修后，两边的</w:t>
      </w:r>
      <w:r>
        <w:rPr>
          <w:rFonts w:hint="eastAsia" w:ascii="宋体" w:hAnsi="宋体"/>
        </w:rPr>
        <w:t>行人道做好沟道设计，埋设各种管道的建议》的落实情况。在政府的高度重视下，穿城段车行道路面已修复完成，公路边沟、路肩和人行道、综合管沟、路灯、绿化等建设将基本完工，改善城市宜居环境。</w:t>
      </w:r>
    </w:p>
    <w:p w14:paraId="239BF5EE">
      <w:pPr>
        <w:pStyle w:val="4"/>
      </w:pPr>
      <w:r>
        <w:rPr>
          <w:rFonts w:hint="eastAsia"/>
        </w:rPr>
        <w:t>【提案督办】</w:t>
      </w:r>
    </w:p>
    <w:p w14:paraId="6701DA52">
      <w:pPr>
        <w:ind w:firstLine="420"/>
        <w:rPr>
          <w:rFonts w:ascii="宋体" w:hAnsi="宋体"/>
        </w:rPr>
      </w:pPr>
      <w:r>
        <w:rPr>
          <w:rFonts w:hint="eastAsia" w:ascii="宋体" w:hAnsi="宋体"/>
        </w:rPr>
        <w:t>市政协八届五次会议以来，共征集委员提案</w:t>
      </w:r>
      <w:r>
        <w:rPr>
          <w:rFonts w:ascii="宋体" w:hAnsi="宋体"/>
        </w:rPr>
        <w:t>67件，立案59件。其中，涉及</w:t>
      </w:r>
      <w:r>
        <w:rPr>
          <w:rFonts w:hint="eastAsia" w:ascii="宋体" w:hAnsi="宋体"/>
        </w:rPr>
        <w:t>民生方面的提案</w:t>
      </w:r>
      <w:r>
        <w:rPr>
          <w:rFonts w:ascii="宋体" w:hAnsi="宋体"/>
        </w:rPr>
        <w:t>26件，占立案总数的42%</w:t>
      </w:r>
      <w:r>
        <w:rPr>
          <w:rFonts w:hint="eastAsia" w:ascii="宋体" w:hAnsi="宋体"/>
        </w:rPr>
        <w:t>，均在规定时间内全部办理完毕。为推动委员提案的办理落实，常委会加强对提案工作的指导，通过重点提案主席会议领衔督办，选择提案催办等方式，以及各承办部门按照市政府的要求，提高认识，加强领导，完善制度，在抓落实、求实效、办实事、提高办理质量和效率上狠下功夫，促进一些涉及群众切身利益问题的解决。一批反映人民群众关心的利益问题的提案，都得到有关部门的重视并采取措施予以解决。</w:t>
      </w:r>
    </w:p>
    <w:p w14:paraId="43BF6C0E">
      <w:pPr>
        <w:pStyle w:val="4"/>
      </w:pPr>
      <w:r>
        <w:rPr>
          <w:rFonts w:hint="eastAsia"/>
        </w:rPr>
        <w:t>【团结联谊】</w:t>
      </w:r>
    </w:p>
    <w:p w14:paraId="43F290DF">
      <w:pPr>
        <w:ind w:firstLine="420"/>
        <w:rPr>
          <w:rFonts w:ascii="宋体" w:hAnsi="宋体"/>
        </w:rPr>
      </w:pPr>
      <w:r>
        <w:rPr>
          <w:rFonts w:hint="eastAsia" w:ascii="宋体" w:hAnsi="宋体"/>
        </w:rPr>
        <w:t>一是加大联谊工作力度。政协主席、副主席等有关领导先后出席珠三角及港澳</w:t>
      </w:r>
      <w:r>
        <w:rPr>
          <w:rFonts w:ascii="宋体" w:hAnsi="宋体"/>
        </w:rPr>
        <w:t>70多个社团的联谊庆典活动；先后组织</w:t>
      </w:r>
      <w:r>
        <w:rPr>
          <w:rFonts w:hint="eastAsia" w:ascii="宋体" w:hAnsi="宋体"/>
        </w:rPr>
        <w:t>和接待</w:t>
      </w:r>
      <w:r>
        <w:rPr>
          <w:rFonts w:ascii="宋体" w:hAnsi="宋体"/>
        </w:rPr>
        <w:t>5批次南雄投资环境考察和文化交流</w:t>
      </w:r>
      <w:r>
        <w:rPr>
          <w:rFonts w:hint="eastAsia" w:ascii="宋体" w:hAnsi="宋体"/>
        </w:rPr>
        <w:t>团；接待</w:t>
      </w:r>
      <w:r>
        <w:rPr>
          <w:rFonts w:ascii="宋体" w:hAnsi="宋体"/>
        </w:rPr>
        <w:t>20多个姓氏共60多批（次）30000</w:t>
      </w:r>
      <w:r>
        <w:rPr>
          <w:rFonts w:hint="eastAsia" w:ascii="宋体" w:hAnsi="宋体"/>
        </w:rPr>
        <w:t>多人次的文化交流和考察寻根活动；促成蔡惠玲、苏志强等</w:t>
      </w:r>
      <w:r>
        <w:rPr>
          <w:rFonts w:ascii="宋体" w:hAnsi="宋体"/>
        </w:rPr>
        <w:t>5家企业落户南雄。卢道平</w:t>
      </w:r>
      <w:r>
        <w:rPr>
          <w:rFonts w:hint="eastAsia" w:ascii="宋体" w:hAnsi="宋体"/>
        </w:rPr>
        <w:t>、王锦辉、蔡惠玲等委员慷慨资助近</w:t>
      </w:r>
      <w:r>
        <w:rPr>
          <w:rFonts w:ascii="宋体" w:hAnsi="宋体"/>
        </w:rPr>
        <w:t>400万元，</w:t>
      </w:r>
      <w:r>
        <w:rPr>
          <w:rFonts w:hint="eastAsia" w:ascii="宋体" w:hAnsi="宋体"/>
        </w:rPr>
        <w:t>香港麦氏宗亲会及南雄麦氏宗亲会捐资</w:t>
      </w:r>
      <w:r>
        <w:rPr>
          <w:rFonts w:ascii="宋体" w:hAnsi="宋体"/>
        </w:rPr>
        <w:t>45万</w:t>
      </w:r>
      <w:r>
        <w:rPr>
          <w:rFonts w:hint="eastAsia" w:ascii="宋体" w:hAnsi="宋体"/>
        </w:rPr>
        <w:t>元，支持南雄发展教育和慈善公益。二是做好珠玑巷历史文化景区规划、建设协调工作。积极争取联谊会黎子流会长等领导的重视，在《珠玑文化教育慈善专项基金》拨出</w:t>
      </w:r>
      <w:r>
        <w:rPr>
          <w:rFonts w:ascii="宋体" w:hAnsi="宋体"/>
        </w:rPr>
        <w:t>100</w:t>
      </w:r>
      <w:r>
        <w:rPr>
          <w:rFonts w:hint="eastAsia" w:ascii="宋体" w:hAnsi="宋体"/>
        </w:rPr>
        <w:t>万元，作为规划建设工作的启动资金。同时协助珠玑巷规划建设领导小组开展《珠玑古巷、梅岭景区旅游总体规划》招标工作和对</w:t>
      </w:r>
      <w:r>
        <w:rPr>
          <w:rFonts w:ascii="宋体" w:hAnsi="宋体"/>
        </w:rPr>
        <w:t>3</w:t>
      </w:r>
      <w:r>
        <w:rPr>
          <w:rFonts w:hint="eastAsia" w:ascii="宋体" w:hAnsi="宋体"/>
        </w:rPr>
        <w:t>家设计方案的评审。</w:t>
      </w:r>
      <w:r>
        <w:rPr>
          <w:rFonts w:ascii="宋体" w:hAnsi="宋体"/>
        </w:rPr>
        <w:t>5月9日，因受连日的强</w:t>
      </w:r>
      <w:r>
        <w:rPr>
          <w:rFonts w:hint="eastAsia" w:ascii="宋体" w:hAnsi="宋体"/>
        </w:rPr>
        <w:t>降雨影响，珠玑古巷千年古榕被风雨掀倒。为及时抢救千年古榕，早日恢复古巷原有景观，联谊会拨款</w:t>
      </w:r>
      <w:r>
        <w:rPr>
          <w:rFonts w:ascii="宋体" w:hAnsi="宋体"/>
        </w:rPr>
        <w:t>30万元，抢救千年古榕。为</w:t>
      </w:r>
      <w:r>
        <w:rPr>
          <w:rFonts w:hint="eastAsia" w:ascii="宋体" w:hAnsi="宋体"/>
        </w:rPr>
        <w:t>方便珠玑镇群众生产、生活，协助珠玑镇党委、政府向省公路局争取高速公路出口路段延长</w:t>
      </w:r>
      <w:r>
        <w:rPr>
          <w:rFonts w:ascii="宋体" w:hAnsi="宋体"/>
        </w:rPr>
        <w:t>1200米的工作。三是加大珠玑文化宣传</w:t>
      </w:r>
      <w:r>
        <w:rPr>
          <w:rFonts w:hint="eastAsia" w:ascii="宋体" w:hAnsi="宋体"/>
        </w:rPr>
        <w:t>力度。策划、支持做好南雄市珠玑艺术团开展“情系珠玑——珠玑艺术团粤港澳巡演”和“情系珠玑——广东省粤剧院一团《魂牵珠玑巷》粤港澳巡演”工作。支持办好《珠玑》会刊，进一步办好《珠玑联谊网》。四是做好在港澳、珠三角等地设立珠玑巷后裔联谊会筹备工作。</w:t>
      </w:r>
    </w:p>
    <w:p w14:paraId="09E04750">
      <w:pPr>
        <w:pStyle w:val="4"/>
      </w:pPr>
      <w:r>
        <w:rPr>
          <w:rFonts w:hint="eastAsia"/>
        </w:rPr>
        <w:t>【宣传文史】</w:t>
      </w:r>
    </w:p>
    <w:p w14:paraId="17FCB0E9">
      <w:pPr>
        <w:ind w:firstLine="420"/>
        <w:rPr>
          <w:rFonts w:ascii="宋体" w:hAnsi="宋体"/>
        </w:rPr>
      </w:pPr>
      <w:r>
        <w:rPr>
          <w:rFonts w:ascii="宋体" w:hAnsi="宋体"/>
        </w:rPr>
        <w:t>2010年是南雄政协成立30周</w:t>
      </w:r>
      <w:r>
        <w:rPr>
          <w:rFonts w:hint="eastAsia" w:ascii="宋体" w:hAnsi="宋体"/>
        </w:rPr>
        <w:t>年。开展了南雄政协成立</w:t>
      </w:r>
      <w:r>
        <w:rPr>
          <w:rFonts w:ascii="宋体" w:hAnsi="宋体"/>
        </w:rPr>
        <w:t>30周年系列活动，</w:t>
      </w:r>
      <w:r>
        <w:rPr>
          <w:rFonts w:hint="eastAsia" w:ascii="宋体" w:hAnsi="宋体"/>
        </w:rPr>
        <w:t>编辑《南雄政协三十年》特刊和宣传橱窗，出版南雄第一本反映千年集散民居文化的《南雄古村落》文史书籍。调整挑选</w:t>
      </w:r>
      <w:r>
        <w:rPr>
          <w:rFonts w:ascii="宋体" w:hAnsi="宋体"/>
        </w:rPr>
        <w:t>13名素</w:t>
      </w:r>
      <w:r>
        <w:rPr>
          <w:rFonts w:hint="eastAsia" w:ascii="宋体" w:hAnsi="宋体"/>
        </w:rPr>
        <w:t>质较高的工作人员充实到政协宣传队伍中来，重新修订《南雄市八届政协宣传报道奖励办法》，一批有深度、有价值、有影响的作品被国家、省、韶关市政协媒体采用。</w:t>
      </w:r>
      <w:r>
        <w:rPr>
          <w:rFonts w:ascii="宋体" w:hAnsi="宋体"/>
        </w:rPr>
        <w:t>2010年</w:t>
      </w:r>
      <w:r>
        <w:rPr>
          <w:rFonts w:hint="eastAsia" w:ascii="宋体" w:hAnsi="宋体"/>
        </w:rPr>
        <w:t>《中国政协新闻网》、《广东政协》杂志、《韶关政协》杂志、《南方日报》、《韶关日报》等媒体发表的新闻稿达</w:t>
      </w:r>
      <w:r>
        <w:rPr>
          <w:rFonts w:ascii="宋体" w:hAnsi="宋体"/>
        </w:rPr>
        <w:t>131篇，南雄市媒体</w:t>
      </w:r>
      <w:r>
        <w:rPr>
          <w:rFonts w:hint="eastAsia" w:ascii="宋体" w:hAnsi="宋体"/>
        </w:rPr>
        <w:t>发表</w:t>
      </w:r>
      <w:r>
        <w:rPr>
          <w:rFonts w:ascii="宋体" w:hAnsi="宋体"/>
        </w:rPr>
        <w:t>25篇。其中，《议政议到点子上》被韶</w:t>
      </w:r>
      <w:r>
        <w:rPr>
          <w:rFonts w:hint="eastAsia" w:ascii="宋体" w:hAnsi="宋体"/>
        </w:rPr>
        <w:t>关政协评为优秀作品。</w:t>
      </w:r>
    </w:p>
    <w:p w14:paraId="59D1926D">
      <w:pPr>
        <w:pStyle w:val="4"/>
      </w:pPr>
      <w:r>
        <w:rPr>
          <w:rFonts w:hint="eastAsia"/>
        </w:rPr>
        <w:t>【自身建设】</w:t>
      </w:r>
    </w:p>
    <w:p w14:paraId="5DCD0385">
      <w:pPr>
        <w:ind w:firstLine="420"/>
        <w:rPr>
          <w:rFonts w:ascii="宋体" w:hAnsi="宋体"/>
        </w:rPr>
      </w:pPr>
      <w:r>
        <w:rPr>
          <w:rFonts w:hint="eastAsia" w:ascii="宋体" w:hAnsi="宋体"/>
        </w:rPr>
        <w:t>常委会把理论学习作为履行职能的基础和保障，通过多种形式组织学习党的十七届四中、五中全会精神、《中共中央关于加强人民政协工作的意见》和市委、市政府的重要决策部署，统一思想，明确方向，强化责任，增强服务大局、谋划发展的能力，增进团结、合作共事的能力，保持坚定正确的政治方向。注重加强委员队伍建设，按照《政协南雄市委员会关于委员认真履行职责的规定》，加强委员管理，组织委员开展学习、提案、调研视察、民主评议、扶贫助困等活动，调动委员履职的积极性，发挥委员的主体作用。加强政协机关建设。狠抓开展“受了表扬，我们怎么办”、“抓作风促发展比贡献”、“树立正确的权力观，提高执行力”和“创先争优”等系列活动。以落实相关制度为重点，推进政协工作的规范化、程序化，使政协各项工作更加规范有序。</w:t>
      </w:r>
    </w:p>
    <w:p w14:paraId="01F12465">
      <w:pPr>
        <w:pStyle w:val="3"/>
      </w:pPr>
      <w:r>
        <w:rPr>
          <w:rFonts w:hint="eastAsia"/>
        </w:rPr>
        <w:t>市政协重要会议</w:t>
      </w:r>
    </w:p>
    <w:p w14:paraId="4881AB2F">
      <w:pPr>
        <w:pStyle w:val="4"/>
      </w:pPr>
      <w:r>
        <w:rPr>
          <w:rFonts w:hint="eastAsia"/>
        </w:rPr>
        <w:t>【七届一次会议】</w:t>
      </w:r>
    </w:p>
    <w:p w14:paraId="4F9E8291">
      <w:pPr>
        <w:ind w:firstLine="420"/>
        <w:rPr>
          <w:rFonts w:ascii="宋体" w:hAnsi="宋体"/>
        </w:rPr>
      </w:pPr>
      <w:r>
        <w:rPr>
          <w:rFonts w:ascii="宋体" w:hAnsi="宋体"/>
        </w:rPr>
        <w:t>2003年3月9日至13日，</w:t>
      </w:r>
      <w:r>
        <w:rPr>
          <w:rFonts w:hint="eastAsia" w:ascii="宋体" w:hAnsi="宋体"/>
        </w:rPr>
        <w:t>政协南雄市七届一次会议在南雄迎宾馆隆重举行。韶关市政协主席刘创、副主席郭衍全亲临会议指导，钟五常副主席在开幕会上代表韶关市政协致贺词。会议期间，委员们审议通过衷玉华受六届市政协常委会委托所作的工作报告和刘卫忠受六届市政协常委会委托所作的提案工作情况的报告，表彰市政协六届五次会议以来“五个一”活动的先进委员。大会选举曾昭佑为七届市政协主席，钟道海、衷玉华、卢道平、赖华焜、刘卫忠为副主席，选出常委会组成人员</w:t>
      </w:r>
      <w:r>
        <w:rPr>
          <w:rFonts w:ascii="宋体" w:hAnsi="宋体"/>
        </w:rPr>
        <w:t>32名。委员们</w:t>
      </w:r>
      <w:r>
        <w:rPr>
          <w:rFonts w:hint="eastAsia" w:ascii="宋体" w:hAnsi="宋体"/>
        </w:rPr>
        <w:t>列席市第十二届人大一次会议，听取并讨论林楚欣市长所作的政府工作报告以及其他报告。大会期间共收到提案</w:t>
      </w:r>
      <w:r>
        <w:rPr>
          <w:rFonts w:ascii="宋体" w:hAnsi="宋体"/>
        </w:rPr>
        <w:t>92件，其中党派</w:t>
      </w:r>
      <w:r>
        <w:rPr>
          <w:rFonts w:hint="eastAsia" w:ascii="宋体" w:hAnsi="宋体"/>
        </w:rPr>
        <w:t>、团体提案</w:t>
      </w:r>
      <w:r>
        <w:rPr>
          <w:rFonts w:ascii="宋体" w:hAnsi="宋体"/>
        </w:rPr>
        <w:t>8件，联名提案18件。大会审议通</w:t>
      </w:r>
      <w:r>
        <w:rPr>
          <w:rFonts w:hint="eastAsia" w:ascii="宋体" w:hAnsi="宋体"/>
        </w:rPr>
        <w:t>过市政协七届一次会议决议。中共南雄市委书记何为星在闭幕会上讲话。曾昭佑主席作闭幕讲话。</w:t>
      </w:r>
    </w:p>
    <w:p w14:paraId="39C2BFA9">
      <w:pPr>
        <w:pStyle w:val="4"/>
      </w:pPr>
      <w:r>
        <w:rPr>
          <w:rFonts w:hint="eastAsia"/>
        </w:rPr>
        <w:t>【七届二次会议】</w:t>
      </w:r>
    </w:p>
    <w:p w14:paraId="5DD42A2C">
      <w:pPr>
        <w:ind w:firstLine="420"/>
        <w:rPr>
          <w:rFonts w:ascii="宋体" w:hAnsi="宋体"/>
        </w:rPr>
      </w:pPr>
      <w:r>
        <w:rPr>
          <w:rFonts w:ascii="宋体" w:hAnsi="宋体"/>
        </w:rPr>
        <w:t>2004年3月2日至4日，</w:t>
      </w:r>
      <w:r>
        <w:rPr>
          <w:rFonts w:hint="eastAsia" w:ascii="宋体" w:hAnsi="宋体"/>
        </w:rPr>
        <w:t>政协南雄市七届二次会议在市迎宾馆会议厅隆重举行。韶关市政协主席刘创亲临会议指导，副主席钟五常在会上代表韶关市政协致贺词，市委书记、市人大常委会主任何为星作重要讲话。会议审议通过钟道海副主席受市政协常委会委托所作的工作报告和刘卫忠副主席受市政协常委会委托所作的提案工作情况的报告，表彰市政协七届一次会议以来的优秀提案，增补刘烈章、潘笑风</w:t>
      </w:r>
      <w:r>
        <w:rPr>
          <w:rFonts w:ascii="宋体" w:hAnsi="宋体"/>
        </w:rPr>
        <w:t>2名委员</w:t>
      </w:r>
      <w:r>
        <w:rPr>
          <w:rFonts w:hint="eastAsia" w:ascii="宋体" w:hAnsi="宋体"/>
        </w:rPr>
        <w:t>为市政协常委。委员们列席市十二届人大二次会议，听取并讨论林楚欣市长所作的政府工作报告以及其他报告。会议期间共收到提案</w:t>
      </w:r>
      <w:r>
        <w:rPr>
          <w:rFonts w:ascii="宋体" w:hAnsi="宋体"/>
        </w:rPr>
        <w:t>138件。</w:t>
      </w:r>
    </w:p>
    <w:p w14:paraId="1C6F064E">
      <w:pPr>
        <w:pStyle w:val="4"/>
      </w:pPr>
      <w:r>
        <w:rPr>
          <w:rFonts w:hint="eastAsia"/>
        </w:rPr>
        <w:t>【七届三次会议】</w:t>
      </w:r>
    </w:p>
    <w:p w14:paraId="47BB75EB">
      <w:pPr>
        <w:ind w:firstLine="420"/>
        <w:rPr>
          <w:rFonts w:ascii="宋体" w:hAnsi="宋体"/>
        </w:rPr>
      </w:pPr>
      <w:r>
        <w:rPr>
          <w:rFonts w:ascii="宋体" w:hAnsi="宋体"/>
        </w:rPr>
        <w:t>2005年2月25日至28日</w:t>
      </w:r>
      <w:r>
        <w:rPr>
          <w:rFonts w:hint="eastAsia" w:ascii="宋体" w:hAnsi="宋体"/>
        </w:rPr>
        <w:t>政协南雄市七届三次会议在市迎宾馆举行。市政协全体委员出席会议。韶关市政协副主席黄应龙在开幕会上代表韶关市政协致贺词，市委书记林楚欣同志在闭幕会上讲话。会议审议通过曾昭佑主席受政协南雄市委员会常务委员会委托所作的工作报告和刘卫忠副主席受政协南雄市委员会常务委员会委托所作的提案工作情况的报告，通过南雄市政协七届三次会议决议，表彰市政协优秀委员和七届二次会议以来的优秀提案，增补何光明为常务委员。会议期间，委员们列席市十二届人大三次会议，听取并讨论许建设代市长所作的政府工作报告及其他报告。会议期间共收到提案</w:t>
      </w:r>
      <w:r>
        <w:rPr>
          <w:rFonts w:ascii="宋体" w:hAnsi="宋体"/>
        </w:rPr>
        <w:t>125件。</w:t>
      </w:r>
    </w:p>
    <w:p w14:paraId="0A123394">
      <w:pPr>
        <w:pStyle w:val="4"/>
      </w:pPr>
      <w:r>
        <w:rPr>
          <w:rFonts w:hint="eastAsia"/>
        </w:rPr>
        <w:t>【七届四次会议】</w:t>
      </w:r>
    </w:p>
    <w:p w14:paraId="4B04D3C9">
      <w:pPr>
        <w:ind w:firstLine="420"/>
        <w:rPr>
          <w:rFonts w:ascii="宋体" w:hAnsi="宋体"/>
        </w:rPr>
      </w:pPr>
      <w:r>
        <w:rPr>
          <w:rFonts w:ascii="宋体" w:hAnsi="宋体"/>
        </w:rPr>
        <w:t>2006年2月21日至23</w:t>
      </w:r>
      <w:r>
        <w:rPr>
          <w:rFonts w:hint="eastAsia" w:ascii="宋体" w:hAnsi="宋体"/>
        </w:rPr>
        <w:t>日，政协南雄市七届四次会议在市迎宾馆举行。韶关市政协副主席赵志发在开幕大会上代表韶关市政协致贺词。市委书记、市人大常委会主任林楚欣在闭幕大会上讲话。会议审议通过曾昭佑受政协南雄市委员会常务委员会委托所作的工作报告和刘卫忠副主席受政协南雄市委员会常务委员会委托所作的提案工作情况的报告，通过南雄市政协七届四次会议决议，表彰市政协七届三次会议以来的</w:t>
      </w:r>
      <w:r>
        <w:rPr>
          <w:rFonts w:ascii="宋体" w:hAnsi="宋体"/>
        </w:rPr>
        <w:t>18件优秀提案。会议举行委员大会发言</w:t>
      </w:r>
      <w:r>
        <w:rPr>
          <w:rFonts w:hint="eastAsia" w:ascii="宋体" w:hAnsi="宋体"/>
        </w:rPr>
        <w:t>，分别就民营经济、旅游、农田水利等工作提出中肯的意见和建议。会议期间，委员们列席市十二届人大四次会议，听取并讨论许建设市长所作的政府工作报告和南雄市经济社会发展“十一五”规划纲要（草案）及其他报告。会议期间共收到提案</w:t>
      </w:r>
      <w:r>
        <w:rPr>
          <w:rFonts w:ascii="宋体" w:hAnsi="宋体"/>
        </w:rPr>
        <w:t>96件。</w:t>
      </w:r>
    </w:p>
    <w:p w14:paraId="23E1D15C">
      <w:pPr>
        <w:pStyle w:val="4"/>
      </w:pPr>
      <w:r>
        <w:rPr>
          <w:rFonts w:hint="eastAsia"/>
        </w:rPr>
        <w:t>【八届一次会议】</w:t>
      </w:r>
    </w:p>
    <w:p w14:paraId="6A3C433D">
      <w:pPr>
        <w:ind w:firstLine="420"/>
        <w:rPr>
          <w:rFonts w:ascii="宋体" w:hAnsi="宋体"/>
        </w:rPr>
      </w:pPr>
      <w:r>
        <w:rPr>
          <w:rFonts w:ascii="宋体" w:hAnsi="宋体"/>
        </w:rPr>
        <w:t>2006年12月3日至6日</w:t>
      </w:r>
      <w:r>
        <w:rPr>
          <w:rFonts w:hint="eastAsia" w:ascii="宋体" w:hAnsi="宋体"/>
        </w:rPr>
        <w:t>，政协南雄市八届一次会议在南雄市迎宾馆举行。韶关市政协副主席赵志发代表韶关市政协致贺词。会议听取七届市政协主席曾昭佑所作的政协换届筹备工作报告，审议通过钟道海同志代表政协南雄市第七届委员会常务委员会所作的工作报告和刘卫忠同志代表政协南雄市第七届委员会常务委员会所作的提案工作情况的报告。表彰市政协七届四次会议以来的优秀提案。选举何万飞为八届市政协主席，钟道海、刘发雄、赖华焜、衷玉华、刘卫忠、周济辉为副主席，王锦辉、卢德基、杨凤林、释顿勇、雷为有、黎宏照等</w:t>
      </w:r>
      <w:r>
        <w:rPr>
          <w:rFonts w:ascii="宋体" w:hAnsi="宋体"/>
        </w:rPr>
        <w:t>24人为</w:t>
      </w:r>
      <w:r>
        <w:rPr>
          <w:rFonts w:hint="eastAsia" w:ascii="宋体" w:hAnsi="宋体"/>
        </w:rPr>
        <w:t>常委。审议通过市政协八届一次会议决议。会议期间，委员列席南雄市第十三届人大一次会议，听取并讨论许建设市长所作的政府工作报告和其他有关报告。中共南雄人市委书记、市人大常委会主任林楚欣在闭幕大会上讲话。</w:t>
      </w:r>
    </w:p>
    <w:p w14:paraId="075CC121">
      <w:pPr>
        <w:pStyle w:val="4"/>
      </w:pPr>
      <w:r>
        <w:rPr>
          <w:rFonts w:hint="eastAsia"/>
        </w:rPr>
        <w:t>【八届二次会议】</w:t>
      </w:r>
    </w:p>
    <w:p w14:paraId="165B4A07">
      <w:pPr>
        <w:ind w:firstLine="420"/>
        <w:rPr>
          <w:rFonts w:ascii="宋体" w:hAnsi="宋体"/>
        </w:rPr>
      </w:pPr>
      <w:r>
        <w:rPr>
          <w:rFonts w:ascii="宋体" w:hAnsi="宋体"/>
        </w:rPr>
        <w:t>2007年4月21日至23</w:t>
      </w:r>
      <w:r>
        <w:rPr>
          <w:rFonts w:hint="eastAsia" w:ascii="宋体" w:hAnsi="宋体"/>
        </w:rPr>
        <w:t>日，政协南雄市八届二次会议在南雄市迎宾馆举行。韶关市政协副主席王伟阳在开幕大会上代表韶关市政协至贺词。会议审议通过何万飞主席代表政协南雄市第八届委员会常务委员会所作的工作报告和市政协八届二次会议决议，列席南雄市第十三届人大二次会议，听取并讨论了许志新代市长所作的政府工作报告。会议增选叶小文、卢思格、何辉阳、潘笑风四位同志为政协南雄市第八届委员会常务委员。会议举行委员学习培训。会议期间共收到提案</w:t>
      </w:r>
      <w:r>
        <w:rPr>
          <w:rFonts w:ascii="宋体" w:hAnsi="宋体"/>
        </w:rPr>
        <w:t>143件。</w:t>
      </w:r>
    </w:p>
    <w:p w14:paraId="15790C36">
      <w:pPr>
        <w:pStyle w:val="4"/>
      </w:pPr>
      <w:r>
        <w:rPr>
          <w:rFonts w:hint="eastAsia"/>
        </w:rPr>
        <w:t>【八届三次会议】</w:t>
      </w:r>
    </w:p>
    <w:p w14:paraId="603432C4">
      <w:pPr>
        <w:ind w:firstLine="420"/>
        <w:rPr>
          <w:rFonts w:ascii="宋体" w:hAnsi="宋体"/>
        </w:rPr>
      </w:pPr>
      <w:r>
        <w:rPr>
          <w:rFonts w:ascii="宋体" w:hAnsi="宋体"/>
        </w:rPr>
        <w:t>2008年2月17日至19</w:t>
      </w:r>
      <w:r>
        <w:rPr>
          <w:rFonts w:hint="eastAsia" w:ascii="宋体" w:hAnsi="宋体"/>
        </w:rPr>
        <w:t>日，政协南雄市八届三次会议在南雄市迎宾馆召开。会议听取和审议了何万飞代表政协南雄市第八届委员会常务委员会所作的《政协常委会工作报告》和衷玉华代表政协南雄市第八届委员会常务委员会所作的《关于八届二次会议以来提案工作情况的报告》；表彰市政协八届二次会议以来的优秀提案；列席市十三届人大三次会议，听取和讨论许志新市长所作的《政府工作报告》；增选</w:t>
      </w:r>
      <w:r>
        <w:rPr>
          <w:rFonts w:ascii="宋体" w:hAnsi="宋体"/>
        </w:rPr>
        <w:t>2名政协</w:t>
      </w:r>
      <w:r>
        <w:rPr>
          <w:rFonts w:hint="eastAsia" w:ascii="宋体" w:hAnsi="宋体"/>
        </w:rPr>
        <w:t>南雄市八届委员会常委；审议通过政协南雄市第八届委员会议第三次会议决议。韶关市政协副主席贝抗胜在会上致辞；市委书记林楚欣在闭幕大会上作讲话。本次大会共收到提案</w:t>
      </w:r>
      <w:r>
        <w:rPr>
          <w:rFonts w:ascii="宋体" w:hAnsi="宋体"/>
        </w:rPr>
        <w:t>79件。</w:t>
      </w:r>
    </w:p>
    <w:p w14:paraId="4D53BEA5">
      <w:pPr>
        <w:pStyle w:val="4"/>
      </w:pPr>
      <w:r>
        <w:rPr>
          <w:rFonts w:hint="eastAsia"/>
        </w:rPr>
        <w:t>【八届四次会议】</w:t>
      </w:r>
    </w:p>
    <w:p w14:paraId="34F02813">
      <w:pPr>
        <w:ind w:firstLine="420"/>
        <w:rPr>
          <w:rFonts w:ascii="宋体" w:hAnsi="宋体"/>
        </w:rPr>
      </w:pPr>
      <w:r>
        <w:rPr>
          <w:rFonts w:ascii="宋体" w:hAnsi="宋体"/>
        </w:rPr>
        <w:t>200</w:t>
      </w:r>
      <w:r>
        <w:rPr>
          <w:rFonts w:hint="eastAsia" w:ascii="宋体" w:hAnsi="宋体"/>
        </w:rPr>
        <w:t>9</w:t>
      </w:r>
      <w:r>
        <w:rPr>
          <w:rFonts w:ascii="宋体" w:hAnsi="宋体"/>
        </w:rPr>
        <w:t>年3月1日至3日，</w:t>
      </w:r>
      <w:r>
        <w:rPr>
          <w:rFonts w:hint="eastAsia" w:ascii="宋体" w:hAnsi="宋体"/>
        </w:rPr>
        <w:t>政协南雄市八届四次会议在南雄市迎宾馆召开。会议听取和审议何万飞代表政协南雄市第八届委员会常务委员会所作的《政协常委会工作报告》和衷玉华代表政协南雄市第八届委员会常务委员会所作的《提案工作情况报告》；听取和审议许志新市长所作的《政府工作报告》；听取委员大会发言；表彰八届三次会议以来优秀提案；组织委员参观视察南雄市工业园区建设情况；通过会议决议。本次大会共收到提案</w:t>
      </w:r>
      <w:r>
        <w:rPr>
          <w:rFonts w:ascii="宋体" w:hAnsi="宋体"/>
        </w:rPr>
        <w:t>76件。</w:t>
      </w:r>
    </w:p>
    <w:p w14:paraId="4AD0CA24">
      <w:pPr>
        <w:pStyle w:val="4"/>
      </w:pPr>
      <w:r>
        <w:rPr>
          <w:rFonts w:hint="eastAsia"/>
        </w:rPr>
        <w:t>【八届五次会议】</w:t>
      </w:r>
    </w:p>
    <w:p w14:paraId="2558168C">
      <w:pPr>
        <w:ind w:firstLine="420"/>
        <w:rPr>
          <w:rFonts w:ascii="宋体" w:hAnsi="宋体"/>
        </w:rPr>
      </w:pPr>
      <w:r>
        <w:rPr>
          <w:rFonts w:hint="eastAsia" w:ascii="宋体" w:hAnsi="宋体"/>
        </w:rPr>
        <w:t>政协南雄市八届五次会议于</w:t>
      </w:r>
      <w:r>
        <w:rPr>
          <w:rFonts w:ascii="宋体" w:hAnsi="宋体"/>
        </w:rPr>
        <w:t>1月18日至20日在南雄市迎宾馆召开。会</w:t>
      </w:r>
      <w:r>
        <w:rPr>
          <w:rFonts w:hint="eastAsia" w:ascii="宋体" w:hAnsi="宋体"/>
        </w:rPr>
        <w:t>议听取和审议何万飞主席所作的市政协八届常委会工作报告；听取和审议衷玉华副主席所作的市政协八届常委会关于八届四次会议以来提案工作情况的报告；表彰了市政协八届四次会议以来的优秀提案；列席市十三届人大五次会议，听取和审议市政府工作报告；会议选举陈尚妹为政协八届副主席，补选邬章云、袁元桃、董祖明为八届政协常务委员；审议通过政协南雄市第八届委员会第五次会议决议。</w:t>
      </w:r>
    </w:p>
    <w:p w14:paraId="716C1575">
      <w:pPr>
        <w:pStyle w:val="4"/>
      </w:pPr>
      <w:r>
        <w:rPr>
          <w:rFonts w:hint="eastAsia"/>
        </w:rPr>
        <w:t>【八届</w:t>
      </w:r>
      <w:r>
        <w:t>21次主席会议】</w:t>
      </w:r>
    </w:p>
    <w:p w14:paraId="10BBA7E7">
      <w:pPr>
        <w:ind w:firstLine="420"/>
        <w:rPr>
          <w:rFonts w:ascii="宋体" w:hAnsi="宋体"/>
        </w:rPr>
      </w:pPr>
      <w:r>
        <w:rPr>
          <w:rFonts w:ascii="宋体" w:hAnsi="宋体"/>
        </w:rPr>
        <w:t>1月5日，市政协召</w:t>
      </w:r>
      <w:r>
        <w:rPr>
          <w:rFonts w:hint="eastAsia" w:ascii="宋体" w:hAnsi="宋体"/>
        </w:rPr>
        <w:t>开八届</w:t>
      </w:r>
      <w:r>
        <w:rPr>
          <w:rFonts w:ascii="宋体" w:hAnsi="宋体"/>
        </w:rPr>
        <w:t>21次主席会议。会议由何万飞主席主</w:t>
      </w:r>
      <w:r>
        <w:rPr>
          <w:rFonts w:hint="eastAsia" w:ascii="宋体" w:hAnsi="宋体"/>
        </w:rPr>
        <w:t>持。会议审议市政协八届常委会工作报告；审议市政协八届常委会关于八届四次会议以来提案工作情况的报告；审议市政协八届五次会议日程安排；审议市政协八届五次会议大会秘书处组成人员名单；审议市政协八届五次会议选举办法；讨论协商委员、常委、副主席有关事项；讨论决定列席市政协八届五次会议人员名单；讨论决定市政协八届五次会议委员编组名单；讨论决定市政协八届四次会议以来优秀提案；讨论决定八届九次常委会议程、日程。</w:t>
      </w:r>
    </w:p>
    <w:p w14:paraId="1AB07AAE">
      <w:pPr>
        <w:pStyle w:val="4"/>
      </w:pPr>
      <w:r>
        <w:rPr>
          <w:rFonts w:hint="eastAsia"/>
        </w:rPr>
        <w:t>【八届</w:t>
      </w:r>
      <w:r>
        <w:t>22次主席会议】</w:t>
      </w:r>
    </w:p>
    <w:p w14:paraId="0BD93876">
      <w:pPr>
        <w:ind w:firstLine="420"/>
        <w:rPr>
          <w:rFonts w:ascii="宋体" w:hAnsi="宋体"/>
        </w:rPr>
      </w:pPr>
      <w:r>
        <w:rPr>
          <w:rFonts w:ascii="宋体" w:hAnsi="宋体"/>
        </w:rPr>
        <w:t>2月25日，市政协</w:t>
      </w:r>
      <w:r>
        <w:rPr>
          <w:rFonts w:hint="eastAsia" w:ascii="宋体" w:hAnsi="宋体"/>
        </w:rPr>
        <w:t>召开八届</w:t>
      </w:r>
      <w:r>
        <w:rPr>
          <w:rFonts w:ascii="宋体" w:hAnsi="宋体"/>
        </w:rPr>
        <w:t>22次主席会议。会议由何万飞主席</w:t>
      </w:r>
      <w:r>
        <w:rPr>
          <w:rFonts w:hint="eastAsia" w:ascii="宋体" w:hAnsi="宋体"/>
        </w:rPr>
        <w:t>主持，各科室一把手列席会议。会议审议</w:t>
      </w:r>
      <w:r>
        <w:rPr>
          <w:rFonts w:ascii="宋体" w:hAnsi="宋体"/>
        </w:rPr>
        <w:t>2010年政协工作要点；讨论决定政协八届十</w:t>
      </w:r>
      <w:r>
        <w:rPr>
          <w:rFonts w:hint="eastAsia" w:ascii="宋体" w:hAnsi="宋体"/>
        </w:rPr>
        <w:t>次常委会议议程；讨论确定重点提案。</w:t>
      </w:r>
    </w:p>
    <w:p w14:paraId="771E0A43">
      <w:pPr>
        <w:pStyle w:val="4"/>
      </w:pPr>
      <w:r>
        <w:rPr>
          <w:rFonts w:hint="eastAsia"/>
        </w:rPr>
        <w:t>【八届</w:t>
      </w:r>
      <w:r>
        <w:t>23次主席会议】</w:t>
      </w:r>
    </w:p>
    <w:p w14:paraId="2837684E">
      <w:pPr>
        <w:ind w:firstLine="420"/>
        <w:rPr>
          <w:rFonts w:ascii="宋体" w:hAnsi="宋体"/>
        </w:rPr>
      </w:pPr>
      <w:r>
        <w:rPr>
          <w:rFonts w:ascii="宋体" w:hAnsi="宋体"/>
        </w:rPr>
        <w:t>4月14日，市政协</w:t>
      </w:r>
      <w:r>
        <w:rPr>
          <w:rFonts w:hint="eastAsia" w:ascii="宋体" w:hAnsi="宋体"/>
        </w:rPr>
        <w:t>召开八届</w:t>
      </w:r>
      <w:r>
        <w:rPr>
          <w:rFonts w:ascii="宋体" w:hAnsi="宋体"/>
        </w:rPr>
        <w:t>23次主席会议。会议由何万飞主席</w:t>
      </w:r>
      <w:r>
        <w:rPr>
          <w:rFonts w:hint="eastAsia" w:ascii="宋体" w:hAnsi="宋体"/>
        </w:rPr>
        <w:t>主持。会议讨论政协宣传工作会议有关事项；讨论了联谊办有关人事调整事项，；讨论决定增补广州德宽医疗科技有限公司总经理赵国新为市八届政协委员；讨论搬迁办公室有关事项。各科室主任、科长列席了会议。</w:t>
      </w:r>
    </w:p>
    <w:p w14:paraId="35528F7B">
      <w:pPr>
        <w:pStyle w:val="4"/>
      </w:pPr>
      <w:r>
        <w:rPr>
          <w:rFonts w:hint="eastAsia"/>
        </w:rPr>
        <w:t>【八届九次常委会】</w:t>
      </w:r>
    </w:p>
    <w:p w14:paraId="6A810E1C">
      <w:pPr>
        <w:ind w:firstLine="420"/>
        <w:rPr>
          <w:rFonts w:ascii="宋体" w:hAnsi="宋体"/>
        </w:rPr>
      </w:pPr>
      <w:r>
        <w:rPr>
          <w:rFonts w:ascii="宋体" w:hAnsi="宋体"/>
        </w:rPr>
        <w:t>1月8日，市政协召开</w:t>
      </w:r>
      <w:r>
        <w:rPr>
          <w:rFonts w:hint="eastAsia" w:ascii="宋体" w:hAnsi="宋体"/>
        </w:rPr>
        <w:t>八届九次常委会。会议由何万飞主席主持。会议审议市政协八届常委会工作报告；审议市政协八届常委会关于八届四次会议以来提案工作情况的报告；审议市政协八届五次会议议程；审议市政协八届五次会议日程安排；审议市政协八届五次会议大会秘书处组成人员名单；审议市政协八届五次会议选举办法；协商决定调整市政协委员；协商补选市政协副主席、常务委员有关事项；讨论《政府工作报告》征求意见稿。市委常委、常务副市长王荣光列席会议。</w:t>
      </w:r>
    </w:p>
    <w:p w14:paraId="226BD1A1">
      <w:pPr>
        <w:pStyle w:val="4"/>
      </w:pPr>
      <w:r>
        <w:rPr>
          <w:rFonts w:hint="eastAsia"/>
        </w:rPr>
        <w:t>【八届十次常委会】</w:t>
      </w:r>
    </w:p>
    <w:p w14:paraId="04E65B57">
      <w:pPr>
        <w:ind w:firstLine="420"/>
        <w:rPr>
          <w:rFonts w:ascii="宋体" w:hAnsi="宋体"/>
        </w:rPr>
      </w:pPr>
      <w:r>
        <w:rPr>
          <w:rFonts w:ascii="宋体" w:hAnsi="宋体"/>
        </w:rPr>
        <w:t>3月4日，市政协八届</w:t>
      </w:r>
      <w:r>
        <w:rPr>
          <w:rFonts w:hint="eastAsia" w:ascii="宋体" w:hAnsi="宋体"/>
        </w:rPr>
        <w:t>十次常委会召开。何万飞主席主持会议。会议主要评议市城市建设工作，讨论决定</w:t>
      </w:r>
      <w:r>
        <w:rPr>
          <w:rFonts w:ascii="宋体" w:hAnsi="宋体"/>
        </w:rPr>
        <w:t>2010</w:t>
      </w:r>
      <w:r>
        <w:rPr>
          <w:rFonts w:hint="eastAsia" w:ascii="宋体" w:hAnsi="宋体"/>
        </w:rPr>
        <w:t>年政协工作要点。</w:t>
      </w:r>
    </w:p>
    <w:p w14:paraId="70F9F587">
      <w:pPr>
        <w:pStyle w:val="4"/>
      </w:pPr>
      <w:r>
        <w:rPr>
          <w:rFonts w:hint="eastAsia"/>
        </w:rPr>
        <w:t>【八届十一次常委会】</w:t>
      </w:r>
    </w:p>
    <w:p w14:paraId="3FB83216">
      <w:pPr>
        <w:ind w:firstLine="420"/>
        <w:rPr>
          <w:rFonts w:ascii="宋体" w:hAnsi="宋体"/>
        </w:rPr>
      </w:pPr>
      <w:r>
        <w:rPr>
          <w:rFonts w:ascii="宋体" w:hAnsi="宋体"/>
        </w:rPr>
        <w:t>9月17日，市政协召</w:t>
      </w:r>
      <w:r>
        <w:rPr>
          <w:rFonts w:hint="eastAsia" w:ascii="宋体" w:hAnsi="宋体"/>
        </w:rPr>
        <w:t>开八届十一次常委会议。会议由市政协主席何万飞主持。听取和审议市政府就上半年经济社会发展情况通报；听取和审议市政府就市政协八届五次会议以来提案办理情况通报。市委常委、常务副市长王荣光，副市长邓志聪等列席会议。</w:t>
      </w:r>
    </w:p>
    <w:p w14:paraId="2F1E7D52">
      <w:pPr>
        <w:pStyle w:val="3"/>
      </w:pPr>
      <w:r>
        <w:rPr>
          <w:rFonts w:hint="eastAsia"/>
        </w:rPr>
        <w:t>重要活动和主要工作</w:t>
      </w:r>
    </w:p>
    <w:p w14:paraId="572B65DE">
      <w:pPr>
        <w:pStyle w:val="4"/>
      </w:pPr>
      <w:r>
        <w:rPr>
          <w:rFonts w:hint="eastAsia"/>
        </w:rPr>
        <w:t>【其他活动和工作】</w:t>
      </w:r>
    </w:p>
    <w:p w14:paraId="670E1C19">
      <w:pPr>
        <w:ind w:firstLine="420"/>
        <w:rPr>
          <w:rFonts w:ascii="宋体" w:hAnsi="宋体"/>
        </w:rPr>
      </w:pPr>
      <w:r>
        <w:rPr>
          <w:rFonts w:ascii="宋体" w:hAnsi="宋体"/>
        </w:rPr>
        <w:t>1月29日，市政协召开</w:t>
      </w:r>
      <w:r>
        <w:rPr>
          <w:rFonts w:hint="eastAsia" w:ascii="宋体" w:hAnsi="宋体"/>
        </w:rPr>
        <w:t>提案审查立案会议，会议由提案委副主任陈云英主持。会议对八届五次会议收到的提案</w:t>
      </w:r>
      <w:r>
        <w:rPr>
          <w:rFonts w:ascii="宋体" w:hAnsi="宋体"/>
        </w:rPr>
        <w:t>67件决定审查立案59件，立案率88%。</w:t>
      </w:r>
    </w:p>
    <w:p w14:paraId="4C2C794E">
      <w:pPr>
        <w:ind w:firstLine="420"/>
        <w:rPr>
          <w:rFonts w:ascii="宋体" w:hAnsi="宋体"/>
        </w:rPr>
      </w:pPr>
      <w:r>
        <w:rPr>
          <w:rFonts w:ascii="宋体" w:hAnsi="宋体"/>
        </w:rPr>
        <w:t>2月2日，市人大、市政府、市政协联</w:t>
      </w:r>
      <w:r>
        <w:rPr>
          <w:rFonts w:hint="eastAsia" w:ascii="宋体" w:hAnsi="宋体"/>
        </w:rPr>
        <w:t>合召开人大议案、政协提案交办大会，市政协所立提案</w:t>
      </w:r>
      <w:r>
        <w:rPr>
          <w:rFonts w:ascii="宋体" w:hAnsi="宋体"/>
        </w:rPr>
        <w:t>59件交由市建设局等26个单位具体</w:t>
      </w:r>
      <w:r>
        <w:rPr>
          <w:rFonts w:hint="eastAsia" w:ascii="宋体" w:hAnsi="宋体"/>
        </w:rPr>
        <w:t>承办。</w:t>
      </w:r>
    </w:p>
    <w:p w14:paraId="5E8CC39A">
      <w:pPr>
        <w:ind w:firstLine="420"/>
        <w:rPr>
          <w:rFonts w:ascii="宋体" w:hAnsi="宋体"/>
        </w:rPr>
      </w:pPr>
      <w:r>
        <w:rPr>
          <w:rFonts w:ascii="宋体" w:hAnsi="宋体"/>
        </w:rPr>
        <w:t>2月4日下午，市委在迎宾馆宴会厅举办</w:t>
      </w:r>
      <w:r>
        <w:rPr>
          <w:rFonts w:hint="eastAsia" w:ascii="宋体" w:hAnsi="宋体"/>
        </w:rPr>
        <w:t>南雄市</w:t>
      </w:r>
      <w:r>
        <w:rPr>
          <w:rFonts w:ascii="宋体" w:hAnsi="宋体"/>
        </w:rPr>
        <w:t>2010年各界人士迎春茶话会，茶话会</w:t>
      </w:r>
      <w:r>
        <w:rPr>
          <w:rFonts w:hint="eastAsia" w:ascii="宋体" w:hAnsi="宋体"/>
        </w:rPr>
        <w:t>由市政协主席何万飞主持，中共南雄市委书记、市人大主任林楚欣在会上讲话，企业代表韶关德瑞化工有限公司总经理林文丹、民盟总支委员陈川荣代表各界人士先后在大会上致辞。</w:t>
      </w:r>
    </w:p>
    <w:p w14:paraId="42375CE9">
      <w:pPr>
        <w:ind w:firstLine="420"/>
        <w:rPr>
          <w:rFonts w:ascii="宋体" w:hAnsi="宋体"/>
        </w:rPr>
      </w:pPr>
      <w:r>
        <w:rPr>
          <w:rFonts w:ascii="宋体" w:hAnsi="宋体"/>
        </w:rPr>
        <w:t>4月20日，市政协召开宣传工作会议。</w:t>
      </w:r>
      <w:r>
        <w:rPr>
          <w:rFonts w:hint="eastAsia" w:ascii="宋体" w:hAnsi="宋体"/>
        </w:rPr>
        <w:t>会议由市政协副主席刘发雄主持，总结一年来宣传工作情况并布置</w:t>
      </w:r>
      <w:r>
        <w:rPr>
          <w:rFonts w:ascii="宋体" w:hAnsi="宋体"/>
        </w:rPr>
        <w:t>2010年宣传通讯工</w:t>
      </w:r>
      <w:r>
        <w:rPr>
          <w:rFonts w:hint="eastAsia" w:ascii="宋体" w:hAnsi="宋体"/>
        </w:rPr>
        <w:t>作。会议通过宣传报道的奖励办法，颁发特约通讯员聘书以及表彰</w:t>
      </w:r>
      <w:r>
        <w:rPr>
          <w:rFonts w:ascii="宋体" w:hAnsi="宋体"/>
        </w:rPr>
        <w:t>2009年度优秀通</w:t>
      </w:r>
      <w:r>
        <w:rPr>
          <w:rFonts w:hint="eastAsia" w:ascii="宋体" w:hAnsi="宋体"/>
        </w:rPr>
        <w:t>讯员。</w:t>
      </w:r>
    </w:p>
    <w:p w14:paraId="03632E80">
      <w:pPr>
        <w:ind w:firstLine="420"/>
        <w:rPr>
          <w:rFonts w:ascii="宋体" w:hAnsi="宋体"/>
        </w:rPr>
      </w:pPr>
      <w:r>
        <w:rPr>
          <w:rFonts w:ascii="宋体" w:hAnsi="宋体"/>
        </w:rPr>
        <w:t>4月27日，市政协副主席钟道海带领经</w:t>
      </w:r>
      <w:r>
        <w:rPr>
          <w:rFonts w:hint="eastAsia" w:ascii="宋体" w:hAnsi="宋体"/>
        </w:rPr>
        <w:t>济委农业组部分委员和机关科室领导共</w:t>
      </w:r>
      <w:r>
        <w:rPr>
          <w:rFonts w:ascii="宋体" w:hAnsi="宋体"/>
        </w:rPr>
        <w:t>20多</w:t>
      </w:r>
      <w:r>
        <w:rPr>
          <w:rFonts w:hint="eastAsia" w:ascii="宋体" w:hAnsi="宋体"/>
        </w:rPr>
        <w:t>人评议市林业工作，对南雄市的林业工作提出意见建议。</w:t>
      </w:r>
    </w:p>
    <w:p w14:paraId="62C25A59">
      <w:pPr>
        <w:ind w:firstLine="420"/>
        <w:rPr>
          <w:rFonts w:ascii="宋体" w:hAnsi="宋体"/>
        </w:rPr>
      </w:pPr>
      <w:r>
        <w:rPr>
          <w:rFonts w:ascii="宋体" w:hAnsi="宋体"/>
        </w:rPr>
        <w:t>6月3日，市政协经济委农业组部分委员</w:t>
      </w:r>
      <w:r>
        <w:rPr>
          <w:rFonts w:hint="eastAsia" w:ascii="宋体" w:hAnsi="宋体"/>
        </w:rPr>
        <w:t>一行</w:t>
      </w:r>
      <w:r>
        <w:rPr>
          <w:rFonts w:ascii="宋体" w:hAnsi="宋体"/>
        </w:rPr>
        <w:t>31人专题视察市特色农业，并就视察工</w:t>
      </w:r>
      <w:r>
        <w:rPr>
          <w:rFonts w:hint="eastAsia" w:ascii="宋体" w:hAnsi="宋体"/>
        </w:rPr>
        <w:t>作进行座谈。市政协副主席刘发雄主持视察活动，何万飞主席参加视察活动并作讲话。</w:t>
      </w:r>
    </w:p>
    <w:p w14:paraId="7AD982F8">
      <w:pPr>
        <w:ind w:firstLine="420"/>
        <w:rPr>
          <w:rFonts w:ascii="宋体" w:hAnsi="宋体"/>
        </w:rPr>
      </w:pPr>
      <w:r>
        <w:rPr>
          <w:rFonts w:ascii="宋体" w:hAnsi="宋体"/>
        </w:rPr>
        <w:t>6月23日，市政协提案委员会全体委员</w:t>
      </w:r>
      <w:r>
        <w:rPr>
          <w:rFonts w:hint="eastAsia" w:ascii="宋体" w:hAnsi="宋体"/>
        </w:rPr>
        <w:t>在政协副主席钟道海、刘发雄的带领下视察南雄市国道老</w:t>
      </w:r>
      <w:r>
        <w:rPr>
          <w:rFonts w:ascii="宋体" w:hAnsi="宋体"/>
        </w:rPr>
        <w:t>323线穿城段改造工程和精细</w:t>
      </w:r>
      <w:r>
        <w:rPr>
          <w:rFonts w:hint="eastAsia" w:ascii="宋体" w:hAnsi="宋体"/>
        </w:rPr>
        <w:t>化工园区建设等两宗重点提案办理现场。</w:t>
      </w:r>
    </w:p>
    <w:p w14:paraId="121DFF95">
      <w:pPr>
        <w:ind w:firstLine="420"/>
        <w:rPr>
          <w:rFonts w:ascii="宋体" w:hAnsi="宋体"/>
        </w:rPr>
      </w:pPr>
      <w:r>
        <w:rPr>
          <w:rFonts w:ascii="宋体" w:hAnsi="宋体"/>
        </w:rPr>
        <w:t>6月30日，</w:t>
      </w:r>
      <w:r>
        <w:rPr>
          <w:rFonts w:hint="eastAsia" w:ascii="宋体" w:hAnsi="宋体"/>
        </w:rPr>
        <w:t>“</w:t>
      </w:r>
      <w:r>
        <w:rPr>
          <w:rFonts w:ascii="宋体" w:hAnsi="宋体"/>
        </w:rPr>
        <w:t>广东扶贫济困日</w:t>
      </w:r>
      <w:r>
        <w:rPr>
          <w:rFonts w:hint="eastAsia" w:ascii="宋体" w:hAnsi="宋体"/>
        </w:rPr>
        <w:t>”</w:t>
      </w:r>
      <w:r>
        <w:rPr>
          <w:rFonts w:ascii="宋体" w:hAnsi="宋体"/>
        </w:rPr>
        <w:t>市政协捐</w:t>
      </w:r>
      <w:r>
        <w:rPr>
          <w:rFonts w:hint="eastAsia" w:ascii="宋体" w:hAnsi="宋体"/>
        </w:rPr>
        <w:t>款</w:t>
      </w:r>
      <w:r>
        <w:rPr>
          <w:rFonts w:ascii="宋体" w:hAnsi="宋体"/>
        </w:rPr>
        <w:t>9700元，其中</w:t>
      </w:r>
      <w:r>
        <w:rPr>
          <w:rFonts w:hint="eastAsia" w:ascii="宋体" w:hAnsi="宋体"/>
        </w:rPr>
        <w:t>：</w:t>
      </w:r>
      <w:r>
        <w:rPr>
          <w:rFonts w:ascii="宋体" w:hAnsi="宋体"/>
        </w:rPr>
        <w:t>单位捐资1000元，个人8700元，捐款1000元以上的有</w:t>
      </w:r>
      <w:r>
        <w:rPr>
          <w:rFonts w:hint="eastAsia" w:ascii="宋体" w:hAnsi="宋体"/>
        </w:rPr>
        <w:t>：</w:t>
      </w:r>
      <w:r>
        <w:rPr>
          <w:rFonts w:ascii="宋体" w:hAnsi="宋体"/>
        </w:rPr>
        <w:t>何万飞1100</w:t>
      </w:r>
      <w:r>
        <w:rPr>
          <w:rFonts w:hint="eastAsia" w:ascii="宋体" w:hAnsi="宋体"/>
        </w:rPr>
        <w:t>元，钟道海</w:t>
      </w:r>
      <w:r>
        <w:rPr>
          <w:rFonts w:ascii="宋体" w:hAnsi="宋体"/>
        </w:rPr>
        <w:t>1000元，刘发雄1000元。</w:t>
      </w:r>
    </w:p>
    <w:p w14:paraId="43B69525">
      <w:pPr>
        <w:ind w:firstLine="420"/>
        <w:rPr>
          <w:rFonts w:ascii="宋体" w:hAnsi="宋体"/>
        </w:rPr>
      </w:pPr>
      <w:r>
        <w:rPr>
          <w:rFonts w:ascii="宋体" w:hAnsi="宋体"/>
        </w:rPr>
        <w:t>7月22日，市政协主席何万飞带领政协</w:t>
      </w:r>
      <w:r>
        <w:rPr>
          <w:rFonts w:hint="eastAsia" w:ascii="宋体" w:hAnsi="宋体"/>
        </w:rPr>
        <w:t>社会法制委和文史委委员对政府扶持发展壮大企业发展情况进行专题视察。政协副主席钟道海、刘发雄、刘卫忠、陈尚妹及政协机关科室领导参加视察。</w:t>
      </w:r>
    </w:p>
    <w:p w14:paraId="540F5F07">
      <w:pPr>
        <w:ind w:firstLine="420"/>
        <w:rPr>
          <w:rFonts w:ascii="宋体" w:hAnsi="宋体"/>
        </w:rPr>
      </w:pPr>
      <w:r>
        <w:rPr>
          <w:rFonts w:ascii="宋体" w:hAnsi="宋体"/>
        </w:rPr>
        <w:t>8月15日，市政协主席何万飞，副主席</w:t>
      </w:r>
      <w:r>
        <w:rPr>
          <w:rFonts w:hint="eastAsia" w:ascii="宋体" w:hAnsi="宋体"/>
        </w:rPr>
        <w:t>钟道海、刘发雄组织政协教科文卫体委部分委员评议南雄市教育工作。钟道海副主席主持了评议会，何万飞主席作讲话。</w:t>
      </w:r>
    </w:p>
    <w:p w14:paraId="0B0F94D0">
      <w:pPr>
        <w:ind w:firstLine="420"/>
        <w:rPr>
          <w:rFonts w:ascii="宋体" w:hAnsi="宋体"/>
        </w:rPr>
      </w:pPr>
      <w:r>
        <w:rPr>
          <w:rFonts w:ascii="宋体" w:hAnsi="宋体"/>
        </w:rPr>
        <w:t>10月28日，市政协组织经济委员会和港</w:t>
      </w:r>
      <w:r>
        <w:rPr>
          <w:rFonts w:hint="eastAsia" w:ascii="宋体" w:hAnsi="宋体"/>
        </w:rPr>
        <w:t>澳台侨和民族宗教委部分委员视察市村庄整治和乡村“清洁美”工程。市政协副主席钟道海主持了视察活动，副主席刘发雄、周济辉参加视察。</w:t>
      </w:r>
    </w:p>
    <w:p w14:paraId="1A997033">
      <w:pPr>
        <w:ind w:firstLine="420"/>
        <w:rPr>
          <w:rFonts w:ascii="宋体" w:hAnsi="宋体"/>
        </w:rPr>
      </w:pPr>
      <w:r>
        <w:rPr>
          <w:rFonts w:ascii="宋体" w:hAnsi="宋体"/>
        </w:rPr>
        <w:t>10月29日，市政协副主席钟道海和政协</w:t>
      </w:r>
      <w:r>
        <w:rPr>
          <w:rFonts w:hint="eastAsia" w:ascii="宋体" w:hAnsi="宋体"/>
        </w:rPr>
        <w:t>委员黄宵、肖丽琼、李皋辉、徐学腾、张荣凤、王文博以及民革、民盟代表共</w:t>
      </w:r>
      <w:r>
        <w:rPr>
          <w:rFonts w:ascii="宋体" w:hAnsi="宋体"/>
        </w:rPr>
        <w:t>8人应邀</w:t>
      </w:r>
      <w:r>
        <w:rPr>
          <w:rFonts w:hint="eastAsia" w:ascii="宋体" w:hAnsi="宋体"/>
        </w:rPr>
        <w:t>参加《南雄市国民经济和社会发展第十二个五年规划》征求意见座谈会。</w:t>
      </w:r>
    </w:p>
    <w:p w14:paraId="67824413">
      <w:pPr>
        <w:ind w:firstLine="420"/>
        <w:rPr>
          <w:rFonts w:ascii="宋体" w:hAnsi="宋体"/>
        </w:rPr>
      </w:pPr>
      <w:r>
        <w:rPr>
          <w:rFonts w:ascii="宋体" w:hAnsi="宋体"/>
        </w:rPr>
        <w:t>11月24日，市政协召开优秀提案评选会</w:t>
      </w:r>
      <w:r>
        <w:rPr>
          <w:rFonts w:hint="eastAsia" w:ascii="宋体" w:hAnsi="宋体"/>
        </w:rPr>
        <w:t>议。政协提案委委员参加会议，会议初拟《关于老</w:t>
      </w:r>
      <w:r>
        <w:rPr>
          <w:rFonts w:ascii="宋体" w:hAnsi="宋体"/>
        </w:rPr>
        <w:t>323线穿城段大修后两边行人道做好</w:t>
      </w:r>
      <w:r>
        <w:rPr>
          <w:rFonts w:hint="eastAsia" w:ascii="宋体" w:hAnsi="宋体"/>
        </w:rPr>
        <w:t>沟道设计，埋设各种管道的建议》等十条提案为优秀提案候选名单，供主席会议审议确定。</w:t>
      </w:r>
    </w:p>
    <w:p w14:paraId="53EBAE40">
      <w:pPr>
        <w:ind w:firstLine="420"/>
        <w:rPr>
          <w:rFonts w:ascii="宋体" w:hAnsi="宋体"/>
        </w:rPr>
      </w:pPr>
      <w:r>
        <w:rPr>
          <w:rFonts w:ascii="宋体" w:hAnsi="宋体"/>
        </w:rPr>
        <w:t>2010年市政协机关投入扶贫资金50800</w:t>
      </w:r>
      <w:r>
        <w:rPr>
          <w:rFonts w:hint="eastAsia" w:ascii="宋体" w:hAnsi="宋体"/>
        </w:rPr>
        <w:t>元，其中支付湖口三角村建桥配套资金</w:t>
      </w:r>
      <w:r>
        <w:rPr>
          <w:rFonts w:ascii="宋体" w:hAnsi="宋体"/>
        </w:rPr>
        <w:t>400</w:t>
      </w:r>
      <w:r>
        <w:rPr>
          <w:rFonts w:hint="eastAsia" w:ascii="宋体" w:hAnsi="宋体"/>
        </w:rPr>
        <w:t>00元。实现脱贫</w:t>
      </w:r>
      <w:r>
        <w:rPr>
          <w:rFonts w:ascii="宋体" w:hAnsi="宋体"/>
        </w:rPr>
        <w:t>20户，占总贫困户的43%，</w:t>
      </w:r>
      <w:r>
        <w:rPr>
          <w:rFonts w:hint="eastAsia" w:ascii="宋体" w:hAnsi="宋体"/>
        </w:rPr>
        <w:t>“一对一”帮扶对象</w:t>
      </w:r>
      <w:r>
        <w:rPr>
          <w:rFonts w:ascii="宋体" w:hAnsi="宋体"/>
        </w:rPr>
        <w:t>16户实现脱贫15户，</w:t>
      </w:r>
      <w:r>
        <w:rPr>
          <w:rFonts w:hint="eastAsia" w:ascii="宋体" w:hAnsi="宋体"/>
        </w:rPr>
        <w:t>占</w:t>
      </w:r>
      <w:r>
        <w:rPr>
          <w:rFonts w:ascii="宋体" w:hAnsi="宋体"/>
        </w:rPr>
        <w:t>93.8%。</w:t>
      </w:r>
    </w:p>
    <w:p w14:paraId="25F9440B">
      <w:pPr>
        <w:pStyle w:val="4"/>
      </w:pPr>
      <w:r>
        <w:rPr>
          <w:rFonts w:hint="eastAsia"/>
        </w:rPr>
        <w:t>【庆祝南雄政协成立三十周年】</w:t>
      </w:r>
    </w:p>
    <w:p w14:paraId="4BA19ED4">
      <w:pPr>
        <w:ind w:firstLine="420"/>
        <w:rPr>
          <w:rFonts w:ascii="宋体" w:hAnsi="宋体"/>
        </w:rPr>
      </w:pPr>
      <w:r>
        <w:rPr>
          <w:rFonts w:ascii="宋体" w:hAnsi="宋体"/>
        </w:rPr>
        <w:t>2010年11</w:t>
      </w:r>
      <w:r>
        <w:rPr>
          <w:rFonts w:hint="eastAsia" w:ascii="宋体" w:hAnsi="宋体"/>
        </w:rPr>
        <w:t>月</w:t>
      </w:r>
      <w:r>
        <w:rPr>
          <w:rFonts w:ascii="宋体" w:hAnsi="宋体"/>
        </w:rPr>
        <w:t>15日，南雄市（县）政协成立30周年庆</w:t>
      </w:r>
      <w:r>
        <w:rPr>
          <w:rFonts w:hint="eastAsia" w:ascii="宋体" w:hAnsi="宋体"/>
        </w:rPr>
        <w:t>祝大会在南雄市迎宾馆召开。市委书记许志新作了书面讲话，市政协主席何万飞在庆祝大会上作讲话。市政协副主席周济辉代表市委统战部，副主席赖华焜代表民主党派，原副主席衷玉华代表广东南雄珠玑巷后裔联谊会，市委组织部副部长、市人事局局长董圣国代表政协委员先后在大会上发言。市“四套班子”领导，市直有关单位领导，各镇（街道）党委书记，历届政协老同志，市政协八届委员共</w:t>
      </w:r>
      <w:r>
        <w:rPr>
          <w:rFonts w:ascii="宋体" w:hAnsi="宋体"/>
        </w:rPr>
        <w:t>300多人参加庆祝大会。市政协</w:t>
      </w:r>
      <w:r>
        <w:rPr>
          <w:rFonts w:hint="eastAsia" w:ascii="宋体" w:hAnsi="宋体"/>
        </w:rPr>
        <w:t>副主席钟道海主持大会。期间，出版了市政协三十周年纪念专题橱窗；编辑出版《南雄政协三十年》特刊，此刊共发行</w:t>
      </w:r>
      <w:r>
        <w:rPr>
          <w:rFonts w:ascii="宋体" w:hAnsi="宋体"/>
        </w:rPr>
        <w:t>600本。</w:t>
      </w:r>
    </w:p>
    <w:p w14:paraId="44042107">
      <w:pPr>
        <w:ind w:firstLine="420"/>
        <w:jc w:val="right"/>
        <w:rPr>
          <w:rFonts w:ascii="宋体" w:hAnsi="宋体"/>
        </w:rPr>
      </w:pPr>
      <w:r>
        <w:rPr>
          <w:rFonts w:hint="eastAsia" w:ascii="宋体" w:hAnsi="宋体"/>
        </w:rPr>
        <w:t>（肖锋）</w:t>
      </w:r>
    </w:p>
    <w:p w14:paraId="3B963FA6">
      <w:pPr>
        <w:pStyle w:val="3"/>
      </w:pPr>
      <w:r>
        <w:rPr>
          <w:rFonts w:hint="eastAsia"/>
        </w:rPr>
        <w:t>2010年政协南雄市委员会领导职务变动</w:t>
      </w:r>
    </w:p>
    <w:p w14:paraId="2DDE6CE1">
      <w:pPr>
        <w:ind w:firstLine="0" w:firstLineChars="0"/>
        <w:rPr>
          <w:rFonts w:ascii="宋体" w:hAnsi="宋体"/>
        </w:rPr>
      </w:pPr>
      <w:r>
        <w:rPr>
          <w:rFonts w:hint="eastAsia" w:ascii="宋体" w:hAnsi="宋体"/>
        </w:rPr>
        <w:t>主  席：何万飞</w:t>
      </w:r>
    </w:p>
    <w:p w14:paraId="0AFA11D0">
      <w:pPr>
        <w:ind w:firstLine="0" w:firstLineChars="0"/>
        <w:rPr>
          <w:rFonts w:ascii="宋体" w:hAnsi="宋体"/>
        </w:rPr>
      </w:pPr>
      <w:r>
        <w:rPr>
          <w:rFonts w:hint="eastAsia" w:ascii="宋体" w:hAnsi="宋体"/>
        </w:rPr>
        <w:t>副主席：钟道海</w:t>
      </w:r>
    </w:p>
    <w:p w14:paraId="3ABBF189">
      <w:pPr>
        <w:ind w:firstLine="840" w:firstLineChars="400"/>
        <w:rPr>
          <w:rFonts w:ascii="宋体" w:hAnsi="宋体"/>
        </w:rPr>
      </w:pPr>
      <w:r>
        <w:rPr>
          <w:rFonts w:hint="eastAsia" w:ascii="宋体" w:hAnsi="宋体"/>
        </w:rPr>
        <w:t>刘发雄</w:t>
      </w:r>
    </w:p>
    <w:p w14:paraId="49EDF63D">
      <w:pPr>
        <w:ind w:firstLine="840" w:firstLineChars="400"/>
        <w:rPr>
          <w:rFonts w:ascii="宋体" w:hAnsi="宋体"/>
        </w:rPr>
      </w:pPr>
      <w:r>
        <w:rPr>
          <w:rFonts w:hint="eastAsia" w:ascii="宋体" w:hAnsi="宋体"/>
        </w:rPr>
        <w:t>赖华焜</w:t>
      </w:r>
    </w:p>
    <w:p w14:paraId="150293BA">
      <w:pPr>
        <w:ind w:firstLine="840" w:firstLineChars="400"/>
        <w:rPr>
          <w:rFonts w:ascii="宋体" w:hAnsi="宋体"/>
        </w:rPr>
      </w:pPr>
      <w:r>
        <w:rPr>
          <w:rFonts w:hint="eastAsia" w:ascii="宋体" w:hAnsi="宋体"/>
        </w:rPr>
        <w:t>刘卫忠</w:t>
      </w:r>
    </w:p>
    <w:p w14:paraId="7D4BAF43">
      <w:pPr>
        <w:ind w:firstLine="840" w:firstLineChars="400"/>
        <w:rPr>
          <w:rFonts w:ascii="宋体" w:hAnsi="宋体"/>
        </w:rPr>
      </w:pPr>
      <w:r>
        <w:rPr>
          <w:rFonts w:hint="eastAsia" w:ascii="宋体" w:hAnsi="宋体"/>
        </w:rPr>
        <w:t>周济辉</w:t>
      </w:r>
    </w:p>
    <w:p w14:paraId="3D253A00">
      <w:pPr>
        <w:ind w:firstLine="840" w:firstLineChars="400"/>
        <w:rPr>
          <w:rFonts w:ascii="宋体" w:hAnsi="宋体"/>
        </w:rPr>
      </w:pPr>
      <w:r>
        <w:rPr>
          <w:rFonts w:hint="eastAsia" w:ascii="宋体" w:hAnsi="宋体"/>
        </w:rPr>
        <w:t>衷玉华（任至</w:t>
      </w:r>
      <w:r>
        <w:rPr>
          <w:rFonts w:ascii="宋体" w:hAnsi="宋体"/>
        </w:rPr>
        <w:t>2010年2月）</w:t>
      </w:r>
    </w:p>
    <w:p w14:paraId="08686283">
      <w:pPr>
        <w:ind w:firstLine="840" w:firstLineChars="400"/>
        <w:rPr>
          <w:rFonts w:ascii="宋体" w:hAnsi="宋体"/>
        </w:rPr>
      </w:pPr>
      <w:r>
        <w:rPr>
          <w:rFonts w:hint="eastAsia" w:ascii="宋体" w:hAnsi="宋体"/>
        </w:rPr>
        <w:t>陈尚妹（</w:t>
      </w:r>
      <w:r>
        <w:rPr>
          <w:rFonts w:ascii="宋体" w:hAnsi="宋体"/>
        </w:rPr>
        <w:t>2010年2月任）</w:t>
      </w:r>
    </w:p>
    <w:p w14:paraId="13D4702A">
      <w:pPr>
        <w:ind w:firstLine="0" w:firstLineChars="0"/>
        <w:rPr>
          <w:rFonts w:ascii="宋体" w:hAnsi="宋体"/>
          <w:b/>
        </w:rPr>
      </w:pPr>
      <w:r>
        <w:rPr>
          <w:rFonts w:hint="eastAsia" w:ascii="宋体" w:hAnsi="宋体"/>
          <w:b/>
        </w:rPr>
        <w:t>附：</w:t>
      </w:r>
      <w:r>
        <w:rPr>
          <w:rFonts w:ascii="宋体" w:hAnsi="宋体"/>
          <w:b/>
        </w:rPr>
        <w:t>2010年市政协各科室领导班子成员名单</w:t>
      </w:r>
    </w:p>
    <w:p w14:paraId="5EEA8D2D">
      <w:pPr>
        <w:ind w:firstLine="0" w:firstLineChars="0"/>
        <w:rPr>
          <w:rFonts w:ascii="宋体" w:hAnsi="宋体"/>
        </w:rPr>
      </w:pPr>
      <w:r>
        <w:rPr>
          <w:rFonts w:hint="eastAsia" w:ascii="宋体" w:hAnsi="宋体"/>
        </w:rPr>
        <w:t>办公室主任：杨凤林</w:t>
      </w:r>
    </w:p>
    <w:p w14:paraId="5630D220">
      <w:pPr>
        <w:ind w:firstLine="420"/>
        <w:rPr>
          <w:rFonts w:ascii="宋体" w:hAnsi="宋体"/>
        </w:rPr>
      </w:pPr>
      <w:r>
        <w:rPr>
          <w:rFonts w:hint="eastAsia" w:ascii="宋体" w:hAnsi="宋体"/>
        </w:rPr>
        <w:t>副主任：叶建华</w:t>
      </w:r>
    </w:p>
    <w:p w14:paraId="09E4B133">
      <w:pPr>
        <w:ind w:firstLine="0" w:firstLineChars="0"/>
        <w:rPr>
          <w:rFonts w:ascii="宋体" w:hAnsi="宋体"/>
        </w:rPr>
      </w:pPr>
      <w:r>
        <w:rPr>
          <w:rFonts w:hint="eastAsia" w:ascii="宋体" w:hAnsi="宋体"/>
        </w:rPr>
        <w:t>组织联络科科长：叶小文</w:t>
      </w:r>
    </w:p>
    <w:p w14:paraId="2194731C">
      <w:pPr>
        <w:ind w:firstLine="840" w:firstLineChars="400"/>
        <w:rPr>
          <w:rFonts w:ascii="宋体" w:hAnsi="宋体"/>
        </w:rPr>
      </w:pPr>
      <w:r>
        <w:rPr>
          <w:rFonts w:hint="eastAsia" w:ascii="宋体" w:hAnsi="宋体"/>
        </w:rPr>
        <w:t>副科长：廖韶芳</w:t>
      </w:r>
    </w:p>
    <w:p w14:paraId="03D4F3CF">
      <w:pPr>
        <w:ind w:firstLine="0" w:firstLineChars="0"/>
        <w:rPr>
          <w:rFonts w:ascii="宋体" w:hAnsi="宋体"/>
        </w:rPr>
      </w:pPr>
      <w:r>
        <w:rPr>
          <w:rFonts w:hint="eastAsia" w:ascii="宋体" w:hAnsi="宋体"/>
        </w:rPr>
        <w:t>宣传科科长：邬章云</w:t>
      </w:r>
    </w:p>
    <w:p w14:paraId="306534AD">
      <w:pPr>
        <w:pStyle w:val="3"/>
      </w:pPr>
      <w:r>
        <w:rPr>
          <w:rFonts w:hint="eastAsia"/>
        </w:rPr>
        <w:t>珠玑巷后裔联谊会主要活动（2003-2009）</w:t>
      </w:r>
    </w:p>
    <w:p w14:paraId="3E4B5C82">
      <w:pPr>
        <w:pStyle w:val="4"/>
      </w:pPr>
      <w:r>
        <w:rPr>
          <w:rFonts w:hint="eastAsia"/>
        </w:rPr>
        <w:t>【第三届理事会暨经贸洽谈会】</w:t>
      </w:r>
    </w:p>
    <w:p w14:paraId="60A2F3C8">
      <w:pPr>
        <w:ind w:firstLine="420"/>
        <w:rPr>
          <w:rFonts w:ascii="宋体" w:hAnsi="宋体"/>
        </w:rPr>
      </w:pPr>
      <w:r>
        <w:rPr>
          <w:rFonts w:ascii="宋体" w:hAnsi="宋体"/>
        </w:rPr>
        <w:t>2003年10</w:t>
      </w:r>
      <w:r>
        <w:rPr>
          <w:rFonts w:hint="eastAsia" w:ascii="宋体" w:hAnsi="宋体"/>
        </w:rPr>
        <w:t>月</w:t>
      </w:r>
      <w:r>
        <w:rPr>
          <w:rFonts w:ascii="宋体" w:hAnsi="宋体"/>
        </w:rPr>
        <w:t>20日至21日，珠玑巷后裔联谊会第三届理</w:t>
      </w:r>
      <w:r>
        <w:rPr>
          <w:rFonts w:hint="eastAsia" w:ascii="宋体" w:hAnsi="宋体"/>
        </w:rPr>
        <w:t>事会暨经贸洽谈会议在南雄市区隆重举行。来自海外</w:t>
      </w:r>
      <w:r>
        <w:rPr>
          <w:rFonts w:ascii="宋体" w:hAnsi="宋体"/>
        </w:rPr>
        <w:t>6个国家，香港、澳门、台湾三个</w:t>
      </w:r>
      <w:r>
        <w:rPr>
          <w:rFonts w:hint="eastAsia" w:ascii="宋体" w:hAnsi="宋体"/>
        </w:rPr>
        <w:t>地区和广东</w:t>
      </w:r>
      <w:r>
        <w:rPr>
          <w:rFonts w:ascii="宋体" w:hAnsi="宋体"/>
        </w:rPr>
        <w:t>37个市、县（区）的珠玑巷后裔</w:t>
      </w:r>
      <w:r>
        <w:rPr>
          <w:rFonts w:hint="eastAsia" w:ascii="宋体" w:hAnsi="宋体"/>
        </w:rPr>
        <w:t>和省、市领导、嘉宾共</w:t>
      </w:r>
      <w:r>
        <w:rPr>
          <w:rFonts w:ascii="宋体" w:hAnsi="宋体"/>
        </w:rPr>
        <w:t>600多人参加盛会。</w:t>
      </w:r>
      <w:r>
        <w:rPr>
          <w:rFonts w:hint="eastAsia" w:ascii="宋体" w:hAnsi="宋体"/>
        </w:rPr>
        <w:t>中共南雄市委书记、市人大常委会主任何为星在会上作筹备工作报告。选举产生</w:t>
      </w:r>
      <w:r>
        <w:rPr>
          <w:rFonts w:ascii="宋体" w:hAnsi="宋体"/>
        </w:rPr>
        <w:t>361名</w:t>
      </w:r>
      <w:r>
        <w:rPr>
          <w:rFonts w:hint="eastAsia" w:ascii="宋体" w:hAnsi="宋体"/>
        </w:rPr>
        <w:t>广东南雄珠玑巷后裔联谊会第三届理事会组成人员，原广州市市长黎子流再次当选为联谊会会长。中共广东省委副书记、联谊会名誉会长陈绍基，原全国人大常委、联谊会名誉会长梁广大，中共韶关市委书记、市人大常委会主任、联谊会名誉会长覃卫东等领导和嘉宾出席会议。全国政协副主席、联谊会名誉会长霍英东、马万祺，原全国人大常委会副委员长、联谊会名誉会长雷洁琼，澳门特别行政区行政长官、联谊会名誉会长何厚铧，中央人民政府驻香港联络办公室主任、联谊会名誉会长高祀仁等特向大会发来贺信贺电。会议期间，举行了南雄市“三个十”庆典活动。与会人员观看由广州市粤剧团和南雄市珠玑艺术团共同演出的文艺晚会。</w:t>
      </w:r>
    </w:p>
    <w:p w14:paraId="6462512A">
      <w:pPr>
        <w:pStyle w:val="4"/>
      </w:pPr>
      <w:r>
        <w:rPr>
          <w:rFonts w:hint="eastAsia"/>
        </w:rPr>
        <w:t>【拍摄电视纪录片《千年珠玑》】</w:t>
      </w:r>
    </w:p>
    <w:p w14:paraId="76518CE0">
      <w:pPr>
        <w:ind w:firstLine="420"/>
        <w:rPr>
          <w:rFonts w:ascii="宋体" w:hAnsi="宋体"/>
        </w:rPr>
      </w:pPr>
      <w:r>
        <w:rPr>
          <w:rFonts w:ascii="宋体" w:hAnsi="宋体"/>
        </w:rPr>
        <w:t>2004年5</w:t>
      </w:r>
      <w:r>
        <w:rPr>
          <w:rFonts w:hint="eastAsia" w:ascii="宋体" w:hAnsi="宋体"/>
        </w:rPr>
        <w:t>月</w:t>
      </w:r>
      <w:r>
        <w:rPr>
          <w:rFonts w:ascii="宋体" w:hAnsi="宋体"/>
        </w:rPr>
        <w:t>28日至29日，珠玑巷后裔联谊会会长黎子</w:t>
      </w:r>
      <w:r>
        <w:rPr>
          <w:rFonts w:hint="eastAsia" w:ascii="宋体" w:hAnsi="宋体"/>
        </w:rPr>
        <w:t>流、中央电视台一行，在韶关市领导邓苏夏、丘隆基、何为星的陪同下，与南雄市林楚欣、许建设、曾昭佑等领导在市迎宾馆商议拍摄电视纪录片《千年珠玑》的有关事宜。</w:t>
      </w:r>
      <w:r>
        <w:rPr>
          <w:rFonts w:ascii="宋体" w:hAnsi="宋体"/>
        </w:rPr>
        <w:t>9月26日至28日，市政协主席曾昭佑率领宣传部</w:t>
      </w:r>
      <w:r>
        <w:rPr>
          <w:rFonts w:hint="eastAsia" w:ascii="宋体" w:hAnsi="宋体"/>
        </w:rPr>
        <w:t>等有关单位领导前往广州拜访陈绍基、佀志广、黎子流等领导，并到广州君尚影视制作有限公司就有关拍摄电视纪录片《千年珠玑》一事进行协商。</w:t>
      </w:r>
      <w:r>
        <w:rPr>
          <w:rFonts w:ascii="宋体" w:hAnsi="宋体"/>
        </w:rPr>
        <w:t>10月28日，市政协主席曾昭</w:t>
      </w:r>
      <w:r>
        <w:rPr>
          <w:rFonts w:hint="eastAsia" w:ascii="宋体" w:hAnsi="宋体"/>
        </w:rPr>
        <w:t>佑代表广东南雄珠玑巷后裔联谊会与刘霜华代表广州君尚影视制作有限公司在市政协会议室正式签订电视纪录片《千年珠玑》拍摄制作合同。</w:t>
      </w:r>
      <w:r>
        <w:rPr>
          <w:rFonts w:ascii="宋体" w:hAnsi="宋体"/>
        </w:rPr>
        <w:t>11月4日，南雄市委、市政府在</w:t>
      </w:r>
      <w:r>
        <w:rPr>
          <w:rFonts w:hint="eastAsia" w:ascii="宋体" w:hAnsi="宋体"/>
        </w:rPr>
        <w:t>广州市中国大酒店隆重举行电视纪录片《千年珠玑》开拍新闻发布会。</w:t>
      </w:r>
      <w:r>
        <w:rPr>
          <w:rFonts w:ascii="宋体" w:hAnsi="宋体"/>
        </w:rPr>
        <w:t>2005年4月25日</w:t>
      </w:r>
      <w:r>
        <w:rPr>
          <w:rFonts w:hint="eastAsia" w:ascii="宋体" w:hAnsi="宋体"/>
        </w:rPr>
        <w:t>至</w:t>
      </w:r>
      <w:r>
        <w:rPr>
          <w:rFonts w:ascii="宋体" w:hAnsi="宋体"/>
        </w:rPr>
        <w:t>27日，黎子流一行6人在韶关市、南雄市</w:t>
      </w:r>
      <w:r>
        <w:rPr>
          <w:rFonts w:hint="eastAsia" w:ascii="宋体" w:hAnsi="宋体"/>
        </w:rPr>
        <w:t>有关领导的陪同下，在南雄市迎宾馆一起观看《千年珠玑》的拍摄素材。</w:t>
      </w:r>
    </w:p>
    <w:p w14:paraId="4F51297C">
      <w:pPr>
        <w:pStyle w:val="4"/>
      </w:pPr>
      <w:r>
        <w:rPr>
          <w:rFonts w:hint="eastAsia"/>
        </w:rPr>
        <w:t>【第三届理事会常务理事扩大会议】</w:t>
      </w:r>
    </w:p>
    <w:p w14:paraId="02FE638B">
      <w:pPr>
        <w:ind w:firstLine="420"/>
        <w:rPr>
          <w:rFonts w:ascii="宋体" w:hAnsi="宋体"/>
        </w:rPr>
      </w:pPr>
      <w:r>
        <w:rPr>
          <w:rFonts w:ascii="宋体" w:hAnsi="宋体"/>
        </w:rPr>
        <w:t>2007</w:t>
      </w:r>
      <w:r>
        <w:rPr>
          <w:rFonts w:hint="eastAsia" w:ascii="宋体" w:hAnsi="宋体"/>
        </w:rPr>
        <w:t>年</w:t>
      </w:r>
      <w:r>
        <w:rPr>
          <w:rFonts w:ascii="宋体" w:hAnsi="宋体"/>
        </w:rPr>
        <w:t>12月6日至7日广东南雄珠玑巷后裔联谊</w:t>
      </w:r>
      <w:r>
        <w:rPr>
          <w:rFonts w:hint="eastAsia" w:ascii="宋体" w:hAnsi="宋体"/>
        </w:rPr>
        <w:t>会第三届理事会常务理事扩大会议在广州广东大厦召开。联谊会会长黎子流主持会议。广东省政协副主席柯小刚，原珠海市委书记梁广大，原省人大常委会副主任佀志广，原省政协副主席李金培、祁烽，原广州市委书记欧初，韶关市委书记徐建华、政协主席邓苏夏和港澳、美国、英国、加拿大、省委统战部、省侨办等</w:t>
      </w:r>
      <w:r>
        <w:rPr>
          <w:rFonts w:ascii="宋体" w:hAnsi="宋体"/>
        </w:rPr>
        <w:t>58个海内外社团特邀嘉宾以</w:t>
      </w:r>
      <w:r>
        <w:rPr>
          <w:rFonts w:hint="eastAsia" w:ascii="宋体" w:hAnsi="宋体"/>
        </w:rPr>
        <w:t>及南雄市林楚欣、何万飞等领导共</w:t>
      </w:r>
      <w:r>
        <w:rPr>
          <w:rFonts w:ascii="宋体" w:hAnsi="宋体"/>
        </w:rPr>
        <w:t>200人出</w:t>
      </w:r>
      <w:r>
        <w:rPr>
          <w:rFonts w:hint="eastAsia" w:ascii="宋体" w:hAnsi="宋体"/>
        </w:rPr>
        <w:t>席了会议。柯小刚、黎子流、徐建华等领导在会上作重要讲话。会议听取珠玑巷后裔联谊会第三届理事会工作报告，讨论通过联谊会换届大会的议程、日程及人事安排方案和《南雄市珠玑巷人文历史文化区规划方案》，协商通过增补名誉会长、副会长、理事长、副理事长名单。省委统战部、省侨办、省侨联、香港广东社团总会、澳门江门同乡会等单位和社团领导分别在会上作发言。全国人大常委会原副委员长雷洁琼、全国政协副主席马万祺对会议的召开分别发来贺信贺电。</w:t>
      </w:r>
    </w:p>
    <w:p w14:paraId="68405F22">
      <w:pPr>
        <w:pStyle w:val="4"/>
      </w:pPr>
      <w:r>
        <w:rPr>
          <w:rFonts w:hint="eastAsia"/>
        </w:rPr>
        <w:t>【升格为省级社团组织】</w:t>
      </w:r>
    </w:p>
    <w:p w14:paraId="629645EE">
      <w:pPr>
        <w:ind w:firstLine="420"/>
        <w:rPr>
          <w:rFonts w:ascii="宋体" w:hAnsi="宋体"/>
        </w:rPr>
      </w:pPr>
      <w:r>
        <w:rPr>
          <w:rFonts w:ascii="宋体" w:hAnsi="宋体"/>
        </w:rPr>
        <w:t>2008年5月6日，220名珠玑巷后裔代表会聚一起，在南雄隆重</w:t>
      </w:r>
      <w:r>
        <w:rPr>
          <w:rFonts w:hint="eastAsia" w:ascii="宋体" w:hAnsi="宋体"/>
        </w:rPr>
        <w:t>庆祝广东南雄珠玑巷后裔联谊会在广州注册成立，同时举行会员代表大会，选举产生联谊会新一届理事会成员，原广州市市长黎子流当举为会长。这也标志着广东省南雄珠玑巷后裔联谊会已从县级晋级为省级社团组织。自</w:t>
      </w:r>
      <w:r>
        <w:rPr>
          <w:rFonts w:ascii="宋体" w:hAnsi="宋体"/>
        </w:rPr>
        <w:t>1995年11月珠玑巷后裔联谊会成立14年来，珠玑巷后裔在爱国爱乡的旗帜指引</w:t>
      </w:r>
      <w:r>
        <w:rPr>
          <w:rFonts w:hint="eastAsia" w:ascii="宋体" w:hAnsi="宋体"/>
        </w:rPr>
        <w:t>下，先后为南雄引进外资企业</w:t>
      </w:r>
      <w:r>
        <w:rPr>
          <w:rFonts w:ascii="宋体" w:hAnsi="宋体"/>
        </w:rPr>
        <w:t>40多家、利用</w:t>
      </w:r>
      <w:r>
        <w:rPr>
          <w:rFonts w:hint="eastAsia" w:ascii="宋体" w:hAnsi="宋体"/>
        </w:rPr>
        <w:t>资金达</w:t>
      </w:r>
      <w:r>
        <w:rPr>
          <w:rFonts w:ascii="宋体" w:hAnsi="宋体"/>
        </w:rPr>
        <w:t>3.5亿元，支持珠玑巷建设1.3亿元，</w:t>
      </w:r>
      <w:r>
        <w:rPr>
          <w:rFonts w:hint="eastAsia" w:ascii="宋体" w:hAnsi="宋体"/>
        </w:rPr>
        <w:t>为韶关、南雄捐资建校助学、赈灾、文化、卫生等慈善公益事业捐款近</w:t>
      </w:r>
      <w:r>
        <w:rPr>
          <w:rFonts w:ascii="宋体" w:hAnsi="宋体"/>
        </w:rPr>
        <w:t>3亿元，。</w:t>
      </w:r>
    </w:p>
    <w:p w14:paraId="70B0F76C">
      <w:pPr>
        <w:pStyle w:val="4"/>
      </w:pPr>
      <w:r>
        <w:rPr>
          <w:rFonts w:hint="eastAsia"/>
        </w:rPr>
        <w:t>【第四届理事大会】</w:t>
      </w:r>
    </w:p>
    <w:p w14:paraId="298DE936">
      <w:pPr>
        <w:ind w:firstLine="420"/>
        <w:rPr>
          <w:rFonts w:ascii="宋体" w:hAnsi="宋体"/>
        </w:rPr>
      </w:pPr>
      <w:r>
        <w:rPr>
          <w:rFonts w:ascii="宋体" w:hAnsi="宋体"/>
        </w:rPr>
        <w:t>200</w:t>
      </w:r>
      <w:r>
        <w:rPr>
          <w:rFonts w:hint="eastAsia" w:ascii="宋体" w:hAnsi="宋体"/>
        </w:rPr>
        <w:t>8</w:t>
      </w:r>
      <w:r>
        <w:rPr>
          <w:rFonts w:ascii="宋体" w:hAnsi="宋体"/>
        </w:rPr>
        <w:t>年11月11日，</w:t>
      </w:r>
      <w:r>
        <w:rPr>
          <w:rFonts w:hint="eastAsia" w:ascii="宋体" w:hAnsi="宋体"/>
        </w:rPr>
        <w:t>广东南雄珠玑巷后裔联谊会第四届理事大会在广州东方宾馆隆重召开。来自珠三角和港澳台地区以及海外十多个国家的</w:t>
      </w:r>
      <w:r>
        <w:rPr>
          <w:rFonts w:ascii="宋体" w:hAnsi="宋体"/>
        </w:rPr>
        <w:t>600多名珠玑</w:t>
      </w:r>
      <w:r>
        <w:rPr>
          <w:rFonts w:hint="eastAsia" w:ascii="宋体" w:hAnsi="宋体"/>
        </w:rPr>
        <w:t>巷后裔欢聚一堂、共襄盛举。中共中央政治局委员、省委书记汪洋向联谊会发来贺信，省领导陈绍基、朱小丹</w:t>
      </w:r>
      <w:r>
        <w:rPr>
          <w:rFonts w:hint="eastAsia" w:ascii="宋体" w:hAnsi="宋体"/>
          <w:lang w:eastAsia="zh-CN"/>
        </w:rPr>
        <w:t>、周镇宏</w:t>
      </w:r>
      <w:r>
        <w:rPr>
          <w:rFonts w:hint="eastAsia" w:ascii="宋体" w:hAnsi="宋体"/>
        </w:rPr>
        <w:t>，原省领导朱森林、汤维英，韶关市领导徐建华、邓苏夏、李飞、徐紫玲、梁海峰，南雄市领导林楚欣、许志新、何万飞等出席大会。</w:t>
      </w:r>
    </w:p>
    <w:p w14:paraId="25D3D5CB">
      <w:pPr>
        <w:ind w:firstLine="420"/>
        <w:rPr>
          <w:rFonts w:ascii="宋体" w:hAnsi="宋体"/>
        </w:rPr>
      </w:pPr>
      <w:r>
        <w:rPr>
          <w:rFonts w:hint="eastAsia" w:ascii="宋体" w:hAnsi="宋体"/>
        </w:rPr>
        <w:t>会议由联谊会执行会长梁广大主持，会上，宣读贺信、贺电；颁发当选证书；省政协陈绍基主席作讲话；会长黎子流讲话；荣誉会长代表霍震寰先生以及省侨办、省侨联、省台办、省工商联、香港广东社团总会、澳门江门同乡会、海外代表分别致词；韶关市委徐建华书记讲话；最后举行赠送纪念品及捐赠珠玑文化教育慈善专项基金仪式。</w:t>
      </w:r>
    </w:p>
    <w:p w14:paraId="697A59CE">
      <w:pPr>
        <w:ind w:firstLine="420"/>
        <w:jc w:val="right"/>
        <w:rPr>
          <w:rFonts w:ascii="宋体" w:hAnsi="宋体"/>
        </w:rPr>
      </w:pPr>
      <w:r>
        <w:rPr>
          <w:rFonts w:hint="eastAsia" w:ascii="宋体" w:hAnsi="宋体"/>
        </w:rPr>
        <w:t>（肖锋）</w:t>
      </w:r>
    </w:p>
    <w:p w14:paraId="51270552">
      <w:pPr>
        <w:pStyle w:val="2"/>
      </w:pPr>
      <w:r>
        <w:rPr>
          <w:rFonts w:hint="eastAsia"/>
        </w:rPr>
        <w:t>纪检监察</w:t>
      </w:r>
    </w:p>
    <w:p w14:paraId="6FF1C988">
      <w:pPr>
        <w:pStyle w:val="3"/>
      </w:pPr>
      <w:r>
        <w:rPr>
          <w:rFonts w:hint="eastAsia"/>
        </w:rPr>
        <w:t>重要会议</w:t>
      </w:r>
    </w:p>
    <w:p w14:paraId="2EEE482E">
      <w:pPr>
        <w:pStyle w:val="4"/>
      </w:pPr>
      <w:r>
        <w:rPr>
          <w:rFonts w:hint="eastAsia"/>
        </w:rPr>
        <w:t>【市纪委十一届五次全会】</w:t>
      </w:r>
    </w:p>
    <w:p w14:paraId="770E7941">
      <w:pPr>
        <w:ind w:firstLine="420"/>
        <w:rPr>
          <w:rFonts w:ascii="宋体" w:hAnsi="宋体"/>
        </w:rPr>
      </w:pPr>
      <w:r>
        <w:rPr>
          <w:rFonts w:hint="eastAsia" w:ascii="宋体" w:hAnsi="宋体"/>
        </w:rPr>
        <w:t>南雄市纪委十一届五次全会于</w:t>
      </w:r>
      <w:r>
        <w:rPr>
          <w:rFonts w:ascii="宋体" w:hAnsi="宋体"/>
        </w:rPr>
        <w:t>2010年3月2日在南雄大会堂</w:t>
      </w:r>
      <w:r>
        <w:rPr>
          <w:rFonts w:hint="eastAsia" w:ascii="宋体" w:hAnsi="宋体"/>
        </w:rPr>
        <w:t>召开。市四套班子领导，法检“两长”，市纪委委员，各镇（街道）党（工）委书记和镇长（主任）、党（工）委副书记、纪（工）委书记、组织委员、宣传委员，市直各单位纪检组长、正股级以上领导干部，市纪委机关全体干部共</w:t>
      </w:r>
      <w:r>
        <w:rPr>
          <w:rFonts w:ascii="宋体" w:hAnsi="宋体"/>
        </w:rPr>
        <w:t>1000多人参加会议。全会传达</w:t>
      </w:r>
      <w:r>
        <w:rPr>
          <w:rFonts w:hint="eastAsia" w:ascii="宋体" w:hAnsi="宋体"/>
        </w:rPr>
        <w:t>学习胡锦涛总书记、汪洋徐建华等的讲话精神，听取市委书记、市人大常委会主任林楚欣讲话，审议通过罗勇新代表市纪委常委会所作的《创新体制机制深化作风建设开创党风廉政建设和反腐败工作新局面》的工作报告和《中共南雄市第十一届纪律检查委员会第五次全体会议决议》。全会总结</w:t>
      </w:r>
      <w:r>
        <w:rPr>
          <w:rFonts w:ascii="宋体" w:hAnsi="宋体"/>
        </w:rPr>
        <w:t>2009年工</w:t>
      </w:r>
      <w:r>
        <w:rPr>
          <w:rFonts w:hint="eastAsia" w:ascii="宋体" w:hAnsi="宋体"/>
        </w:rPr>
        <w:t>作，部署</w:t>
      </w:r>
      <w:r>
        <w:rPr>
          <w:rFonts w:ascii="宋体" w:hAnsi="宋体"/>
        </w:rPr>
        <w:t>2010年工作任务，要求各级党委、</w:t>
      </w:r>
      <w:r>
        <w:rPr>
          <w:rFonts w:hint="eastAsia" w:ascii="宋体" w:hAnsi="宋体"/>
        </w:rPr>
        <w:t>纪检监察机关要紧紧围绕经济建设这个中心，深化作风建设，提高执行力，狠抓工作落实。要强化监督检查，确保中央和省、市重大决策部署的贯彻落实；加强廉政教育，促进领导干部廉洁从政；坚持制度创新，深化源头治腐工作；加强作风建设，密切党群干群关系；开展专项治理，切实解决群众反映强烈的突出问题；加大办案力度，继续保持惩治腐败的强劲势头；强化监督制约，促进领导干部正确行使权力；加强干部队伍建设，优化纪检监察派驻机构管理。为全面加快建设富裕文明和谐安康的粤北门户城市步伐、实现经济社会跨越发展提供坚强保障。</w:t>
      </w:r>
    </w:p>
    <w:p w14:paraId="23CFCF98">
      <w:pPr>
        <w:pStyle w:val="4"/>
      </w:pPr>
      <w:r>
        <w:rPr>
          <w:rFonts w:hint="eastAsia"/>
        </w:rPr>
        <w:t>【“廉政准则”专题辅导报告】</w:t>
      </w:r>
    </w:p>
    <w:p w14:paraId="7CF6528C">
      <w:pPr>
        <w:ind w:firstLine="420"/>
        <w:rPr>
          <w:rFonts w:ascii="宋体" w:hAnsi="宋体"/>
        </w:rPr>
      </w:pPr>
      <w:r>
        <w:rPr>
          <w:rFonts w:ascii="宋体" w:hAnsi="宋体"/>
        </w:rPr>
        <w:t>2010年5月25日，韶关市委常委、纪委书记段宇飞到南</w:t>
      </w:r>
      <w:r>
        <w:rPr>
          <w:rFonts w:hint="eastAsia" w:ascii="宋体" w:hAnsi="宋体"/>
        </w:rPr>
        <w:t>雄市作“廉政准则”专题辅导报告。林楚欣、许志新、何万飞等四套班子领导和全市副科以上领导干部及重点岗位股级干部</w:t>
      </w:r>
      <w:r>
        <w:rPr>
          <w:rFonts w:ascii="宋体" w:hAnsi="宋体"/>
        </w:rPr>
        <w:t>1000多人</w:t>
      </w:r>
      <w:r>
        <w:rPr>
          <w:rFonts w:hint="eastAsia" w:ascii="宋体" w:hAnsi="宋体"/>
        </w:rPr>
        <w:t>聆听报告。</w:t>
      </w:r>
    </w:p>
    <w:p w14:paraId="1F5BFCF1">
      <w:pPr>
        <w:pStyle w:val="4"/>
      </w:pPr>
      <w:r>
        <w:rPr>
          <w:rFonts w:hint="eastAsia"/>
        </w:rPr>
        <w:t>【“阳光工程”暨纪律教育学习月活动动员大会】</w:t>
      </w:r>
    </w:p>
    <w:p w14:paraId="282A2E49">
      <w:pPr>
        <w:ind w:firstLine="420"/>
        <w:rPr>
          <w:rFonts w:ascii="宋体" w:hAnsi="宋体"/>
        </w:rPr>
      </w:pPr>
      <w:r>
        <w:rPr>
          <w:rFonts w:ascii="宋体" w:hAnsi="宋体"/>
        </w:rPr>
        <w:t>2010年7月6日，南雄召开市委权力</w:t>
      </w:r>
      <w:r>
        <w:rPr>
          <w:rFonts w:hint="eastAsia" w:ascii="宋体" w:hAnsi="宋体"/>
        </w:rPr>
        <w:t>公开透明运行“阳光工程”暨</w:t>
      </w:r>
      <w:r>
        <w:rPr>
          <w:rFonts w:ascii="宋体" w:hAnsi="宋体"/>
        </w:rPr>
        <w:t>2010年纪律教</w:t>
      </w:r>
      <w:r>
        <w:rPr>
          <w:rFonts w:hint="eastAsia" w:ascii="宋体" w:hAnsi="宋体"/>
        </w:rPr>
        <w:t>育学习月活动动员大会。韶关市委常委、纪委书记段宇飞、韶关市委组织部副部长、老干局局长温必强等领导与会，南雄四套领导班子、法检两长、市纪委副书记，以及镇（街道）党政领导、纪委书记，市直（含驻雄）副科以上单位股级以上干部</w:t>
      </w:r>
      <w:r>
        <w:rPr>
          <w:rFonts w:ascii="宋体" w:hAnsi="宋体"/>
        </w:rPr>
        <w:t>1000多人参</w:t>
      </w:r>
      <w:r>
        <w:rPr>
          <w:rFonts w:hint="eastAsia" w:ascii="宋体" w:hAnsi="宋体"/>
        </w:rPr>
        <w:t>加会议。韶关市委常委、纪委书记段宇飞要求南雄市委权力公开透明运行“阳光工程”试点工作要抓出经验、抓出成效。段宇飞对抓好“县委权力公开透明运行‘阳光工程’”试点工作提出四点具体要求。一是加强领导。要求各单位成立相应的领导机构和具体办事机构，加强组织领导和日常工作，把此项工作当作本年度的一项重点任务来抓。二是要广泛发动群众。把权力运行的各个层次、各个领域和各个环节都置于阳光之下，确保人民赋予的权力始终用来为人民服务。三是要大胆改革创新，要本着敢想、敢试、敢创新的态度，大胆创新载体，探索总结权力公开透明运行的有效办法；四是要把解决实际问题作为出发点和落脚点，推进权力公开透明运行“阳光工程”工作，以实际成果取信于民，为全韶关乃至全省权力运行“阳光工程”探索出新模式、提供新经验。</w:t>
      </w:r>
    </w:p>
    <w:p w14:paraId="6751C084">
      <w:pPr>
        <w:pStyle w:val="3"/>
      </w:pPr>
      <w:r>
        <w:rPr>
          <w:rFonts w:hint="eastAsia"/>
        </w:rPr>
        <w:t>主要工作</w:t>
      </w:r>
    </w:p>
    <w:p w14:paraId="4C638162">
      <w:pPr>
        <w:pStyle w:val="4"/>
      </w:pPr>
      <w:r>
        <w:rPr>
          <w:rFonts w:hint="eastAsia"/>
        </w:rPr>
        <w:t>【县委权力公开透明运行试点工作】</w:t>
      </w:r>
    </w:p>
    <w:p w14:paraId="1BAAF7E3">
      <w:pPr>
        <w:ind w:firstLine="420"/>
        <w:rPr>
          <w:rFonts w:ascii="宋体" w:hAnsi="宋体"/>
        </w:rPr>
      </w:pPr>
      <w:r>
        <w:rPr>
          <w:rFonts w:ascii="宋体" w:hAnsi="宋体"/>
        </w:rPr>
        <w:t>2010</w:t>
      </w:r>
      <w:r>
        <w:rPr>
          <w:rFonts w:hint="eastAsia" w:ascii="宋体" w:hAnsi="宋体"/>
        </w:rPr>
        <w:t>年</w:t>
      </w:r>
      <w:r>
        <w:rPr>
          <w:rFonts w:ascii="宋体" w:hAnsi="宋体"/>
        </w:rPr>
        <w:t>5月，南雄被广东省和韶关市确定为</w:t>
      </w:r>
      <w:r>
        <w:rPr>
          <w:rFonts w:hint="eastAsia" w:ascii="宋体" w:hAnsi="宋体"/>
        </w:rPr>
        <w:t>“</w:t>
      </w:r>
      <w:r>
        <w:rPr>
          <w:rFonts w:ascii="宋体" w:hAnsi="宋体"/>
        </w:rPr>
        <w:t>县</w:t>
      </w:r>
      <w:r>
        <w:rPr>
          <w:rFonts w:hint="eastAsia" w:ascii="宋体" w:hAnsi="宋体"/>
        </w:rPr>
        <w:t>委权力公开透明运行”试点县。在推进市委权力公开透明运行“阳光工程”工作中，南雄延伸公开范围，把承载市委权力的政府权力纳入公开范围，并拓展到有行政审批权、执收执罚权的</w:t>
      </w:r>
      <w:r>
        <w:rPr>
          <w:rFonts w:ascii="宋体" w:hAnsi="宋体"/>
        </w:rPr>
        <w:t>33个权重单位和18个镇（街</w:t>
      </w:r>
      <w:r>
        <w:rPr>
          <w:rFonts w:hint="eastAsia" w:ascii="宋体" w:hAnsi="宋体"/>
        </w:rPr>
        <w:t>道）；拓展公开内容，市委、市政府及各单位在公开“四重一大”（即重大决策、重要人事任免、重大项目建设、重大事件处置及大额资金使用）的前提下，把粮补、低保、医保、社保、木材采伐指标、商品房质量、物价、证件办理、土地发包、工程建设、政府采购、招投标等涉及群众切身利益的民生事项纳入公开范围；排查并控制廉政风险，查找市委廉政风险点</w:t>
      </w:r>
      <w:r>
        <w:rPr>
          <w:rFonts w:ascii="宋体" w:hAnsi="宋体"/>
        </w:rPr>
        <w:t>47个，制定防控措施89项；组建</w:t>
      </w:r>
      <w:r>
        <w:rPr>
          <w:rFonts w:hint="eastAsia" w:ascii="宋体" w:hAnsi="宋体"/>
        </w:rPr>
        <w:t>由组、村、镇（局）、市四级“阳光使者”组成的共计</w:t>
      </w:r>
      <w:r>
        <w:rPr>
          <w:rFonts w:ascii="宋体" w:hAnsi="宋体"/>
        </w:rPr>
        <w:t>2万多人的监督队伍，广泛参与到</w:t>
      </w:r>
      <w:r>
        <w:rPr>
          <w:rFonts w:hint="eastAsia" w:ascii="宋体" w:hAnsi="宋体"/>
        </w:rPr>
        <w:t>各级权力运行的监督工作中；针对政府采购价格居高于市场价格和建设工程招投标串标围标现象严重问题，探索出“网上电子反拍”和“双向询价”的做法，打破协议供货商的垄断局面，破解政府采购价偏高的难题；探索出招投标“资格后审”制度，抑制串标围标现象。南雄在市委权力公开透明运行“阳光工程”方面的探索得到省、韶关市纪委领导的充分肯定。</w:t>
      </w:r>
      <w:r>
        <w:rPr>
          <w:rFonts w:ascii="宋体" w:hAnsi="宋体"/>
        </w:rPr>
        <w:t>2010年12月27日至28日，</w:t>
      </w:r>
      <w:r>
        <w:rPr>
          <w:rFonts w:hint="eastAsia" w:ascii="宋体" w:hAnsi="宋体"/>
        </w:rPr>
        <w:t>市委书记许志新代表南雄在全省监督工作现场经验交流会上作经验推广发言。</w:t>
      </w:r>
      <w:r>
        <w:rPr>
          <w:rFonts w:ascii="宋体" w:hAnsi="宋体"/>
        </w:rPr>
        <w:t>2010年12</w:t>
      </w:r>
      <w:r>
        <w:rPr>
          <w:rFonts w:hint="eastAsia" w:ascii="宋体" w:hAnsi="宋体"/>
        </w:rPr>
        <w:t>月，南雄被广东省确定为全省党的基层组织党务公开工作联系点。</w:t>
      </w:r>
    </w:p>
    <w:p w14:paraId="1A084BA5">
      <w:pPr>
        <w:pStyle w:val="4"/>
      </w:pPr>
      <w:r>
        <w:rPr>
          <w:rFonts w:hint="eastAsia"/>
        </w:rPr>
        <w:t>【基层党风廉政建设亮点】</w:t>
      </w:r>
    </w:p>
    <w:p w14:paraId="58E50A5D">
      <w:pPr>
        <w:ind w:firstLine="420"/>
        <w:rPr>
          <w:rFonts w:ascii="宋体" w:hAnsi="宋体"/>
        </w:rPr>
      </w:pPr>
      <w:r>
        <w:rPr>
          <w:rFonts w:ascii="宋体" w:hAnsi="宋体"/>
        </w:rPr>
        <w:t>2010年，在全</w:t>
      </w:r>
      <w:r>
        <w:rPr>
          <w:rFonts w:hint="eastAsia" w:ascii="宋体" w:hAnsi="宋体"/>
        </w:rPr>
        <w:t>市基层纪检监察组织开展基层党风廉政建设亮点创建活动，打造一批亮点品牌。如在民政局试行“阳光低保”制度，将不符合低保条件的</w:t>
      </w:r>
      <w:r>
        <w:rPr>
          <w:rFonts w:ascii="宋体" w:hAnsi="宋体"/>
        </w:rPr>
        <w:t>1094户2774人清退出来，约占全市低</w:t>
      </w:r>
      <w:r>
        <w:rPr>
          <w:rFonts w:hint="eastAsia" w:ascii="宋体" w:hAnsi="宋体"/>
        </w:rPr>
        <w:t>保人口的</w:t>
      </w:r>
      <w:r>
        <w:rPr>
          <w:rFonts w:ascii="宋体" w:hAnsi="宋体"/>
        </w:rPr>
        <w:t>20%，同时把符合条件的1274户3111名困难群众纳入低保，做到应保尽保、</w:t>
      </w:r>
      <w:r>
        <w:rPr>
          <w:rFonts w:hint="eastAsia" w:ascii="宋体" w:hAnsi="宋体"/>
        </w:rPr>
        <w:t>应退尽退；在农业局试行“阳光粮补”活动，监督农民种粮补贴的发放，补贴农户</w:t>
      </w:r>
      <w:r>
        <w:rPr>
          <w:rFonts w:ascii="宋体" w:hAnsi="宋体"/>
        </w:rPr>
        <w:t>8.32万</w:t>
      </w:r>
      <w:r>
        <w:rPr>
          <w:rFonts w:hint="eastAsia" w:ascii="宋体" w:hAnsi="宋体"/>
        </w:rPr>
        <w:t>户，补贴资金</w:t>
      </w:r>
      <w:r>
        <w:rPr>
          <w:rFonts w:ascii="宋体" w:hAnsi="宋体"/>
        </w:rPr>
        <w:t>559.5万元，没发现一宗冒领</w:t>
      </w:r>
      <w:r>
        <w:rPr>
          <w:rFonts w:hint="eastAsia" w:ascii="宋体" w:hAnsi="宋体"/>
        </w:rPr>
        <w:t>、挪用、侵占等行为，且无一件举报，无一人上访；在国土局试行“土地阳光交易”，“阳光使者”现场监督建设工程招投标、国有土地招拍挂、政府采购等工作，成功招拍挂出让土地</w:t>
      </w:r>
      <w:r>
        <w:rPr>
          <w:rFonts w:ascii="宋体" w:hAnsi="宋体"/>
        </w:rPr>
        <w:t>76宗，成交金额近7亿元，交易宗数</w:t>
      </w:r>
      <w:r>
        <w:rPr>
          <w:rFonts w:hint="eastAsia" w:ascii="宋体" w:hAnsi="宋体"/>
        </w:rPr>
        <w:t>和交易金额比</w:t>
      </w:r>
      <w:r>
        <w:rPr>
          <w:rFonts w:ascii="宋体" w:hAnsi="宋体"/>
        </w:rPr>
        <w:t>2009年以前的总和翻了一番；</w:t>
      </w:r>
      <w:r>
        <w:rPr>
          <w:rFonts w:hint="eastAsia" w:ascii="宋体" w:hAnsi="宋体"/>
        </w:rPr>
        <w:t>在珠玑镇试行“信访听证”制度，成功调解</w:t>
      </w:r>
      <w:r>
        <w:rPr>
          <w:rFonts w:ascii="宋体" w:hAnsi="宋体"/>
        </w:rPr>
        <w:t>8</w:t>
      </w:r>
      <w:r>
        <w:rPr>
          <w:rFonts w:hint="eastAsia" w:ascii="宋体" w:hAnsi="宋体"/>
        </w:rPr>
        <w:t>宗信访疑难案件，</w:t>
      </w:r>
      <w:r>
        <w:rPr>
          <w:rFonts w:ascii="宋体" w:hAnsi="宋体"/>
        </w:rPr>
        <w:t>2010年该镇到县市以上信</w:t>
      </w:r>
      <w:r>
        <w:rPr>
          <w:rFonts w:hint="eastAsia" w:ascii="宋体" w:hAnsi="宋体"/>
        </w:rPr>
        <w:t>访量同比下降</w:t>
      </w:r>
      <w:r>
        <w:rPr>
          <w:rFonts w:ascii="宋体" w:hAnsi="宋体"/>
        </w:rPr>
        <w:t>44%，有效减少上访行为；在</w:t>
      </w:r>
      <w:r>
        <w:rPr>
          <w:rFonts w:hint="eastAsia" w:ascii="宋体" w:hAnsi="宋体"/>
        </w:rPr>
        <w:t>邓坊镇试行“便民联系卡”活动，解决群众反映问题</w:t>
      </w:r>
      <w:r>
        <w:rPr>
          <w:rFonts w:ascii="宋体" w:hAnsi="宋体"/>
        </w:rPr>
        <w:t>71件；在帽子峰镇试行农村事务村</w:t>
      </w:r>
      <w:r>
        <w:rPr>
          <w:rFonts w:hint="eastAsia" w:ascii="宋体" w:hAnsi="宋体"/>
        </w:rPr>
        <w:t>官“代办”机制，为群众代办涉农事务</w:t>
      </w:r>
      <w:r>
        <w:rPr>
          <w:rFonts w:ascii="宋体" w:hAnsi="宋体"/>
        </w:rPr>
        <w:t>125</w:t>
      </w:r>
      <w:r>
        <w:rPr>
          <w:rFonts w:hint="eastAsia" w:ascii="宋体" w:hAnsi="宋体"/>
        </w:rPr>
        <w:t>件，化解各类矛盾</w:t>
      </w:r>
      <w:r>
        <w:rPr>
          <w:rFonts w:ascii="宋体" w:hAnsi="宋体"/>
        </w:rPr>
        <w:t>40多宗。2010年12月8</w:t>
      </w:r>
      <w:r>
        <w:rPr>
          <w:rFonts w:hint="eastAsia" w:ascii="宋体" w:hAnsi="宋体"/>
        </w:rPr>
        <w:t>日，广东省党风廉政建设责任制检查组第七组组长、省纪委常委、监察厅副厅长秦通海一行到南雄检查指导党风廉政建设责任制工作，并对南雄推进党风廉政建设和体系建设工作作出“有位置、有创新、有特色、有品牌、有实效”的评价。</w:t>
      </w:r>
    </w:p>
    <w:p w14:paraId="2AE91552">
      <w:pPr>
        <w:pStyle w:val="4"/>
      </w:pPr>
      <w:r>
        <w:rPr>
          <w:rFonts w:hint="eastAsia"/>
        </w:rPr>
        <w:t>【执法、纠风、效能】</w:t>
      </w:r>
    </w:p>
    <w:p w14:paraId="4810C79F">
      <w:pPr>
        <w:ind w:firstLine="420"/>
        <w:rPr>
          <w:rFonts w:ascii="宋体" w:hAnsi="宋体"/>
        </w:rPr>
      </w:pPr>
      <w:r>
        <w:rPr>
          <w:rFonts w:ascii="宋体" w:hAnsi="宋体"/>
        </w:rPr>
        <w:t>2010年，围绕抓执</w:t>
      </w:r>
      <w:r>
        <w:rPr>
          <w:rFonts w:hint="eastAsia" w:ascii="宋体" w:hAnsi="宋体"/>
        </w:rPr>
        <w:t>行力建设，建立“插红旗”抓落实工作机制，成立第二期园区建设、督察督办等</w:t>
      </w:r>
      <w:r>
        <w:rPr>
          <w:rFonts w:ascii="宋体" w:hAnsi="宋体"/>
        </w:rPr>
        <w:t>10个专责</w:t>
      </w:r>
      <w:r>
        <w:rPr>
          <w:rFonts w:hint="eastAsia" w:ascii="宋体" w:hAnsi="宋体"/>
        </w:rPr>
        <w:t>小组，促进全市干部作风转变，市主要领导在全省深化执行力建设工作电视电话会议上作专题发言。抓执法监察，对政府投资和使用国有资金达到</w:t>
      </w:r>
      <w:r>
        <w:rPr>
          <w:rFonts w:ascii="宋体" w:hAnsi="宋体"/>
        </w:rPr>
        <w:t>500万元以上的26个项目进</w:t>
      </w:r>
      <w:r>
        <w:rPr>
          <w:rFonts w:hint="eastAsia" w:ascii="宋体" w:hAnsi="宋体"/>
        </w:rPr>
        <w:t>行重点抽查；排查工程建设领域案件线索</w:t>
      </w:r>
      <w:r>
        <w:rPr>
          <w:rFonts w:ascii="宋体" w:hAnsi="宋体"/>
        </w:rPr>
        <w:t>3</w:t>
      </w:r>
      <w:r>
        <w:rPr>
          <w:rFonts w:hint="eastAsia" w:ascii="宋体" w:hAnsi="宋体"/>
        </w:rPr>
        <w:t>条，立案查处案件</w:t>
      </w:r>
      <w:r>
        <w:rPr>
          <w:rFonts w:ascii="宋体" w:hAnsi="宋体"/>
        </w:rPr>
        <w:t>2宗，涉及党员干部2人；</w:t>
      </w:r>
      <w:r>
        <w:rPr>
          <w:rFonts w:hint="eastAsia" w:ascii="宋体" w:hAnsi="宋体"/>
        </w:rPr>
        <w:t>对全市非法开采稀土矿点进行全面清查，彻底整治多处非法开采稀土矿点。抓效能监察，全年行政问责</w:t>
      </w:r>
      <w:r>
        <w:rPr>
          <w:rFonts w:ascii="宋体" w:hAnsi="宋体"/>
        </w:rPr>
        <w:t>3件8人；运用电子监察网络平</w:t>
      </w:r>
      <w:r>
        <w:rPr>
          <w:rFonts w:hint="eastAsia" w:ascii="宋体" w:hAnsi="宋体"/>
        </w:rPr>
        <w:t>台，受理群众网上咨询投诉</w:t>
      </w:r>
      <w:r>
        <w:rPr>
          <w:rFonts w:ascii="宋体" w:hAnsi="宋体"/>
        </w:rPr>
        <w:t>3132件，受理投</w:t>
      </w:r>
      <w:r>
        <w:rPr>
          <w:rFonts w:hint="eastAsia" w:ascii="宋体" w:hAnsi="宋体"/>
        </w:rPr>
        <w:t>诉件</w:t>
      </w:r>
      <w:r>
        <w:rPr>
          <w:rFonts w:ascii="宋体" w:hAnsi="宋体"/>
        </w:rPr>
        <w:t>496件，其中</w:t>
      </w:r>
      <w:r>
        <w:rPr>
          <w:rFonts w:hint="eastAsia" w:ascii="宋体" w:hAnsi="宋体"/>
        </w:rPr>
        <w:t>已</w:t>
      </w:r>
      <w:r>
        <w:rPr>
          <w:rFonts w:ascii="宋体" w:hAnsi="宋体"/>
        </w:rPr>
        <w:t>办结491件，正在查办5件。</w:t>
      </w:r>
    </w:p>
    <w:p w14:paraId="6283A3E2">
      <w:pPr>
        <w:pStyle w:val="4"/>
      </w:pPr>
      <w:r>
        <w:rPr>
          <w:rFonts w:hint="eastAsia"/>
        </w:rPr>
        <w:t>【信访举报和案件查处】</w:t>
      </w:r>
    </w:p>
    <w:p w14:paraId="5FC949B0">
      <w:pPr>
        <w:ind w:firstLine="420"/>
        <w:rPr>
          <w:rFonts w:ascii="宋体" w:hAnsi="宋体"/>
        </w:rPr>
      </w:pPr>
      <w:r>
        <w:rPr>
          <w:rFonts w:ascii="宋体" w:hAnsi="宋体"/>
        </w:rPr>
        <w:t>2003年以来，共</w:t>
      </w:r>
      <w:r>
        <w:rPr>
          <w:rFonts w:hint="eastAsia" w:ascii="宋体" w:hAnsi="宋体"/>
        </w:rPr>
        <w:t>收到群众信访举报</w:t>
      </w:r>
      <w:r>
        <w:rPr>
          <w:rFonts w:ascii="宋体" w:hAnsi="宋体"/>
        </w:rPr>
        <w:t>1716件次，初查案件线索454件，立案查处262宗，立案处分党员干部274人，其中副科级以上党员领导</w:t>
      </w:r>
      <w:r>
        <w:rPr>
          <w:rFonts w:hint="eastAsia" w:ascii="宋体" w:hAnsi="宋体"/>
        </w:rPr>
        <w:t>干</w:t>
      </w:r>
      <w:r>
        <w:rPr>
          <w:rFonts w:ascii="宋体" w:hAnsi="宋体"/>
        </w:rPr>
        <w:t>部36人，</w:t>
      </w:r>
      <w:r>
        <w:rPr>
          <w:rFonts w:hint="eastAsia" w:ascii="宋体" w:hAnsi="宋体"/>
        </w:rPr>
        <w:t>为国家挽回经济损失</w:t>
      </w:r>
      <w:r>
        <w:rPr>
          <w:rFonts w:ascii="宋体" w:hAnsi="宋体"/>
        </w:rPr>
        <w:t>1100多万元。其中，2010年收到群众信访举报200件次，初查案</w:t>
      </w:r>
      <w:r>
        <w:rPr>
          <w:rFonts w:hint="eastAsia" w:ascii="宋体" w:hAnsi="宋体"/>
        </w:rPr>
        <w:t>件线索</w:t>
      </w:r>
      <w:r>
        <w:rPr>
          <w:rFonts w:ascii="宋体" w:hAnsi="宋体"/>
        </w:rPr>
        <w:t>52件，立案查处42宗，立案处分党员</w:t>
      </w:r>
      <w:r>
        <w:rPr>
          <w:rFonts w:hint="eastAsia" w:ascii="宋体" w:hAnsi="宋体"/>
        </w:rPr>
        <w:t>干部</w:t>
      </w:r>
      <w:r>
        <w:rPr>
          <w:rFonts w:ascii="宋体" w:hAnsi="宋体"/>
        </w:rPr>
        <w:t>42人，其中副科级以上党员领导干部3</w:t>
      </w:r>
      <w:r>
        <w:rPr>
          <w:rFonts w:hint="eastAsia" w:ascii="宋体" w:hAnsi="宋体"/>
        </w:rPr>
        <w:t>人，为国家挽回经济损失</w:t>
      </w:r>
      <w:r>
        <w:rPr>
          <w:rFonts w:ascii="宋体" w:hAnsi="宋体"/>
        </w:rPr>
        <w:t>260多万元，全市18个镇（街道）连续四年实现100%的镇有</w:t>
      </w:r>
      <w:r>
        <w:rPr>
          <w:rFonts w:hint="eastAsia" w:ascii="宋体" w:hAnsi="宋体"/>
        </w:rPr>
        <w:t>自办案。</w:t>
      </w:r>
      <w:r>
        <w:rPr>
          <w:rFonts w:ascii="宋体" w:hAnsi="宋体"/>
        </w:rPr>
        <w:t>2007年始建立健全</w:t>
      </w:r>
      <w:r>
        <w:rPr>
          <w:rFonts w:hint="eastAsia" w:ascii="宋体" w:hAnsi="宋体"/>
        </w:rPr>
        <w:t>“</w:t>
      </w:r>
      <w:r>
        <w:rPr>
          <w:rFonts w:ascii="宋体" w:hAnsi="宋体"/>
        </w:rPr>
        <w:t>全委办案</w:t>
      </w:r>
      <w:r>
        <w:rPr>
          <w:rFonts w:hint="eastAsia" w:ascii="宋体" w:hAnsi="宋体"/>
        </w:rPr>
        <w:t>”</w:t>
      </w:r>
      <w:r>
        <w:rPr>
          <w:rFonts w:ascii="宋体" w:hAnsi="宋体"/>
        </w:rPr>
        <w:t>工</w:t>
      </w:r>
      <w:r>
        <w:rPr>
          <w:rFonts w:hint="eastAsia" w:ascii="宋体" w:hAnsi="宋体"/>
        </w:rPr>
        <w:t>作机制，建立完善纪委常委、室主任分片包案制度、“案例点评”制度和基层“优秀案例”评选等一系列规章制度，增强纪检干部办案能力。此外，利用查办的典型案件编写警示教材，开展有针对性的警示教育。如</w:t>
      </w:r>
      <w:r>
        <w:rPr>
          <w:rFonts w:ascii="宋体" w:hAnsi="宋体"/>
        </w:rPr>
        <w:t>2007年编写的《斩断伸向青山的</w:t>
      </w:r>
      <w:r>
        <w:rPr>
          <w:rFonts w:hint="eastAsia" w:ascii="宋体" w:hAnsi="宋体"/>
        </w:rPr>
        <w:t>“</w:t>
      </w:r>
      <w:r>
        <w:rPr>
          <w:rFonts w:ascii="宋体" w:hAnsi="宋体"/>
        </w:rPr>
        <w:t>黑手</w:t>
      </w:r>
      <w:r>
        <w:rPr>
          <w:rFonts w:hint="eastAsia" w:ascii="宋体" w:hAnsi="宋体"/>
        </w:rPr>
        <w:t>”</w:t>
      </w:r>
      <w:r>
        <w:rPr>
          <w:rFonts w:ascii="宋体" w:hAnsi="宋体"/>
        </w:rPr>
        <w:t>》，2008年编写的《在</w:t>
      </w:r>
      <w:r>
        <w:rPr>
          <w:rFonts w:hint="eastAsia" w:ascii="宋体" w:hAnsi="宋体"/>
        </w:rPr>
        <w:t>“</w:t>
      </w:r>
      <w:r>
        <w:rPr>
          <w:rFonts w:ascii="宋体" w:hAnsi="宋体"/>
        </w:rPr>
        <w:t>四方城</w:t>
      </w:r>
      <w:r>
        <w:rPr>
          <w:rFonts w:hint="eastAsia" w:ascii="宋体" w:hAnsi="宋体"/>
        </w:rPr>
        <w:t>”</w:t>
      </w:r>
      <w:r>
        <w:rPr>
          <w:rFonts w:ascii="宋体" w:hAnsi="宋体"/>
        </w:rPr>
        <w:t>里迷失党性和</w:t>
      </w:r>
      <w:r>
        <w:rPr>
          <w:rFonts w:hint="eastAsia" w:ascii="宋体" w:hAnsi="宋体"/>
        </w:rPr>
        <w:t>职责》，</w:t>
      </w:r>
      <w:r>
        <w:rPr>
          <w:rFonts w:ascii="宋体" w:hAnsi="宋体"/>
        </w:rPr>
        <w:t>2009年编写的《粮补款不是</w:t>
      </w:r>
      <w:r>
        <w:rPr>
          <w:rFonts w:hint="eastAsia" w:ascii="宋体" w:hAnsi="宋体"/>
        </w:rPr>
        <w:t>“</w:t>
      </w:r>
      <w:r>
        <w:rPr>
          <w:rFonts w:ascii="宋体" w:hAnsi="宋体"/>
        </w:rPr>
        <w:t>唐僧</w:t>
      </w:r>
      <w:r>
        <w:rPr>
          <w:rFonts w:hint="eastAsia" w:ascii="宋体" w:hAnsi="宋体"/>
        </w:rPr>
        <w:t>肉”》，</w:t>
      </w:r>
      <w:r>
        <w:rPr>
          <w:rFonts w:ascii="宋体" w:hAnsi="宋体"/>
        </w:rPr>
        <w:t>2010年编写的《国土所长不是地主》、</w:t>
      </w:r>
      <w:r>
        <w:rPr>
          <w:rFonts w:hint="eastAsia" w:ascii="宋体" w:hAnsi="宋体"/>
        </w:rPr>
        <w:t>《不要被汽车下乡“撞倒”》、《公章岂能儿戏》、《莫为饭局砸饭碗》。</w:t>
      </w:r>
    </w:p>
    <w:p w14:paraId="0EEA527F">
      <w:pPr>
        <w:pStyle w:val="4"/>
      </w:pPr>
      <w:r>
        <w:rPr>
          <w:rFonts w:hint="eastAsia"/>
        </w:rPr>
        <w:t>【纪律教育工作】</w:t>
      </w:r>
    </w:p>
    <w:p w14:paraId="54A810DD">
      <w:pPr>
        <w:ind w:firstLine="420"/>
        <w:rPr>
          <w:rFonts w:ascii="宋体" w:hAnsi="宋体"/>
        </w:rPr>
      </w:pPr>
      <w:r>
        <w:rPr>
          <w:rFonts w:ascii="宋体" w:hAnsi="宋体"/>
        </w:rPr>
        <w:t>2010年，通过剖析查处</w:t>
      </w:r>
      <w:r>
        <w:rPr>
          <w:rFonts w:hint="eastAsia" w:ascii="宋体" w:hAnsi="宋体"/>
        </w:rPr>
        <w:t>的典型案例，分别在财政系统、政法系统、公务员队伍、党员领导干部和社会公众中开展以“加强制度教育，筑牢拒腐防线”为主题的纪律教育学习月活动；利用南雄市电视台、政府信息网、纪检监察网、《清廉》杂志、南雄廉政宣传专栏等宣传媒体，在全市掀起学习贯彻《廉政准则》热潮；强化宣传、以文载道，在国家级报刊发稿</w:t>
      </w:r>
      <w:r>
        <w:rPr>
          <w:rFonts w:ascii="宋体" w:hAnsi="宋体"/>
        </w:rPr>
        <w:t>21篇，其中在</w:t>
      </w:r>
      <w:r>
        <w:rPr>
          <w:rFonts w:hint="eastAsia" w:ascii="宋体" w:hAnsi="宋体"/>
        </w:rPr>
        <w:t>《中国纪检监察报》上稿</w:t>
      </w:r>
      <w:r>
        <w:rPr>
          <w:rFonts w:ascii="宋体" w:hAnsi="宋体"/>
        </w:rPr>
        <w:t>11篇，各类省报省</w:t>
      </w:r>
      <w:r>
        <w:rPr>
          <w:rFonts w:hint="eastAsia" w:ascii="宋体" w:hAnsi="宋体"/>
        </w:rPr>
        <w:t>刊发稿</w:t>
      </w:r>
      <w:r>
        <w:rPr>
          <w:rFonts w:ascii="宋体" w:hAnsi="宋体"/>
        </w:rPr>
        <w:t>31篇，韶关刊物发稿184篇。探索自</w:t>
      </w:r>
      <w:r>
        <w:rPr>
          <w:rFonts w:hint="eastAsia" w:ascii="宋体" w:hAnsi="宋体"/>
        </w:rPr>
        <w:t>律式教育。通过创作孝廉文化理论专著、开展“孝廉文化进校园、进农家”和“亲情助廉”等活动，以及举办“以孝促廉”巡回讲座等形式，把“孝道”引入廉政文化建设领域，激发干部廉洁奉公、勤政为民的自律内驱力。同时，设立“四维孝爱奖励金”，每两年评选十名“孝爱之星”，构筑“以孝促廉”长效机制。南雄“以孝促廉”的做法得到省纪委的充分肯定，并专门派出调研组来南雄调研指导，《中国纪检监察报》以《以孝促廉一南雄廉政文化建设的新视野》为题，用半个版面的篇幅刊载。</w:t>
      </w:r>
    </w:p>
    <w:p w14:paraId="0AB6E460">
      <w:pPr>
        <w:pStyle w:val="4"/>
      </w:pPr>
      <w:r>
        <w:rPr>
          <w:rFonts w:hint="eastAsia"/>
        </w:rPr>
        <w:t>【纪检监察队伍建设】</w:t>
      </w:r>
    </w:p>
    <w:p w14:paraId="0F626B7B">
      <w:pPr>
        <w:ind w:firstLine="420"/>
        <w:rPr>
          <w:rFonts w:ascii="宋体" w:hAnsi="宋体"/>
        </w:rPr>
      </w:pPr>
      <w:r>
        <w:rPr>
          <w:rFonts w:ascii="宋体" w:hAnsi="宋体"/>
        </w:rPr>
        <w:t>2006年争取到上级</w:t>
      </w:r>
      <w:r>
        <w:rPr>
          <w:rFonts w:hint="eastAsia" w:ascii="宋体" w:hAnsi="宋体"/>
        </w:rPr>
        <w:t>纪委</w:t>
      </w:r>
      <w:r>
        <w:rPr>
          <w:rFonts w:ascii="宋体" w:hAnsi="宋体"/>
        </w:rPr>
        <w:t>30多万元的支持，为乡镇纪委配置电</w:t>
      </w:r>
      <w:r>
        <w:rPr>
          <w:rFonts w:hint="eastAsia" w:ascii="宋体" w:hAnsi="宋体"/>
        </w:rPr>
        <w:t>脑、打印机、空调、沙发、办公桌椅、书柜等成套办公设备。于</w:t>
      </w:r>
      <w:r>
        <w:rPr>
          <w:rFonts w:ascii="宋体" w:hAnsi="宋体"/>
        </w:rPr>
        <w:t>2009年成功完成韶关市</w:t>
      </w:r>
      <w:r>
        <w:rPr>
          <w:rFonts w:hint="eastAsia" w:ascii="宋体" w:hAnsi="宋体"/>
        </w:rPr>
        <w:t>县级纪检监察派驻机构改革试点任务，将全市</w:t>
      </w:r>
      <w:r>
        <w:rPr>
          <w:rFonts w:ascii="宋体" w:hAnsi="宋体"/>
        </w:rPr>
        <w:t>18个镇（街道）和33个市直机关单位纳</w:t>
      </w:r>
      <w:r>
        <w:rPr>
          <w:rFonts w:hint="eastAsia" w:ascii="宋体" w:hAnsi="宋体"/>
        </w:rPr>
        <w:t>入收编派驻范围，设立十个派驻中心纪检监察组，进行分片、归口管理，人员编制增加到</w:t>
      </w:r>
      <w:r>
        <w:rPr>
          <w:rFonts w:ascii="宋体" w:hAnsi="宋体"/>
        </w:rPr>
        <w:t>114个。在全市纪检监察系统开展争创</w:t>
      </w:r>
      <w:r>
        <w:rPr>
          <w:rFonts w:hint="eastAsia" w:ascii="宋体" w:hAnsi="宋体"/>
        </w:rPr>
        <w:t>“做党的忠诚卫士，当群众贴心人”标兵活动。创新队伍管理，建立健全干部关怀机制，纪委主要领导每年亲笔书写生日贺词，为纪检监察干部送上生日祝福；与外地干部共度每个传统佳节，并向全体纪检监察干部致以节日公开慰问；开展“五必谈五慰问”，让干部安心工作，用心工作；每年举行干部及家属新春团拜会，给予待产陪产的干部弹性工作时间等。同时，严格内部管理，制定财务管理、严于律己、查办案件三个“三不准”（财务管理“三不准”，即中心纪检监察组不准设立账户，不准发一分钱，不准私自开支一分钱；严于律己“三不准”，即纪检监察干部不准打麻将，不准相互之间或接受单位宴请，不准到营业性的娱乐场所消费；查办案件“三不准”，即不准擅自泄露、扩散有关举报人的情况和举报材料的内容，不准私自向涉嫌违纪人员及其亲友透露有关案件情况，不准私自干预正在查处的案件），规范纪检监察干部的行为。</w:t>
      </w:r>
    </w:p>
    <w:p w14:paraId="1FAAD680">
      <w:pPr>
        <w:ind w:firstLine="420"/>
        <w:jc w:val="right"/>
        <w:rPr>
          <w:rFonts w:ascii="宋体" w:hAnsi="宋体"/>
        </w:rPr>
      </w:pPr>
      <w:r>
        <w:rPr>
          <w:rFonts w:hint="eastAsia" w:ascii="宋体" w:hAnsi="宋体"/>
        </w:rPr>
        <w:t>（谢金城）</w:t>
      </w:r>
    </w:p>
    <w:p w14:paraId="727187F1">
      <w:pPr>
        <w:ind w:firstLine="0" w:firstLineChars="0"/>
        <w:rPr>
          <w:rFonts w:ascii="宋体" w:hAnsi="宋体"/>
        </w:rPr>
      </w:pPr>
      <w:r>
        <w:rPr>
          <w:rFonts w:hint="eastAsia" w:ascii="宋体" w:hAnsi="宋体"/>
          <w:b/>
        </w:rPr>
        <w:t>附：</w:t>
      </w:r>
      <w:r>
        <w:rPr>
          <w:rFonts w:ascii="宋体" w:hAnsi="宋体"/>
          <w:b/>
        </w:rPr>
        <w:t>2010年市纪委（监察局）领导班子成员</w:t>
      </w:r>
      <w:r>
        <w:rPr>
          <w:rFonts w:hint="eastAsia" w:ascii="宋体" w:hAnsi="宋体"/>
          <w:b/>
        </w:rPr>
        <w:t>名单</w:t>
      </w:r>
    </w:p>
    <w:p w14:paraId="586C29C2">
      <w:pPr>
        <w:ind w:firstLine="0" w:firstLineChars="0"/>
        <w:rPr>
          <w:rFonts w:ascii="宋体" w:hAnsi="宋体"/>
        </w:rPr>
      </w:pPr>
      <w:r>
        <w:rPr>
          <w:rFonts w:hint="eastAsia" w:ascii="宋体" w:hAnsi="宋体"/>
        </w:rPr>
        <w:t>纪委书记：罗勇新</w:t>
      </w:r>
    </w:p>
    <w:p w14:paraId="136D2F10">
      <w:pPr>
        <w:ind w:firstLine="0" w:firstLineChars="0"/>
        <w:rPr>
          <w:rFonts w:ascii="宋体" w:hAnsi="宋体"/>
        </w:rPr>
      </w:pPr>
      <w:r>
        <w:rPr>
          <w:rFonts w:hint="eastAsia" w:ascii="宋体" w:hAnsi="宋体"/>
        </w:rPr>
        <w:t>纪委副书记：张达明  何文忠</w:t>
      </w:r>
    </w:p>
    <w:p w14:paraId="4987DBE4">
      <w:pPr>
        <w:ind w:firstLine="0" w:firstLineChars="0"/>
        <w:rPr>
          <w:rFonts w:ascii="宋体" w:hAnsi="宋体"/>
        </w:rPr>
      </w:pPr>
      <w:r>
        <w:rPr>
          <w:rFonts w:hint="eastAsia" w:ascii="宋体" w:hAnsi="宋体"/>
        </w:rPr>
        <w:t>纪委常委：钟流辉  陈健生  谢兆锋  曾  光</w:t>
      </w:r>
    </w:p>
    <w:p w14:paraId="001D0401">
      <w:pPr>
        <w:ind w:firstLine="0" w:firstLineChars="0"/>
        <w:rPr>
          <w:rFonts w:ascii="宋体" w:hAnsi="宋体"/>
        </w:rPr>
      </w:pPr>
      <w:r>
        <w:rPr>
          <w:rFonts w:hint="eastAsia" w:ascii="宋体" w:hAnsi="宋体"/>
        </w:rPr>
        <w:t>监察局局长：张达明（兼）</w:t>
      </w:r>
    </w:p>
    <w:p w14:paraId="1848CE27">
      <w:pPr>
        <w:ind w:firstLine="0" w:firstLineChars="0"/>
        <w:rPr>
          <w:rFonts w:ascii="宋体" w:hAnsi="宋体"/>
        </w:rPr>
      </w:pPr>
      <w:r>
        <w:rPr>
          <w:rFonts w:hint="eastAsia" w:ascii="宋体" w:hAnsi="宋体"/>
        </w:rPr>
        <w:t>监察局副局长：邱荣胜  李见宏</w:t>
      </w:r>
    </w:p>
    <w:p w14:paraId="1D4DF94F">
      <w:pPr>
        <w:pStyle w:val="2"/>
      </w:pPr>
      <w:r>
        <w:rPr>
          <w:rFonts w:hint="eastAsia"/>
        </w:rPr>
        <w:t>民主党派工商联</w:t>
      </w:r>
    </w:p>
    <w:p w14:paraId="19F833CE">
      <w:pPr>
        <w:pStyle w:val="3"/>
      </w:pPr>
      <w:r>
        <w:rPr>
          <w:rFonts w:hint="eastAsia"/>
        </w:rPr>
        <w:t>民盟南雄总支部</w:t>
      </w:r>
    </w:p>
    <w:p w14:paraId="102D3C97">
      <w:pPr>
        <w:pStyle w:val="4"/>
      </w:pPr>
      <w:r>
        <w:rPr>
          <w:rFonts w:hint="eastAsia"/>
        </w:rPr>
        <w:t>【概况】</w:t>
      </w:r>
    </w:p>
    <w:p w14:paraId="64C03A09">
      <w:pPr>
        <w:ind w:firstLine="420"/>
        <w:rPr>
          <w:rFonts w:ascii="宋体" w:hAnsi="宋体"/>
        </w:rPr>
      </w:pPr>
      <w:r>
        <w:rPr>
          <w:rFonts w:hint="eastAsia" w:ascii="宋体" w:hAnsi="宋体"/>
        </w:rPr>
        <w:t>“民盟”是中国民主同盟的简称。民盟是中国共产党领导的爱国统一战线的组成部分，是同中国共产党通力合作的参政党，是主要由从事文化教育以及科学技术工作的高、中级知识分子组成的，具有政治联盟特点的，致力于建设</w:t>
      </w:r>
      <w:r>
        <w:rPr>
          <w:rFonts w:hint="eastAsia" w:ascii="宋体" w:hAnsi="宋体"/>
          <w:lang w:val="en-US" w:eastAsia="zh-CN"/>
        </w:rPr>
        <w:t>有</w:t>
      </w:r>
      <w:r>
        <w:rPr>
          <w:rFonts w:hint="eastAsia" w:ascii="宋体" w:hAnsi="宋体"/>
        </w:rPr>
        <w:t>中国特色</w:t>
      </w:r>
      <w:r>
        <w:rPr>
          <w:rFonts w:hint="eastAsia" w:ascii="宋体" w:hAnsi="宋体"/>
          <w:lang w:val="en-US" w:eastAsia="zh-CN"/>
        </w:rPr>
        <w:t>的</w:t>
      </w:r>
      <w:r>
        <w:rPr>
          <w:rFonts w:hint="eastAsia" w:ascii="宋体" w:hAnsi="宋体"/>
        </w:rPr>
        <w:t>社会主义事业的参政党。民盟南雄组织成立于上世纪</w:t>
      </w:r>
      <w:r>
        <w:rPr>
          <w:rFonts w:ascii="宋体" w:hAnsi="宋体"/>
        </w:rPr>
        <w:t>80年</w:t>
      </w:r>
      <w:r>
        <w:rPr>
          <w:rFonts w:hint="eastAsia" w:ascii="宋体" w:hAnsi="宋体"/>
        </w:rPr>
        <w:t>代，经过二十多年的发展，现有盟员</w:t>
      </w:r>
      <w:r>
        <w:rPr>
          <w:rFonts w:ascii="宋体" w:hAnsi="宋体"/>
        </w:rPr>
        <w:t>46人，</w:t>
      </w:r>
      <w:r>
        <w:rPr>
          <w:rFonts w:hint="eastAsia" w:ascii="宋体" w:hAnsi="宋体"/>
        </w:rPr>
        <w:t>所属界别有教育、卫生、工商、环保、建筑、旅游等。</w:t>
      </w:r>
      <w:r>
        <w:rPr>
          <w:rFonts w:ascii="宋体" w:hAnsi="宋体"/>
        </w:rPr>
        <w:t>1987年5月，民盟南雄小组成立，</w:t>
      </w:r>
      <w:r>
        <w:rPr>
          <w:rFonts w:hint="eastAsia" w:ascii="宋体" w:hAnsi="宋体"/>
        </w:rPr>
        <w:t>盟员</w:t>
      </w:r>
      <w:r>
        <w:rPr>
          <w:rFonts w:ascii="宋体" w:hAnsi="宋体"/>
        </w:rPr>
        <w:t>4人。2010年11月，召开民盟南雄总支</w:t>
      </w:r>
      <w:r>
        <w:rPr>
          <w:rFonts w:hint="eastAsia" w:ascii="宋体" w:hAnsi="宋体"/>
        </w:rPr>
        <w:t>部第六次全体会议，选举产生了第六届总支委员：主委赖华焜，副主委莫绵润、陈盛荣，委员刘章山、曹春梅、陈川荣、陈卫星、胡图山、尹刚。总支下设三个支部：南雄中学支部，主委胡图山；南雄一中支部，主委陈川荣；联合支部，主委尹刚。</w:t>
      </w:r>
    </w:p>
    <w:p w14:paraId="31CF199F">
      <w:pPr>
        <w:pStyle w:val="4"/>
      </w:pPr>
      <w:r>
        <w:rPr>
          <w:rFonts w:hint="eastAsia"/>
        </w:rPr>
        <w:t>【主要活动】</w:t>
      </w:r>
    </w:p>
    <w:p w14:paraId="1F21236D">
      <w:pPr>
        <w:ind w:firstLine="420"/>
        <w:rPr>
          <w:rFonts w:ascii="宋体" w:hAnsi="宋体"/>
        </w:rPr>
      </w:pPr>
      <w:r>
        <w:rPr>
          <w:rFonts w:ascii="宋体" w:hAnsi="宋体"/>
        </w:rPr>
        <w:t>2</w:t>
      </w:r>
      <w:r>
        <w:rPr>
          <w:rFonts w:hint="eastAsia" w:ascii="宋体" w:hAnsi="宋体"/>
        </w:rPr>
        <w:t>0</w:t>
      </w:r>
      <w:r>
        <w:rPr>
          <w:rFonts w:ascii="宋体" w:hAnsi="宋体"/>
        </w:rPr>
        <w:t>04年11月赖华焜主委参加在</w:t>
      </w:r>
      <w:r>
        <w:rPr>
          <w:rFonts w:hint="eastAsia" w:ascii="宋体" w:hAnsi="宋体"/>
        </w:rPr>
        <w:t>广州召开的“民盟全国部分省市基础教育研讨会”，并在会上作了题为《农村义务教育投入体制和保障机制的探讨》发言。同年</w:t>
      </w:r>
      <w:r>
        <w:rPr>
          <w:rFonts w:ascii="宋体" w:hAnsi="宋体"/>
        </w:rPr>
        <w:t>12月，该文</w:t>
      </w:r>
      <w:r>
        <w:rPr>
          <w:rFonts w:hint="eastAsia" w:ascii="宋体" w:hAnsi="宋体"/>
        </w:rPr>
        <w:t>在教育部主办的《基础教育参考》杂志上发表。</w:t>
      </w:r>
      <w:r>
        <w:rPr>
          <w:rFonts w:ascii="宋体" w:hAnsi="宋体"/>
        </w:rPr>
        <w:t>2005年3月，赖华焜主委受民盟广东省委委托，</w:t>
      </w:r>
      <w:r>
        <w:rPr>
          <w:rFonts w:hint="eastAsia" w:ascii="宋体" w:hAnsi="宋体"/>
        </w:rPr>
        <w:t>撰写的《关于建立和规范广东省义务教育财政转移支付制度的建议》提案被省政协会议采纳。</w:t>
      </w:r>
      <w:r>
        <w:rPr>
          <w:rFonts w:ascii="宋体" w:hAnsi="宋体"/>
        </w:rPr>
        <w:t>2007年1月12日全体总支委员参加民盟韶关市</w:t>
      </w:r>
      <w:r>
        <w:rPr>
          <w:rFonts w:hint="eastAsia" w:ascii="宋体" w:hAnsi="宋体"/>
        </w:rPr>
        <w:t>委</w:t>
      </w:r>
      <w:r>
        <w:rPr>
          <w:rFonts w:ascii="宋体" w:hAnsi="宋体"/>
        </w:rPr>
        <w:t>2006年工作总结大会暨表彰大会，胡图山被</w:t>
      </w:r>
      <w:r>
        <w:rPr>
          <w:rFonts w:hint="eastAsia" w:ascii="宋体" w:hAnsi="宋体"/>
        </w:rPr>
        <w:t>民盟韶关市委评为优秀盟员，南雄总支评为优秀基层组织。</w:t>
      </w:r>
      <w:r>
        <w:rPr>
          <w:rFonts w:ascii="宋体" w:hAnsi="宋体"/>
        </w:rPr>
        <w:t>2007年11月17日至18日主委赖华</w:t>
      </w:r>
      <w:r>
        <w:rPr>
          <w:rFonts w:hint="eastAsia" w:ascii="宋体" w:hAnsi="宋体"/>
        </w:rPr>
        <w:t>焜参加民盟韶关市委组织的</w:t>
      </w:r>
      <w:r>
        <w:rPr>
          <w:rFonts w:hint="eastAsia" w:ascii="宋体" w:hAnsi="宋体"/>
          <w:lang w:val="en-US" w:eastAsia="zh-CN"/>
        </w:rPr>
        <w:t>党的</w:t>
      </w:r>
      <w:r>
        <w:rPr>
          <w:rFonts w:hint="eastAsia" w:ascii="宋体" w:hAnsi="宋体"/>
        </w:rPr>
        <w:t>十七大专题学习，并作了发言。</w:t>
      </w:r>
      <w:r>
        <w:rPr>
          <w:rFonts w:ascii="宋体" w:hAnsi="宋体"/>
        </w:rPr>
        <w:t>2007年11月17日至18日主委赖华</w:t>
      </w:r>
      <w:r>
        <w:rPr>
          <w:rFonts w:hint="eastAsia" w:ascii="宋体" w:hAnsi="宋体"/>
        </w:rPr>
        <w:t>焜和陈川荣参加了民盟韶关市委在乳源召开的参政议政研讨会，两人分别代表组织和个人作了大会发言。</w:t>
      </w:r>
      <w:r>
        <w:rPr>
          <w:rFonts w:ascii="宋体" w:hAnsi="宋体"/>
        </w:rPr>
        <w:t>2008年9月，赖华焜主委、刘章山副主</w:t>
      </w:r>
      <w:r>
        <w:rPr>
          <w:rFonts w:hint="eastAsia" w:ascii="宋体" w:hAnsi="宋体"/>
        </w:rPr>
        <w:t>委陪同民盟广东省委教育委、青年委的通知前往南雄市教育局、黄坑中心小学、油山中学进行调研，获得了有关“农村贫困地区实施免费义务教育政策后所面临的问题”这一课题所需的重要材料。</w:t>
      </w:r>
      <w:r>
        <w:rPr>
          <w:rFonts w:ascii="宋体" w:hAnsi="宋体"/>
        </w:rPr>
        <w:t>2008年11月组织全体盟员传达和认真</w:t>
      </w:r>
      <w:r>
        <w:rPr>
          <w:rFonts w:hint="eastAsia" w:ascii="宋体" w:hAnsi="宋体"/>
        </w:rPr>
        <w:t>学习十七届三中全会精神。</w:t>
      </w:r>
      <w:r>
        <w:rPr>
          <w:rFonts w:ascii="宋体" w:hAnsi="宋体"/>
        </w:rPr>
        <w:t>2010年4月27日总</w:t>
      </w:r>
      <w:r>
        <w:rPr>
          <w:rFonts w:hint="eastAsia" w:ascii="宋体" w:hAnsi="宋体"/>
        </w:rPr>
        <w:t>支主委赖华焜、副主委刘章山、莫绵润，支委委员陈川荣参加了广东省统一战线基地南雄珠玑巷挂牌仪式，民盟韶关市委主委、专职副主委到会。</w:t>
      </w:r>
    </w:p>
    <w:p w14:paraId="13BC4995">
      <w:pPr>
        <w:pStyle w:val="4"/>
      </w:pPr>
      <w:r>
        <w:rPr>
          <w:rFonts w:hint="eastAsia"/>
        </w:rPr>
        <w:t>【参政议政】</w:t>
      </w:r>
    </w:p>
    <w:p w14:paraId="176838B5">
      <w:pPr>
        <w:ind w:firstLine="420"/>
        <w:rPr>
          <w:rFonts w:ascii="宋体" w:hAnsi="宋体"/>
        </w:rPr>
      </w:pPr>
      <w:r>
        <w:rPr>
          <w:rFonts w:ascii="宋体" w:hAnsi="宋体"/>
        </w:rPr>
        <w:t>2010年南雄市第八届第五次</w:t>
      </w:r>
      <w:r>
        <w:rPr>
          <w:rFonts w:hint="eastAsia" w:ascii="宋体" w:hAnsi="宋体"/>
        </w:rPr>
        <w:t>会议政协委员提案：</w:t>
      </w:r>
      <w:r>
        <w:rPr>
          <w:rFonts w:ascii="宋体" w:hAnsi="宋体"/>
        </w:rPr>
        <w:t>1、关于</w:t>
      </w:r>
      <w:r>
        <w:rPr>
          <w:rFonts w:hint="eastAsia" w:ascii="宋体" w:hAnsi="宋体"/>
        </w:rPr>
        <w:t>“</w:t>
      </w:r>
      <w:r>
        <w:rPr>
          <w:rFonts w:ascii="宋体" w:hAnsi="宋体"/>
        </w:rPr>
        <w:t>进一步加强网</w:t>
      </w:r>
      <w:r>
        <w:rPr>
          <w:rFonts w:hint="eastAsia" w:ascii="宋体" w:hAnsi="宋体"/>
        </w:rPr>
        <w:t>吧管理，为青少年成长提供一个良好的社会环境”的建议；</w:t>
      </w:r>
      <w:r>
        <w:rPr>
          <w:rFonts w:ascii="宋体" w:hAnsi="宋体"/>
        </w:rPr>
        <w:t>2、关于</w:t>
      </w:r>
      <w:r>
        <w:rPr>
          <w:rFonts w:hint="eastAsia" w:ascii="宋体" w:hAnsi="宋体"/>
        </w:rPr>
        <w:t>“</w:t>
      </w:r>
      <w:r>
        <w:rPr>
          <w:rFonts w:ascii="宋体" w:hAnsi="宋体"/>
        </w:rPr>
        <w:t>加强物价监控服务</w:t>
      </w:r>
      <w:r>
        <w:rPr>
          <w:rFonts w:hint="eastAsia" w:ascii="宋体" w:hAnsi="宋体"/>
        </w:rPr>
        <w:t>和谐南雄建设”的建议。</w:t>
      </w:r>
    </w:p>
    <w:p w14:paraId="3B335F59">
      <w:pPr>
        <w:pStyle w:val="4"/>
      </w:pPr>
      <w:r>
        <w:rPr>
          <w:rFonts w:hint="eastAsia"/>
        </w:rPr>
        <w:t>【社会服务】</w:t>
      </w:r>
    </w:p>
    <w:p w14:paraId="34AE659F">
      <w:pPr>
        <w:ind w:firstLine="420"/>
        <w:rPr>
          <w:rFonts w:ascii="宋体" w:hAnsi="宋体"/>
        </w:rPr>
      </w:pPr>
      <w:r>
        <w:rPr>
          <w:rFonts w:ascii="宋体" w:hAnsi="宋体"/>
        </w:rPr>
        <w:t>2008年为汶川大地震积极捐</w:t>
      </w:r>
      <w:r>
        <w:rPr>
          <w:rFonts w:hint="eastAsia" w:ascii="宋体" w:hAnsi="宋体"/>
        </w:rPr>
        <w:t>款献爱心，盟内组织捐款人民币</w:t>
      </w:r>
      <w:r>
        <w:rPr>
          <w:rFonts w:ascii="宋体" w:hAnsi="宋体"/>
        </w:rPr>
        <w:t>4000元，盟</w:t>
      </w:r>
      <w:r>
        <w:rPr>
          <w:rFonts w:hint="eastAsia" w:ascii="宋体" w:hAnsi="宋体"/>
        </w:rPr>
        <w:t>员累计共捐款</w:t>
      </w:r>
      <w:r>
        <w:rPr>
          <w:rFonts w:ascii="宋体" w:hAnsi="宋体"/>
        </w:rPr>
        <w:t>7000多元。2010年4月民盟南</w:t>
      </w:r>
      <w:r>
        <w:rPr>
          <w:rFonts w:hint="eastAsia" w:ascii="宋体" w:hAnsi="宋体"/>
        </w:rPr>
        <w:t>雄总支部开展了扶贫、玉树地震捐款活动。</w:t>
      </w:r>
    </w:p>
    <w:p w14:paraId="4DF2F5DB">
      <w:pPr>
        <w:ind w:firstLine="420"/>
        <w:jc w:val="right"/>
        <w:rPr>
          <w:rFonts w:ascii="宋体" w:hAnsi="宋体"/>
        </w:rPr>
      </w:pPr>
      <w:r>
        <w:rPr>
          <w:rFonts w:hint="eastAsia" w:ascii="宋体" w:hAnsi="宋体"/>
        </w:rPr>
        <w:t>（董祖明  华春君）</w:t>
      </w:r>
    </w:p>
    <w:p w14:paraId="395C4175">
      <w:pPr>
        <w:pStyle w:val="3"/>
      </w:pPr>
      <w:r>
        <w:rPr>
          <w:rFonts w:hint="eastAsia"/>
        </w:rPr>
        <w:t>民革南雄市支部</w:t>
      </w:r>
    </w:p>
    <w:p w14:paraId="256B8600">
      <w:pPr>
        <w:pStyle w:val="4"/>
      </w:pPr>
      <w:r>
        <w:rPr>
          <w:rFonts w:hint="eastAsia"/>
        </w:rPr>
        <w:t>【概况】</w:t>
      </w:r>
    </w:p>
    <w:p w14:paraId="31157CFA">
      <w:pPr>
        <w:ind w:firstLine="420"/>
        <w:rPr>
          <w:rFonts w:ascii="宋体" w:hAnsi="宋体"/>
        </w:rPr>
      </w:pPr>
      <w:r>
        <w:rPr>
          <w:rFonts w:ascii="宋体" w:hAnsi="宋体"/>
        </w:rPr>
        <w:t>1990年5月，民革南雄县小组成</w:t>
      </w:r>
      <w:r>
        <w:rPr>
          <w:rFonts w:hint="eastAsia" w:ascii="宋体" w:hAnsi="宋体"/>
        </w:rPr>
        <w:t>立。</w:t>
      </w:r>
      <w:r>
        <w:rPr>
          <w:rFonts w:ascii="宋体" w:hAnsi="宋体"/>
        </w:rPr>
        <w:t>2010年11月26日民革南雄市支部选举</w:t>
      </w:r>
      <w:r>
        <w:rPr>
          <w:rFonts w:hint="eastAsia" w:ascii="宋体" w:hAnsi="宋体"/>
        </w:rPr>
        <w:t>产生了第八届委员会，主任委员刘卫忠，副主任委员谭小山、朱兆清，组织委员刘文胜，宣传委员胡金明，参政议政委员郭慧敏，有成员</w:t>
      </w:r>
      <w:r>
        <w:rPr>
          <w:rFonts w:ascii="宋体" w:hAnsi="宋体"/>
        </w:rPr>
        <w:t>37人。</w:t>
      </w:r>
    </w:p>
    <w:p w14:paraId="4BCE1B98">
      <w:pPr>
        <w:pStyle w:val="4"/>
      </w:pPr>
      <w:r>
        <w:rPr>
          <w:rFonts w:hint="eastAsia"/>
        </w:rPr>
        <w:t>【思想建设】</w:t>
      </w:r>
    </w:p>
    <w:p w14:paraId="0350EADB">
      <w:pPr>
        <w:ind w:firstLine="420"/>
        <w:rPr>
          <w:rFonts w:ascii="宋体" w:hAnsi="宋体"/>
        </w:rPr>
      </w:pPr>
      <w:r>
        <w:rPr>
          <w:rFonts w:hint="eastAsia" w:ascii="宋体" w:hAnsi="宋体"/>
        </w:rPr>
        <w:t>民革组织建立后，十分重视政治学习，组织党员每月集中一次，学习中共的各项方针政策和时事政治，学习民革党史、党章、多党合作优良传统等，理论联系实际，帮助党员正确认识形势，明确方向，坚决接受中国共产党领导，坚定不移地走社会主义道路。组织新党员参加民革韶关市委举办的新党员学习班，学习新时期统一战线理论、政策和民革的党史、章程，使新党员对民革的革命历史加深了解，增强作为民革党员的光荣感和责任感。组织党员外出参观学习，接受爱国主义教育，为鼓励党员爱岗敬业，努力提高专业技术水平和参政议政能力，支部每年将对本职工作成绩突出，参政议政优秀的党员，给予精神和物质奖励，从而达到内强素质，外树形象的目的，党员见形成互相鼓励，积极向上的良好风气，支部连续四年被民革韶关市委评为先进支部。</w:t>
      </w:r>
    </w:p>
    <w:p w14:paraId="3FB3A393">
      <w:pPr>
        <w:pStyle w:val="4"/>
      </w:pPr>
      <w:r>
        <w:rPr>
          <w:rFonts w:hint="eastAsia"/>
        </w:rPr>
        <w:t>【参政议政】</w:t>
      </w:r>
    </w:p>
    <w:p w14:paraId="3D73D365">
      <w:pPr>
        <w:ind w:firstLine="420"/>
        <w:rPr>
          <w:rFonts w:ascii="宋体" w:hAnsi="宋体"/>
        </w:rPr>
      </w:pPr>
      <w:r>
        <w:rPr>
          <w:rFonts w:hint="eastAsia" w:ascii="宋体" w:hAnsi="宋体"/>
        </w:rPr>
        <w:t>民革南雄市支部第七届支委会支部党员政治安排有韶关市人大代表</w:t>
      </w:r>
      <w:r>
        <w:rPr>
          <w:rFonts w:ascii="宋体" w:hAnsi="宋体"/>
        </w:rPr>
        <w:t>2名，</w:t>
      </w:r>
      <w:r>
        <w:rPr>
          <w:rFonts w:hint="eastAsia" w:ascii="宋体" w:hAnsi="宋体"/>
        </w:rPr>
        <w:t>韶关市政协委员</w:t>
      </w:r>
      <w:r>
        <w:rPr>
          <w:rFonts w:ascii="宋体" w:hAnsi="宋体"/>
        </w:rPr>
        <w:t>1名，任南雄市政府副市长</w:t>
      </w:r>
      <w:r>
        <w:rPr>
          <w:rFonts w:hint="eastAsia" w:ascii="宋体" w:hAnsi="宋体"/>
        </w:rPr>
        <w:t>实职</w:t>
      </w:r>
      <w:r>
        <w:rPr>
          <w:rFonts w:ascii="宋体" w:hAnsi="宋体"/>
        </w:rPr>
        <w:t>1名，南雄人大常委1名，政协委员3</w:t>
      </w:r>
      <w:r>
        <w:rPr>
          <w:rFonts w:hint="eastAsia" w:ascii="宋体" w:hAnsi="宋体"/>
        </w:rPr>
        <w:t>名，其中副主席</w:t>
      </w:r>
      <w:r>
        <w:rPr>
          <w:rFonts w:ascii="宋体" w:hAnsi="宋体"/>
        </w:rPr>
        <w:t>1名，有市特约监察员、检</w:t>
      </w:r>
      <w:r>
        <w:rPr>
          <w:rFonts w:hint="eastAsia" w:ascii="宋体" w:hAnsi="宋体"/>
        </w:rPr>
        <w:t>察员、审计员和教育督导员</w:t>
      </w:r>
      <w:r>
        <w:rPr>
          <w:rFonts w:ascii="宋体" w:hAnsi="宋体"/>
        </w:rPr>
        <w:t>3名。有关人员</w:t>
      </w:r>
      <w:r>
        <w:rPr>
          <w:rFonts w:hint="eastAsia" w:ascii="宋体" w:hAnsi="宋体"/>
        </w:rPr>
        <w:t>在人大、政协活动中积极发挥参政议政、民主监督作用。支部成员围绕南雄市的中心工作和群众普遍关注的热点问题，深入农村、学校、企业等地进行调研，了解和反映民情，向人大、政协提交议案、提案。</w:t>
      </w:r>
      <w:r>
        <w:rPr>
          <w:rFonts w:ascii="宋体" w:hAnsi="宋体"/>
        </w:rPr>
        <w:t>2010年提交</w:t>
      </w:r>
      <w:r>
        <w:rPr>
          <w:rFonts w:hint="eastAsia" w:ascii="宋体" w:hAnsi="宋体"/>
        </w:rPr>
        <w:t>的</w:t>
      </w:r>
      <w:r>
        <w:rPr>
          <w:rFonts w:ascii="宋体" w:hAnsi="宋体"/>
        </w:rPr>
        <w:t>8件提案，全部予以立案，其中《关于加</w:t>
      </w:r>
      <w:r>
        <w:rPr>
          <w:rFonts w:hint="eastAsia" w:ascii="宋体" w:hAnsi="宋体"/>
        </w:rPr>
        <w:t>强农村宅基地和住房建设规划管理的建议》确立为重点提案。</w:t>
      </w:r>
    </w:p>
    <w:p w14:paraId="70272946">
      <w:pPr>
        <w:pStyle w:val="4"/>
      </w:pPr>
      <w:r>
        <w:rPr>
          <w:rFonts w:hint="eastAsia"/>
        </w:rPr>
        <w:t>【社会服务】</w:t>
      </w:r>
    </w:p>
    <w:p w14:paraId="6704C0B0">
      <w:pPr>
        <w:ind w:firstLine="420"/>
        <w:rPr>
          <w:rFonts w:ascii="宋体" w:hAnsi="宋体"/>
        </w:rPr>
      </w:pPr>
      <w:r>
        <w:rPr>
          <w:rFonts w:hint="eastAsia" w:ascii="宋体" w:hAnsi="宋体"/>
        </w:rPr>
        <w:t>民革南雄支部党员立足本职，敬业爱岗，积极服务社会，乐于奉献。许多党员得到所在单位和社会的好评。热心为社会捐助。</w:t>
      </w:r>
      <w:r>
        <w:rPr>
          <w:rFonts w:ascii="宋体" w:hAnsi="宋体"/>
        </w:rPr>
        <w:t>2010年为落实打好</w:t>
      </w:r>
      <w:r>
        <w:rPr>
          <w:rFonts w:hint="eastAsia" w:ascii="宋体" w:hAnsi="宋体"/>
        </w:rPr>
        <w:t>“</w:t>
      </w:r>
      <w:r>
        <w:rPr>
          <w:rFonts w:ascii="宋体" w:hAnsi="宋体"/>
        </w:rPr>
        <w:t>三场硬仗</w:t>
      </w:r>
      <w:r>
        <w:rPr>
          <w:rFonts w:hint="eastAsia" w:ascii="宋体" w:hAnsi="宋体"/>
        </w:rPr>
        <w:t>”</w:t>
      </w:r>
      <w:r>
        <w:rPr>
          <w:rFonts w:ascii="宋体" w:hAnsi="宋体"/>
        </w:rPr>
        <w:t>，</w:t>
      </w:r>
      <w:r>
        <w:rPr>
          <w:rFonts w:hint="eastAsia" w:ascii="宋体" w:hAnsi="宋体"/>
        </w:rPr>
        <w:t>切实推进扶贫双刀工作，支委及党员进一步加强帮扶贫困户的对接联系，身体力行帮助和引导他们根据自身实际，宜工则工，宜种则种，宜养则养、大力发展生产，多渠道增加收入，变被动脱贫为主动脱贫。</w:t>
      </w:r>
    </w:p>
    <w:p w14:paraId="7178CF06">
      <w:pPr>
        <w:ind w:firstLine="420"/>
        <w:jc w:val="right"/>
        <w:rPr>
          <w:rFonts w:ascii="宋体" w:hAnsi="宋体"/>
        </w:rPr>
      </w:pPr>
      <w:r>
        <w:rPr>
          <w:rFonts w:hint="eastAsia" w:ascii="宋体" w:hAnsi="宋体"/>
        </w:rPr>
        <w:t>（董祖明  华春君）</w:t>
      </w:r>
    </w:p>
    <w:p w14:paraId="46AF3494">
      <w:pPr>
        <w:pStyle w:val="3"/>
      </w:pPr>
      <w:r>
        <w:rPr>
          <w:rFonts w:hint="eastAsia"/>
        </w:rPr>
        <w:t>九三学社南雄小组</w:t>
      </w:r>
    </w:p>
    <w:p w14:paraId="1827EEB9">
      <w:pPr>
        <w:pStyle w:val="4"/>
      </w:pPr>
      <w:r>
        <w:rPr>
          <w:rFonts w:hint="eastAsia"/>
        </w:rPr>
        <w:t>【概况】</w:t>
      </w:r>
    </w:p>
    <w:p w14:paraId="56EF6DAD">
      <w:pPr>
        <w:ind w:firstLine="420"/>
        <w:rPr>
          <w:rFonts w:ascii="宋体" w:hAnsi="宋体"/>
        </w:rPr>
      </w:pPr>
      <w:r>
        <w:rPr>
          <w:rFonts w:hint="eastAsia" w:ascii="宋体" w:hAnsi="宋体"/>
        </w:rPr>
        <w:t>九三学社韶关市委员会南雄直属小组，成立于</w:t>
      </w:r>
      <w:r>
        <w:rPr>
          <w:rFonts w:ascii="宋体" w:hAnsi="宋体"/>
        </w:rPr>
        <w:t>2008年5月，成员7人，其中，</w:t>
      </w:r>
      <w:r>
        <w:rPr>
          <w:rFonts w:hint="eastAsia" w:ascii="宋体" w:hAnsi="宋体"/>
        </w:rPr>
        <w:t>何旗明、陈优为副组长。</w:t>
      </w:r>
      <w:r>
        <w:rPr>
          <w:rFonts w:ascii="宋体" w:hAnsi="宋体"/>
        </w:rPr>
        <w:t>2010年10月，南雄</w:t>
      </w:r>
      <w:r>
        <w:rPr>
          <w:rFonts w:hint="eastAsia" w:ascii="宋体" w:hAnsi="宋体"/>
        </w:rPr>
        <w:t>小组共有社员</w:t>
      </w:r>
      <w:r>
        <w:rPr>
          <w:rFonts w:ascii="宋体" w:hAnsi="宋体"/>
        </w:rPr>
        <w:t>8人。2010年10月，经社员选</w:t>
      </w:r>
      <w:r>
        <w:rPr>
          <w:rFonts w:hint="eastAsia" w:ascii="宋体" w:hAnsi="宋体"/>
        </w:rPr>
        <w:t>举，何旗明任组长，陈优任副组长。</w:t>
      </w:r>
    </w:p>
    <w:p w14:paraId="73786A7F">
      <w:pPr>
        <w:pStyle w:val="4"/>
      </w:pPr>
      <w:r>
        <w:rPr>
          <w:rFonts w:hint="eastAsia"/>
        </w:rPr>
        <w:t>【思想建设】</w:t>
      </w:r>
    </w:p>
    <w:p w14:paraId="7626C700">
      <w:pPr>
        <w:ind w:firstLine="420"/>
        <w:rPr>
          <w:rFonts w:ascii="宋体" w:hAnsi="宋体"/>
        </w:rPr>
      </w:pPr>
      <w:r>
        <w:rPr>
          <w:rFonts w:hint="eastAsia" w:ascii="宋体" w:hAnsi="宋体"/>
        </w:rPr>
        <w:t>南雄直属小组注重抓好社员理论学习，坚持以理论学习武装头脑，坚定立场，明确方向。根据直属小组都是新社员这一特点，有针对性地把学习重点放在社章社史、社的光荣传统和两个五号文件学习上。同时。结合形势组织学习中共</w:t>
      </w:r>
      <w:r>
        <w:rPr>
          <w:rFonts w:hint="eastAsia" w:ascii="宋体" w:hAnsi="宋体"/>
          <w:lang w:eastAsia="zh-CN"/>
        </w:rPr>
        <w:t>十七大精神</w:t>
      </w:r>
      <w:r>
        <w:rPr>
          <w:rFonts w:hint="eastAsia" w:ascii="宋体" w:hAnsi="宋体"/>
        </w:rPr>
        <w:t>。积极参与社市委组织开展的“政治交接”、“学习和实践科学发展观”、“三促进一保持”等系列主题学习活动。</w:t>
      </w:r>
    </w:p>
    <w:p w14:paraId="5A98AF6D">
      <w:pPr>
        <w:pStyle w:val="4"/>
      </w:pPr>
      <w:r>
        <w:rPr>
          <w:rFonts w:hint="eastAsia"/>
        </w:rPr>
        <w:t>【参政议政】</w:t>
      </w:r>
    </w:p>
    <w:p w14:paraId="003DE5CF">
      <w:pPr>
        <w:ind w:firstLine="420"/>
        <w:rPr>
          <w:rFonts w:ascii="宋体" w:hAnsi="宋体"/>
        </w:rPr>
      </w:pPr>
      <w:r>
        <w:rPr>
          <w:rFonts w:hint="eastAsia" w:ascii="宋体" w:hAnsi="宋体"/>
        </w:rPr>
        <w:t>南雄直属小组积极组织和支持社员参与政治协商，民主监督，参政议政的各项活动，为促进南雄经济发展和社会进步建言献策。何旗明、陈优两位社员担任了南雄市政协委员，一年来，两位社员分别完成了《关于设立市长热线电话》、《提高市民素质、创建文明城市》、《关于妥善处理医疗垃圾》、《关于加强中小学生普法教育》等提案，并得到了有关部门的重视。</w:t>
      </w:r>
    </w:p>
    <w:p w14:paraId="69E693E2">
      <w:pPr>
        <w:pStyle w:val="4"/>
      </w:pPr>
      <w:r>
        <w:rPr>
          <w:rFonts w:hint="eastAsia"/>
        </w:rPr>
        <w:t>【社会服务】</w:t>
      </w:r>
    </w:p>
    <w:p w14:paraId="283C8E26">
      <w:pPr>
        <w:ind w:firstLine="420"/>
        <w:rPr>
          <w:rFonts w:ascii="宋体" w:hAnsi="宋体"/>
        </w:rPr>
      </w:pPr>
      <w:r>
        <w:rPr>
          <w:rFonts w:hint="eastAsia" w:ascii="宋体" w:hAnsi="宋体"/>
        </w:rPr>
        <w:t>南雄直属小组坚持发挥优势，尽力而为，注重实效的工作思路，充分利用社员专业特点，积极开展社会服务工作，热心为群众办实事，做好事。社员多次参加贫困农村义诊义治活动，慰问孤寡老人，为敬老院捐钱送物，陈优社员积极参加社会慈善事业，先后为南雄慈善基金捐款</w:t>
      </w:r>
      <w:r>
        <w:rPr>
          <w:rFonts w:ascii="宋体" w:hAnsi="宋体"/>
        </w:rPr>
        <w:t>1万多元人</w:t>
      </w:r>
      <w:r>
        <w:rPr>
          <w:rFonts w:hint="eastAsia" w:ascii="宋体" w:hAnsi="宋体"/>
        </w:rPr>
        <w:t>民币。</w:t>
      </w:r>
    </w:p>
    <w:p w14:paraId="6B9DFE26">
      <w:pPr>
        <w:ind w:firstLine="420"/>
        <w:jc w:val="right"/>
        <w:rPr>
          <w:rFonts w:ascii="宋体" w:hAnsi="宋体"/>
        </w:rPr>
      </w:pPr>
      <w:r>
        <w:rPr>
          <w:rFonts w:hint="eastAsia" w:ascii="宋体" w:hAnsi="宋体"/>
        </w:rPr>
        <w:t>（董祖明  华春君）</w:t>
      </w:r>
    </w:p>
    <w:p w14:paraId="6804784D">
      <w:pPr>
        <w:pStyle w:val="3"/>
      </w:pPr>
      <w:r>
        <w:rPr>
          <w:rFonts w:hint="eastAsia"/>
        </w:rPr>
        <w:t>南雄市工商业联合会</w:t>
      </w:r>
    </w:p>
    <w:p w14:paraId="7EE4EF8E">
      <w:pPr>
        <w:pStyle w:val="4"/>
      </w:pPr>
      <w:r>
        <w:rPr>
          <w:rFonts w:hint="eastAsia"/>
        </w:rPr>
        <w:t>【概况】</w:t>
      </w:r>
    </w:p>
    <w:p w14:paraId="16183233">
      <w:pPr>
        <w:ind w:firstLine="420"/>
        <w:rPr>
          <w:rFonts w:ascii="宋体" w:hAnsi="宋体"/>
        </w:rPr>
      </w:pPr>
      <w:r>
        <w:rPr>
          <w:rFonts w:hint="eastAsia" w:ascii="宋体" w:hAnsi="宋体"/>
        </w:rPr>
        <w:t>南雄市工商业联合会（总商会）简称南雄市工商联，有会员</w:t>
      </w:r>
      <w:r>
        <w:rPr>
          <w:rFonts w:ascii="宋体" w:hAnsi="宋体"/>
        </w:rPr>
        <w:t>180人，是一个具</w:t>
      </w:r>
      <w:r>
        <w:rPr>
          <w:rFonts w:hint="eastAsia" w:ascii="宋体" w:hAnsi="宋体"/>
        </w:rPr>
        <w:t>有统战性、经济性和民间性的社团民间组织。</w:t>
      </w:r>
    </w:p>
    <w:p w14:paraId="0FA5753C">
      <w:pPr>
        <w:pStyle w:val="4"/>
      </w:pPr>
      <w:r>
        <w:rPr>
          <w:rFonts w:hint="eastAsia"/>
        </w:rPr>
        <w:t>【做好调查研究，当好发展参谋】</w:t>
      </w:r>
    </w:p>
    <w:p w14:paraId="576E66C5">
      <w:pPr>
        <w:ind w:firstLine="420"/>
        <w:rPr>
          <w:rFonts w:ascii="宋体" w:hAnsi="宋体"/>
        </w:rPr>
      </w:pPr>
      <w:r>
        <w:rPr>
          <w:rFonts w:ascii="宋体" w:hAnsi="宋体"/>
        </w:rPr>
        <w:t>5年来，</w:t>
      </w:r>
      <w:r>
        <w:rPr>
          <w:rFonts w:hint="eastAsia" w:ascii="宋体" w:hAnsi="宋体"/>
        </w:rPr>
        <w:t>经常深入到正勤手袋厂、金叶包装材料有限公司、永骏食品厂、圣邦精细化工有限公司等外资企业和广东金友集团、环城工艺厂等民营企业开展调研活动。通过活动，加深对民营经济发展现状的了解，宣传南雄促进民营经济发展的优惠政策。</w:t>
      </w:r>
    </w:p>
    <w:p w14:paraId="2E64C74C">
      <w:pPr>
        <w:pStyle w:val="4"/>
      </w:pPr>
      <w:r>
        <w:rPr>
          <w:rFonts w:hint="eastAsia"/>
        </w:rPr>
        <w:t>【做好换届工作，促进经济发展】</w:t>
      </w:r>
    </w:p>
    <w:p w14:paraId="0EC6DF13">
      <w:pPr>
        <w:ind w:firstLine="420"/>
        <w:rPr>
          <w:rFonts w:ascii="宋体" w:hAnsi="宋体"/>
        </w:rPr>
      </w:pPr>
      <w:r>
        <w:rPr>
          <w:rFonts w:ascii="宋体" w:hAnsi="宋体"/>
        </w:rPr>
        <w:t>2006年，</w:t>
      </w:r>
      <w:r>
        <w:rPr>
          <w:rFonts w:hint="eastAsia" w:ascii="宋体" w:hAnsi="宋体"/>
        </w:rPr>
        <w:t>根据中央、省关于做好工商联换届工作的精神，帮助工商联圆满完成了换届工作，实现新老交替。同时，抓住工商联换届的契机，认真做好会员发展工作，改善会员结构，使一批有一定经济能力、社会影响的非公有制经济人事加入工商联，为工商联注入新的活力。</w:t>
      </w:r>
    </w:p>
    <w:p w14:paraId="7D342518">
      <w:pPr>
        <w:pStyle w:val="4"/>
      </w:pPr>
      <w:r>
        <w:rPr>
          <w:rFonts w:hint="eastAsia"/>
        </w:rPr>
        <w:t>【社会服务】</w:t>
      </w:r>
    </w:p>
    <w:p w14:paraId="1DFD2988">
      <w:pPr>
        <w:ind w:firstLine="420"/>
        <w:rPr>
          <w:rFonts w:ascii="宋体" w:hAnsi="宋体"/>
        </w:rPr>
      </w:pPr>
      <w:r>
        <w:rPr>
          <w:rFonts w:ascii="宋体" w:hAnsi="宋体"/>
        </w:rPr>
        <w:t>2006年，工商联的执委和会</w:t>
      </w:r>
      <w:r>
        <w:rPr>
          <w:rFonts w:hint="eastAsia" w:ascii="宋体" w:hAnsi="宋体"/>
        </w:rPr>
        <w:t>员，为赈灾扶贫等社会公益事业共捐款</w:t>
      </w:r>
      <w:r>
        <w:rPr>
          <w:rFonts w:ascii="宋体" w:hAnsi="宋体"/>
        </w:rPr>
        <w:t>3万</w:t>
      </w:r>
      <w:r>
        <w:rPr>
          <w:rFonts w:hint="eastAsia" w:ascii="宋体" w:hAnsi="宋体"/>
        </w:rPr>
        <w:t>多元。</w:t>
      </w:r>
      <w:r>
        <w:rPr>
          <w:rFonts w:ascii="宋体" w:hAnsi="宋体"/>
        </w:rPr>
        <w:t>2007年，工商联执委协同市妇联开展</w:t>
      </w:r>
      <w:r>
        <w:rPr>
          <w:rFonts w:hint="eastAsia" w:ascii="宋体" w:hAnsi="宋体"/>
        </w:rPr>
        <w:t>单亲母亲家庭扶贫帮困活动，共筹集捐款资金</w:t>
      </w:r>
      <w:r>
        <w:rPr>
          <w:rFonts w:ascii="宋体" w:hAnsi="宋体"/>
        </w:rPr>
        <w:t>1万多元。7月，工商联执委和部分民营企</w:t>
      </w:r>
      <w:r>
        <w:rPr>
          <w:rFonts w:hint="eastAsia" w:ascii="宋体" w:hAnsi="宋体"/>
        </w:rPr>
        <w:t>业代表人士捐款</w:t>
      </w:r>
      <w:r>
        <w:rPr>
          <w:rFonts w:ascii="宋体" w:hAnsi="宋体"/>
        </w:rPr>
        <w:t>3000元支持团市委开展纪念</w:t>
      </w:r>
      <w:r>
        <w:rPr>
          <w:rFonts w:hint="eastAsia" w:ascii="宋体" w:hAnsi="宋体"/>
        </w:rPr>
        <w:t>长征胜利</w:t>
      </w:r>
      <w:r>
        <w:rPr>
          <w:rFonts w:ascii="宋体" w:hAnsi="宋体"/>
        </w:rPr>
        <w:t>70周年活动。同时，工商联一批新</w:t>
      </w:r>
      <w:r>
        <w:rPr>
          <w:rFonts w:hint="eastAsia" w:ascii="宋体" w:hAnsi="宋体"/>
        </w:rPr>
        <w:t>执委为扶贫帮困赈灾捐款捐物。</w:t>
      </w:r>
      <w:r>
        <w:rPr>
          <w:rFonts w:ascii="宋体" w:hAnsi="宋体"/>
        </w:rPr>
        <w:t>2008年，非</w:t>
      </w:r>
      <w:r>
        <w:rPr>
          <w:rFonts w:hint="eastAsia" w:ascii="宋体" w:hAnsi="宋体"/>
        </w:rPr>
        <w:t>公有制经济人士支持贫困山区农村建设、改善学校办学条件和资助困难学生。一是工商联执委赈灾扶贫捐款</w:t>
      </w:r>
      <w:r>
        <w:rPr>
          <w:rFonts w:ascii="宋体" w:hAnsi="宋体"/>
        </w:rPr>
        <w:t>2万多元；二是扶持单</w:t>
      </w:r>
      <w:r>
        <w:rPr>
          <w:rFonts w:hint="eastAsia" w:ascii="宋体" w:hAnsi="宋体"/>
        </w:rPr>
        <w:t>亲母亲子女学费</w:t>
      </w:r>
      <w:r>
        <w:rPr>
          <w:rFonts w:ascii="宋体" w:hAnsi="宋体"/>
        </w:rPr>
        <w:t>5000元；三是永安酒楼、永</w:t>
      </w:r>
      <w:r>
        <w:rPr>
          <w:rFonts w:hint="eastAsia" w:ascii="宋体" w:hAnsi="宋体"/>
        </w:rPr>
        <w:t>康酒楼等共捐资助学</w:t>
      </w:r>
      <w:r>
        <w:rPr>
          <w:rFonts w:ascii="宋体" w:hAnsi="宋体"/>
        </w:rPr>
        <w:t>5万元。2010年3月，</w:t>
      </w:r>
      <w:r>
        <w:rPr>
          <w:rFonts w:hint="eastAsia" w:ascii="宋体" w:hAnsi="宋体"/>
        </w:rPr>
        <w:t>工商联组织非公制经济人士向青海玉树地震灾区捐款</w:t>
      </w:r>
      <w:r>
        <w:rPr>
          <w:rFonts w:ascii="宋体" w:hAnsi="宋体"/>
        </w:rPr>
        <w:t>14130元。</w:t>
      </w:r>
    </w:p>
    <w:p w14:paraId="680CBBEB">
      <w:pPr>
        <w:pStyle w:val="4"/>
      </w:pPr>
      <w:r>
        <w:rPr>
          <w:rFonts w:hint="eastAsia"/>
        </w:rPr>
        <w:t>【发挥工商联桥梁纽带作用，引导非公制经济健康发展】</w:t>
      </w:r>
    </w:p>
    <w:p w14:paraId="3AC55149">
      <w:pPr>
        <w:ind w:firstLine="420"/>
        <w:rPr>
          <w:rFonts w:ascii="宋体" w:hAnsi="宋体"/>
        </w:rPr>
      </w:pPr>
      <w:r>
        <w:rPr>
          <w:rFonts w:hint="eastAsia" w:ascii="宋体" w:hAnsi="宋体"/>
        </w:rPr>
        <w:t>广泛宣传党和国家的方针政策，提倡履行企业责任，弘扬“爱国、敬业、诚信、守法、贡献”精神。鼓励非公有制经济人士搞好自身企业的基础上，积极参与社会主义新农村建设，走共同富裕道路。至</w:t>
      </w:r>
      <w:r>
        <w:rPr>
          <w:rFonts w:ascii="宋体" w:hAnsi="宋体"/>
        </w:rPr>
        <w:t>2010</w:t>
      </w:r>
      <w:r>
        <w:rPr>
          <w:rFonts w:hint="eastAsia" w:ascii="宋体" w:hAnsi="宋体"/>
        </w:rPr>
        <w:t>年底，全市有个体工商户</w:t>
      </w:r>
      <w:r>
        <w:rPr>
          <w:rFonts w:ascii="宋体" w:hAnsi="宋体"/>
        </w:rPr>
        <w:t>8526户，注册资金6.5亿元，其中私营企业490户。2010年全市</w:t>
      </w:r>
      <w:r>
        <w:rPr>
          <w:rFonts w:hint="eastAsia" w:ascii="宋体" w:hAnsi="宋体"/>
        </w:rPr>
        <w:t>民营经济增加值</w:t>
      </w:r>
      <w:r>
        <w:rPr>
          <w:rFonts w:ascii="宋体" w:hAnsi="宋体"/>
        </w:rPr>
        <w:t>15亿元，占市GDP的30%，</w:t>
      </w:r>
      <w:r>
        <w:rPr>
          <w:rFonts w:hint="eastAsia" w:ascii="宋体" w:hAnsi="宋体"/>
        </w:rPr>
        <w:t>税收</w:t>
      </w:r>
      <w:r>
        <w:rPr>
          <w:rFonts w:ascii="宋体" w:hAnsi="宋体"/>
        </w:rPr>
        <w:t>6000余万元，占全市税收23%，在金融</w:t>
      </w:r>
      <w:r>
        <w:rPr>
          <w:rFonts w:hint="eastAsia" w:ascii="宋体" w:hAnsi="宋体"/>
        </w:rPr>
        <w:t>危机的严重影响下，全市非公经济保持了品味较快的发展趋势。</w:t>
      </w:r>
    </w:p>
    <w:p w14:paraId="0E770B4C">
      <w:pPr>
        <w:pStyle w:val="4"/>
      </w:pPr>
      <w:r>
        <w:rPr>
          <w:rFonts w:hint="eastAsia"/>
        </w:rPr>
        <w:t>【参政议政】</w:t>
      </w:r>
    </w:p>
    <w:p w14:paraId="16F8EBA7">
      <w:pPr>
        <w:ind w:firstLine="420"/>
        <w:rPr>
          <w:rFonts w:ascii="宋体" w:hAnsi="宋体"/>
        </w:rPr>
      </w:pPr>
      <w:r>
        <w:rPr>
          <w:rFonts w:hint="eastAsia" w:ascii="宋体" w:hAnsi="宋体"/>
        </w:rPr>
        <w:t>一是安排工商联会员参加市、县两级人大代表、政协委员的人数不断增多，有</w:t>
      </w:r>
      <w:r>
        <w:rPr>
          <w:rFonts w:ascii="宋体" w:hAnsi="宋体"/>
        </w:rPr>
        <w:t>4名会员当选为韶关市、南雄市人大代表</w:t>
      </w:r>
      <w:r>
        <w:rPr>
          <w:rFonts w:hint="eastAsia" w:ascii="宋体" w:hAnsi="宋体"/>
        </w:rPr>
        <w:t>，其中韶关市人大代表</w:t>
      </w:r>
      <w:r>
        <w:rPr>
          <w:rFonts w:ascii="宋体" w:hAnsi="宋体"/>
        </w:rPr>
        <w:t>3名；有25名会员和民</w:t>
      </w:r>
      <w:r>
        <w:rPr>
          <w:rFonts w:hint="eastAsia" w:ascii="宋体" w:hAnsi="宋体"/>
        </w:rPr>
        <w:t>营企业业主和非公经济人士被安排为南雄市政协委员，其中有</w:t>
      </w:r>
      <w:r>
        <w:rPr>
          <w:rFonts w:ascii="宋体" w:hAnsi="宋体"/>
        </w:rPr>
        <w:t>3人任政协常委。二是重</w:t>
      </w:r>
      <w:r>
        <w:rPr>
          <w:rFonts w:hint="eastAsia" w:ascii="宋体" w:hAnsi="宋体"/>
        </w:rPr>
        <w:t>视发挥非公有制经济人士的参政议政作用，支持会员参政议政、参观和调研观察活动，引导他们积极撰写提案、议案。</w:t>
      </w:r>
      <w:r>
        <w:rPr>
          <w:rFonts w:ascii="宋体" w:hAnsi="宋体"/>
        </w:rPr>
        <w:t>5年来，工商</w:t>
      </w:r>
      <w:r>
        <w:rPr>
          <w:rFonts w:hint="eastAsia" w:ascii="宋体" w:hAnsi="宋体"/>
        </w:rPr>
        <w:t>界人士共提交提（议）案</w:t>
      </w:r>
      <w:r>
        <w:rPr>
          <w:rFonts w:ascii="宋体" w:hAnsi="宋体"/>
        </w:rPr>
        <w:t>60多件，有10件</w:t>
      </w:r>
      <w:r>
        <w:rPr>
          <w:rFonts w:hint="eastAsia" w:ascii="宋体" w:hAnsi="宋体"/>
        </w:rPr>
        <w:t>被评为优秀提（议）案。</w:t>
      </w:r>
    </w:p>
    <w:p w14:paraId="25E03492">
      <w:pPr>
        <w:ind w:firstLine="420"/>
        <w:jc w:val="right"/>
        <w:rPr>
          <w:rFonts w:ascii="宋体" w:hAnsi="宋体"/>
        </w:rPr>
      </w:pPr>
      <w:r>
        <w:rPr>
          <w:rFonts w:hint="eastAsia" w:ascii="宋体" w:hAnsi="宋体"/>
        </w:rPr>
        <w:t>（董祖明  华春君）</w:t>
      </w:r>
    </w:p>
    <w:p w14:paraId="79CE6234">
      <w:pPr>
        <w:pStyle w:val="2"/>
      </w:pPr>
      <w:r>
        <w:rPr>
          <w:rFonts w:hint="eastAsia"/>
        </w:rPr>
        <w:t>群众团体</w:t>
      </w:r>
    </w:p>
    <w:p w14:paraId="5108EF71">
      <w:pPr>
        <w:pStyle w:val="3"/>
      </w:pPr>
      <w:r>
        <w:rPr>
          <w:rFonts w:hint="eastAsia"/>
        </w:rPr>
        <w:t>总工会</w:t>
      </w:r>
    </w:p>
    <w:p w14:paraId="144F2701">
      <w:pPr>
        <w:pStyle w:val="4"/>
      </w:pPr>
      <w:r>
        <w:rPr>
          <w:rFonts w:hint="eastAsia"/>
        </w:rPr>
        <w:t>【概况】</w:t>
      </w:r>
    </w:p>
    <w:p w14:paraId="5CD534B2">
      <w:pPr>
        <w:ind w:firstLine="420"/>
        <w:rPr>
          <w:rFonts w:ascii="宋体" w:hAnsi="宋体"/>
        </w:rPr>
      </w:pPr>
      <w:r>
        <w:rPr>
          <w:rFonts w:hint="eastAsia" w:ascii="宋体" w:hAnsi="宋体"/>
        </w:rPr>
        <w:t>南雄市总工会</w:t>
      </w:r>
      <w:r>
        <w:rPr>
          <w:rFonts w:ascii="宋体" w:hAnsi="宋体"/>
        </w:rPr>
        <w:t>1926年5月1日成</w:t>
      </w:r>
      <w:r>
        <w:rPr>
          <w:rFonts w:hint="eastAsia" w:ascii="宋体" w:hAnsi="宋体"/>
        </w:rPr>
        <w:t>立，地址位于雄州街道光明西路</w:t>
      </w:r>
      <w:r>
        <w:rPr>
          <w:rFonts w:ascii="宋体" w:hAnsi="宋体"/>
        </w:rPr>
        <w:t>56号。南雄</w:t>
      </w:r>
      <w:r>
        <w:rPr>
          <w:rFonts w:hint="eastAsia" w:ascii="宋体" w:hAnsi="宋体"/>
        </w:rPr>
        <w:t>市总工会为市（县）正科级单位，行政编制</w:t>
      </w:r>
      <w:r>
        <w:rPr>
          <w:rFonts w:ascii="宋体" w:hAnsi="宋体"/>
        </w:rPr>
        <w:t>7</w:t>
      </w:r>
      <w:r>
        <w:rPr>
          <w:rFonts w:hint="eastAsia" w:ascii="宋体" w:hAnsi="宋体"/>
        </w:rPr>
        <w:t>人，其中主席</w:t>
      </w:r>
      <w:r>
        <w:rPr>
          <w:rFonts w:ascii="宋体" w:hAnsi="宋体"/>
        </w:rPr>
        <w:t>1名，副主席2名。内设机构</w:t>
      </w:r>
      <w:r>
        <w:rPr>
          <w:rFonts w:hint="eastAsia" w:ascii="宋体" w:hAnsi="宋体"/>
        </w:rPr>
        <w:t>有：权益保障部、组宣部、财务女工部、办公室。下属事业单位南雄市工人文化宫，事业编制</w:t>
      </w:r>
      <w:r>
        <w:rPr>
          <w:rFonts w:ascii="宋体" w:hAnsi="宋体"/>
        </w:rPr>
        <w:t>8人。2003年至2010年，市总工会连</w:t>
      </w:r>
      <w:r>
        <w:rPr>
          <w:rFonts w:hint="eastAsia" w:ascii="宋体" w:hAnsi="宋体"/>
        </w:rPr>
        <w:t>续</w:t>
      </w:r>
      <w:r>
        <w:rPr>
          <w:rFonts w:ascii="宋体" w:hAnsi="宋体"/>
        </w:rPr>
        <w:t>8年被韶关市总工会评为先进单位，各项</w:t>
      </w:r>
      <w:r>
        <w:rPr>
          <w:rFonts w:hint="eastAsia" w:ascii="宋体" w:hAnsi="宋体"/>
        </w:rPr>
        <w:t>重点工作名列韶关第一。</w:t>
      </w:r>
    </w:p>
    <w:p w14:paraId="04A0B6CB">
      <w:pPr>
        <w:pStyle w:val="4"/>
      </w:pPr>
      <w:r>
        <w:rPr>
          <w:rFonts w:hint="eastAsia"/>
        </w:rPr>
        <w:t>【代表大会】</w:t>
      </w:r>
    </w:p>
    <w:p w14:paraId="3E45C3D6">
      <w:pPr>
        <w:ind w:firstLine="420"/>
        <w:rPr>
          <w:rFonts w:ascii="宋体" w:hAnsi="宋体"/>
        </w:rPr>
      </w:pPr>
      <w:r>
        <w:rPr>
          <w:rFonts w:ascii="宋体" w:hAnsi="宋体"/>
        </w:rPr>
        <w:t>2003年9月17日，在迎宾馆</w:t>
      </w:r>
      <w:r>
        <w:rPr>
          <w:rFonts w:hint="eastAsia" w:ascii="宋体" w:hAnsi="宋体"/>
        </w:rPr>
        <w:t>一号会议室召开南雄市工会第十五次代表大会。出席会议的代表共</w:t>
      </w:r>
      <w:r>
        <w:rPr>
          <w:rFonts w:ascii="宋体" w:hAnsi="宋体"/>
        </w:rPr>
        <w:t>162人，其中女代表31人。大会一致通过了张宗财所作的《围绕</w:t>
      </w:r>
      <w:r>
        <w:rPr>
          <w:rFonts w:hint="eastAsia" w:ascii="宋体" w:hAnsi="宋体"/>
        </w:rPr>
        <w:t>中心，履行职能，与时俱进，组织和动员全市广大职工为全面建设小康社会建功立业》的工作报告。大会选举产生南雄市工会第十五届委员会，选举产生</w:t>
      </w:r>
      <w:r>
        <w:rPr>
          <w:rFonts w:ascii="宋体" w:hAnsi="宋体"/>
        </w:rPr>
        <w:t>9名常务委员，张宗</w:t>
      </w:r>
      <w:r>
        <w:rPr>
          <w:rFonts w:hint="eastAsia" w:ascii="宋体" w:hAnsi="宋体"/>
        </w:rPr>
        <w:t>财当选为市总工会主席。</w:t>
      </w:r>
    </w:p>
    <w:p w14:paraId="5C26B9D5">
      <w:pPr>
        <w:ind w:firstLine="420"/>
        <w:rPr>
          <w:rFonts w:ascii="宋体" w:hAnsi="宋体"/>
        </w:rPr>
      </w:pPr>
      <w:r>
        <w:rPr>
          <w:rFonts w:ascii="宋体" w:hAnsi="宋体"/>
        </w:rPr>
        <w:t>2009年10月28日，在市迎宾馆一号会</w:t>
      </w:r>
      <w:r>
        <w:rPr>
          <w:rFonts w:hint="eastAsia" w:ascii="宋体" w:hAnsi="宋体"/>
        </w:rPr>
        <w:t>议室召开南雄市工会第十六次代表大会。出席会议的代表共</w:t>
      </w:r>
      <w:r>
        <w:rPr>
          <w:rFonts w:ascii="宋体" w:hAnsi="宋体"/>
        </w:rPr>
        <w:t>169人，其中女代表32人。</w:t>
      </w:r>
      <w:r>
        <w:rPr>
          <w:rFonts w:hint="eastAsia" w:ascii="宋体" w:hAnsi="宋体"/>
        </w:rPr>
        <w:t>大会一致审议通过张宗财所作的《坚持科学发展、动员广大职工为建设粤北门户城市发挥主力军作用》的工作报告。大会选举产生南雄市工会第十六届委员会，产生</w:t>
      </w:r>
      <w:r>
        <w:rPr>
          <w:rFonts w:ascii="宋体" w:hAnsi="宋体"/>
        </w:rPr>
        <w:t>9名常务</w:t>
      </w:r>
      <w:r>
        <w:rPr>
          <w:rFonts w:hint="eastAsia" w:ascii="宋体" w:hAnsi="宋体"/>
        </w:rPr>
        <w:t>委员，张宗财当选市总工会主席。</w:t>
      </w:r>
    </w:p>
    <w:p w14:paraId="52CF07ED">
      <w:pPr>
        <w:pStyle w:val="4"/>
      </w:pPr>
      <w:r>
        <w:rPr>
          <w:rFonts w:hint="eastAsia"/>
        </w:rPr>
        <w:t>【工会组建】</w:t>
      </w:r>
    </w:p>
    <w:p w14:paraId="52AA998D">
      <w:pPr>
        <w:ind w:firstLine="420"/>
        <w:rPr>
          <w:rFonts w:ascii="宋体" w:hAnsi="宋体"/>
        </w:rPr>
      </w:pPr>
      <w:r>
        <w:rPr>
          <w:rFonts w:hint="eastAsia" w:ascii="宋体" w:hAnsi="宋体"/>
        </w:rPr>
        <w:t>八年来，始终坚持以“党建指导工建，工建服务党建”的原则，按照全总提出的“组织起来，切实维权”的工作方针，积极研究，探索工会组建工作新途径、新模式，实现工会组建和发展会员取得新突破。至</w:t>
      </w:r>
      <w:r>
        <w:rPr>
          <w:rFonts w:ascii="宋体" w:hAnsi="宋体"/>
        </w:rPr>
        <w:t>2010年底，南雄市基层工会711家，其中</w:t>
      </w:r>
      <w:r>
        <w:rPr>
          <w:rFonts w:hint="eastAsia" w:ascii="宋体" w:hAnsi="宋体"/>
        </w:rPr>
        <w:t>独立基层工会</w:t>
      </w:r>
      <w:r>
        <w:rPr>
          <w:rFonts w:ascii="宋体" w:hAnsi="宋体"/>
        </w:rPr>
        <w:t>627家，联合基层工会84家，</w:t>
      </w:r>
      <w:r>
        <w:rPr>
          <w:rFonts w:hint="eastAsia" w:ascii="宋体" w:hAnsi="宋体"/>
        </w:rPr>
        <w:t>工会会员</w:t>
      </w:r>
      <w:r>
        <w:rPr>
          <w:rFonts w:ascii="宋体" w:hAnsi="宋体"/>
        </w:rPr>
        <w:t>5.3万人。</w:t>
      </w:r>
    </w:p>
    <w:p w14:paraId="64273E24">
      <w:pPr>
        <w:pStyle w:val="4"/>
      </w:pPr>
      <w:r>
        <w:rPr>
          <w:rFonts w:hint="eastAsia"/>
        </w:rPr>
        <w:t>【工业园企业工会组建】</w:t>
      </w:r>
    </w:p>
    <w:p w14:paraId="5671112E">
      <w:pPr>
        <w:ind w:firstLine="420"/>
        <w:rPr>
          <w:rFonts w:ascii="宋体" w:hAnsi="宋体"/>
        </w:rPr>
      </w:pPr>
      <w:r>
        <w:rPr>
          <w:rFonts w:hint="eastAsia" w:ascii="宋体" w:hAnsi="宋体"/>
        </w:rPr>
        <w:t>南雄精细化工工业园工会组建工作有新突破。</w:t>
      </w:r>
      <w:r>
        <w:rPr>
          <w:rFonts w:ascii="宋体" w:hAnsi="宋体"/>
        </w:rPr>
        <w:t>2010年2月精细</w:t>
      </w:r>
      <w:r>
        <w:rPr>
          <w:rFonts w:hint="eastAsia" w:ascii="宋体" w:hAnsi="宋体"/>
        </w:rPr>
        <w:t>化工园区按照“工会法”有关程序，依法成立“南雄市精细化工基地管理处工会联合会”，园区工会联合会涵盖企业</w:t>
      </w:r>
      <w:r>
        <w:rPr>
          <w:rFonts w:ascii="宋体" w:hAnsi="宋体"/>
        </w:rPr>
        <w:t>100多家，职</w:t>
      </w:r>
      <w:r>
        <w:rPr>
          <w:rFonts w:hint="eastAsia" w:ascii="宋体" w:hAnsi="宋体"/>
        </w:rPr>
        <w:t>工</w:t>
      </w:r>
      <w:r>
        <w:rPr>
          <w:rFonts w:ascii="宋体" w:hAnsi="宋体"/>
        </w:rPr>
        <w:t>5000多人</w:t>
      </w:r>
      <w:r>
        <w:rPr>
          <w:rFonts w:hint="eastAsia" w:ascii="宋体" w:hAnsi="宋体"/>
        </w:rPr>
        <w:t>。</w:t>
      </w:r>
    </w:p>
    <w:p w14:paraId="76F4B4BE">
      <w:pPr>
        <w:pStyle w:val="4"/>
      </w:pPr>
      <w:r>
        <w:rPr>
          <w:rFonts w:hint="eastAsia"/>
        </w:rPr>
        <w:t>【职工之家】</w:t>
      </w:r>
    </w:p>
    <w:p w14:paraId="1D029856">
      <w:pPr>
        <w:ind w:firstLine="420"/>
        <w:rPr>
          <w:rFonts w:ascii="宋体" w:hAnsi="宋体"/>
        </w:rPr>
      </w:pPr>
      <w:r>
        <w:rPr>
          <w:rFonts w:hint="eastAsia" w:ascii="宋体" w:hAnsi="宋体"/>
        </w:rPr>
        <w:t>八年来，加强职工之家规范化建设，提高履行职能的能力，提高工作水平。至</w:t>
      </w:r>
      <w:r>
        <w:rPr>
          <w:rFonts w:ascii="宋体" w:hAnsi="宋体"/>
        </w:rPr>
        <w:t>2010年底，全市83%以上的基层工会参与</w:t>
      </w:r>
      <w:r>
        <w:rPr>
          <w:rFonts w:hint="eastAsia" w:ascii="宋体" w:hAnsi="宋体"/>
        </w:rPr>
        <w:t>“职工之家”创建活动。八年来，共有</w:t>
      </w:r>
      <w:r>
        <w:rPr>
          <w:rFonts w:ascii="宋体" w:hAnsi="宋体"/>
        </w:rPr>
        <w:t>4个基</w:t>
      </w:r>
      <w:r>
        <w:rPr>
          <w:rFonts w:hint="eastAsia" w:ascii="宋体" w:hAnsi="宋体"/>
        </w:rPr>
        <w:t>层工会被全国、省评为“先进职工之家”。南雄市人民医院被评为“全国模范职工之家”称号。有</w:t>
      </w:r>
      <w:r>
        <w:rPr>
          <w:rFonts w:ascii="宋体" w:hAnsi="宋体"/>
        </w:rPr>
        <w:t>2个私营企业评为省</w:t>
      </w:r>
      <w:r>
        <w:rPr>
          <w:rFonts w:hint="eastAsia" w:ascii="宋体" w:hAnsi="宋体"/>
        </w:rPr>
        <w:t>“</w:t>
      </w:r>
      <w:r>
        <w:rPr>
          <w:rFonts w:ascii="宋体" w:hAnsi="宋体"/>
        </w:rPr>
        <w:t>双爱双评</w:t>
      </w:r>
      <w:r>
        <w:rPr>
          <w:rFonts w:hint="eastAsia" w:ascii="宋体" w:hAnsi="宋体"/>
        </w:rPr>
        <w:t>”先进单位。</w:t>
      </w:r>
    </w:p>
    <w:p w14:paraId="2946A866">
      <w:pPr>
        <w:pStyle w:val="4"/>
      </w:pPr>
      <w:r>
        <w:rPr>
          <w:rFonts w:hint="eastAsia"/>
        </w:rPr>
        <w:t>【依法维权】</w:t>
      </w:r>
    </w:p>
    <w:p w14:paraId="5FF36D97">
      <w:pPr>
        <w:ind w:firstLine="420"/>
        <w:rPr>
          <w:rFonts w:ascii="宋体" w:hAnsi="宋体"/>
        </w:rPr>
      </w:pPr>
      <w:r>
        <w:rPr>
          <w:rFonts w:hint="eastAsia" w:ascii="宋体" w:hAnsi="宋体"/>
        </w:rPr>
        <w:t>八年来，市总工会围绕发展和谐劳动关系，完善工会维权机制建设，提高工会维权实效。一是完善源头参与维权机制。二是推动《劳动合同法》的落实，切实维护职工群众的劳动权益。三是深入推进民主管理工作，形成制度化、民主化，提高职工的知情权、参与权。四是完善工会劳动保护监督检查队伍网络，深化工会劳动保护工作。五是建立健全劳动关系矛盾预警、预防和调处机制，维护广大职工、农民工合法权益。八年来，共为职工、农民工追回欠薪</w:t>
      </w:r>
      <w:r>
        <w:rPr>
          <w:rFonts w:ascii="宋体" w:hAnsi="宋体"/>
        </w:rPr>
        <w:t>1180万</w:t>
      </w:r>
      <w:r>
        <w:rPr>
          <w:rFonts w:hint="eastAsia" w:ascii="宋体" w:hAnsi="宋体"/>
        </w:rPr>
        <w:t>元，涉及职工、农民工</w:t>
      </w:r>
      <w:r>
        <w:rPr>
          <w:rFonts w:ascii="宋体" w:hAnsi="宋体"/>
        </w:rPr>
        <w:t>870人。帮扶中心共</w:t>
      </w:r>
      <w:r>
        <w:rPr>
          <w:rFonts w:hint="eastAsia" w:ascii="宋体" w:hAnsi="宋体"/>
        </w:rPr>
        <w:t>接待办理各类来信来访</w:t>
      </w:r>
      <w:r>
        <w:rPr>
          <w:rFonts w:ascii="宋体" w:hAnsi="宋体"/>
        </w:rPr>
        <w:t>228件，职工诉求通</w:t>
      </w:r>
      <w:r>
        <w:rPr>
          <w:rFonts w:hint="eastAsia" w:ascii="宋体" w:hAnsi="宋体"/>
        </w:rPr>
        <w:t>过政府、有关部门、工会得到有效解决。</w:t>
      </w:r>
    </w:p>
    <w:p w14:paraId="5E6ECD2A">
      <w:pPr>
        <w:pStyle w:val="4"/>
      </w:pPr>
      <w:r>
        <w:rPr>
          <w:rFonts w:hint="eastAsia"/>
        </w:rPr>
        <w:t>【劳动竞赛】</w:t>
      </w:r>
    </w:p>
    <w:p w14:paraId="6DB6A249">
      <w:pPr>
        <w:ind w:firstLine="420"/>
        <w:rPr>
          <w:rFonts w:ascii="宋体" w:hAnsi="宋体"/>
        </w:rPr>
      </w:pPr>
      <w:r>
        <w:rPr>
          <w:rFonts w:hint="eastAsia" w:ascii="宋体" w:hAnsi="宋体"/>
        </w:rPr>
        <w:t>市各级工会积极开展形式多样的劳动竞赛、提合理化建议、技术比武等活动。结合各自改革和生产经营中遇到的热点、难点等问题，开展“我为节能减排做贡献”和“安康杯”等科技创新劳动竞赛、争当先进劳动者活动。八年来，全市职工共提出合理化建议</w:t>
      </w:r>
      <w:r>
        <w:rPr>
          <w:rFonts w:ascii="宋体" w:hAnsi="宋体"/>
        </w:rPr>
        <w:t>3748条，其中采纳的有2120条，</w:t>
      </w:r>
      <w:r>
        <w:rPr>
          <w:rFonts w:hint="eastAsia" w:ascii="宋体" w:hAnsi="宋体"/>
        </w:rPr>
        <w:t>已实施的有</w:t>
      </w:r>
      <w:r>
        <w:rPr>
          <w:rFonts w:ascii="宋体" w:hAnsi="宋体"/>
        </w:rPr>
        <w:t>1025条，为企业创造经济效益450</w:t>
      </w:r>
      <w:r>
        <w:rPr>
          <w:rFonts w:hint="eastAsia" w:ascii="宋体" w:hAnsi="宋体"/>
        </w:rPr>
        <w:t>万元。</w:t>
      </w:r>
    </w:p>
    <w:p w14:paraId="4F6889F2">
      <w:pPr>
        <w:pStyle w:val="4"/>
      </w:pPr>
      <w:r>
        <w:rPr>
          <w:rFonts w:hint="eastAsia"/>
        </w:rPr>
        <w:t>【评选宣传先进典型】</w:t>
      </w:r>
    </w:p>
    <w:p w14:paraId="238616D7">
      <w:pPr>
        <w:ind w:firstLine="420"/>
        <w:rPr>
          <w:rFonts w:ascii="宋体" w:hAnsi="宋体"/>
        </w:rPr>
      </w:pPr>
      <w:r>
        <w:rPr>
          <w:rFonts w:hint="eastAsia" w:ascii="宋体" w:hAnsi="宋体"/>
        </w:rPr>
        <w:t>市各级工会认真做好全国、省、韶关市劳模评选、推荐工作。八年来，有</w:t>
      </w:r>
      <w:r>
        <w:rPr>
          <w:rFonts w:ascii="宋体" w:hAnsi="宋体"/>
        </w:rPr>
        <w:t>1人荣获全国工会工作先进个人称</w:t>
      </w:r>
      <w:r>
        <w:rPr>
          <w:rFonts w:hint="eastAsia" w:ascii="宋体" w:hAnsi="宋体"/>
        </w:rPr>
        <w:t>号；</w:t>
      </w:r>
      <w:r>
        <w:rPr>
          <w:rFonts w:ascii="宋体" w:hAnsi="宋体"/>
        </w:rPr>
        <w:t>4人荣获省</w:t>
      </w:r>
      <w:r>
        <w:rPr>
          <w:rFonts w:hint="eastAsia" w:ascii="宋体" w:hAnsi="宋体"/>
        </w:rPr>
        <w:t>“</w:t>
      </w:r>
      <w:r>
        <w:rPr>
          <w:rFonts w:ascii="宋体" w:hAnsi="宋体"/>
        </w:rPr>
        <w:t>五一</w:t>
      </w:r>
      <w:r>
        <w:rPr>
          <w:rFonts w:hint="eastAsia" w:ascii="宋体" w:hAnsi="宋体"/>
        </w:rPr>
        <w:t>”</w:t>
      </w:r>
      <w:r>
        <w:rPr>
          <w:rFonts w:ascii="宋体" w:hAnsi="宋体"/>
        </w:rPr>
        <w:t>劳动奖章；8人荣获</w:t>
      </w:r>
      <w:r>
        <w:rPr>
          <w:rFonts w:hint="eastAsia" w:ascii="宋体" w:hAnsi="宋体"/>
        </w:rPr>
        <w:t>韶关市劳动模范称号。同时，加大劳模精神宣传力度。协助新闻媒体拍摄各级劳模的专题系列报道，宣传新时代劳动模范的精神风采，从而激发全市广大职工的积极性、创造性。</w:t>
      </w:r>
    </w:p>
    <w:p w14:paraId="33D6AC77">
      <w:pPr>
        <w:pStyle w:val="4"/>
      </w:pPr>
      <w:r>
        <w:rPr>
          <w:rFonts w:hint="eastAsia"/>
        </w:rPr>
        <w:t>【职工文化体育活动】</w:t>
      </w:r>
    </w:p>
    <w:p w14:paraId="522A15CB">
      <w:pPr>
        <w:ind w:firstLine="420"/>
        <w:rPr>
          <w:rFonts w:ascii="宋体" w:hAnsi="宋体"/>
        </w:rPr>
      </w:pPr>
      <w:r>
        <w:rPr>
          <w:rFonts w:hint="eastAsia" w:ascii="宋体" w:hAnsi="宋体"/>
        </w:rPr>
        <w:t>市各级工会经常开展多种形式的文体活动。一是</w:t>
      </w:r>
      <w:r>
        <w:rPr>
          <w:rFonts w:ascii="宋体" w:hAnsi="宋体"/>
        </w:rPr>
        <w:t>2010年市总工会</w:t>
      </w:r>
      <w:r>
        <w:rPr>
          <w:rFonts w:hint="eastAsia" w:ascii="宋体" w:hAnsi="宋体"/>
        </w:rPr>
        <w:t>举办主题为“加强职工文化建设，构建和谐文明南雄”的职工书法（毛笔）大赛；二是基层工会开展“创建学习型组织，争做知识型职工”活动。</w:t>
      </w:r>
      <w:r>
        <w:rPr>
          <w:rFonts w:ascii="宋体" w:hAnsi="宋体"/>
        </w:rPr>
        <w:t>2010年，市总工会被广东省</w:t>
      </w:r>
      <w:r>
        <w:rPr>
          <w:rFonts w:hint="eastAsia" w:ascii="宋体" w:hAnsi="宋体"/>
        </w:rPr>
        <w:t>创争领导小组评为活动“优秀组织单位”；三是推进“职工书屋”示范点建设。</w:t>
      </w:r>
    </w:p>
    <w:p w14:paraId="29903219">
      <w:pPr>
        <w:pStyle w:val="4"/>
      </w:pPr>
      <w:r>
        <w:rPr>
          <w:rFonts w:hint="eastAsia"/>
        </w:rPr>
        <w:t>【帮扶困难】</w:t>
      </w:r>
    </w:p>
    <w:p w14:paraId="0B3ACD74">
      <w:pPr>
        <w:ind w:firstLine="420"/>
        <w:rPr>
          <w:rFonts w:ascii="宋体" w:hAnsi="宋体"/>
        </w:rPr>
      </w:pPr>
      <w:r>
        <w:rPr>
          <w:rFonts w:hint="eastAsia" w:ascii="宋体" w:hAnsi="宋体"/>
        </w:rPr>
        <w:t>八年来，市总工会困难职工“帮扶中心”与“爱心超市”围绕“为政府分忧、替企业解困，为职工服务”的工作目标，积极实施送温暖工程。一是加强农民工就业援助工作。共对</w:t>
      </w:r>
      <w:r>
        <w:rPr>
          <w:rFonts w:ascii="宋体" w:hAnsi="宋体"/>
        </w:rPr>
        <w:t>1600名下岗职工、农民</w:t>
      </w:r>
      <w:r>
        <w:rPr>
          <w:rFonts w:hint="eastAsia" w:ascii="宋体" w:hAnsi="宋体"/>
        </w:rPr>
        <w:t>工进行再就业技能培训；二是加强劳模管理和服务工作。对全市</w:t>
      </w:r>
      <w:r>
        <w:rPr>
          <w:rFonts w:ascii="宋体" w:hAnsi="宋体"/>
        </w:rPr>
        <w:t>50多名困难劳模发放临</w:t>
      </w:r>
      <w:r>
        <w:rPr>
          <w:rFonts w:hint="eastAsia" w:ascii="宋体" w:hAnsi="宋体"/>
        </w:rPr>
        <w:t>时救济金</w:t>
      </w:r>
      <w:r>
        <w:rPr>
          <w:rFonts w:ascii="宋体" w:hAnsi="宋体"/>
        </w:rPr>
        <w:t>31万元；三是开展</w:t>
      </w:r>
      <w:r>
        <w:rPr>
          <w:rFonts w:hint="eastAsia" w:ascii="宋体" w:hAnsi="宋体"/>
        </w:rPr>
        <w:t>“</w:t>
      </w:r>
      <w:r>
        <w:rPr>
          <w:rFonts w:ascii="宋体" w:hAnsi="宋体"/>
        </w:rPr>
        <w:t>金秋助学</w:t>
      </w:r>
      <w:r>
        <w:rPr>
          <w:rFonts w:hint="eastAsia" w:ascii="宋体" w:hAnsi="宋体"/>
        </w:rPr>
        <w:t>”</w:t>
      </w:r>
      <w:r>
        <w:rPr>
          <w:rFonts w:ascii="宋体" w:hAnsi="宋体"/>
        </w:rPr>
        <w:t>活</w:t>
      </w:r>
      <w:r>
        <w:rPr>
          <w:rFonts w:hint="eastAsia" w:ascii="宋体" w:hAnsi="宋体"/>
        </w:rPr>
        <w:t>动。共资助困难职工、农民工家庭子女</w:t>
      </w:r>
      <w:r>
        <w:rPr>
          <w:rFonts w:ascii="宋体" w:hAnsi="宋体"/>
        </w:rPr>
        <w:t>1200</w:t>
      </w:r>
      <w:r>
        <w:rPr>
          <w:rFonts w:hint="eastAsia" w:ascii="宋体" w:hAnsi="宋体"/>
        </w:rPr>
        <w:t>人，助学帮扶资金</w:t>
      </w:r>
      <w:r>
        <w:rPr>
          <w:rFonts w:ascii="宋体" w:hAnsi="宋体"/>
        </w:rPr>
        <w:t>180多万元；四是开展以</w:t>
      </w:r>
      <w:r>
        <w:rPr>
          <w:rFonts w:hint="eastAsia" w:ascii="宋体" w:hAnsi="宋体"/>
        </w:rPr>
        <w:t>“扶贫济困解难事、温暖和谐进万家”为主题的送温暖活动。共慰问困难职工</w:t>
      </w:r>
      <w:r>
        <w:rPr>
          <w:rFonts w:ascii="宋体" w:hAnsi="宋体"/>
        </w:rPr>
        <w:t>11300多人，</w:t>
      </w:r>
      <w:r>
        <w:rPr>
          <w:rFonts w:hint="eastAsia" w:ascii="宋体" w:hAnsi="宋体"/>
        </w:rPr>
        <w:t>发放慰问金</w:t>
      </w:r>
      <w:r>
        <w:rPr>
          <w:rFonts w:ascii="宋体" w:hAnsi="宋体"/>
        </w:rPr>
        <w:t>210万元；五是缓解困难职工医</w:t>
      </w:r>
      <w:r>
        <w:rPr>
          <w:rFonts w:hint="eastAsia" w:ascii="宋体" w:hAnsi="宋体"/>
        </w:rPr>
        <w:t>疗困难。总工会对有大病的困难职工发放临时医疗救助金</w:t>
      </w:r>
      <w:r>
        <w:rPr>
          <w:rFonts w:ascii="宋体" w:hAnsi="宋体"/>
        </w:rPr>
        <w:t>18万元，市人民医院、市中医</w:t>
      </w:r>
      <w:r>
        <w:rPr>
          <w:rFonts w:hint="eastAsia" w:ascii="宋体" w:hAnsi="宋体"/>
        </w:rPr>
        <w:t>院、市妇保院医院为困难职工优惠医疗、药品费用</w:t>
      </w:r>
      <w:r>
        <w:rPr>
          <w:rFonts w:ascii="宋体" w:hAnsi="宋体"/>
        </w:rPr>
        <w:t>41万元，共接待困难职工就医人员2100余人次。</w:t>
      </w:r>
    </w:p>
    <w:p w14:paraId="62F41BCE">
      <w:pPr>
        <w:pStyle w:val="4"/>
      </w:pPr>
      <w:r>
        <w:rPr>
          <w:rFonts w:hint="eastAsia"/>
        </w:rPr>
        <w:t>【女工工作】</w:t>
      </w:r>
    </w:p>
    <w:p w14:paraId="15236D5E">
      <w:pPr>
        <w:ind w:firstLine="420"/>
        <w:rPr>
          <w:rFonts w:ascii="宋体" w:hAnsi="宋体"/>
        </w:rPr>
      </w:pPr>
      <w:r>
        <w:rPr>
          <w:rFonts w:hint="eastAsia" w:ascii="宋体" w:hAnsi="宋体"/>
        </w:rPr>
        <w:t>围绕提高女职工素质，保护女职工的特殊利益，女职工工作得到加强。一是各级工会认真监督企业贯彻执行党和国家有关女职工劳动保护条例、法规，维护女职工特殊权益；二是各级工会组织在签订或续订集体合同过程，女职工组织积极参与平等协商集体合同工作；三是市女工委积极组织女职工开展“姐妹献爱心”活动。四是邀请省、市妇科专家到市进行妇科知识专题讲座。至</w:t>
      </w:r>
      <w:r>
        <w:rPr>
          <w:rFonts w:ascii="宋体" w:hAnsi="宋体"/>
        </w:rPr>
        <w:t>2010年，全市共建立健全女工委组织339</w:t>
      </w:r>
      <w:r>
        <w:rPr>
          <w:rFonts w:hint="eastAsia" w:ascii="宋体" w:hAnsi="宋体"/>
        </w:rPr>
        <w:t>个，有女职工会员</w:t>
      </w:r>
      <w:r>
        <w:rPr>
          <w:rFonts w:ascii="宋体" w:hAnsi="宋体"/>
        </w:rPr>
        <w:t>1.8万多人。</w:t>
      </w:r>
    </w:p>
    <w:p w14:paraId="4C8FED80">
      <w:pPr>
        <w:ind w:firstLine="420"/>
        <w:jc w:val="right"/>
        <w:rPr>
          <w:rFonts w:ascii="宋体" w:hAnsi="宋体"/>
        </w:rPr>
      </w:pPr>
      <w:r>
        <w:rPr>
          <w:rFonts w:hint="eastAsia" w:ascii="宋体" w:hAnsi="宋体"/>
        </w:rPr>
        <w:t>（凌宁）</w:t>
      </w:r>
    </w:p>
    <w:p w14:paraId="02553EB0">
      <w:pPr>
        <w:ind w:firstLine="0" w:firstLineChars="0"/>
        <w:rPr>
          <w:rFonts w:ascii="宋体" w:hAnsi="宋体"/>
        </w:rPr>
      </w:pPr>
      <w:r>
        <w:rPr>
          <w:rFonts w:hint="eastAsia" w:ascii="宋体" w:hAnsi="宋体"/>
          <w:b/>
        </w:rPr>
        <w:t>附：</w:t>
      </w:r>
      <w:r>
        <w:rPr>
          <w:rFonts w:ascii="宋体" w:hAnsi="宋体"/>
          <w:b/>
        </w:rPr>
        <w:t>2010年市总工会领导班子成员名单</w:t>
      </w:r>
    </w:p>
    <w:p w14:paraId="153E1AB8">
      <w:pPr>
        <w:ind w:firstLine="0" w:firstLineChars="0"/>
        <w:rPr>
          <w:rFonts w:ascii="宋体" w:hAnsi="宋体"/>
        </w:rPr>
      </w:pPr>
      <w:r>
        <w:rPr>
          <w:rFonts w:hint="eastAsia" w:ascii="宋体" w:hAnsi="宋体"/>
        </w:rPr>
        <w:t>主  席：张宗财（兼）</w:t>
      </w:r>
    </w:p>
    <w:p w14:paraId="7B503339">
      <w:pPr>
        <w:ind w:firstLine="0" w:firstLineChars="0"/>
        <w:rPr>
          <w:rFonts w:ascii="宋体" w:hAnsi="宋体"/>
        </w:rPr>
      </w:pPr>
      <w:r>
        <w:rPr>
          <w:rFonts w:hint="eastAsia" w:ascii="宋体" w:hAnsi="宋体"/>
        </w:rPr>
        <w:t>副主席：朱冬平  杨小凤</w:t>
      </w:r>
    </w:p>
    <w:p w14:paraId="0FABA796">
      <w:pPr>
        <w:pStyle w:val="3"/>
      </w:pPr>
      <w:r>
        <w:rPr>
          <w:rFonts w:hint="eastAsia"/>
        </w:rPr>
        <w:t>团市委</w:t>
      </w:r>
    </w:p>
    <w:p w14:paraId="45034793">
      <w:pPr>
        <w:pStyle w:val="4"/>
      </w:pPr>
      <w:r>
        <w:rPr>
          <w:rFonts w:hint="eastAsia"/>
        </w:rPr>
        <w:t>【概况】</w:t>
      </w:r>
    </w:p>
    <w:p w14:paraId="79FD4F27">
      <w:pPr>
        <w:ind w:firstLine="420"/>
        <w:rPr>
          <w:rFonts w:ascii="宋体" w:hAnsi="宋体"/>
        </w:rPr>
      </w:pPr>
      <w:r>
        <w:rPr>
          <w:rFonts w:hint="eastAsia" w:ascii="宋体" w:hAnsi="宋体"/>
        </w:rPr>
        <w:t>南雄建立团组织始于</w:t>
      </w:r>
      <w:r>
        <w:rPr>
          <w:rFonts w:ascii="宋体" w:hAnsi="宋体"/>
        </w:rPr>
        <w:t>1925年（共</w:t>
      </w:r>
      <w:r>
        <w:rPr>
          <w:rFonts w:hint="eastAsia" w:ascii="宋体" w:hAnsi="宋体"/>
        </w:rPr>
        <w:t>产主义青年团南雄特别支部）；</w:t>
      </w:r>
      <w:r>
        <w:rPr>
          <w:rFonts w:ascii="宋体" w:hAnsi="宋体"/>
        </w:rPr>
        <w:t>1949年成立</w:t>
      </w:r>
      <w:r>
        <w:rPr>
          <w:rFonts w:hint="eastAsia" w:ascii="宋体" w:hAnsi="宋体"/>
        </w:rPr>
        <w:t>“中国新民主主义青年团南雄县工作委员会”，简称团县工委；</w:t>
      </w:r>
      <w:r>
        <w:rPr>
          <w:rFonts w:ascii="宋体" w:hAnsi="宋体"/>
        </w:rPr>
        <w:t>1957年，</w:t>
      </w:r>
      <w:r>
        <w:rPr>
          <w:rFonts w:hint="eastAsia" w:ascii="宋体" w:hAnsi="宋体"/>
        </w:rPr>
        <w:t>“</w:t>
      </w:r>
      <w:r>
        <w:rPr>
          <w:rFonts w:ascii="宋体" w:hAnsi="宋体"/>
        </w:rPr>
        <w:t>中国新民主主义青</w:t>
      </w:r>
      <w:r>
        <w:rPr>
          <w:rFonts w:hint="eastAsia" w:ascii="宋体" w:hAnsi="宋体"/>
        </w:rPr>
        <w:t>年团南雄县工作委会员”改名为“中国共产主义青年团南雄县委员会”（简称团县委）；</w:t>
      </w:r>
      <w:r>
        <w:rPr>
          <w:rFonts w:ascii="宋体" w:hAnsi="宋体"/>
        </w:rPr>
        <w:t>1996年，改名为共产主义青年团南雄市委员</w:t>
      </w:r>
      <w:r>
        <w:rPr>
          <w:rFonts w:hint="eastAsia" w:ascii="宋体" w:hAnsi="宋体"/>
        </w:rPr>
        <w:t>会（简称团市委），沿用至今。共青团南雄市委员会是全市共青团组织的领导机关，设</w:t>
      </w:r>
      <w:r>
        <w:rPr>
          <w:rFonts w:ascii="宋体" w:hAnsi="宋体"/>
        </w:rPr>
        <w:t>1</w:t>
      </w:r>
      <w:r>
        <w:rPr>
          <w:rFonts w:hint="eastAsia" w:ascii="宋体" w:hAnsi="宋体"/>
        </w:rPr>
        <w:t>室</w:t>
      </w:r>
      <w:r>
        <w:rPr>
          <w:rFonts w:ascii="宋体" w:hAnsi="宋体"/>
        </w:rPr>
        <w:t>2部，编制4人，办公地址位于爱民路市政</w:t>
      </w:r>
      <w:r>
        <w:rPr>
          <w:rFonts w:hint="eastAsia" w:ascii="宋体" w:hAnsi="宋体"/>
        </w:rPr>
        <w:t>府大院市政府办公大楼</w:t>
      </w:r>
      <w:r>
        <w:rPr>
          <w:rFonts w:ascii="宋体" w:hAnsi="宋体"/>
        </w:rPr>
        <w:t>6楼。全市有基层团</w:t>
      </w:r>
      <w:r>
        <w:rPr>
          <w:rFonts w:hint="eastAsia" w:ascii="宋体" w:hAnsi="宋体"/>
        </w:rPr>
        <w:t>委</w:t>
      </w:r>
      <w:r>
        <w:rPr>
          <w:rFonts w:ascii="宋体" w:hAnsi="宋体"/>
        </w:rPr>
        <w:t>29个，团（总）支部381个，团员18630名。</w:t>
      </w:r>
    </w:p>
    <w:p w14:paraId="0390A651">
      <w:pPr>
        <w:pStyle w:val="4"/>
      </w:pPr>
      <w:r>
        <w:rPr>
          <w:rFonts w:hint="eastAsia"/>
        </w:rPr>
        <w:t>【全市青年工作会议】</w:t>
      </w:r>
    </w:p>
    <w:p w14:paraId="2B062BBC">
      <w:pPr>
        <w:ind w:firstLine="420"/>
        <w:rPr>
          <w:rFonts w:ascii="宋体" w:hAnsi="宋体"/>
        </w:rPr>
      </w:pPr>
      <w:r>
        <w:rPr>
          <w:rFonts w:ascii="宋体" w:hAnsi="宋体"/>
        </w:rPr>
        <w:t>5月4日，共青团南</w:t>
      </w:r>
      <w:r>
        <w:rPr>
          <w:rFonts w:hint="eastAsia" w:ascii="宋体" w:hAnsi="宋体"/>
        </w:rPr>
        <w:t>雄市委召开十六届四次全委（扩大）会议，团市委委员、候补委员，各基层团（工）委书记（负责人）参加会议；</w:t>
      </w:r>
      <w:r>
        <w:rPr>
          <w:rFonts w:ascii="宋体" w:hAnsi="宋体"/>
        </w:rPr>
        <w:t>5月4日，共青团</w:t>
      </w:r>
      <w:r>
        <w:rPr>
          <w:rFonts w:hint="eastAsia" w:ascii="宋体" w:hAnsi="宋体"/>
        </w:rPr>
        <w:t>南雄市委举行纪念五四运动</w:t>
      </w:r>
      <w:r>
        <w:rPr>
          <w:rFonts w:ascii="宋体" w:hAnsi="宋体"/>
        </w:rPr>
        <w:t>9</w:t>
      </w:r>
      <w:r>
        <w:rPr>
          <w:rFonts w:hint="eastAsia" w:ascii="宋体" w:hAnsi="宋体"/>
        </w:rPr>
        <w:t>1</w:t>
      </w:r>
      <w:r>
        <w:rPr>
          <w:rFonts w:ascii="宋体" w:hAnsi="宋体"/>
        </w:rPr>
        <w:t>周年暨表</w:t>
      </w:r>
      <w:r>
        <w:rPr>
          <w:rFonts w:hint="eastAsia" w:ascii="宋体" w:hAnsi="宋体"/>
        </w:rPr>
        <w:t>彰大会，市领导以及各级团组织有关负责人和青年代表共</w:t>
      </w:r>
      <w:r>
        <w:rPr>
          <w:rFonts w:ascii="宋体" w:hAnsi="宋体"/>
        </w:rPr>
        <w:t>800多人参加议。会议还表彰</w:t>
      </w:r>
      <w:r>
        <w:rPr>
          <w:rFonts w:hint="eastAsia" w:ascii="宋体" w:hAnsi="宋体"/>
        </w:rPr>
        <w:t>过去一年在共青团工作岗位上、青年志愿者服务、青年创新创业等活动和工作中涌现出来的先进集体和个人。</w:t>
      </w:r>
    </w:p>
    <w:p w14:paraId="73412FD9">
      <w:pPr>
        <w:pStyle w:val="4"/>
      </w:pPr>
      <w:r>
        <w:rPr>
          <w:rFonts w:hint="eastAsia"/>
        </w:rPr>
        <w:t>【成立青年联合会】</w:t>
      </w:r>
    </w:p>
    <w:p w14:paraId="4422E5BC">
      <w:pPr>
        <w:ind w:firstLine="420"/>
        <w:rPr>
          <w:rFonts w:ascii="宋体" w:hAnsi="宋体"/>
        </w:rPr>
      </w:pPr>
      <w:r>
        <w:rPr>
          <w:rFonts w:ascii="宋体" w:hAnsi="宋体"/>
        </w:rPr>
        <w:t>5月4日，市青年联合</w:t>
      </w:r>
      <w:r>
        <w:rPr>
          <w:rFonts w:hint="eastAsia" w:ascii="宋体" w:hAnsi="宋体"/>
        </w:rPr>
        <w:t>会在南雄大会堂召开成立大会暨南雄市青年联合会第一届委员会第一次全体会议，选举产生第一届南雄市青年联合会主席、副主席、秘书长和常务委员。</w:t>
      </w:r>
    </w:p>
    <w:p w14:paraId="0C955D3A">
      <w:pPr>
        <w:pStyle w:val="4"/>
      </w:pPr>
      <w:r>
        <w:rPr>
          <w:rFonts w:hint="eastAsia"/>
        </w:rPr>
        <w:t>【青少年思想道德建设】</w:t>
      </w:r>
    </w:p>
    <w:p w14:paraId="7692D5C0">
      <w:pPr>
        <w:ind w:firstLine="420"/>
        <w:rPr>
          <w:rFonts w:ascii="宋体" w:hAnsi="宋体"/>
        </w:rPr>
      </w:pPr>
      <w:r>
        <w:rPr>
          <w:rFonts w:hint="eastAsia" w:ascii="宋体" w:hAnsi="宋体"/>
        </w:rPr>
        <w:t>利用传统节日及重大纪念日，以纪念</w:t>
      </w:r>
      <w:r>
        <w:rPr>
          <w:rFonts w:hint="eastAsia" w:ascii="宋体" w:hAnsi="宋体"/>
          <w:lang w:eastAsia="zh-CN"/>
        </w:rPr>
        <w:t>五四运动</w:t>
      </w:r>
      <w:r>
        <w:rPr>
          <w:rFonts w:ascii="宋体" w:hAnsi="宋体"/>
        </w:rPr>
        <w:t>91周年、少</w:t>
      </w:r>
      <w:r>
        <w:rPr>
          <w:rFonts w:hint="eastAsia" w:ascii="宋体" w:hAnsi="宋体"/>
        </w:rPr>
        <w:t>先队建队</w:t>
      </w:r>
      <w:r>
        <w:rPr>
          <w:rFonts w:ascii="宋体" w:hAnsi="宋体"/>
        </w:rPr>
        <w:t>61周年等重大活动和重大节庆日为</w:t>
      </w:r>
      <w:r>
        <w:rPr>
          <w:rFonts w:hint="eastAsia" w:ascii="宋体" w:hAnsi="宋体"/>
        </w:rPr>
        <w:t>契机，在青少年中广泛开展各种形式的思想教育、爱国主义教育活动，召开“五四”表彰大会，以“忠孝文化”、“志愿者服务”、“植树造林”、“三下乡”等活动，推进青少年思想教育工作。通过与澳门青少年学生交流联谊、传递爱心手拉手等活动形式，培养广大青少年团结互助、关爱他人的良好品质。基层团委也举办多种多样的活动，以丰富青少年业余文化生活，增强青少年的理想信念教育。</w:t>
      </w:r>
    </w:p>
    <w:p w14:paraId="56B482BB">
      <w:pPr>
        <w:pStyle w:val="4"/>
      </w:pPr>
      <w:r>
        <w:rPr>
          <w:rFonts w:hint="eastAsia"/>
        </w:rPr>
        <w:t>【促进青年就业创业】</w:t>
      </w:r>
    </w:p>
    <w:p w14:paraId="333A9DE4">
      <w:pPr>
        <w:ind w:firstLine="420"/>
        <w:rPr>
          <w:rFonts w:ascii="宋体" w:hAnsi="宋体"/>
        </w:rPr>
      </w:pPr>
      <w:r>
        <w:rPr>
          <w:rFonts w:hint="eastAsia" w:ascii="宋体" w:hAnsi="宋体"/>
        </w:rPr>
        <w:t>利用农村党员远程教育网，依托“农科网络大讲堂”平台，在农村开展“百万农民学电脑”和养殖、加工服务技术培训；以服务农村青年增收成才为重点，充分发挥团组织的联络协调优势，培养出一批引领现代农业发展的优秀青年致富带头人。</w:t>
      </w:r>
    </w:p>
    <w:p w14:paraId="436E5E81">
      <w:pPr>
        <w:pStyle w:val="4"/>
      </w:pPr>
      <w:r>
        <w:rPr>
          <w:rFonts w:hint="eastAsia"/>
        </w:rPr>
        <w:t>【帮助弱势青少年群体】</w:t>
      </w:r>
    </w:p>
    <w:p w14:paraId="61D473AA">
      <w:pPr>
        <w:ind w:firstLine="420"/>
        <w:rPr>
          <w:rFonts w:ascii="宋体" w:hAnsi="宋体"/>
        </w:rPr>
      </w:pPr>
      <w:r>
        <w:rPr>
          <w:rFonts w:hint="eastAsia" w:ascii="宋体" w:hAnsi="宋体"/>
        </w:rPr>
        <w:t>团市委整合社会资源，争取团省委、省青基会、韶关团委及社会热心人士的大力支持，推进希望工程助学行动，实施“圆梦大学”计划和“南粤会亲”助学行动，扩大希望工程的覆盖范围，使更多贫困学生受到了关心和帮助。</w:t>
      </w:r>
      <w:r>
        <w:rPr>
          <w:rFonts w:ascii="宋体" w:hAnsi="宋体"/>
        </w:rPr>
        <w:t>2010年，团</w:t>
      </w:r>
      <w:r>
        <w:rPr>
          <w:rFonts w:hint="eastAsia" w:ascii="宋体" w:hAnsi="宋体"/>
        </w:rPr>
        <w:t>市委为</w:t>
      </w:r>
      <w:r>
        <w:rPr>
          <w:rFonts w:ascii="宋体" w:hAnsi="宋体"/>
        </w:rPr>
        <w:t>65名贫困学生发放助学金，为4名心</w:t>
      </w:r>
      <w:r>
        <w:rPr>
          <w:rFonts w:hint="eastAsia" w:ascii="宋体" w:hAnsi="宋体"/>
        </w:rPr>
        <w:t>脏病儿童联系救助医院减免手术费并成功实施手术，推荐</w:t>
      </w:r>
      <w:r>
        <w:rPr>
          <w:rFonts w:ascii="宋体" w:hAnsi="宋体"/>
        </w:rPr>
        <w:t>15名农村贫困家庭学生免费就</w:t>
      </w:r>
      <w:r>
        <w:rPr>
          <w:rFonts w:hint="eastAsia" w:ascii="宋体" w:hAnsi="宋体"/>
        </w:rPr>
        <w:t>读韶关机电技校“希望工程工读班”；推进留守儿童之家——“希望家园”的建设，在黄坑镇溪塘村坪岗早田明小学成立南雄第一个省级“希望家园”示范点，并在珠玑灵潭小学和乌迳田心小心建立两所韶关市级“希望家园”，满足留守少年儿童心理咨询、情感交流、学习帮助和文体活动等方面的需求。</w:t>
      </w:r>
    </w:p>
    <w:p w14:paraId="5F202497">
      <w:pPr>
        <w:pStyle w:val="4"/>
      </w:pPr>
      <w:r>
        <w:rPr>
          <w:rFonts w:hint="eastAsia"/>
        </w:rPr>
        <w:t>【志愿服务行动】</w:t>
      </w:r>
    </w:p>
    <w:p w14:paraId="059A16C3">
      <w:pPr>
        <w:ind w:firstLine="420"/>
        <w:rPr>
          <w:rFonts w:ascii="宋体" w:hAnsi="宋体"/>
        </w:rPr>
      </w:pPr>
      <w:r>
        <w:rPr>
          <w:rFonts w:ascii="宋体" w:hAnsi="宋体"/>
        </w:rPr>
        <w:t>3月10日，团市委组织青</w:t>
      </w:r>
      <w:r>
        <w:rPr>
          <w:rFonts w:hint="eastAsia" w:ascii="宋体" w:hAnsi="宋体"/>
        </w:rPr>
        <w:t>年志愿者在全市范围内开展以“弘扬志愿精神，建设文明南雄”为主题的青年志愿者集中服务活动；</w:t>
      </w:r>
      <w:r>
        <w:rPr>
          <w:rFonts w:ascii="宋体" w:hAnsi="宋体"/>
        </w:rPr>
        <w:t>3月20日，团市委组织医疗志</w:t>
      </w:r>
      <w:r>
        <w:rPr>
          <w:rFonts w:hint="eastAsia" w:ascii="宋体" w:hAnsi="宋体"/>
        </w:rPr>
        <w:t>愿者到南亩中岭村开展“志愿促和谐，健康送农村”的志愿义诊活动，期间有</w:t>
      </w:r>
      <w:r>
        <w:rPr>
          <w:rFonts w:ascii="宋体" w:hAnsi="宋体"/>
        </w:rPr>
        <w:t>60余名群</w:t>
      </w:r>
      <w:r>
        <w:rPr>
          <w:rFonts w:hint="eastAsia" w:ascii="宋体" w:hAnsi="宋体"/>
        </w:rPr>
        <w:t>众前来就诊和咨询，免费发放价值</w:t>
      </w:r>
      <w:r>
        <w:rPr>
          <w:rFonts w:ascii="宋体" w:hAnsi="宋体"/>
        </w:rPr>
        <w:t>3000多元</w:t>
      </w:r>
      <w:r>
        <w:rPr>
          <w:rFonts w:hint="eastAsia" w:ascii="宋体" w:hAnsi="宋体"/>
        </w:rPr>
        <w:t>的常用药品；</w:t>
      </w:r>
      <w:r>
        <w:rPr>
          <w:rFonts w:ascii="宋体" w:hAnsi="宋体"/>
        </w:rPr>
        <w:t>5月26日上午，团市委、南雄</w:t>
      </w:r>
      <w:r>
        <w:rPr>
          <w:rFonts w:hint="eastAsia" w:ascii="宋体" w:hAnsi="宋体"/>
        </w:rPr>
        <w:t>市青年志愿者协会在全安镇中心小学联合开展主题为“平安校园、和谐家园”的志愿服务行动；</w:t>
      </w:r>
      <w:r>
        <w:rPr>
          <w:rFonts w:ascii="宋体" w:hAnsi="宋体"/>
        </w:rPr>
        <w:t>6月26日上午，团市委组织青年志</w:t>
      </w:r>
      <w:r>
        <w:rPr>
          <w:rFonts w:hint="eastAsia" w:ascii="宋体" w:hAnsi="宋体"/>
        </w:rPr>
        <w:t>愿者参加大型禁毒宣传活动，同时走进校园，在市区</w:t>
      </w:r>
      <w:r>
        <w:rPr>
          <w:rFonts w:ascii="宋体" w:hAnsi="宋体"/>
        </w:rPr>
        <w:t>3所中学开展禁毒知识讲座。</w:t>
      </w:r>
    </w:p>
    <w:p w14:paraId="1EF77805">
      <w:pPr>
        <w:pStyle w:val="4"/>
      </w:pPr>
      <w:r>
        <w:rPr>
          <w:rFonts w:hint="eastAsia"/>
        </w:rPr>
        <w:t>【团建工作】</w:t>
      </w:r>
    </w:p>
    <w:p w14:paraId="3A00393D">
      <w:pPr>
        <w:ind w:firstLine="420"/>
        <w:rPr>
          <w:rFonts w:ascii="宋体" w:hAnsi="宋体"/>
        </w:rPr>
      </w:pPr>
      <w:r>
        <w:rPr>
          <w:rFonts w:hint="eastAsia" w:ascii="宋体" w:hAnsi="宋体"/>
        </w:rPr>
        <w:t>坚持党建带团建，以团建创新活动为抓手，探索和创新共青团工作的有效载体和途径。在“五四红旗团委（团支部）”创建活动中，共青团黄坑镇委获得广东省“五四红旗团委”称号。坚持眼睛向下，重心下移，全面实施共青团固本强基工程，开展“活力在基层”主题团日竞赛活动，有</w:t>
      </w:r>
      <w:r>
        <w:rPr>
          <w:rFonts w:ascii="宋体" w:hAnsi="宋体"/>
        </w:rPr>
        <w:t>4个基</w:t>
      </w:r>
      <w:r>
        <w:rPr>
          <w:rFonts w:hint="eastAsia" w:ascii="宋体" w:hAnsi="宋体"/>
        </w:rPr>
        <w:t>层团委（团支部）在活动中获得省优秀方案奖及活动经费补贴。加强“两新”组织建团力度，推动青年行业协会建设，探索“支部</w:t>
      </w:r>
      <w:r>
        <w:rPr>
          <w:rFonts w:ascii="宋体" w:hAnsi="宋体"/>
        </w:rPr>
        <w:t>+协会</w:t>
      </w:r>
      <w:r>
        <w:rPr>
          <w:rFonts w:hint="eastAsia" w:ascii="宋体" w:hAnsi="宋体"/>
        </w:rPr>
        <w:t>”</w:t>
      </w:r>
      <w:r>
        <w:rPr>
          <w:rFonts w:ascii="宋体" w:hAnsi="宋体"/>
        </w:rPr>
        <w:t>的团建模式</w:t>
      </w:r>
      <w:r>
        <w:rPr>
          <w:rFonts w:hint="eastAsia" w:ascii="宋体" w:hAnsi="宋体"/>
        </w:rPr>
        <w:t>。</w:t>
      </w:r>
    </w:p>
    <w:p w14:paraId="10786DB1">
      <w:pPr>
        <w:ind w:firstLine="420"/>
        <w:jc w:val="right"/>
        <w:rPr>
          <w:rFonts w:ascii="宋体" w:hAnsi="宋体"/>
        </w:rPr>
      </w:pPr>
      <w:r>
        <w:rPr>
          <w:rFonts w:hint="eastAsia" w:ascii="宋体" w:hAnsi="宋体"/>
        </w:rPr>
        <w:t>（袁  斌）</w:t>
      </w:r>
    </w:p>
    <w:p w14:paraId="7127F086">
      <w:pPr>
        <w:ind w:firstLine="0" w:firstLineChars="0"/>
        <w:rPr>
          <w:rFonts w:ascii="宋体" w:hAnsi="宋体"/>
        </w:rPr>
      </w:pPr>
      <w:r>
        <w:rPr>
          <w:rFonts w:hint="eastAsia" w:ascii="宋体" w:hAnsi="宋体"/>
          <w:b/>
        </w:rPr>
        <w:t>附：</w:t>
      </w:r>
      <w:r>
        <w:rPr>
          <w:rFonts w:ascii="宋体" w:hAnsi="宋体"/>
          <w:b/>
        </w:rPr>
        <w:t>2010年团市委领导班子成员名单</w:t>
      </w:r>
    </w:p>
    <w:p w14:paraId="0B00329C">
      <w:pPr>
        <w:ind w:firstLine="0" w:firstLineChars="0"/>
        <w:rPr>
          <w:rFonts w:ascii="宋体" w:hAnsi="宋体"/>
        </w:rPr>
      </w:pPr>
      <w:r>
        <w:rPr>
          <w:rFonts w:hint="eastAsia" w:ascii="宋体" w:hAnsi="宋体"/>
        </w:rPr>
        <w:t>书记：陈华林</w:t>
      </w:r>
    </w:p>
    <w:p w14:paraId="4DADB95B">
      <w:pPr>
        <w:ind w:firstLine="0" w:firstLineChars="0"/>
        <w:rPr>
          <w:rFonts w:ascii="宋体" w:hAnsi="宋体"/>
        </w:rPr>
      </w:pPr>
      <w:r>
        <w:rPr>
          <w:rFonts w:hint="eastAsia" w:ascii="宋体" w:hAnsi="宋体"/>
        </w:rPr>
        <w:t>副书记：高春花  黄恢伟</w:t>
      </w:r>
    </w:p>
    <w:p w14:paraId="29425F84">
      <w:pPr>
        <w:pStyle w:val="3"/>
      </w:pPr>
      <w:r>
        <w:rPr>
          <w:rFonts w:hint="eastAsia"/>
        </w:rPr>
        <w:t>妇联</w:t>
      </w:r>
    </w:p>
    <w:p w14:paraId="625CEE4C">
      <w:pPr>
        <w:pStyle w:val="4"/>
      </w:pPr>
      <w:r>
        <w:rPr>
          <w:rFonts w:hint="eastAsia"/>
        </w:rPr>
        <w:t>【概况】</w:t>
      </w:r>
    </w:p>
    <w:p w14:paraId="1D683F93">
      <w:pPr>
        <w:ind w:firstLine="420"/>
        <w:rPr>
          <w:rFonts w:ascii="宋体" w:hAnsi="宋体"/>
        </w:rPr>
      </w:pPr>
      <w:r>
        <w:rPr>
          <w:rFonts w:hint="eastAsia" w:ascii="宋体" w:hAnsi="宋体"/>
        </w:rPr>
        <w:t>南雄市妇女联合会为正科级群众团体，内设</w:t>
      </w:r>
      <w:r>
        <w:rPr>
          <w:rFonts w:ascii="宋体" w:hAnsi="宋体"/>
        </w:rPr>
        <w:t>3个部，综合部、权益部，市妇女</w:t>
      </w:r>
      <w:r>
        <w:rPr>
          <w:rFonts w:hint="eastAsia" w:ascii="宋体" w:hAnsi="宋体"/>
        </w:rPr>
        <w:t>儿童工作委员会办公室设在市妇联，人员编制</w:t>
      </w:r>
      <w:r>
        <w:rPr>
          <w:rFonts w:ascii="宋体" w:hAnsi="宋体"/>
        </w:rPr>
        <w:t>5名，其中领导职数3名（1正2副）其它</w:t>
      </w:r>
      <w:r>
        <w:rPr>
          <w:rFonts w:hint="eastAsia" w:ascii="宋体" w:hAnsi="宋体"/>
        </w:rPr>
        <w:t>干部</w:t>
      </w:r>
      <w:r>
        <w:rPr>
          <w:rFonts w:ascii="宋体" w:hAnsi="宋体"/>
        </w:rPr>
        <w:t>1名，工人1名</w:t>
      </w:r>
      <w:r>
        <w:rPr>
          <w:rFonts w:hint="eastAsia" w:ascii="宋体" w:hAnsi="宋体"/>
        </w:rPr>
        <w:t>。</w:t>
      </w:r>
    </w:p>
    <w:p w14:paraId="1C82EFF5">
      <w:pPr>
        <w:pStyle w:val="4"/>
      </w:pPr>
      <w:r>
        <w:rPr>
          <w:rFonts w:hint="eastAsia"/>
        </w:rPr>
        <w:t>【培训服务支持行动】</w:t>
      </w:r>
    </w:p>
    <w:p w14:paraId="19C72EBD">
      <w:pPr>
        <w:ind w:firstLine="420"/>
        <w:rPr>
          <w:rFonts w:ascii="宋体" w:hAnsi="宋体"/>
        </w:rPr>
      </w:pPr>
      <w:r>
        <w:rPr>
          <w:rFonts w:hint="eastAsia" w:ascii="宋体" w:hAnsi="宋体"/>
        </w:rPr>
        <w:t>一是纳入政府培训。将妇女培训纳入各级劳动、科技、农业等政府部门的专项技能培训项目中，采用“订单式培训”“上门培训”等形式培训妇女就业转移。</w:t>
      </w:r>
      <w:r>
        <w:rPr>
          <w:rFonts w:ascii="宋体" w:hAnsi="宋体"/>
        </w:rPr>
        <w:t>2010年培训妇女779人，帮助就业694</w:t>
      </w:r>
      <w:r>
        <w:rPr>
          <w:rFonts w:hint="eastAsia" w:ascii="宋体" w:hAnsi="宋体"/>
        </w:rPr>
        <w:t>人，培训后就业率达</w:t>
      </w:r>
      <w:r>
        <w:rPr>
          <w:rFonts w:ascii="宋体" w:hAnsi="宋体"/>
        </w:rPr>
        <w:t>80%；二是强化阵地培</w:t>
      </w:r>
      <w:r>
        <w:rPr>
          <w:rFonts w:hint="eastAsia" w:ascii="宋体" w:hAnsi="宋体"/>
        </w:rPr>
        <w:t>训，充分利用农村妇女学校阵地进行农科培训。培训</w:t>
      </w:r>
      <w:r>
        <w:rPr>
          <w:rFonts w:ascii="宋体" w:hAnsi="宋体"/>
        </w:rPr>
        <w:t>880场次，4.8万人参加培训；三是</w:t>
      </w:r>
      <w:r>
        <w:rPr>
          <w:rFonts w:hint="eastAsia" w:ascii="宋体" w:hAnsi="宋体"/>
        </w:rPr>
        <w:t>开展特色培训。争取“农家女”免费培训资源，选送</w:t>
      </w:r>
      <w:r>
        <w:rPr>
          <w:rFonts w:ascii="宋体" w:hAnsi="宋体"/>
        </w:rPr>
        <w:t>8名女村官到北京参加参政议政、</w:t>
      </w:r>
      <w:r>
        <w:rPr>
          <w:rFonts w:hint="eastAsia" w:ascii="宋体" w:hAnsi="宋体"/>
        </w:rPr>
        <w:t>市场营销等技能培训班。</w:t>
      </w:r>
    </w:p>
    <w:p w14:paraId="1040E0E0">
      <w:pPr>
        <w:pStyle w:val="4"/>
      </w:pPr>
      <w:r>
        <w:rPr>
          <w:rFonts w:hint="eastAsia"/>
        </w:rPr>
        <w:t>【小额信贷服务支持行动】</w:t>
      </w:r>
    </w:p>
    <w:p w14:paraId="039CE54E">
      <w:pPr>
        <w:ind w:firstLine="420"/>
        <w:rPr>
          <w:rFonts w:ascii="宋体" w:hAnsi="宋体"/>
        </w:rPr>
      </w:pPr>
      <w:r>
        <w:rPr>
          <w:rFonts w:hint="eastAsia" w:ascii="宋体" w:hAnsi="宋体"/>
        </w:rPr>
        <w:t>第一批</w:t>
      </w:r>
      <w:r>
        <w:rPr>
          <w:rFonts w:ascii="宋体" w:hAnsi="宋体"/>
        </w:rPr>
        <w:t>22名农</w:t>
      </w:r>
      <w:r>
        <w:rPr>
          <w:rFonts w:hint="eastAsia" w:ascii="宋体" w:hAnsi="宋体"/>
        </w:rPr>
        <w:t>村妇女得到小额担保贷款，共计</w:t>
      </w:r>
      <w:r>
        <w:rPr>
          <w:rFonts w:ascii="宋体" w:hAnsi="宋体"/>
        </w:rPr>
        <w:t>91万元。</w:t>
      </w:r>
    </w:p>
    <w:p w14:paraId="4E319AD1">
      <w:pPr>
        <w:pStyle w:val="4"/>
      </w:pPr>
      <w:r>
        <w:rPr>
          <w:rFonts w:hint="eastAsia"/>
        </w:rPr>
        <w:t>【妇女健康服务支持行动】</w:t>
      </w:r>
    </w:p>
    <w:p w14:paraId="5CE742A2">
      <w:pPr>
        <w:ind w:firstLine="420"/>
        <w:rPr>
          <w:rFonts w:ascii="宋体" w:hAnsi="宋体"/>
        </w:rPr>
      </w:pPr>
      <w:r>
        <w:rPr>
          <w:rFonts w:ascii="宋体" w:hAnsi="宋体"/>
        </w:rPr>
        <w:t>2010年8月，市</w:t>
      </w:r>
      <w:r>
        <w:rPr>
          <w:rFonts w:hint="eastAsia" w:ascii="宋体" w:hAnsi="宋体"/>
        </w:rPr>
        <w:t>妇联与中医院联合举办女性健康知识讲座，市直机关</w:t>
      </w:r>
      <w:r>
        <w:rPr>
          <w:rFonts w:ascii="宋体" w:hAnsi="宋体"/>
        </w:rPr>
        <w:t>120多名女干部参加讲座。11月至12月，市妇联邀请西安科技大学陈炜教授到</w:t>
      </w:r>
      <w:r>
        <w:rPr>
          <w:rFonts w:hint="eastAsia" w:ascii="宋体" w:hAnsi="宋体"/>
        </w:rPr>
        <w:t>南雄城乡开展巡回妇女健康知识讲座</w:t>
      </w:r>
      <w:r>
        <w:rPr>
          <w:rFonts w:ascii="宋体" w:hAnsi="宋体"/>
        </w:rPr>
        <w:t>42场，2108名妇女接受健康知识教育</w:t>
      </w:r>
      <w:r>
        <w:rPr>
          <w:rFonts w:hint="eastAsia" w:ascii="宋体" w:hAnsi="宋体"/>
        </w:rPr>
        <w:t>。</w:t>
      </w:r>
    </w:p>
    <w:p w14:paraId="1B239E7E">
      <w:pPr>
        <w:pStyle w:val="4"/>
      </w:pPr>
      <w:r>
        <w:rPr>
          <w:rFonts w:hint="eastAsia"/>
        </w:rPr>
        <w:t>【扶贫助困服务支持行动】</w:t>
      </w:r>
    </w:p>
    <w:p w14:paraId="1E0E0766">
      <w:pPr>
        <w:ind w:firstLine="420"/>
        <w:rPr>
          <w:rFonts w:ascii="宋体" w:hAnsi="宋体"/>
        </w:rPr>
      </w:pPr>
      <w:r>
        <w:rPr>
          <w:rFonts w:hint="eastAsia" w:ascii="宋体" w:hAnsi="宋体"/>
        </w:rPr>
        <w:t>一是开展扶贫救助工作。市妇联积极为挂钩扶贫村江头镇武岭村实行一对一帮扶；二是实施援建母亲安居房项目。争取省、韶关市妇联</w:t>
      </w:r>
      <w:r>
        <w:rPr>
          <w:rFonts w:ascii="宋体" w:hAnsi="宋体"/>
        </w:rPr>
        <w:t>13.5万元帮</w:t>
      </w:r>
      <w:r>
        <w:rPr>
          <w:rFonts w:hint="eastAsia" w:ascii="宋体" w:hAnsi="宋体"/>
        </w:rPr>
        <w:t>扶资金援建了</w:t>
      </w:r>
      <w:r>
        <w:rPr>
          <w:rFonts w:ascii="宋体" w:hAnsi="宋体"/>
        </w:rPr>
        <w:t>9户母亲安居房；三是开展创</w:t>
      </w:r>
      <w:r>
        <w:rPr>
          <w:rFonts w:hint="eastAsia" w:ascii="宋体" w:hAnsi="宋体"/>
        </w:rPr>
        <w:t>新广东信息化扶贫行动。为</w:t>
      </w:r>
      <w:r>
        <w:rPr>
          <w:rFonts w:ascii="宋体" w:hAnsi="宋体"/>
        </w:rPr>
        <w:t>100名单亲特困</w:t>
      </w:r>
      <w:r>
        <w:rPr>
          <w:rFonts w:hint="eastAsia" w:ascii="宋体" w:hAnsi="宋体"/>
        </w:rPr>
        <w:t>母亲每人发放</w:t>
      </w:r>
      <w:r>
        <w:rPr>
          <w:rFonts w:ascii="宋体" w:hAnsi="宋体"/>
        </w:rPr>
        <w:t>200</w:t>
      </w:r>
      <w:r>
        <w:rPr>
          <w:rFonts w:hint="eastAsia" w:ascii="宋体" w:hAnsi="宋体"/>
        </w:rPr>
        <w:t>0</w:t>
      </w:r>
      <w:r>
        <w:rPr>
          <w:rFonts w:ascii="宋体" w:hAnsi="宋体"/>
        </w:rPr>
        <w:t>元生产资金，并赠送手机</w:t>
      </w:r>
      <w:r>
        <w:rPr>
          <w:rFonts w:hint="eastAsia" w:ascii="宋体" w:hAnsi="宋体"/>
        </w:rPr>
        <w:t>一台，免话费一年；四是办好“女子成才班”。</w:t>
      </w:r>
      <w:r>
        <w:rPr>
          <w:rFonts w:ascii="宋体" w:hAnsi="宋体"/>
        </w:rPr>
        <w:t>2010年新招生51名学员；五是开展</w:t>
      </w:r>
      <w:r>
        <w:rPr>
          <w:rFonts w:hint="eastAsia" w:ascii="宋体" w:hAnsi="宋体"/>
        </w:rPr>
        <w:t>“爱心大联盟行动”。全市有近</w:t>
      </w:r>
      <w:r>
        <w:rPr>
          <w:rFonts w:ascii="宋体" w:hAnsi="宋体"/>
        </w:rPr>
        <w:t>2000名爱心父</w:t>
      </w:r>
      <w:r>
        <w:rPr>
          <w:rFonts w:hint="eastAsia" w:ascii="宋体" w:hAnsi="宋体"/>
        </w:rPr>
        <w:t>母与</w:t>
      </w:r>
      <w:r>
        <w:rPr>
          <w:rFonts w:ascii="宋体" w:hAnsi="宋体"/>
        </w:rPr>
        <w:t>1067名困境儿童结对，</w:t>
      </w:r>
      <w:r>
        <w:rPr>
          <w:rFonts w:hint="eastAsia" w:ascii="宋体" w:hAnsi="宋体"/>
        </w:rPr>
        <w:t>已</w:t>
      </w:r>
      <w:r>
        <w:rPr>
          <w:rFonts w:ascii="宋体" w:hAnsi="宋体"/>
        </w:rPr>
        <w:t>送出帮扶资金120多万元，送出学习、生活用品等物资折合</w:t>
      </w:r>
      <w:r>
        <w:rPr>
          <w:rFonts w:hint="eastAsia" w:ascii="宋体" w:hAnsi="宋体"/>
        </w:rPr>
        <w:t>人民币</w:t>
      </w:r>
      <w:r>
        <w:rPr>
          <w:rFonts w:ascii="宋体" w:hAnsi="宋体"/>
        </w:rPr>
        <w:t>20多万元；六是开展单亲特困母亲春</w:t>
      </w:r>
      <w:r>
        <w:rPr>
          <w:rFonts w:hint="eastAsia" w:ascii="宋体" w:hAnsi="宋体"/>
        </w:rPr>
        <w:t>节慰问活动。</w:t>
      </w:r>
      <w:r>
        <w:rPr>
          <w:rFonts w:ascii="宋体" w:hAnsi="宋体"/>
        </w:rPr>
        <w:t>53户单亲特困母亲得到了市妇</w:t>
      </w:r>
      <w:r>
        <w:rPr>
          <w:rFonts w:hint="eastAsia" w:ascii="宋体" w:hAnsi="宋体"/>
        </w:rPr>
        <w:t>联的援助，帮扶资金共</w:t>
      </w:r>
      <w:r>
        <w:rPr>
          <w:rFonts w:ascii="宋体" w:hAnsi="宋体"/>
        </w:rPr>
        <w:t>2万元。</w:t>
      </w:r>
    </w:p>
    <w:p w14:paraId="23CF48BE">
      <w:pPr>
        <w:pStyle w:val="4"/>
      </w:pPr>
      <w:r>
        <w:rPr>
          <w:rFonts w:hint="eastAsia"/>
        </w:rPr>
        <w:t>【维护妇女儿童合法权益】</w:t>
      </w:r>
    </w:p>
    <w:p w14:paraId="56635F7E">
      <w:pPr>
        <w:ind w:firstLine="420"/>
        <w:rPr>
          <w:rFonts w:ascii="宋体" w:hAnsi="宋体"/>
        </w:rPr>
      </w:pPr>
      <w:r>
        <w:rPr>
          <w:rFonts w:ascii="宋体" w:hAnsi="宋体"/>
        </w:rPr>
        <w:t>1、开展三八维</w:t>
      </w:r>
      <w:r>
        <w:rPr>
          <w:rFonts w:hint="eastAsia" w:ascii="宋体" w:hAnsi="宋体"/>
        </w:rPr>
        <w:t>权周活动。开展“两性和谐，让家庭远离暴力”三八妇女维权周宣传咨询活动，发出宣传资料</w:t>
      </w:r>
      <w:r>
        <w:rPr>
          <w:rFonts w:ascii="宋体" w:hAnsi="宋体"/>
        </w:rPr>
        <w:t>3000多份。全年送法律知识下乡3次，</w:t>
      </w:r>
      <w:r>
        <w:rPr>
          <w:rFonts w:hint="eastAsia" w:ascii="宋体" w:hAnsi="宋体"/>
        </w:rPr>
        <w:t>印发维权宣传资料</w:t>
      </w:r>
      <w:r>
        <w:rPr>
          <w:rFonts w:ascii="宋体" w:hAnsi="宋体"/>
        </w:rPr>
        <w:t>1.2万份，开展法律咨询</w:t>
      </w:r>
      <w:r>
        <w:rPr>
          <w:rFonts w:hint="eastAsia" w:ascii="宋体" w:hAnsi="宋体"/>
        </w:rPr>
        <w:t>活动</w:t>
      </w:r>
      <w:r>
        <w:rPr>
          <w:rFonts w:ascii="宋体" w:hAnsi="宋体"/>
        </w:rPr>
        <w:t>21场。</w:t>
      </w:r>
    </w:p>
    <w:p w14:paraId="327D79E5">
      <w:pPr>
        <w:ind w:firstLine="420"/>
        <w:rPr>
          <w:rFonts w:ascii="宋体" w:hAnsi="宋体"/>
        </w:rPr>
      </w:pPr>
      <w:r>
        <w:rPr>
          <w:rFonts w:ascii="宋体" w:hAnsi="宋体"/>
        </w:rPr>
        <w:t>2、做好群众来信来访。全年处理群众来</w:t>
      </w:r>
      <w:r>
        <w:rPr>
          <w:rFonts w:hint="eastAsia" w:ascii="宋体" w:hAnsi="宋体"/>
        </w:rPr>
        <w:t>信来访</w:t>
      </w:r>
      <w:r>
        <w:rPr>
          <w:rFonts w:ascii="宋体" w:hAnsi="宋体"/>
        </w:rPr>
        <w:t>63宗，办结率98%；妇联干部陪审员</w:t>
      </w:r>
      <w:r>
        <w:rPr>
          <w:rFonts w:hint="eastAsia" w:ascii="宋体" w:hAnsi="宋体"/>
        </w:rPr>
        <w:t>参与案件审理</w:t>
      </w:r>
      <w:r>
        <w:rPr>
          <w:rFonts w:ascii="宋体" w:hAnsi="宋体"/>
        </w:rPr>
        <w:t>19宗，与律师联合办案2宗，</w:t>
      </w:r>
      <w:r>
        <w:rPr>
          <w:rFonts w:hint="eastAsia" w:ascii="宋体" w:hAnsi="宋体"/>
        </w:rPr>
        <w:t>代理案件</w:t>
      </w:r>
      <w:r>
        <w:rPr>
          <w:rFonts w:ascii="宋体" w:hAnsi="宋体"/>
        </w:rPr>
        <w:t>2件，为妇女提供法律援助22件。3、参与社会治安综合治理。分别在黄坑、帽</w:t>
      </w:r>
      <w:r>
        <w:rPr>
          <w:rFonts w:hint="eastAsia" w:ascii="宋体" w:hAnsi="宋体"/>
        </w:rPr>
        <w:t>子峰、珠玑、邓坊等镇开展平安家庭创建活动，以点带面，先后建立起</w:t>
      </w:r>
      <w:r>
        <w:rPr>
          <w:rFonts w:ascii="宋体" w:hAnsi="宋体"/>
        </w:rPr>
        <w:t>47个村试点。</w:t>
      </w:r>
    </w:p>
    <w:p w14:paraId="5AB98B3D">
      <w:pPr>
        <w:pStyle w:val="4"/>
      </w:pPr>
      <w:r>
        <w:rPr>
          <w:rFonts w:hint="eastAsia"/>
        </w:rPr>
        <w:t>【“庆三八、展风采、促和谐”活动】</w:t>
      </w:r>
    </w:p>
    <w:p w14:paraId="4D721DD3">
      <w:pPr>
        <w:ind w:firstLine="420"/>
        <w:rPr>
          <w:rFonts w:ascii="宋体" w:hAnsi="宋体"/>
        </w:rPr>
      </w:pPr>
      <w:r>
        <w:rPr>
          <w:rFonts w:hint="eastAsia" w:ascii="宋体" w:hAnsi="宋体"/>
        </w:rPr>
        <w:t>市妇联开展主题鲜明、内容丰富、形式多样的“三八”国际劳动妇女节</w:t>
      </w:r>
      <w:r>
        <w:rPr>
          <w:rFonts w:ascii="宋体" w:hAnsi="宋体"/>
        </w:rPr>
        <w:t>100周年纪念活动，</w:t>
      </w:r>
      <w:r>
        <w:rPr>
          <w:rFonts w:hint="eastAsia" w:ascii="宋体" w:hAnsi="宋体"/>
        </w:rPr>
        <w:t>表彰一批巾帼建功先进先进个人</w:t>
      </w:r>
      <w:r>
        <w:rPr>
          <w:rFonts w:ascii="宋体" w:hAnsi="宋体"/>
        </w:rPr>
        <w:t>12名，双学</w:t>
      </w:r>
      <w:r>
        <w:rPr>
          <w:rFonts w:hint="eastAsia" w:ascii="宋体" w:hAnsi="宋体"/>
        </w:rPr>
        <w:t>双比女能手</w:t>
      </w:r>
      <w:r>
        <w:rPr>
          <w:rFonts w:ascii="宋体" w:hAnsi="宋体"/>
        </w:rPr>
        <w:t>47名；举办南雄市</w:t>
      </w:r>
      <w:r>
        <w:rPr>
          <w:rFonts w:hint="eastAsia" w:ascii="宋体" w:hAnsi="宋体"/>
        </w:rPr>
        <w:t>“</w:t>
      </w:r>
      <w:r>
        <w:rPr>
          <w:rFonts w:ascii="宋体" w:hAnsi="宋体"/>
        </w:rPr>
        <w:t>增创新优</w:t>
      </w:r>
      <w:r>
        <w:rPr>
          <w:rFonts w:hint="eastAsia" w:ascii="宋体" w:hAnsi="宋体"/>
        </w:rPr>
        <w:t>势，创造新业绩”妇女发展图片展。联合体育局开展“三八”女子拔河比赛，组织</w:t>
      </w:r>
      <w:r>
        <w:rPr>
          <w:rFonts w:ascii="宋体" w:hAnsi="宋体"/>
        </w:rPr>
        <w:t>15队</w:t>
      </w:r>
      <w:r>
        <w:rPr>
          <w:rFonts w:hint="eastAsia" w:ascii="宋体" w:hAnsi="宋体"/>
        </w:rPr>
        <w:t>共</w:t>
      </w:r>
      <w:r>
        <w:rPr>
          <w:rFonts w:ascii="宋体" w:hAnsi="宋体"/>
        </w:rPr>
        <w:t>225人参与活动。</w:t>
      </w:r>
    </w:p>
    <w:p w14:paraId="364EE3DB">
      <w:pPr>
        <w:pStyle w:val="4"/>
      </w:pPr>
      <w:r>
        <w:rPr>
          <w:rFonts w:hint="eastAsia"/>
        </w:rPr>
        <w:t>【“六一送健康、送温暖”活动】</w:t>
      </w:r>
    </w:p>
    <w:p w14:paraId="73D2FEA7">
      <w:pPr>
        <w:ind w:firstLine="420"/>
        <w:rPr>
          <w:rFonts w:ascii="宋体" w:hAnsi="宋体"/>
        </w:rPr>
      </w:pPr>
      <w:r>
        <w:rPr>
          <w:rFonts w:hint="eastAsia" w:ascii="宋体" w:hAnsi="宋体"/>
        </w:rPr>
        <w:t>一是“六一”期间，市妇联与妇幼保健院到黄坑中心小学开展慰问活动，为学校送去</w:t>
      </w:r>
      <w:r>
        <w:rPr>
          <w:rFonts w:ascii="宋体" w:hAnsi="宋体"/>
        </w:rPr>
        <w:t>5000元慰问</w:t>
      </w:r>
      <w:r>
        <w:rPr>
          <w:rFonts w:hint="eastAsia" w:ascii="宋体" w:hAnsi="宋体"/>
        </w:rPr>
        <w:t>金，市妇幼保健院为该校</w:t>
      </w:r>
      <w:r>
        <w:rPr>
          <w:rFonts w:ascii="宋体" w:hAnsi="宋体"/>
        </w:rPr>
        <w:t>300多名同学免费</w:t>
      </w:r>
      <w:r>
        <w:rPr>
          <w:rFonts w:hint="eastAsia" w:ascii="宋体" w:hAnsi="宋体"/>
        </w:rPr>
        <w:t>体检；二是举办“增补叶酸预防神经管缺陷项目启动仪式暨培训班”。</w:t>
      </w:r>
      <w:r>
        <w:rPr>
          <w:rFonts w:ascii="宋体" w:hAnsi="宋体"/>
        </w:rPr>
        <w:t>7月，市妇儿工委</w:t>
      </w:r>
      <w:r>
        <w:rPr>
          <w:rFonts w:hint="eastAsia" w:ascii="宋体" w:hAnsi="宋体"/>
        </w:rPr>
        <w:t>联合市卫生局、妇幼保健院、计生、民政等部门举办增补叶酸预防神经管缺陷项目启动仪式暨培训班，向各级妇联干部、计生专干、医务人员和农村育龄妇女宣传市实施增补叶酸预防缺陷项目的具体措施和叶酸作用，并对有关人员进行了增补叶酸项目的培训。</w:t>
      </w:r>
    </w:p>
    <w:p w14:paraId="53D5CA00">
      <w:pPr>
        <w:pStyle w:val="4"/>
      </w:pPr>
      <w:r>
        <w:rPr>
          <w:rFonts w:hint="eastAsia"/>
        </w:rPr>
        <w:t>【“巾帼建功”活动】</w:t>
      </w:r>
    </w:p>
    <w:p w14:paraId="0D263D2C">
      <w:pPr>
        <w:ind w:firstLine="420"/>
        <w:rPr>
          <w:rFonts w:ascii="宋体" w:hAnsi="宋体"/>
        </w:rPr>
      </w:pPr>
      <w:r>
        <w:rPr>
          <w:rFonts w:hint="eastAsia" w:ascii="宋体" w:hAnsi="宋体"/>
        </w:rPr>
        <w:t>动员全市各行各业妇女立足岗位建功立业。目前，全市有全国文明岗</w:t>
      </w:r>
      <w:r>
        <w:rPr>
          <w:rFonts w:ascii="宋体" w:hAnsi="宋体"/>
        </w:rPr>
        <w:t>2个，省级文明岗5个，韶关市级文明岗9个，南雄市级文明岗13个</w:t>
      </w:r>
      <w:r>
        <w:rPr>
          <w:rFonts w:hint="eastAsia" w:ascii="宋体" w:hAnsi="宋体"/>
        </w:rPr>
        <w:t>。</w:t>
      </w:r>
    </w:p>
    <w:p w14:paraId="7D86EF70">
      <w:pPr>
        <w:pStyle w:val="4"/>
      </w:pPr>
      <w:r>
        <w:rPr>
          <w:rFonts w:hint="eastAsia"/>
        </w:rPr>
        <w:t>【女子成才班】</w:t>
      </w:r>
    </w:p>
    <w:p w14:paraId="27239539">
      <w:pPr>
        <w:ind w:firstLine="420"/>
        <w:rPr>
          <w:rFonts w:ascii="宋体" w:hAnsi="宋体"/>
        </w:rPr>
      </w:pPr>
      <w:r>
        <w:rPr>
          <w:rFonts w:hint="eastAsia" w:ascii="宋体" w:hAnsi="宋体"/>
        </w:rPr>
        <w:t>市妇联与市职业高级中学联合办学，开办“女子成才班”，凡就读“女子成才班”的女生，在校期间的思想、生活和学习，能直接得到市妇联与市职中的关爱，市妇联将积极筹集资金给每个学生一定的经济补助；市职中将免去每个学生在校期间的住宿费，学生毕业成绩合格后，由学校优先安排到珠三角就业。实现“智力扶贫，学好技术，输送一人，脱贫一户”的目标，切实解决贫困家庭女孩的成才与就业问题。目前在校学生来源均是南雄市各乡镇中的单亲家庭（父母离异）、残疾人家庭、纯女户（农村生两个女孩子的家庭）以及年收入不到</w:t>
      </w:r>
      <w:r>
        <w:rPr>
          <w:rFonts w:ascii="宋体" w:hAnsi="宋体"/>
        </w:rPr>
        <w:t>1500</w:t>
      </w:r>
      <w:r>
        <w:rPr>
          <w:rFonts w:hint="eastAsia" w:ascii="宋体" w:hAnsi="宋体"/>
        </w:rPr>
        <w:t>元的贫困家庭女孩。通过三年的学习，学生毕业成绩合格后，由学校优先安排到珠三角就业。自</w:t>
      </w:r>
      <w:r>
        <w:rPr>
          <w:rFonts w:ascii="宋体" w:hAnsi="宋体"/>
        </w:rPr>
        <w:t>2005年第一届女子成才班开班以</w:t>
      </w:r>
      <w:r>
        <w:rPr>
          <w:rFonts w:hint="eastAsia" w:ascii="宋体" w:hAnsi="宋体"/>
        </w:rPr>
        <w:t>来，各届社会人士纷纷对这群贫困的孩子伸出援助之手，迄今，女子成才班学生共接受社会资助</w:t>
      </w:r>
      <w:r>
        <w:rPr>
          <w:rFonts w:ascii="宋体" w:hAnsi="宋体"/>
        </w:rPr>
        <w:t>46.4万元，接受学校资助29万元，</w:t>
      </w:r>
      <w:r>
        <w:rPr>
          <w:rFonts w:hint="eastAsia" w:ascii="宋体" w:hAnsi="宋体"/>
        </w:rPr>
        <w:t>部分学生接受社会资助生活费约</w:t>
      </w:r>
      <w:r>
        <w:rPr>
          <w:rFonts w:ascii="宋体" w:hAnsi="宋体"/>
        </w:rPr>
        <w:t>10万余元。</w:t>
      </w:r>
    </w:p>
    <w:p w14:paraId="6FEF78D6">
      <w:pPr>
        <w:ind w:firstLine="0" w:firstLineChars="0"/>
        <w:jc w:val="center"/>
        <w:rPr>
          <w:rFonts w:hint="eastAsia" w:ascii="宋体" w:hAnsi="宋体"/>
          <w:b/>
          <w:kern w:val="0"/>
        </w:rPr>
      </w:pPr>
      <w:commentRangeStart w:id="11"/>
      <w:r>
        <w:rPr>
          <w:rFonts w:hint="eastAsia" w:ascii="宋体" w:hAnsi="宋体"/>
          <w:b/>
          <w:kern w:val="0"/>
        </w:rPr>
        <w:t>表10-1  女子成才班学生基本情况</w:t>
      </w:r>
      <w:commentRangeEnd w:id="11"/>
      <w:r>
        <w:rPr>
          <w:rStyle w:val="12"/>
        </w:rPr>
        <w:commentReference w:id="11"/>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6"/>
        <w:gridCol w:w="8796"/>
      </w:tblGrid>
      <w:tr w14:paraId="6E5A7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5" w:type="pct"/>
            <w:vAlign w:val="center"/>
          </w:tcPr>
          <w:p w14:paraId="5C00DFF0">
            <w:pPr>
              <w:pStyle w:val="13"/>
              <w:jc w:val="center"/>
              <w:rPr>
                <w:rFonts w:hint="eastAsia"/>
                <w:b/>
              </w:rPr>
            </w:pPr>
            <w:r>
              <w:rPr>
                <w:rFonts w:hint="eastAsia"/>
                <w:b/>
              </w:rPr>
              <w:t>年级</w:t>
            </w:r>
          </w:p>
        </w:tc>
        <w:tc>
          <w:tcPr>
            <w:tcW w:w="4415" w:type="pct"/>
            <w:vAlign w:val="center"/>
          </w:tcPr>
          <w:p w14:paraId="434A9DDD">
            <w:pPr>
              <w:pStyle w:val="13"/>
              <w:jc w:val="center"/>
              <w:rPr>
                <w:rFonts w:hint="eastAsia"/>
                <w:b/>
              </w:rPr>
            </w:pPr>
            <w:r>
              <w:rPr>
                <w:rFonts w:hint="eastAsia"/>
                <w:b/>
              </w:rPr>
              <w:t>班级简介</w:t>
            </w:r>
          </w:p>
        </w:tc>
      </w:tr>
      <w:tr w14:paraId="0FD34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5" w:type="pct"/>
            <w:vAlign w:val="center"/>
          </w:tcPr>
          <w:p w14:paraId="247DFEAF">
            <w:pPr>
              <w:pStyle w:val="13"/>
              <w:jc w:val="center"/>
              <w:rPr>
                <w:rFonts w:hint="eastAsia"/>
              </w:rPr>
            </w:pPr>
            <w:r>
              <w:rPr>
                <w:rFonts w:hint="eastAsia"/>
              </w:rPr>
              <w:t>05级</w:t>
            </w:r>
          </w:p>
        </w:tc>
        <w:tc>
          <w:tcPr>
            <w:tcW w:w="4415" w:type="pct"/>
            <w:vAlign w:val="center"/>
          </w:tcPr>
          <w:p w14:paraId="62BEE7D7">
            <w:pPr>
              <w:pStyle w:val="13"/>
              <w:jc w:val="left"/>
              <w:rPr>
                <w:rFonts w:hint="eastAsia"/>
              </w:rPr>
            </w:pPr>
            <w:r>
              <w:rPr>
                <w:rFonts w:hint="eastAsia"/>
              </w:rPr>
              <w:t>全班学生50人，单亲家庭13人，纯女户家庭16人，残疾家庭1人，贫困家庭20人。</w:t>
            </w:r>
          </w:p>
        </w:tc>
      </w:tr>
      <w:tr w14:paraId="5FFA81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5" w:type="pct"/>
            <w:vAlign w:val="center"/>
          </w:tcPr>
          <w:p w14:paraId="3D95951C">
            <w:pPr>
              <w:pStyle w:val="13"/>
              <w:jc w:val="center"/>
              <w:rPr>
                <w:rFonts w:hint="eastAsia"/>
              </w:rPr>
            </w:pPr>
            <w:r>
              <w:rPr>
                <w:rFonts w:hint="eastAsia"/>
              </w:rPr>
              <w:t>06级</w:t>
            </w:r>
          </w:p>
        </w:tc>
        <w:tc>
          <w:tcPr>
            <w:tcW w:w="4415" w:type="pct"/>
            <w:vAlign w:val="center"/>
          </w:tcPr>
          <w:p w14:paraId="14A9EC41">
            <w:pPr>
              <w:pStyle w:val="13"/>
              <w:jc w:val="left"/>
              <w:rPr>
                <w:rFonts w:hint="eastAsia"/>
              </w:rPr>
            </w:pPr>
            <w:r>
              <w:rPr>
                <w:rFonts w:hint="eastAsia"/>
              </w:rPr>
              <w:t>全班学生57人，残疾家庭5人，纯女户家庭7人，单亲家庭7人，孤儿3人，贫困家庭35人。内宿生51人，外宿生6人。其中，孤儿黄雪青由南雄市委书记林楚欣亲自送到校就读，并资助其学习期间的所有学费及生活费。</w:t>
            </w:r>
          </w:p>
        </w:tc>
      </w:tr>
      <w:tr w14:paraId="7C9C3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5" w:type="pct"/>
            <w:vAlign w:val="center"/>
          </w:tcPr>
          <w:p w14:paraId="56427E59">
            <w:pPr>
              <w:pStyle w:val="13"/>
              <w:jc w:val="center"/>
              <w:rPr>
                <w:rFonts w:hint="eastAsia"/>
              </w:rPr>
            </w:pPr>
            <w:r>
              <w:rPr>
                <w:rFonts w:hint="eastAsia"/>
              </w:rPr>
              <w:t>07级</w:t>
            </w:r>
          </w:p>
        </w:tc>
        <w:tc>
          <w:tcPr>
            <w:tcW w:w="4415" w:type="pct"/>
            <w:vAlign w:val="center"/>
          </w:tcPr>
          <w:p w14:paraId="7D4478F0">
            <w:pPr>
              <w:pStyle w:val="13"/>
              <w:jc w:val="left"/>
              <w:rPr>
                <w:rFonts w:hint="eastAsia"/>
              </w:rPr>
            </w:pPr>
            <w:r>
              <w:rPr>
                <w:rFonts w:hint="eastAsia"/>
              </w:rPr>
              <w:t>全班学生102人，贫困家庭83人，单亲家庭8人，纯女户家庭10人，残疾家庭1人。</w:t>
            </w:r>
          </w:p>
        </w:tc>
      </w:tr>
      <w:tr w14:paraId="5C151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5" w:type="pct"/>
            <w:vAlign w:val="center"/>
          </w:tcPr>
          <w:p w14:paraId="4CD93B41">
            <w:pPr>
              <w:pStyle w:val="13"/>
              <w:jc w:val="center"/>
              <w:rPr>
                <w:rFonts w:hint="eastAsia"/>
              </w:rPr>
            </w:pPr>
            <w:r>
              <w:rPr>
                <w:rFonts w:hint="eastAsia"/>
              </w:rPr>
              <w:t>08级</w:t>
            </w:r>
          </w:p>
        </w:tc>
        <w:tc>
          <w:tcPr>
            <w:tcW w:w="4415" w:type="pct"/>
            <w:vAlign w:val="center"/>
          </w:tcPr>
          <w:p w14:paraId="7B93B14F">
            <w:pPr>
              <w:pStyle w:val="13"/>
              <w:jc w:val="left"/>
              <w:rPr>
                <w:rFonts w:hint="eastAsia"/>
              </w:rPr>
            </w:pPr>
            <w:r>
              <w:rPr>
                <w:rFonts w:hint="eastAsia"/>
              </w:rPr>
              <w:t>全班学生54人，贫困家庭23人，单亲家庭11人，纯女户家庭17人，残疾家庭3人。</w:t>
            </w:r>
          </w:p>
        </w:tc>
      </w:tr>
      <w:tr w14:paraId="20445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5" w:type="pct"/>
            <w:vAlign w:val="center"/>
          </w:tcPr>
          <w:p w14:paraId="55236DAC">
            <w:pPr>
              <w:pStyle w:val="13"/>
              <w:jc w:val="center"/>
              <w:rPr>
                <w:rFonts w:hint="eastAsia"/>
              </w:rPr>
            </w:pPr>
            <w:r>
              <w:rPr>
                <w:rFonts w:hint="eastAsia"/>
              </w:rPr>
              <w:t>09级</w:t>
            </w:r>
          </w:p>
        </w:tc>
        <w:tc>
          <w:tcPr>
            <w:tcW w:w="4415" w:type="pct"/>
            <w:vAlign w:val="center"/>
          </w:tcPr>
          <w:p w14:paraId="4FF5677E">
            <w:pPr>
              <w:pStyle w:val="13"/>
              <w:jc w:val="left"/>
              <w:rPr>
                <w:rFonts w:hint="eastAsia"/>
              </w:rPr>
            </w:pPr>
            <w:r>
              <w:rPr>
                <w:rFonts w:hint="eastAsia"/>
              </w:rPr>
              <w:t>全班学生43人，残疾家庭2人，纯女户家庭2人，单亲家庭2人，贫困家庭36人。其中内宿生38人，外宿生4人。</w:t>
            </w:r>
          </w:p>
        </w:tc>
      </w:tr>
      <w:tr w14:paraId="5281A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5" w:type="pct"/>
            <w:vAlign w:val="center"/>
          </w:tcPr>
          <w:p w14:paraId="73634547">
            <w:pPr>
              <w:pStyle w:val="13"/>
              <w:jc w:val="center"/>
              <w:rPr>
                <w:rFonts w:hint="eastAsia"/>
              </w:rPr>
            </w:pPr>
            <w:r>
              <w:rPr>
                <w:rFonts w:hint="eastAsia"/>
              </w:rPr>
              <w:t>10级</w:t>
            </w:r>
          </w:p>
        </w:tc>
        <w:tc>
          <w:tcPr>
            <w:tcW w:w="4415" w:type="pct"/>
            <w:vAlign w:val="center"/>
          </w:tcPr>
          <w:p w14:paraId="2DF5AA29">
            <w:pPr>
              <w:pStyle w:val="13"/>
              <w:jc w:val="left"/>
              <w:rPr>
                <w:rFonts w:hint="eastAsia"/>
              </w:rPr>
            </w:pPr>
            <w:r>
              <w:rPr>
                <w:rFonts w:hint="eastAsia"/>
              </w:rPr>
              <w:t>全班学生50人，单亲家庭4人，纯女户家庭12，残疾家庭2人，贫困家庭33人。其中41人为内宿生，10人为外宿生。</w:t>
            </w:r>
          </w:p>
        </w:tc>
      </w:tr>
      <w:tr w14:paraId="08C45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5" w:type="pct"/>
            <w:vAlign w:val="center"/>
          </w:tcPr>
          <w:p w14:paraId="511E4E52">
            <w:pPr>
              <w:pStyle w:val="13"/>
              <w:jc w:val="center"/>
              <w:rPr>
                <w:rFonts w:hint="eastAsia"/>
              </w:rPr>
            </w:pPr>
            <w:r>
              <w:rPr>
                <w:rFonts w:hint="eastAsia"/>
              </w:rPr>
              <w:t>11级</w:t>
            </w:r>
          </w:p>
        </w:tc>
        <w:tc>
          <w:tcPr>
            <w:tcW w:w="4415" w:type="pct"/>
            <w:vAlign w:val="center"/>
          </w:tcPr>
          <w:p w14:paraId="43E60D66">
            <w:pPr>
              <w:pStyle w:val="13"/>
              <w:jc w:val="left"/>
              <w:rPr>
                <w:rFonts w:hint="eastAsia"/>
              </w:rPr>
            </w:pPr>
            <w:r>
              <w:rPr>
                <w:rFonts w:hint="eastAsia"/>
              </w:rPr>
              <w:t>全班学生98人，其中孤儿8人，单亲家庭9人，纯女户家庭17人，残疾家庭5人，贫困家庭59人。</w:t>
            </w:r>
          </w:p>
        </w:tc>
      </w:tr>
    </w:tbl>
    <w:p w14:paraId="7D7AAB17">
      <w:pPr>
        <w:ind w:firstLine="420"/>
        <w:jc w:val="right"/>
      </w:pPr>
      <w:r>
        <w:rPr>
          <w:rFonts w:hint="eastAsia"/>
        </w:rPr>
        <w:t>（谢祥英）</w:t>
      </w:r>
    </w:p>
    <w:p w14:paraId="09CC3209">
      <w:pPr>
        <w:ind w:firstLine="0" w:firstLineChars="0"/>
        <w:rPr>
          <w:rFonts w:ascii="宋体" w:hAnsi="宋体"/>
        </w:rPr>
      </w:pPr>
      <w:r>
        <w:rPr>
          <w:rFonts w:hint="eastAsia" w:ascii="宋体" w:hAnsi="宋体"/>
          <w:b/>
        </w:rPr>
        <w:t>附：</w:t>
      </w:r>
      <w:r>
        <w:rPr>
          <w:rFonts w:ascii="宋体" w:hAnsi="宋体"/>
          <w:b/>
        </w:rPr>
        <w:t>2010年市妇联领导班子成员名单</w:t>
      </w:r>
    </w:p>
    <w:p w14:paraId="3E514D7F">
      <w:pPr>
        <w:ind w:firstLine="0" w:firstLineChars="0"/>
        <w:rPr>
          <w:rFonts w:ascii="宋体" w:hAnsi="宋体"/>
        </w:rPr>
      </w:pPr>
      <w:r>
        <w:rPr>
          <w:rFonts w:hint="eastAsia" w:ascii="宋体" w:hAnsi="宋体"/>
        </w:rPr>
        <w:t>主  席：杨会英</w:t>
      </w:r>
    </w:p>
    <w:p w14:paraId="2A4DC3E2">
      <w:pPr>
        <w:ind w:firstLine="0" w:firstLineChars="0"/>
        <w:rPr>
          <w:rFonts w:ascii="宋体" w:hAnsi="宋体"/>
        </w:rPr>
      </w:pPr>
      <w:r>
        <w:rPr>
          <w:rFonts w:hint="eastAsia" w:ascii="宋体" w:hAnsi="宋体"/>
        </w:rPr>
        <w:t>副主席：刘文秀  邓红春</w:t>
      </w:r>
    </w:p>
    <w:p w14:paraId="08EB1830">
      <w:pPr>
        <w:pStyle w:val="3"/>
      </w:pPr>
      <w:r>
        <w:rPr>
          <w:rFonts w:hint="eastAsia"/>
        </w:rPr>
        <w:t>科协</w:t>
      </w:r>
    </w:p>
    <w:p w14:paraId="708289EA">
      <w:pPr>
        <w:pStyle w:val="4"/>
      </w:pPr>
      <w:r>
        <w:rPr>
          <w:rFonts w:hint="eastAsia"/>
        </w:rPr>
        <w:t>【概况】</w:t>
      </w:r>
    </w:p>
    <w:p w14:paraId="49884A6C">
      <w:pPr>
        <w:ind w:firstLine="420"/>
        <w:rPr>
          <w:rFonts w:ascii="宋体" w:hAnsi="宋体"/>
        </w:rPr>
      </w:pPr>
      <w:r>
        <w:rPr>
          <w:rFonts w:ascii="宋体" w:hAnsi="宋体"/>
        </w:rPr>
        <w:t>1956年，南雄县科学普及协会成</w:t>
      </w:r>
      <w:r>
        <w:rPr>
          <w:rFonts w:hint="eastAsia" w:ascii="宋体" w:hAnsi="宋体"/>
        </w:rPr>
        <w:t>立，附属县委宣传部。</w:t>
      </w:r>
      <w:r>
        <w:rPr>
          <w:rFonts w:ascii="宋体" w:hAnsi="宋体"/>
        </w:rPr>
        <w:t>1969年科普协会撤销。1980年9月，南雄县科学技术协会成立，属</w:t>
      </w:r>
      <w:r>
        <w:rPr>
          <w:rFonts w:hint="eastAsia" w:ascii="宋体" w:hAnsi="宋体"/>
        </w:rPr>
        <w:t>正科级单位，群众团体，财政全额拨款。</w:t>
      </w:r>
      <w:r>
        <w:rPr>
          <w:rFonts w:ascii="宋体" w:hAnsi="宋体"/>
        </w:rPr>
        <w:t>2002年机构改革后，南雄市科学技术协会行</w:t>
      </w:r>
      <w:r>
        <w:rPr>
          <w:rFonts w:hint="eastAsia" w:ascii="宋体" w:hAnsi="宋体"/>
        </w:rPr>
        <w:t>政编制</w:t>
      </w:r>
      <w:r>
        <w:rPr>
          <w:rFonts w:ascii="宋体" w:hAnsi="宋体"/>
        </w:rPr>
        <w:t>3人，其中主席、副主席各1人。科协</w:t>
      </w:r>
      <w:r>
        <w:rPr>
          <w:rFonts w:hint="eastAsia" w:ascii="宋体" w:hAnsi="宋体"/>
        </w:rPr>
        <w:t>内设办公室、科普部、学协部。下属协会</w:t>
      </w:r>
      <w:r>
        <w:rPr>
          <w:rFonts w:ascii="宋体" w:hAnsi="宋体"/>
        </w:rPr>
        <w:t>21</w:t>
      </w:r>
      <w:r>
        <w:rPr>
          <w:rFonts w:hint="eastAsia" w:ascii="宋体" w:hAnsi="宋体"/>
        </w:rPr>
        <w:t>个，共有会员</w:t>
      </w:r>
      <w:r>
        <w:rPr>
          <w:rFonts w:ascii="宋体" w:hAnsi="宋体"/>
        </w:rPr>
        <w:t>2506人。</w:t>
      </w:r>
    </w:p>
    <w:p w14:paraId="7FE7FAAE">
      <w:pPr>
        <w:pStyle w:val="4"/>
      </w:pPr>
      <w:r>
        <w:rPr>
          <w:rFonts w:hint="eastAsia"/>
        </w:rPr>
        <w:t>【开展科技服务】</w:t>
      </w:r>
    </w:p>
    <w:p w14:paraId="7F73D6F9">
      <w:pPr>
        <w:ind w:firstLine="420"/>
        <w:rPr>
          <w:rFonts w:ascii="宋体" w:hAnsi="宋体"/>
        </w:rPr>
      </w:pPr>
      <w:r>
        <w:rPr>
          <w:rFonts w:hint="eastAsia" w:ascii="宋体" w:hAnsi="宋体"/>
        </w:rPr>
        <w:t>联合科技信息局、卫生、农业、团市委、烟草、计生、防疫等等部门在全市</w:t>
      </w:r>
      <w:r>
        <w:rPr>
          <w:rFonts w:ascii="宋体" w:hAnsi="宋体"/>
        </w:rPr>
        <w:t>18个乡镇（街道）进行文化、科技、</w:t>
      </w:r>
      <w:r>
        <w:rPr>
          <w:rFonts w:hint="eastAsia" w:ascii="宋体" w:hAnsi="宋体"/>
        </w:rPr>
        <w:t>卫生、农业种养等等科技知识的推广和应用，做好三下乡活动。免费为农户送去肥料、种子、农药等物资及各类技术资料一大批，请专家进行现场咨询、指导，深受农民的好评。科协在农业、供销单位的协助下，引进湘三号香芋、美国甜玉米、朝天椒等农副产品在全安、江头、邓坊、界址雄州等镇试种成功，在江头、油山、帽子峰等镇建立“香芋科普示范基地”，邓坊镇建立“甜玉米科普示范基地”、界址镇建立“朝天椒科普示范基地”的种植，取得大面积丰收，社会和经济效益明显。</w:t>
      </w:r>
    </w:p>
    <w:p w14:paraId="6176E9A3">
      <w:pPr>
        <w:pStyle w:val="4"/>
      </w:pPr>
      <w:r>
        <w:rPr>
          <w:rFonts w:hint="eastAsia"/>
        </w:rPr>
        <w:t>【开展科普宣传】</w:t>
      </w:r>
    </w:p>
    <w:p w14:paraId="2AFE010E">
      <w:pPr>
        <w:ind w:firstLine="420"/>
        <w:rPr>
          <w:rFonts w:ascii="宋体" w:hAnsi="宋体"/>
        </w:rPr>
      </w:pPr>
      <w:r>
        <w:rPr>
          <w:rFonts w:hint="eastAsia" w:ascii="宋体" w:hAnsi="宋体"/>
        </w:rPr>
        <w:t>举办大型科普图片展览《冰冻自然灾害生产自救》、冰冻自然灾害后安全防护》、节能减排从我做起》、《小儿手足口病防治》、《地震防震知识》、《全民科学素质教育计划行动纲要四大工程》等科普知识</w:t>
      </w:r>
      <w:r>
        <w:rPr>
          <w:rFonts w:ascii="宋体" w:hAnsi="宋体"/>
        </w:rPr>
        <w:t>9</w:t>
      </w:r>
      <w:r>
        <w:rPr>
          <w:rFonts w:hint="eastAsia" w:ascii="宋体" w:hAnsi="宋体"/>
        </w:rPr>
        <w:t>期，涉及内容</w:t>
      </w:r>
      <w:r>
        <w:rPr>
          <w:rFonts w:ascii="宋体" w:hAnsi="宋体"/>
        </w:rPr>
        <w:t>32项，观看人员达7万人次，</w:t>
      </w:r>
      <w:r>
        <w:rPr>
          <w:rFonts w:hint="eastAsia" w:ascii="宋体" w:hAnsi="宋体"/>
        </w:rPr>
        <w:t>发放到各镇（街道）居民和农户的科普资料、挂图、手册共</w:t>
      </w:r>
      <w:r>
        <w:rPr>
          <w:rFonts w:ascii="宋体" w:hAnsi="宋体"/>
        </w:rPr>
        <w:t>13500多份。与南雄电视台举</w:t>
      </w:r>
      <w:r>
        <w:rPr>
          <w:rFonts w:hint="eastAsia" w:ascii="宋体" w:hAnsi="宋体"/>
        </w:rPr>
        <w:t>办《科普天地》、《金叶之路》、《南雄水稻病虫害测报》等三套科普栏目的播放。在四川汶川发生特大地质灾害后，及时制作《当危险来临时——地震篇》、《地震防震——青少年须知》、《地震防震——百姓话题》等</w:t>
      </w:r>
      <w:r>
        <w:rPr>
          <w:rFonts w:ascii="宋体" w:hAnsi="宋体"/>
        </w:rPr>
        <w:t>500套地震科普教育录像光碟分别送</w:t>
      </w:r>
      <w:r>
        <w:rPr>
          <w:rFonts w:hint="eastAsia" w:ascii="宋体" w:hAnsi="宋体"/>
        </w:rPr>
        <w:t>到</w:t>
      </w:r>
      <w:r>
        <w:rPr>
          <w:rFonts w:ascii="宋体" w:hAnsi="宋体"/>
        </w:rPr>
        <w:t>212所中小学校。</w:t>
      </w:r>
    </w:p>
    <w:p w14:paraId="19D3B741">
      <w:pPr>
        <w:pStyle w:val="4"/>
      </w:pPr>
      <w:r>
        <w:rPr>
          <w:rFonts w:hint="eastAsia"/>
        </w:rPr>
        <w:t>【青少年科技工作】</w:t>
      </w:r>
    </w:p>
    <w:p w14:paraId="55073BA7">
      <w:pPr>
        <w:ind w:firstLine="420"/>
        <w:rPr>
          <w:rFonts w:ascii="宋体" w:hAnsi="宋体"/>
        </w:rPr>
      </w:pPr>
      <w:r>
        <w:rPr>
          <w:rFonts w:hint="eastAsia" w:ascii="宋体" w:hAnsi="宋体"/>
        </w:rPr>
        <w:t>开展科普进校园活动，为素质教育工作服务，南雄市科协联合市教育局组织开展一系列规模大、影响力强的“科普进校园”活动，涉及医药、电力、声学、生命科、技防灾减灾等多个领域。有科技专家、科普志愿者现场讲解、辅导，直观、有趣地解剖科学奥秘，提高青少年学生对科学探索的兴趣。七年来，全市中小学生</w:t>
      </w:r>
      <w:r>
        <w:rPr>
          <w:rFonts w:ascii="宋体" w:hAnsi="宋体"/>
        </w:rPr>
        <w:t>25万</w:t>
      </w:r>
      <w:r>
        <w:rPr>
          <w:rFonts w:hint="eastAsia" w:ascii="宋体" w:hAnsi="宋体"/>
        </w:rPr>
        <w:t>人次参加、参观了科普讲座和图片展览。推荐和选派中小学生参加韶关市科协、教育局联合举办的物理、生化、电力手工制作等等方面的科普知识竞赛活动，南雄中学、市一中都能取得优异的成绩。</w:t>
      </w:r>
    </w:p>
    <w:p w14:paraId="7ACA714C">
      <w:pPr>
        <w:ind w:firstLine="0" w:firstLineChars="0"/>
        <w:jc w:val="right"/>
        <w:rPr>
          <w:rFonts w:ascii="宋体" w:hAnsi="宋体"/>
        </w:rPr>
      </w:pPr>
      <w:r>
        <w:rPr>
          <w:rFonts w:hint="eastAsia" w:ascii="宋体" w:hAnsi="宋体"/>
        </w:rPr>
        <w:t>（杨小凤）</w:t>
      </w:r>
    </w:p>
    <w:p w14:paraId="2A1DAE3F">
      <w:pPr>
        <w:ind w:firstLine="0" w:firstLineChars="0"/>
        <w:rPr>
          <w:rFonts w:ascii="宋体" w:hAnsi="宋体"/>
        </w:rPr>
      </w:pPr>
      <w:r>
        <w:rPr>
          <w:rFonts w:hint="eastAsia" w:ascii="宋体" w:hAnsi="宋体"/>
          <w:b/>
        </w:rPr>
        <w:t>附</w:t>
      </w:r>
      <w:r>
        <w:rPr>
          <w:rFonts w:ascii="宋体" w:hAnsi="宋体"/>
          <w:b/>
        </w:rPr>
        <w:t>2010年科协领导班子成员名单</w:t>
      </w:r>
    </w:p>
    <w:p w14:paraId="217163FE">
      <w:pPr>
        <w:ind w:firstLine="0" w:firstLineChars="0"/>
        <w:rPr>
          <w:rFonts w:ascii="宋体" w:hAnsi="宋体"/>
        </w:rPr>
      </w:pPr>
      <w:r>
        <w:rPr>
          <w:rFonts w:hint="eastAsia" w:ascii="宋体" w:hAnsi="宋体"/>
        </w:rPr>
        <w:t>主席：吴美华</w:t>
      </w:r>
    </w:p>
    <w:p w14:paraId="46A5744F">
      <w:pPr>
        <w:pStyle w:val="3"/>
      </w:pPr>
      <w:r>
        <w:rPr>
          <w:rFonts w:hint="eastAsia"/>
        </w:rPr>
        <w:t>文联</w:t>
      </w:r>
    </w:p>
    <w:p w14:paraId="78327447">
      <w:pPr>
        <w:pStyle w:val="4"/>
      </w:pPr>
      <w:r>
        <w:rPr>
          <w:rFonts w:hint="eastAsia"/>
        </w:rPr>
        <w:t>【概况】</w:t>
      </w:r>
    </w:p>
    <w:p w14:paraId="1B5E533C">
      <w:pPr>
        <w:ind w:firstLine="420"/>
        <w:rPr>
          <w:rFonts w:ascii="宋体" w:hAnsi="宋体"/>
        </w:rPr>
      </w:pPr>
      <w:r>
        <w:rPr>
          <w:rFonts w:ascii="宋体" w:hAnsi="宋体"/>
        </w:rPr>
        <w:t>1986年11月17日在县文学艺术工</w:t>
      </w:r>
      <w:r>
        <w:rPr>
          <w:rFonts w:hint="eastAsia" w:ascii="宋体" w:hAnsi="宋体"/>
        </w:rPr>
        <w:t>作者第一次代表大会上成立南雄县文学艺术界联合会（简称：文联）。文联为正科级事业编制单位。目前，属下成立美术协会、书法协会、老年书法协会、音乐舞蹈戏剧协会、摄影协会、老年摄影协会、珠玑诗社、赏石盆景根艺协会、演讲与口才协会和南雄作家协会等</w:t>
      </w:r>
      <w:r>
        <w:rPr>
          <w:rFonts w:ascii="宋体" w:hAnsi="宋体"/>
        </w:rPr>
        <w:t>10个协会。</w:t>
      </w:r>
    </w:p>
    <w:p w14:paraId="16840280">
      <w:pPr>
        <w:pStyle w:val="4"/>
      </w:pPr>
      <w:r>
        <w:rPr>
          <w:rFonts w:hint="eastAsia"/>
        </w:rPr>
        <w:t>【会刊《珠玑文艺》出版情况】</w:t>
      </w:r>
    </w:p>
    <w:p w14:paraId="4EFEAD51">
      <w:pPr>
        <w:ind w:firstLine="420"/>
        <w:rPr>
          <w:rFonts w:ascii="宋体" w:hAnsi="宋体"/>
        </w:rPr>
      </w:pPr>
      <w:r>
        <w:rPr>
          <w:rFonts w:ascii="宋体" w:hAnsi="宋体"/>
        </w:rPr>
        <w:t>2009年12</w:t>
      </w:r>
      <w:r>
        <w:rPr>
          <w:rFonts w:hint="eastAsia" w:ascii="宋体" w:hAnsi="宋体"/>
        </w:rPr>
        <w:t>月，由南雄市文学艺术界联合会主办的《珠玑文艺》正式出版，定为季刊，每期印刷</w:t>
      </w:r>
      <w:r>
        <w:rPr>
          <w:rFonts w:ascii="宋体" w:hAnsi="宋体"/>
        </w:rPr>
        <w:t>2000份。《珠玑文艺》以弘扬珠玑人文精神</w:t>
      </w:r>
      <w:r>
        <w:rPr>
          <w:rFonts w:hint="eastAsia" w:ascii="宋体" w:hAnsi="宋体"/>
        </w:rPr>
        <w:t>为核心，以推广新时期珠玑巷后裔文学艺术精华为宗旨，以贯彻发展先进文化提高群众素质为目的，系统反映南雄人文历史、珠玑文化、企业文化、地方特色、粤北乡情。栏目分为历史典故、民间传说、风土人情、诗词歌赋、散文小说、戏剧故事、艺海之花、国学管规、古巷情怀、金叶飘香、网络精华、文联动态等。《珠玑文艺》由广东省新闻出版局于</w:t>
      </w:r>
      <w:r>
        <w:rPr>
          <w:rFonts w:ascii="宋体" w:hAnsi="宋体"/>
        </w:rPr>
        <w:t>2010年6月核发《登记证》，</w:t>
      </w:r>
      <w:r>
        <w:rPr>
          <w:rFonts w:hint="eastAsia" w:ascii="宋体" w:hAnsi="宋体"/>
        </w:rPr>
        <w:t>“</w:t>
      </w:r>
      <w:r>
        <w:rPr>
          <w:rFonts w:ascii="宋体" w:hAnsi="宋体"/>
        </w:rPr>
        <w:t>准印号粤</w:t>
      </w:r>
      <w:r>
        <w:rPr>
          <w:rFonts w:hint="eastAsia" w:ascii="宋体" w:hAnsi="宋体"/>
        </w:rPr>
        <w:t>内登字</w:t>
      </w:r>
      <w:r>
        <w:rPr>
          <w:rFonts w:ascii="宋体" w:hAnsi="宋体"/>
        </w:rPr>
        <w:t>F第11435号</w:t>
      </w:r>
      <w:r>
        <w:rPr>
          <w:rFonts w:hint="eastAsia" w:ascii="宋体" w:hAnsi="宋体"/>
        </w:rPr>
        <w:t>”</w:t>
      </w:r>
      <w:r>
        <w:rPr>
          <w:rFonts w:ascii="宋体" w:hAnsi="宋体"/>
        </w:rPr>
        <w:t>，符合刊物出版条件。</w:t>
      </w:r>
      <w:r>
        <w:rPr>
          <w:rFonts w:hint="eastAsia" w:ascii="宋体" w:hAnsi="宋体"/>
        </w:rPr>
        <w:t>《珠玑文艺》为南雄市文学艺术界联合会会刊。刊物发放到珠玑巷后裔联谊会、本市各科局、中小学校、企事业单位，并交流到周边县市文艺团体，让更多的文艺界人士了解南雄。刊物免费赠阅，全年出版四期，每期出版印刷费用</w:t>
      </w:r>
      <w:r>
        <w:rPr>
          <w:rFonts w:ascii="宋体" w:hAnsi="宋体"/>
        </w:rPr>
        <w:t>12500元，到2010年底《珠玑</w:t>
      </w:r>
      <w:r>
        <w:rPr>
          <w:rFonts w:hint="eastAsia" w:ascii="宋体" w:hAnsi="宋体"/>
        </w:rPr>
        <w:t>文艺》已出版</w:t>
      </w:r>
      <w:r>
        <w:rPr>
          <w:rFonts w:ascii="宋体" w:hAnsi="宋体"/>
        </w:rPr>
        <w:t>9期，其发行量不断扩大，影</w:t>
      </w:r>
      <w:r>
        <w:rPr>
          <w:rFonts w:hint="eastAsia" w:ascii="宋体" w:hAnsi="宋体"/>
        </w:rPr>
        <w:t>响力剧增。</w:t>
      </w:r>
    </w:p>
    <w:p w14:paraId="3BB1355A">
      <w:pPr>
        <w:pStyle w:val="4"/>
      </w:pPr>
      <w:r>
        <w:rPr>
          <w:rFonts w:hint="eastAsia"/>
        </w:rPr>
        <w:t>【主要文学艺术活动】</w:t>
      </w:r>
    </w:p>
    <w:p w14:paraId="52E5F92E">
      <w:pPr>
        <w:ind w:firstLine="420"/>
        <w:rPr>
          <w:rFonts w:ascii="宋体" w:hAnsi="宋体"/>
        </w:rPr>
      </w:pPr>
      <w:r>
        <w:rPr>
          <w:rFonts w:hint="eastAsia" w:ascii="宋体" w:hAnsi="宋体"/>
        </w:rPr>
        <w:t>（一）坚持举办“两年一度文学艺术界表彰与成果展示大会”；（二）</w:t>
      </w:r>
      <w:r>
        <w:rPr>
          <w:rFonts w:ascii="宋体" w:hAnsi="宋体"/>
        </w:rPr>
        <w:t>2010年，由省作协会员四维创作的</w:t>
      </w:r>
      <w:r>
        <w:rPr>
          <w:rFonts w:hint="eastAsia" w:ascii="宋体" w:hAnsi="宋体"/>
        </w:rPr>
        <w:t>《孝的感悟——孝爱温暖人生》和省作协会员陈至明创作的长篇小说《走进桃花村》出版发行，并举办作品研讨会。</w:t>
      </w:r>
      <w:r>
        <w:rPr>
          <w:rFonts w:ascii="宋体" w:hAnsi="宋体"/>
        </w:rPr>
        <w:t>2010年7月，省</w:t>
      </w:r>
      <w:r>
        <w:rPr>
          <w:rFonts w:hint="eastAsia" w:ascii="宋体" w:hAnsi="宋体"/>
        </w:rPr>
        <w:t>作家协会会员谢经营创作的长篇小说《红土情缘》出版。其他文艺作品</w:t>
      </w:r>
      <w:r>
        <w:rPr>
          <w:rFonts w:ascii="宋体" w:hAnsi="宋体"/>
        </w:rPr>
        <w:t>5000多件，</w:t>
      </w:r>
      <w:r>
        <w:rPr>
          <w:rFonts w:hint="eastAsia" w:ascii="宋体" w:hAnsi="宋体"/>
        </w:rPr>
        <w:t>已</w:t>
      </w:r>
      <w:r>
        <w:rPr>
          <w:rFonts w:ascii="宋体" w:hAnsi="宋体"/>
        </w:rPr>
        <w:t>被</w:t>
      </w:r>
      <w:r>
        <w:rPr>
          <w:rFonts w:hint="eastAsia" w:ascii="宋体" w:hAnsi="宋体"/>
        </w:rPr>
        <w:t>省市级以上采用</w:t>
      </w:r>
      <w:r>
        <w:rPr>
          <w:rFonts w:ascii="宋体" w:hAnsi="宋体"/>
        </w:rPr>
        <w:t>2000多件。（三）挖掘整理</w:t>
      </w:r>
      <w:r>
        <w:rPr>
          <w:rFonts w:hint="eastAsia" w:ascii="宋体" w:hAnsi="宋体"/>
        </w:rPr>
        <w:t>民间文化。南雄市乌迳镇新田村、黄坑镇溪塘村、南亩镇鱼鲜村、百顺黄屋城等四个古村落的专著也编印出版，乌迳镇新田村、黄坑镇溪塘村、南亩镇鱼鲜村还被列为“广东省古村落”。</w:t>
      </w:r>
    </w:p>
    <w:p w14:paraId="265515F1">
      <w:pPr>
        <w:pStyle w:val="4"/>
      </w:pPr>
      <w:r>
        <w:rPr>
          <w:rFonts w:hint="eastAsia"/>
        </w:rPr>
        <w:t>【《南雄文联网》站发展情况】</w:t>
      </w:r>
    </w:p>
    <w:p w14:paraId="240C0A48">
      <w:pPr>
        <w:ind w:firstLine="420"/>
        <w:rPr>
          <w:rFonts w:ascii="宋体" w:hAnsi="宋体"/>
        </w:rPr>
      </w:pPr>
      <w:r>
        <w:rPr>
          <w:rFonts w:hint="eastAsia" w:ascii="宋体" w:hAnsi="宋体"/>
        </w:rPr>
        <w:t>《南雄文联网》于</w:t>
      </w:r>
      <w:r>
        <w:rPr>
          <w:rFonts w:ascii="宋体" w:hAnsi="宋体"/>
        </w:rPr>
        <w:t>2007年3月开通，网站设《文联动</w:t>
      </w:r>
      <w:r>
        <w:rPr>
          <w:rFonts w:hint="eastAsia" w:ascii="宋体" w:hAnsi="宋体"/>
        </w:rPr>
        <w:t>态》、《新作和热点》、《孝爱文化》、《诗词楹联》、《书法美术》、《摄影艺术》、《音舞戏剧》、《赏石盆景根艺》、《雄州文艺报》、《讨论区》等</w:t>
      </w:r>
      <w:r>
        <w:rPr>
          <w:rFonts w:ascii="宋体" w:hAnsi="宋体"/>
        </w:rPr>
        <w:t>10个栏目，网站月月更新，拥有长</w:t>
      </w:r>
      <w:r>
        <w:rPr>
          <w:rFonts w:hint="eastAsia" w:ascii="宋体" w:hAnsi="宋体"/>
        </w:rPr>
        <w:t>期网民</w:t>
      </w:r>
      <w:r>
        <w:rPr>
          <w:rFonts w:ascii="宋体" w:hAnsi="宋体"/>
        </w:rPr>
        <w:t>2000多人。特别是在2008年11月，</w:t>
      </w:r>
      <w:r>
        <w:rPr>
          <w:rFonts w:hint="eastAsia" w:ascii="宋体" w:hAnsi="宋体"/>
        </w:rPr>
        <w:t>四维在南雄文联网发表一篇孝道评论文章《深恩未报惭为子》，很快引起各地网友的强烈反响。针对这篇文章的网上评论搭起</w:t>
      </w:r>
      <w:r>
        <w:rPr>
          <w:rFonts w:ascii="宋体" w:hAnsi="宋体"/>
        </w:rPr>
        <w:t>1639</w:t>
      </w:r>
      <w:r>
        <w:rPr>
          <w:rFonts w:hint="eastAsia" w:ascii="宋体" w:hAnsi="宋体"/>
        </w:rPr>
        <w:t>层高楼，评帖总字数超过</w:t>
      </w:r>
      <w:r>
        <w:rPr>
          <w:rFonts w:ascii="宋体" w:hAnsi="宋体"/>
        </w:rPr>
        <w:t>200万字</w:t>
      </w:r>
      <w:r>
        <w:rPr>
          <w:rFonts w:hint="eastAsia" w:ascii="宋体" w:hAnsi="宋体"/>
        </w:rPr>
        <w:t>。</w:t>
      </w:r>
    </w:p>
    <w:p w14:paraId="03FA126D">
      <w:pPr>
        <w:pStyle w:val="4"/>
      </w:pPr>
      <w:r>
        <w:rPr>
          <w:rFonts w:hint="eastAsia"/>
        </w:rPr>
        <w:t>【各文艺协会活动情况】</w:t>
      </w:r>
    </w:p>
    <w:p w14:paraId="10190E95">
      <w:pPr>
        <w:ind w:firstLine="420"/>
        <w:rPr>
          <w:rFonts w:ascii="宋体" w:hAnsi="宋体"/>
        </w:rPr>
      </w:pPr>
      <w:r>
        <w:rPr>
          <w:rFonts w:hint="eastAsia" w:ascii="宋体" w:hAnsi="宋体"/>
        </w:rPr>
        <w:t>南雄市文联属下有美术协会、书法协会、老年书法协会、音乐舞蹈戏剧协会、摄影协会、老年摄影协会、雄州诗社、赏石盆景根艺协会、演讲与口才协会和南雄作家协会等</w:t>
      </w:r>
      <w:r>
        <w:rPr>
          <w:rFonts w:ascii="宋体" w:hAnsi="宋体"/>
        </w:rPr>
        <w:t>10个协会及喜洋洋民</w:t>
      </w:r>
      <w:r>
        <w:rPr>
          <w:rFonts w:hint="eastAsia" w:ascii="宋体" w:hAnsi="宋体"/>
        </w:rPr>
        <w:t>乐团、艳阳天、夕阳红、老年体协等自由文艺团体。各个文艺团体充分发挥自己的优势，开展各种学习交流、演出展览等活动。活动经费主要依靠企业或个人赞助。书法、摄影、赏石等</w:t>
      </w:r>
      <w:r>
        <w:rPr>
          <w:rFonts w:ascii="宋体" w:hAnsi="宋体"/>
        </w:rPr>
        <w:t>3协会年年有展览；音乐舞蹈逢节日</w:t>
      </w:r>
      <w:r>
        <w:rPr>
          <w:rFonts w:hint="eastAsia" w:ascii="宋体" w:hAnsi="宋体"/>
        </w:rPr>
        <w:t>必有专场；作家协会、珠玑诗社年年开展采风活动，编辑出版《珠玑文艺》和《珠玑诗苑；演讲与口才协会开展“迎春朗颂会；老年书法协会出版了《南雄书法作品集》，美术协法和书法协会出版《南雄美术书法作品集》。</w:t>
      </w:r>
    </w:p>
    <w:p w14:paraId="26269707">
      <w:pPr>
        <w:ind w:firstLine="0" w:firstLineChars="0"/>
        <w:jc w:val="right"/>
        <w:rPr>
          <w:rFonts w:ascii="宋体" w:hAnsi="宋体"/>
        </w:rPr>
      </w:pPr>
      <w:r>
        <w:rPr>
          <w:rFonts w:hint="eastAsia" w:ascii="宋体" w:hAnsi="宋体"/>
        </w:rPr>
        <w:t>（赵才文）</w:t>
      </w:r>
    </w:p>
    <w:p w14:paraId="34E2075D">
      <w:pPr>
        <w:ind w:firstLine="0" w:firstLineChars="0"/>
        <w:rPr>
          <w:rFonts w:ascii="宋体" w:hAnsi="宋体"/>
          <w:b/>
        </w:rPr>
      </w:pPr>
      <w:r>
        <w:rPr>
          <w:rFonts w:hint="eastAsia" w:ascii="宋体" w:hAnsi="宋体"/>
          <w:b/>
        </w:rPr>
        <w:t>附：</w:t>
      </w:r>
      <w:r>
        <w:rPr>
          <w:rFonts w:ascii="宋体" w:hAnsi="宋体"/>
          <w:b/>
        </w:rPr>
        <w:t>2010年文联领导班子成员名单</w:t>
      </w:r>
    </w:p>
    <w:p w14:paraId="384C3CDC">
      <w:pPr>
        <w:ind w:firstLine="0" w:firstLineChars="0"/>
        <w:rPr>
          <w:rFonts w:ascii="宋体" w:hAnsi="宋体"/>
        </w:rPr>
      </w:pPr>
      <w:r>
        <w:rPr>
          <w:rFonts w:hint="eastAsia" w:ascii="宋体" w:hAnsi="宋体"/>
        </w:rPr>
        <w:t>主席：刘甫梅</w:t>
      </w:r>
    </w:p>
    <w:p w14:paraId="7221A92A">
      <w:pPr>
        <w:pStyle w:val="3"/>
      </w:pPr>
      <w:r>
        <w:rPr>
          <w:rFonts w:hint="eastAsia"/>
        </w:rPr>
        <w:t>社会科学联合会</w:t>
      </w:r>
    </w:p>
    <w:p w14:paraId="34C83502">
      <w:pPr>
        <w:pStyle w:val="4"/>
      </w:pPr>
      <w:r>
        <w:rPr>
          <w:rFonts w:hint="eastAsia"/>
        </w:rPr>
        <w:t>【概况】</w:t>
      </w:r>
    </w:p>
    <w:p w14:paraId="54E6E1E9">
      <w:pPr>
        <w:ind w:firstLine="420"/>
        <w:rPr>
          <w:rFonts w:ascii="宋体" w:hAnsi="宋体"/>
        </w:rPr>
      </w:pPr>
      <w:r>
        <w:rPr>
          <w:rFonts w:hint="eastAsia" w:ascii="宋体" w:hAnsi="宋体"/>
        </w:rPr>
        <w:t>南雄市社会科学联合会（简称社科联），是南雄市各社会科学学会、研究会组成的专业性人民团体。社科联是党和政府联系广大社科界专家学者的桥梁和纽带。社科联围绕南雄市中心工作和大局，响应市委、政府开展的“履行职责，加快南雄发展”活动，按照“拓宽思路，夯实基础，突出重点，力求突破”的工作方针，团结广大社科工作者，开展建机立制和社科课题研究、挖掘珠玑古巷文化和雄州文化、普及宣传地方历史文化等专项工作。南雄市社科联现有在职干部</w:t>
      </w:r>
      <w:r>
        <w:rPr>
          <w:rFonts w:ascii="宋体" w:hAnsi="宋体"/>
        </w:rPr>
        <w:t>3</w:t>
      </w:r>
      <w:r>
        <w:rPr>
          <w:rFonts w:hint="eastAsia" w:ascii="宋体" w:hAnsi="宋体"/>
        </w:rPr>
        <w:t>人。有珠玑巷联谊会、纪检监察学会、政治思想工作研究会、党建学会、财政学会、税务学会、</w:t>
      </w:r>
      <w:commentRangeStart w:id="12"/>
      <w:r>
        <w:rPr>
          <w:rFonts w:hint="eastAsia" w:ascii="宋体" w:hAnsi="宋体"/>
        </w:rPr>
        <w:t>审计学会等</w:t>
      </w:r>
      <w:r>
        <w:rPr>
          <w:rFonts w:ascii="宋体" w:hAnsi="宋体"/>
        </w:rPr>
        <w:t>10多个团体学会。</w:t>
      </w:r>
      <w:commentRangeEnd w:id="12"/>
      <w:r>
        <w:rPr>
          <w:rStyle w:val="12"/>
          <w:rFonts w:ascii="宋体" w:hAnsi="宋体"/>
        </w:rPr>
        <w:commentReference w:id="12"/>
      </w:r>
    </w:p>
    <w:p w14:paraId="119694B6">
      <w:pPr>
        <w:pStyle w:val="4"/>
      </w:pPr>
      <w:r>
        <w:t>【社科工作】</w:t>
      </w:r>
    </w:p>
    <w:p w14:paraId="64ECDBE2">
      <w:pPr>
        <w:ind w:firstLine="420"/>
        <w:rPr>
          <w:rFonts w:ascii="宋体" w:hAnsi="宋体"/>
        </w:rPr>
      </w:pPr>
      <w:r>
        <w:rPr>
          <w:rFonts w:ascii="宋体" w:hAnsi="宋体"/>
        </w:rPr>
        <w:t>2003年社科联与地方税务局联合出版《税务工作研讨》期刊一期；2004年社科联出版一期《南雄社科论丛》，与省内社科界以及江西赣州等地进行学术交流；2006年社科联与市委宣传部、文联联合开展领导干部理论学习征文，出版《南雄市领导干部论文集》，收集市镇领导论文58篇。社科联围绕将南雄建设成为全国历史文化名城这一主题，推动广府文化发源地的研究和普及宣传工作，做好珠玑巷南迁后裔这篇大文章，挖掘珠玑历史文化底蕴。研究珠玑文化的来历，追踪“张九龄开拓梅关古道”的千古传闻以及珠玑古巷形成的渊源，让广大市民、中小学生树立“知我珠玑、爱我南雄、建设和谐家园”的理念，积极参与编写《珠玑古巷》、《千年古塔》等系列丛书。</w:t>
      </w:r>
    </w:p>
    <w:p w14:paraId="26FFE9AD">
      <w:pPr>
        <w:ind w:firstLine="420"/>
        <w:jc w:val="right"/>
        <w:rPr>
          <w:rFonts w:ascii="宋体" w:hAnsi="宋体"/>
        </w:rPr>
      </w:pPr>
      <w:r>
        <w:rPr>
          <w:rFonts w:ascii="宋体" w:hAnsi="宋体"/>
        </w:rPr>
        <w:t>（郭泊铄）</w:t>
      </w:r>
    </w:p>
    <w:p w14:paraId="7EEA23E7">
      <w:pPr>
        <w:ind w:firstLine="422"/>
        <w:rPr>
          <w:rFonts w:ascii="宋体" w:hAnsi="宋体"/>
          <w:b/>
          <w:bCs/>
        </w:rPr>
      </w:pPr>
      <w:r>
        <w:rPr>
          <w:rFonts w:ascii="宋体" w:hAnsi="宋体"/>
          <w:b/>
          <w:bCs/>
        </w:rPr>
        <w:t>附：2010年社科联领导班子成员名单</w:t>
      </w:r>
    </w:p>
    <w:p w14:paraId="5A902F82">
      <w:pPr>
        <w:ind w:firstLine="422"/>
        <w:rPr>
          <w:rFonts w:ascii="宋体" w:hAnsi="宋体"/>
        </w:rPr>
      </w:pPr>
      <w:r>
        <w:rPr>
          <w:rFonts w:ascii="宋体" w:hAnsi="宋体"/>
          <w:b/>
          <w:bCs/>
        </w:rPr>
        <w:t>主</w:t>
      </w:r>
      <w:r>
        <w:rPr>
          <w:rFonts w:hint="eastAsia" w:ascii="宋体" w:hAnsi="宋体"/>
          <w:b/>
          <w:bCs/>
        </w:rPr>
        <w:t xml:space="preserve">  </w:t>
      </w:r>
      <w:r>
        <w:rPr>
          <w:rFonts w:ascii="宋体" w:hAnsi="宋体"/>
          <w:b/>
          <w:bCs/>
        </w:rPr>
        <w:t>席</w:t>
      </w:r>
      <w:r>
        <w:rPr>
          <w:rFonts w:hint="eastAsia" w:ascii="宋体" w:hAnsi="宋体"/>
          <w:b/>
          <w:bCs/>
        </w:rPr>
        <w:t>：</w:t>
      </w:r>
      <w:r>
        <w:rPr>
          <w:rFonts w:ascii="宋体" w:hAnsi="宋体"/>
        </w:rPr>
        <w:t>钟武</w:t>
      </w:r>
    </w:p>
    <w:p w14:paraId="3EC2F0A8">
      <w:pPr>
        <w:ind w:firstLine="422"/>
        <w:rPr>
          <w:rFonts w:ascii="宋体" w:hAnsi="宋体"/>
        </w:rPr>
      </w:pPr>
      <w:r>
        <w:rPr>
          <w:rFonts w:ascii="宋体" w:hAnsi="宋体"/>
          <w:b/>
          <w:bCs/>
        </w:rPr>
        <w:t>副主席：</w:t>
      </w:r>
      <w:r>
        <w:rPr>
          <w:rFonts w:ascii="宋体" w:hAnsi="宋体"/>
        </w:rPr>
        <w:t>王精</w:t>
      </w:r>
    </w:p>
    <w:p w14:paraId="2DC96B4B">
      <w:pPr>
        <w:pStyle w:val="3"/>
      </w:pPr>
      <w:r>
        <w:t>残联</w:t>
      </w:r>
    </w:p>
    <w:p w14:paraId="3C8A63C7">
      <w:pPr>
        <w:pStyle w:val="4"/>
      </w:pPr>
      <w:r>
        <w:t>【概况】</w:t>
      </w:r>
    </w:p>
    <w:p w14:paraId="0E5B73C0">
      <w:pPr>
        <w:ind w:firstLine="420"/>
        <w:rPr>
          <w:rFonts w:ascii="宋体" w:hAnsi="宋体"/>
        </w:rPr>
      </w:pPr>
      <w:r>
        <w:rPr>
          <w:rFonts w:ascii="宋体" w:hAnsi="宋体"/>
        </w:rPr>
        <w:t>南雄市残疾人联合会内设康复股、教育就业股、办公室，机关编制7人，参照公务员管理。下设残疾人综合康复中心，用于脑瘫儿童、聋儿语训、自闭症儿童康复训练。</w:t>
      </w:r>
    </w:p>
    <w:p w14:paraId="51EDE49E">
      <w:pPr>
        <w:pStyle w:val="4"/>
      </w:pPr>
      <w:r>
        <w:t>【残疾人康复工作】</w:t>
      </w:r>
    </w:p>
    <w:p w14:paraId="141AB429">
      <w:pPr>
        <w:ind w:firstLine="420"/>
        <w:rPr>
          <w:rFonts w:ascii="宋体" w:hAnsi="宋体"/>
        </w:rPr>
      </w:pPr>
      <w:r>
        <w:rPr>
          <w:rFonts w:ascii="宋体" w:hAnsi="宋体"/>
        </w:rPr>
        <w:t>2003年至2010年残联认真落实康复任务指标，为65名贫困残疾人免费发放中、小型辅助器具；邀请省“复明2号”手术车来南雄实施白内障复明手术608例；残疾人综合康复中心接受残疾儿童康复训练58人；新建2个社区康复。为38名残疾人提供医疗康复服务；2007年以来开展精神病防治康复工作，为453名贫困精神病患者免费提供精神病治疗基本药品，每人每年360元，合计65万元，每年有20名贫困精神病患者住院治疗，平均每人每年补助2000元，计4万元。免费发放轮椅115台，矫形器装配15件，为17名患者安装大、小腿假肢；为20名视力残疾人配戴了助视器，宣传残疾人康复事业，普及残疾预防和康复知识。</w:t>
      </w:r>
    </w:p>
    <w:p w14:paraId="22427E39">
      <w:pPr>
        <w:pStyle w:val="4"/>
      </w:pPr>
      <w:r>
        <w:t>【残疾人培训就业】</w:t>
      </w:r>
    </w:p>
    <w:p w14:paraId="18067E8C">
      <w:pPr>
        <w:ind w:firstLine="420"/>
        <w:rPr>
          <w:rFonts w:ascii="宋体" w:hAnsi="宋体"/>
        </w:rPr>
      </w:pPr>
      <w:r>
        <w:rPr>
          <w:rFonts w:ascii="宋体" w:hAnsi="宋体"/>
        </w:rPr>
        <w:t>输送近180名残疾人到外地打工，月收入都在800元以上，在一定程度上为残疾人家庭增加收入。2008年，伟洛仕公司在南雄落户后，安排残疾人就业20多人，每人每月收入近千元。至2010年，通过多种渠道，采取不同方式，推荐安置残疾人就业人数达380人。残联还根据具体情况，选送150多名残疾人到始兴粤北培训基地进行种养培训，使他们能掌握一技之长，走上脱贫致富的道路。同时培训盲人按摩师32名。</w:t>
      </w:r>
    </w:p>
    <w:p w14:paraId="6F135C9D">
      <w:pPr>
        <w:pStyle w:val="4"/>
      </w:pPr>
      <w:r>
        <w:t>【扶贫助残】</w:t>
      </w:r>
    </w:p>
    <w:p w14:paraId="47F476FE">
      <w:pPr>
        <w:ind w:firstLine="420"/>
        <w:rPr>
          <w:rFonts w:ascii="宋体" w:hAnsi="宋体"/>
        </w:rPr>
      </w:pPr>
      <w:r>
        <w:rPr>
          <w:rFonts w:ascii="宋体" w:hAnsi="宋体"/>
        </w:rPr>
        <w:t>争取资金，开展扶贫助残活动。2003年至2010年，共扶持危房改造300户，补助60万元；沼气池建设500户，补助25万元。共资助残疾人新生252名，资助金额30万元。整村推进残疾人脱贫致富建设项目，共扶持两个村残疾人50户，补助20万元。积极开展慰问活动，共慰问2100户贫困残疾人家庭。累计收到慰问金及慰问品折款42万元。</w:t>
      </w:r>
    </w:p>
    <w:p w14:paraId="57D40602">
      <w:pPr>
        <w:pStyle w:val="4"/>
      </w:pPr>
      <w:r>
        <w:t>【基层残疾人组织建设】</w:t>
      </w:r>
    </w:p>
    <w:p w14:paraId="44CAAC97">
      <w:pPr>
        <w:ind w:firstLine="420"/>
        <w:rPr>
          <w:rFonts w:ascii="宋体" w:hAnsi="宋体"/>
        </w:rPr>
      </w:pPr>
      <w:r>
        <w:rPr>
          <w:rFonts w:ascii="宋体" w:hAnsi="宋体"/>
        </w:rPr>
        <w:t>全市18个镇都成立残联，有18名专职理事长、成立肢体、盲人、聋哑残疾人协会，有3名社区残疾人专职委员。近年来，接待群众来信来访，积极排查矛盾，教育和引导群众依法上访，全年无一例越级上访事件，尽全力维护政府和残疾人的利益。至2010年共接待来信来访58件，处理完成58件，结案率100%。</w:t>
      </w:r>
    </w:p>
    <w:p w14:paraId="74F6CF12">
      <w:pPr>
        <w:pStyle w:val="4"/>
      </w:pPr>
      <w:r>
        <w:t>【残疾人宣传文体】</w:t>
      </w:r>
    </w:p>
    <w:p w14:paraId="4950B37E">
      <w:pPr>
        <w:ind w:firstLine="420"/>
        <w:rPr>
          <w:rFonts w:ascii="宋体" w:hAnsi="宋体"/>
        </w:rPr>
      </w:pPr>
      <w:r>
        <w:rPr>
          <w:rFonts w:ascii="宋体" w:hAnsi="宋体"/>
        </w:rPr>
        <w:t>开展“助残日”、“爱耳日”、“爱眼日”、“国际残疾人日”等宣传活动，活动期间，各地对贫困残疾人进行慰问，累计送去款物4万元，135名贫困残疾人受益。2009年，选送9名残疾人运动员参加韶关市残疾人田径、游泳比赛，获得三金三银的好成绩。2010年残疾人运动员刘小华和周美英在省运动会上分别获得一金一银。</w:t>
      </w:r>
    </w:p>
    <w:p w14:paraId="7710E2B4">
      <w:pPr>
        <w:ind w:firstLine="420"/>
        <w:jc w:val="right"/>
        <w:rPr>
          <w:rFonts w:ascii="宋体" w:hAnsi="宋体"/>
        </w:rPr>
      </w:pPr>
      <w:r>
        <w:rPr>
          <w:rFonts w:ascii="宋体" w:hAnsi="宋体"/>
        </w:rPr>
        <w:t>（曾庆和）</w:t>
      </w:r>
    </w:p>
    <w:p w14:paraId="359448C3">
      <w:pPr>
        <w:ind w:firstLine="422"/>
        <w:rPr>
          <w:rFonts w:ascii="宋体" w:hAnsi="宋体"/>
          <w:b/>
          <w:bCs/>
        </w:rPr>
      </w:pPr>
      <w:r>
        <w:rPr>
          <w:rFonts w:ascii="宋体" w:hAnsi="宋体"/>
          <w:b/>
          <w:bCs/>
        </w:rPr>
        <w:t>附：2010年残联领导班子成员名单</w:t>
      </w:r>
    </w:p>
    <w:p w14:paraId="1E5FCC66">
      <w:pPr>
        <w:ind w:firstLine="422"/>
        <w:rPr>
          <w:rFonts w:ascii="宋体" w:hAnsi="宋体"/>
        </w:rPr>
      </w:pPr>
      <w:r>
        <w:rPr>
          <w:rFonts w:ascii="宋体" w:hAnsi="宋体"/>
          <w:b/>
          <w:bCs/>
        </w:rPr>
        <w:t>理事长：</w:t>
      </w:r>
      <w:r>
        <w:rPr>
          <w:rFonts w:ascii="宋体" w:hAnsi="宋体"/>
        </w:rPr>
        <w:t>李吉祥</w:t>
      </w:r>
    </w:p>
    <w:p w14:paraId="01B2216A">
      <w:pPr>
        <w:ind w:firstLine="422"/>
        <w:rPr>
          <w:rFonts w:ascii="宋体" w:hAnsi="宋体"/>
        </w:rPr>
      </w:pPr>
      <w:r>
        <w:rPr>
          <w:rFonts w:ascii="宋体" w:hAnsi="宋体"/>
          <w:b/>
          <w:bCs/>
        </w:rPr>
        <w:t>副理事长：</w:t>
      </w:r>
      <w:r>
        <w:rPr>
          <w:rFonts w:ascii="宋体" w:hAnsi="宋体"/>
        </w:rPr>
        <w:t>钟爱兰</w:t>
      </w:r>
    </w:p>
    <w:p w14:paraId="3B43D51F">
      <w:pPr>
        <w:pStyle w:val="3"/>
      </w:pPr>
      <w:r>
        <w:t>侨联</w:t>
      </w:r>
    </w:p>
    <w:p w14:paraId="17F910CE">
      <w:pPr>
        <w:pStyle w:val="4"/>
      </w:pPr>
      <w:r>
        <w:t>【概况】</w:t>
      </w:r>
    </w:p>
    <w:p w14:paraId="53BECE3A">
      <w:pPr>
        <w:ind w:firstLine="420"/>
        <w:rPr>
          <w:rFonts w:ascii="宋体" w:hAnsi="宋体"/>
        </w:rPr>
      </w:pPr>
      <w:r>
        <w:rPr>
          <w:rFonts w:ascii="宋体" w:hAnsi="宋体"/>
        </w:rPr>
        <w:t>南雄市归国华侨联合会1985年5月设立，正科级群众团体，与市外事侨务办合署办公，编制1人，由一名专职副主席负责日常工作。2005年5月，与市委统战部合署办公，编制1人，由一名专职副主席负责日常工作。</w:t>
      </w:r>
    </w:p>
    <w:p w14:paraId="3264C43B">
      <w:pPr>
        <w:pStyle w:val="4"/>
      </w:pPr>
      <w:r>
        <w:t>【基本侨情】</w:t>
      </w:r>
    </w:p>
    <w:p w14:paraId="4578A25D">
      <w:pPr>
        <w:ind w:firstLine="420"/>
        <w:rPr>
          <w:rFonts w:ascii="宋体" w:hAnsi="宋体"/>
        </w:rPr>
      </w:pPr>
      <w:r>
        <w:rPr>
          <w:rFonts w:ascii="宋体" w:hAnsi="宋体"/>
        </w:rPr>
        <w:t>据统计，南雄市有华侨华人369户，3850人。有归侨17人；侨眷410户，1788人。华侨华人主要分布在加拿大、美国、英国、澳大利亚、新西兰、印度尼西亚、马来西亚、新加坡、泰国、越南、缅甸、苏里南、毛里求斯、日本、菲律宾和汤加等16个国家。</w:t>
      </w:r>
    </w:p>
    <w:p w14:paraId="631F4855">
      <w:pPr>
        <w:pStyle w:val="4"/>
      </w:pPr>
      <w:r>
        <w:t>【换届情况】</w:t>
      </w:r>
    </w:p>
    <w:p w14:paraId="0B8D99CE">
      <w:pPr>
        <w:ind w:firstLine="420"/>
        <w:rPr>
          <w:rFonts w:ascii="宋体" w:hAnsi="宋体"/>
        </w:rPr>
      </w:pPr>
      <w:r>
        <w:rPr>
          <w:rFonts w:ascii="宋体" w:hAnsi="宋体"/>
        </w:rPr>
        <w:t>南雄市第三届归侨侨眷代表大会于2010年4月23日召开，有代表51人。会议选举产生市侨联第三届委员会委员、常委、正副主席。会议聘请中共南雄市委书记、市人大主任林楚欣，南雄市侨联原主席庄礼味为市侨联第三届委员会名誉主席；南雄市副市长罗战勇当选为市侨联第三届委员会主席；曾华、杨会英当选为副主席；罗战勇、曾华、杨会英、刘光团和康小松等5人当选为市侨联第三届委员会常务委员；罗战勇、曾华、杨会英、刘光团、康小松、吴亦文庄子圣、彭志勇和张周等9人当选为市侨联第三届委员会委员。</w:t>
      </w:r>
    </w:p>
    <w:p w14:paraId="31E1B3A6">
      <w:pPr>
        <w:pStyle w:val="4"/>
      </w:pPr>
      <w:r>
        <w:t>【加强联系、做好侨联工作】</w:t>
      </w:r>
    </w:p>
    <w:p w14:paraId="02FE657F">
      <w:pPr>
        <w:ind w:firstLine="420"/>
        <w:rPr>
          <w:rFonts w:ascii="宋体" w:hAnsi="宋体"/>
        </w:rPr>
      </w:pPr>
      <w:r>
        <w:rPr>
          <w:rFonts w:ascii="宋体" w:hAnsi="宋体"/>
        </w:rPr>
        <w:t>维护华侨华人、港澳同胞和归侨侨眷的合法权益，为侨胞献爱心、办好事、做实事，为他们排忧解难。5年来，先后为侨胞、港澳同胞办好事、做实事16件（次）；加强对外联谊工作。五年来，侨联多次参加港澳和海外侨团和社团举办庆典活动。同时，接待来雄参观考察和寻根问祖的团组48个，478人（次），进一步密切与侨团、社团组织和华侨华人、港澳同胞的联系，扩大共识，增强交流与合作。</w:t>
      </w:r>
    </w:p>
    <w:p w14:paraId="16516B0B">
      <w:pPr>
        <w:ind w:firstLine="420"/>
        <w:jc w:val="right"/>
        <w:rPr>
          <w:rFonts w:ascii="宋体" w:hAnsi="宋体"/>
        </w:rPr>
      </w:pPr>
      <w:r>
        <w:rPr>
          <w:rFonts w:ascii="宋体" w:hAnsi="宋体"/>
        </w:rPr>
        <w:t>（董祖明华春君）</w:t>
      </w:r>
    </w:p>
    <w:p w14:paraId="0AE583D7">
      <w:pPr>
        <w:ind w:firstLine="422"/>
        <w:rPr>
          <w:rFonts w:ascii="宋体" w:hAnsi="宋体"/>
          <w:b/>
          <w:bCs/>
        </w:rPr>
      </w:pPr>
      <w:r>
        <w:rPr>
          <w:rFonts w:ascii="宋体" w:hAnsi="宋体"/>
          <w:b/>
          <w:bCs/>
        </w:rPr>
        <w:t>附：2010年侨联领导班子成员名单</w:t>
      </w:r>
    </w:p>
    <w:p w14:paraId="0395A63B">
      <w:pPr>
        <w:ind w:firstLine="422"/>
        <w:rPr>
          <w:rFonts w:ascii="宋体" w:hAnsi="宋体"/>
        </w:rPr>
      </w:pPr>
      <w:r>
        <w:rPr>
          <w:rFonts w:ascii="宋体" w:hAnsi="宋体"/>
          <w:b/>
          <w:bCs/>
        </w:rPr>
        <w:t>主</w:t>
      </w:r>
      <w:r>
        <w:rPr>
          <w:rFonts w:hint="eastAsia" w:ascii="宋体" w:hAnsi="宋体"/>
          <w:b/>
          <w:bCs/>
        </w:rPr>
        <w:t xml:space="preserve">  </w:t>
      </w:r>
      <w:r>
        <w:rPr>
          <w:rFonts w:ascii="宋体" w:hAnsi="宋体"/>
          <w:b/>
          <w:bCs/>
        </w:rPr>
        <w:t>席：</w:t>
      </w:r>
      <w:r>
        <w:rPr>
          <w:rFonts w:ascii="宋体" w:hAnsi="宋体"/>
        </w:rPr>
        <w:t>罗战勇（兼）</w:t>
      </w:r>
    </w:p>
    <w:p w14:paraId="09FC4D90">
      <w:pPr>
        <w:ind w:firstLine="422"/>
        <w:rPr>
          <w:rFonts w:ascii="宋体" w:hAnsi="宋体"/>
        </w:rPr>
      </w:pPr>
      <w:r>
        <w:rPr>
          <w:rFonts w:ascii="宋体" w:hAnsi="宋体"/>
          <w:b/>
          <w:bCs/>
        </w:rPr>
        <w:t>副主席：</w:t>
      </w:r>
      <w:r>
        <w:rPr>
          <w:rFonts w:ascii="宋体" w:hAnsi="宋体"/>
        </w:rPr>
        <w:t>曾</w:t>
      </w:r>
      <w:r>
        <w:rPr>
          <w:rFonts w:hint="eastAsia" w:ascii="宋体" w:hAnsi="宋体"/>
        </w:rPr>
        <w:t xml:space="preserve">  </w:t>
      </w:r>
      <w:r>
        <w:rPr>
          <w:rFonts w:ascii="宋体" w:hAnsi="宋体"/>
        </w:rPr>
        <w:t>华</w:t>
      </w:r>
      <w:r>
        <w:rPr>
          <w:rFonts w:hint="eastAsia" w:ascii="宋体" w:hAnsi="宋体"/>
        </w:rPr>
        <w:t xml:space="preserve">  </w:t>
      </w:r>
      <w:r>
        <w:rPr>
          <w:rFonts w:ascii="宋体" w:hAnsi="宋体"/>
        </w:rPr>
        <w:t>杨金英</w:t>
      </w:r>
    </w:p>
    <w:p w14:paraId="0085511C">
      <w:pPr>
        <w:pStyle w:val="2"/>
      </w:pPr>
      <w:r>
        <w:rPr>
          <w:rFonts w:hint="eastAsia"/>
        </w:rPr>
        <w:t>军事</w:t>
      </w:r>
    </w:p>
    <w:p w14:paraId="333D7CC6">
      <w:pPr>
        <w:pStyle w:val="3"/>
      </w:pPr>
      <w:r>
        <w:t>人民武装</w:t>
      </w:r>
    </w:p>
    <w:p w14:paraId="383E88D2">
      <w:pPr>
        <w:pStyle w:val="4"/>
      </w:pPr>
      <w:r>
        <w:t>【概况】</w:t>
      </w:r>
    </w:p>
    <w:p w14:paraId="7AEF15D9">
      <w:pPr>
        <w:ind w:firstLine="420"/>
        <w:rPr>
          <w:rFonts w:ascii="宋体" w:hAnsi="宋体"/>
        </w:rPr>
      </w:pPr>
      <w:r>
        <w:rPr>
          <w:rFonts w:ascii="宋体" w:hAnsi="宋体"/>
        </w:rPr>
        <w:t>广东省南雄市人民武装部（简称市人武部）位于市区光明西路23号，市区中心偏北，正团级军事机关，设部长、政委各1名，市委书记兼任人武部党委第一书记，机关设军事科、政工科、后勤科、预备役营（预备役营于2010年8月撤编）市民兵装备仓库和国防教育训练基地。编制现役军官8人，职工14人，辖基层武装部21个，有专武干部45人。该部属部队建制，受军队和地方双重领导。南雄市设人民武装委员会和国防动员委员会管理武装，办公室设在市人武部军事科。</w:t>
      </w:r>
    </w:p>
    <w:p w14:paraId="6C57D1CA">
      <w:pPr>
        <w:pStyle w:val="4"/>
      </w:pPr>
      <w:r>
        <w:t>【思想政治建设】</w:t>
      </w:r>
    </w:p>
    <w:p w14:paraId="3C28B1B7">
      <w:pPr>
        <w:ind w:firstLine="420"/>
        <w:rPr>
          <w:rFonts w:ascii="宋体" w:hAnsi="宋体"/>
        </w:rPr>
      </w:pPr>
      <w:r>
        <w:rPr>
          <w:rFonts w:ascii="宋体" w:hAnsi="宋体"/>
        </w:rPr>
        <w:t>2010年，市人武部抓“赞颂新成就、履行新使命、迎接十七大”专题教育。教育中，组织干部职工观看《千年珠玑》、《做人、做事、做官》、《感动中国人物——李大为》等和到梅关古道、珠玑古巷、明珠工业园、珠玑工业园和社会主义新农村示范基地及井岗山革命根据地参观见学，开展群众性大讨论，畅谈社会主义建设的新成就，以解决实际问题为牵引，切实加强人武部机关作风建设，通过教育活动，坚定广大干部职工和专武干部理想信念，提高能力素质，振奋革命精神，增强事业心责任感，教育效果明显。</w:t>
      </w:r>
    </w:p>
    <w:p w14:paraId="784B22EC">
      <w:pPr>
        <w:ind w:firstLine="420"/>
        <w:rPr>
          <w:rFonts w:ascii="宋体" w:hAnsi="宋体"/>
        </w:rPr>
      </w:pPr>
      <w:r>
        <w:rPr>
          <w:rFonts w:ascii="宋体" w:hAnsi="宋体"/>
        </w:rPr>
        <w:t>市人武部为各基层武装部和民兵营订阅《民兵生活》、《广东武装》、《中国国防报》等报刊、杂志，利用民兵应急分队训练，进行民兵性质宗旨、国防战备形势和革命人生观、价值观等教育，增强了民兵政治立场的坚定性和思想道德的纯洁性。组织干部职工和广大民兵开展当代革命军人核心价值观教育。韶关军分区刘卫芳政委指导市人武部开展培育革命军人核心观主题教育。每季度、重大节日前、专武干部每月一次的例会、民兵应急分队训练等时机进行形势战备和使命任务教育，解决干部职工中存在的打仗思想不牢、打赢信心不足、战斗意志不强等问题，着力培养广大干部职工、民兵预备役人员英勇顽强、敢打必胜的战斗意志和作风。</w:t>
      </w:r>
    </w:p>
    <w:p w14:paraId="31BB576F">
      <w:pPr>
        <w:pStyle w:val="4"/>
      </w:pPr>
      <w:r>
        <w:t>【战备训练】</w:t>
      </w:r>
    </w:p>
    <w:p w14:paraId="0D993E76">
      <w:pPr>
        <w:ind w:firstLine="420"/>
        <w:rPr>
          <w:rFonts w:ascii="宋体" w:hAnsi="宋体"/>
        </w:rPr>
      </w:pPr>
      <w:r>
        <w:rPr>
          <w:rFonts w:ascii="宋体" w:hAnsi="宋体"/>
        </w:rPr>
        <w:t>南雄市人武部机关设军事科负责全市民兵预备役的战备训练和执勤处突组织任务，管理市民兵装备仓库和国防教育训练基地。按照《民兵军事训练与考核大纲》要求，市人武部拟制年度训练计划，立足现有武器装备和训练条件，坚持从难、从严、从正规化治训，全面提高各级各类人员训练质量。民兵干部训练上，每年对民兵专武干部进行为期10~15天的封闭式训练，一个任职周期内对民兵营长进行为期10~15天的封闭式训练，重点进行兵役法规、兵员动员、人民防空、民兵组训、民兵政治教育、轻武器设计等基础科目训练。每年参训人员100余人，参训率98%以上，合格率100%。2010年南雄市民兵作战分队应训实训150余人，共训练25天；勤务保障分队应训实训100余人，共训练15天；应急分队和其它分队应训实训100余人，共训练10天，突出进行了基础课目和应用课目的训练。按新大纲要求，市人武部组织民兵骨干的军事理论、军事技能和体能的学习训练。军事理论方面重点学习军事思想、作战理论、非战争军事行动理论、作战对象研究、战场环境研究；军事技能方面重点学习识图用图、战术标图、军用文书、主要武器装备操作、指挥信息化系统使用、手枪射击。发挥训练考核的杠杆作用，根据《民兵军事训练与考核大纲》要求，组织对专武干部、民兵干部、民兵作战和勤务保障分队训练进行考核。在组织考核时，做到考前提要求，考中严密监督检查，考后进行总结讲评。</w:t>
      </w:r>
    </w:p>
    <w:p w14:paraId="5062F723">
      <w:pPr>
        <w:ind w:firstLine="420"/>
        <w:rPr>
          <w:rFonts w:ascii="宋体" w:hAnsi="宋体"/>
        </w:rPr>
      </w:pPr>
      <w:r>
        <w:rPr>
          <w:rFonts w:ascii="宋体" w:hAnsi="宋体"/>
        </w:rPr>
        <w:t>2009年10月，原“三八班”女民兵徐影入伍后兵参加了国庆60周年大阅兵。2010年9月18日至20日，市人武部组织市委、市政府、市人武部各基层武装部及国动委各职能部门的主要领导及有关人员共150余人参加韶关军分区组织的“韶联—2010”实兵演习，在防卫分区编成内成立了南雄防卫责任区指挥部。</w:t>
      </w:r>
    </w:p>
    <w:p w14:paraId="677D1AAA">
      <w:pPr>
        <w:pStyle w:val="4"/>
      </w:pPr>
      <w:r>
        <w:t>【执勤处突】</w:t>
      </w:r>
    </w:p>
    <w:p w14:paraId="53D86739">
      <w:pPr>
        <w:ind w:firstLine="420"/>
        <w:rPr>
          <w:rFonts w:ascii="宋体" w:hAnsi="宋体"/>
        </w:rPr>
      </w:pPr>
      <w:r>
        <w:rPr>
          <w:rFonts w:ascii="宋体" w:hAnsi="宋体"/>
        </w:rPr>
        <w:t>2006年7月15日，强热带风暴“碧利斯”袭击韶关，引发百年不遇的特大山洪，其中乐昌市受灾最严重，局部最大降雨量达到167毫米，7月16日晚，位于乐昌境内的武江河水位猛涨，倒灌入城，整个城区停水停电，情况相当危急。市人武部在韶关军分区的统一调度指挥下，组织应急分队官兵100余人紧急驰援，投入乐昌市的抗洪抢险战斗中。此次战斗中，全体官兵将个人安危置之度外，英勇战斗，“舍已为民好战士”李大为也就是在这场战役中牺牲的。2008年冬，市遭遇重大冰灾，投入民兵预备役部队152人参与救灾。2010年11月，组织民兵应急分队和“三八”女子民兵班参与亚运期间安保工作。11月初至12月中下旬，为加强亚运期间安保工作，根据上级通知，在南雄市南郊出口附城收费站设立南雄市军车检查站，包括市民兵应急分队17人，“三八”女子民兵班4人，装甲旅12人，武警13人，公安70人，共执勤人员116人，在市人武部张文超副部长的全面协调下，11月1日正式展开工作，所有人员24小时轮流执勤，查扣到手续不齐、违纪违章和假冒军车，交由人武部保管，汇总情况后报军分区值班室，由军分区报省军区统一处理。2010年12月31日，市人武部组织出动民兵应急分队50人配合公安部门参加韶赣高速公路通车典礼的执勤任务。</w:t>
      </w:r>
    </w:p>
    <w:p w14:paraId="630506A9">
      <w:pPr>
        <w:pStyle w:val="4"/>
      </w:pPr>
      <w:r>
        <w:t>【基层正规化建设】</w:t>
      </w:r>
    </w:p>
    <w:p w14:paraId="24B98A6B">
      <w:pPr>
        <w:ind w:firstLine="420"/>
        <w:rPr>
          <w:rFonts w:ascii="宋体" w:hAnsi="宋体"/>
        </w:rPr>
      </w:pPr>
      <w:r>
        <w:rPr>
          <w:rFonts w:ascii="宋体" w:hAnsi="宋体"/>
        </w:rPr>
        <w:t>南雄市人武部抓好基层人民武装部的基本教育、基本队伍、基本制度、基本设施建设，提高基层人民武装部全面建设水平，依据《中华人民共和国国防法》、《中华人民共和国兵役法》、《民兵工作条例》、《军队基层建设纲要》和上级有关法规政策、指示要求，结合基层武装工作实际，按照市委、市政府、市人武部的统一部署，制定正规化达标实施方案，力争高标准完成“四个基本”的达标建设。对基层武装部进行“四个基本”建设。对办公室设置、战备器材室设置、作战文书格式、图纸格式、登统计等都做统一规范。2010年度，投入资金400余万元完成了全市213个民兵营（连）“四个基本”（基本教育、队伍、制度、设施）建设的达标任务。基层武装部基本设施配齐，基本的专武干部和民兵队伍建设有力，教育训练经常，标准落实到位，包括党管武装、战备工作、军事训练、政治教育、管理工作、请示报告、会议、登统计、检查指导等基本制度得到很好的落实。</w:t>
      </w:r>
    </w:p>
    <w:p w14:paraId="3C77B833">
      <w:pPr>
        <w:pStyle w:val="4"/>
      </w:pPr>
      <w:r>
        <w:t>【民兵预备役建设】</w:t>
      </w:r>
    </w:p>
    <w:p w14:paraId="7862E8A2">
      <w:pPr>
        <w:ind w:firstLine="420"/>
        <w:rPr>
          <w:rFonts w:ascii="宋体" w:hAnsi="宋体"/>
        </w:rPr>
      </w:pPr>
      <w:r>
        <w:rPr>
          <w:rFonts w:ascii="宋体" w:hAnsi="宋体"/>
        </w:rPr>
        <w:t>南雄市辖有镇武装部17个，街道、机关、矿、公司武装部各1个，民兵营200多个，梅岭“三八”女子民兵班1个。有预备役部队1个防空营，下辖3个连，隶属广东陆军预备役高炮师三团。预备役营于2010年8月撤消，人员收归现役部队和民兵组织。利用每年退伍军人回乡之时，对退伍军人进行预备役登记，编入民兵预备役，各民兵营进行民兵出入队登记、整理，落实基干民兵人员2008年5月，全市11个镇（街道）组建一支民兵应急分队。</w:t>
      </w:r>
    </w:p>
    <w:p w14:paraId="4BF84AAC">
      <w:pPr>
        <w:pStyle w:val="4"/>
      </w:pPr>
      <w:r>
        <w:t>【党管武装工作】</w:t>
      </w:r>
    </w:p>
    <w:p w14:paraId="6B37254E">
      <w:pPr>
        <w:ind w:firstLine="420"/>
        <w:rPr>
          <w:rFonts w:ascii="宋体" w:hAnsi="宋体"/>
        </w:rPr>
      </w:pPr>
      <w:r>
        <w:rPr>
          <w:rFonts w:ascii="宋体" w:hAnsi="宋体"/>
        </w:rPr>
        <w:t>保证南雄市武装力量听党指挥、服务人民，打得赢、不变质，市人武部坚持狠抓部队思想政治建设，打牢听党指挥的思想根基，准确把握思想政治建设面临的新任务新要求，在党委班子建设、干部队伍建设以及民兵预备役人员教育上开展学习实践科学发展观活动。围绕坚定理想信念、履行使命强化战斗精神、纯洁道德情操，以强烈的政治责任感和使命感，深化当代革命军人核心价值观培育。做好迎接建党90周年系列活动，参加韶关军分区开展的“学习党史军史、感党恩跟党走”专题教育、党史知识竞赛和评选表彰先进党组织、优秀共产党员、优秀党务工作者等活动，参加省军区师团级党委第一书记“弘扬光荣传统、加强党管武装”征文评选活动，弘扬“六个好”的时代主旋律。</w:t>
      </w:r>
    </w:p>
    <w:p w14:paraId="61C2580A">
      <w:pPr>
        <w:pStyle w:val="4"/>
      </w:pPr>
      <w:r>
        <w:t>【征兵工作】</w:t>
      </w:r>
    </w:p>
    <w:p w14:paraId="031EF09D">
      <w:pPr>
        <w:ind w:firstLine="420"/>
        <w:rPr>
          <w:rFonts w:ascii="宋体" w:hAnsi="宋体"/>
        </w:rPr>
      </w:pPr>
      <w:r>
        <w:rPr>
          <w:rFonts w:ascii="宋体" w:hAnsi="宋体"/>
        </w:rPr>
        <w:t>1.兵役登记该部还充分利用民兵整组，专武干部、民兵营长集训，学生军训，民兵训练，抓住重大节假日，农忙季节和高校招生结束等有利时机，适时发动现有力量，通过查户口册和民兵名册等手段，摸清登记对象的人数、身体素质、政治表现等情况，抓好兵役登记工作，选定好预征对象。2.征兵情况2010年南雄市的3816名适龄青年中有2148名报名应征，应征青年报名率为63%，上站体检人数621人，初检合格人数为264人，双合格195人，较好地完成了147名兵员征集任务。3.征兵政策及形式变化由于形势的发展变化，现在征兵难度逐年增大，市人武部采取早摸底，早准备的措施，每年6月高考一结束就提前做好征兵准备。征兵期间，还在市电视台、市政府信息网站等新闻媒体发布征兵公告，向各乡镇散发征兵政策宣传单、宣传画，在三影塔广场等地设立征兵宣传咨询点，向社会公开新兵征集任务、政策、条件、程序和退役安置政策，做到条件公开、去向公开、人数公开等，保证了征兵任务的完成。国家对征集新兵的学历要求提高，征集对象主体由农村青年、城镇待业青年向高中以上层次各级各类院校应届毕业生倾斜。总部对身高、体重、视力、纹身、耳洞等体检标准有所放宽，将心电图检查和腹部超声检查作为常规检查项目，并对征兵心理检测的部分内容和方法进行调整，针对高校毕业生和在校生的政审等方面出台新的政策。市人武部加强新政策的宣传力度，为高质量完成征兵任务打下基础。2010年，逐步实行网上征兵工作，进一步加大高学历士兵的征集力度。4.退伍安置和优抚工作。市人武部主动作为，在涉及到军人利益问题上，为现役及退伍军人、军属排忧解难，提供力所能及的帮助。根据韶关市征兵优抚安置规定，2008年12月1日后入伍的中国人民解放军和中国人民武装警察部队现役士兵，服义务兵在役期间立功受奖的，还按当年优待金比例给予奖励。南雄市农村义务兵每人5360元×2年=10720元优抚金。城镇义务兵每人7564×2年=15128+安置经费23026=38154元优抚金。</w:t>
      </w:r>
    </w:p>
    <w:p w14:paraId="4BAB6576">
      <w:pPr>
        <w:pStyle w:val="4"/>
      </w:pPr>
      <w:r>
        <w:t>【后勤保障】</w:t>
      </w:r>
    </w:p>
    <w:p w14:paraId="5F7DF7EE">
      <w:pPr>
        <w:ind w:firstLine="420"/>
        <w:rPr>
          <w:rFonts w:ascii="宋体" w:hAnsi="宋体"/>
        </w:rPr>
      </w:pPr>
      <w:r>
        <w:rPr>
          <w:rFonts w:ascii="宋体" w:hAnsi="宋体"/>
        </w:rPr>
        <w:t>南雄市人武部按规定执行单位内部控制制度，稽核制度和财务保障制度，财务管理制度的规定制定相应的分工管理职责。完善财务管理制度，规范财务管理行为。</w:t>
      </w:r>
    </w:p>
    <w:p w14:paraId="6150D949">
      <w:pPr>
        <w:ind w:firstLine="420"/>
        <w:rPr>
          <w:rFonts w:ascii="宋体" w:hAnsi="宋体"/>
        </w:rPr>
      </w:pPr>
      <w:r>
        <w:rPr>
          <w:rFonts w:ascii="宋体" w:hAnsi="宋体"/>
        </w:rPr>
        <w:t>加大后勤装备保障力度，按照信息化条件下训练的新要求，有针对性地解决部队后勤装备保障的重点难点问题，落实训练经费、弹药、油料和物资器材保障，形成围绕中心、服务中心、保障中心的良好局面。</w:t>
      </w:r>
    </w:p>
    <w:p w14:paraId="7DCB8809">
      <w:pPr>
        <w:ind w:firstLine="420"/>
        <w:rPr>
          <w:rFonts w:ascii="宋体" w:hAnsi="宋体"/>
        </w:rPr>
      </w:pPr>
      <w:r>
        <w:rPr>
          <w:rFonts w:ascii="宋体" w:hAnsi="宋体"/>
        </w:rPr>
        <w:t>坚持军事斗争专项经费做到专款专用，投向科学合理，保证民兵应急分队、“三八”女子民兵班等均在训练工作中取得优异成绩，受到各级的好评。南雄市基层人武部“四个基本”建设全部达标，民兵预备役建设上一个新台阶。还积极强化财务队伍人员素质，通过业务培训、交流和岗位实践等多种方式提升财务人员业务能力和知识水平。</w:t>
      </w:r>
    </w:p>
    <w:p w14:paraId="429A2FE0">
      <w:pPr>
        <w:pStyle w:val="4"/>
      </w:pPr>
      <w:r>
        <w:t>【军民共建】</w:t>
      </w:r>
    </w:p>
    <w:p w14:paraId="25B1DA55">
      <w:pPr>
        <w:ind w:firstLine="420"/>
        <w:rPr>
          <w:rFonts w:ascii="宋体" w:hAnsi="宋体"/>
        </w:rPr>
      </w:pPr>
      <w:r>
        <w:rPr>
          <w:rFonts w:ascii="宋体" w:hAnsi="宋体"/>
        </w:rPr>
        <w:t>南雄市人武部与市交通局挂牌共建，与全安镇中学、总后勤部援建的“八一”希望小学、派出所等单位也保持着共建关系，双方共建、共管、共保安全，为南雄市的经济社会发展作贡献。</w:t>
      </w:r>
    </w:p>
    <w:p w14:paraId="0A8A507C">
      <w:pPr>
        <w:ind w:firstLine="420"/>
        <w:rPr>
          <w:rFonts w:ascii="宋体" w:hAnsi="宋体"/>
        </w:rPr>
      </w:pPr>
      <w:r>
        <w:rPr>
          <w:rFonts w:ascii="宋体" w:hAnsi="宋体"/>
        </w:rPr>
        <w:t>市人武部将扶贫工作纳入年度工作计划和党委重要的议事日程，对“扶贫双到”（规划到户、责任到人）尤为重视。两年多来，投入资金3万余元为江头镇涌溪村开展扶贫帮困活动，帮助扶贫点筹集资金5万余元。该部还每年参加“广东扶贫济困日”活动，为各级筹得善款2万多元。</w:t>
      </w:r>
    </w:p>
    <w:p w14:paraId="651865FD">
      <w:pPr>
        <w:ind w:firstLine="420"/>
        <w:rPr>
          <w:rFonts w:ascii="宋体" w:hAnsi="宋体"/>
        </w:rPr>
      </w:pPr>
      <w:r>
        <w:rPr>
          <w:rFonts w:ascii="宋体" w:hAnsi="宋体"/>
        </w:rPr>
        <w:t>组织民兵应急分队长期参加地方建设，积极参加驻地活动，为当地经济建设和社会稳定做出一定的贡献。国防教育目的是使公民增强国防观念，掌握国防知识和必要的军事技能，发扬爱国主义精神，自觉履行国防义务。市国防教育领导小组下设办公室主要负责该项工作。市人武部积极做好经常性、全民性的国防教育工作。</w:t>
      </w:r>
    </w:p>
    <w:p w14:paraId="7E43C720">
      <w:pPr>
        <w:ind w:firstLine="420"/>
        <w:jc w:val="right"/>
        <w:rPr>
          <w:rFonts w:ascii="宋体" w:hAnsi="宋体"/>
        </w:rPr>
      </w:pPr>
      <w:r>
        <w:rPr>
          <w:rFonts w:ascii="宋体" w:hAnsi="宋体"/>
        </w:rPr>
        <w:t>（叶向京）</w:t>
      </w:r>
    </w:p>
    <w:p w14:paraId="478D6F13">
      <w:pPr>
        <w:ind w:firstLine="422"/>
        <w:rPr>
          <w:rFonts w:ascii="宋体" w:hAnsi="宋体"/>
          <w:b/>
          <w:bCs/>
        </w:rPr>
      </w:pPr>
      <w:r>
        <w:rPr>
          <w:rFonts w:ascii="宋体" w:hAnsi="宋体"/>
          <w:b/>
          <w:bCs/>
        </w:rPr>
        <w:t>附：2010年武装部领导班子成员名单</w:t>
      </w:r>
    </w:p>
    <w:p w14:paraId="44B59EF9">
      <w:pPr>
        <w:ind w:firstLine="420"/>
        <w:rPr>
          <w:rFonts w:ascii="宋体" w:hAnsi="宋体"/>
        </w:rPr>
      </w:pPr>
      <w:r>
        <w:rPr>
          <w:rFonts w:ascii="宋体" w:hAnsi="宋体"/>
          <w:bCs/>
        </w:rPr>
        <w:t>第一书记：</w:t>
      </w:r>
      <w:r>
        <w:rPr>
          <w:rFonts w:ascii="宋体" w:hAnsi="宋体"/>
        </w:rPr>
        <w:t>林楚欣（任至2010.08）</w:t>
      </w:r>
    </w:p>
    <w:p w14:paraId="7C145A14">
      <w:pPr>
        <w:ind w:firstLine="420"/>
        <w:rPr>
          <w:rFonts w:ascii="宋体" w:hAnsi="宋体"/>
        </w:rPr>
      </w:pPr>
      <w:r>
        <w:rPr>
          <w:rFonts w:ascii="宋体" w:hAnsi="宋体"/>
          <w:bCs/>
        </w:rPr>
        <w:t>第一书记：</w:t>
      </w:r>
      <w:r>
        <w:rPr>
          <w:rFonts w:ascii="宋体" w:hAnsi="宋体"/>
        </w:rPr>
        <w:t>许志新（2010.09任）</w:t>
      </w:r>
    </w:p>
    <w:p w14:paraId="7491B3B3">
      <w:pPr>
        <w:ind w:firstLine="420"/>
        <w:rPr>
          <w:rFonts w:ascii="宋体" w:hAnsi="宋体"/>
        </w:rPr>
      </w:pPr>
      <w:r>
        <w:rPr>
          <w:rFonts w:ascii="宋体" w:hAnsi="宋体"/>
          <w:bCs/>
        </w:rPr>
        <w:t>武装部长：</w:t>
      </w:r>
      <w:r>
        <w:rPr>
          <w:rFonts w:ascii="宋体" w:hAnsi="宋体"/>
        </w:rPr>
        <w:t>单荣龙（任至2010.04）</w:t>
      </w:r>
    </w:p>
    <w:p w14:paraId="1641091B">
      <w:pPr>
        <w:ind w:firstLine="420"/>
        <w:rPr>
          <w:rFonts w:ascii="宋体" w:hAnsi="宋体"/>
        </w:rPr>
      </w:pPr>
      <w:r>
        <w:rPr>
          <w:rFonts w:ascii="宋体" w:hAnsi="宋体"/>
          <w:bCs/>
        </w:rPr>
        <w:t>政治委员：</w:t>
      </w:r>
      <w:r>
        <w:rPr>
          <w:rFonts w:ascii="宋体" w:hAnsi="宋体"/>
        </w:rPr>
        <w:t>毛利群</w:t>
      </w:r>
    </w:p>
    <w:p w14:paraId="6BD73BDB">
      <w:pPr>
        <w:ind w:firstLine="420"/>
        <w:rPr>
          <w:rFonts w:ascii="宋体" w:hAnsi="宋体"/>
        </w:rPr>
      </w:pPr>
      <w:r>
        <w:rPr>
          <w:rFonts w:ascii="宋体" w:hAnsi="宋体"/>
          <w:bCs/>
        </w:rPr>
        <w:t>武装部长：</w:t>
      </w:r>
      <w:r>
        <w:rPr>
          <w:rFonts w:ascii="宋体" w:hAnsi="宋体"/>
        </w:rPr>
        <w:t>肖恒明（2010.04任）</w:t>
      </w:r>
    </w:p>
    <w:p w14:paraId="6858BFFB">
      <w:pPr>
        <w:ind w:firstLine="420"/>
        <w:rPr>
          <w:rFonts w:ascii="宋体" w:hAnsi="宋体"/>
        </w:rPr>
      </w:pPr>
      <w:r>
        <w:rPr>
          <w:rFonts w:ascii="宋体" w:hAnsi="宋体"/>
          <w:bCs/>
        </w:rPr>
        <w:t>政治委员：</w:t>
      </w:r>
      <w:r>
        <w:rPr>
          <w:rFonts w:ascii="宋体" w:hAnsi="宋体"/>
        </w:rPr>
        <w:t>毛利群</w:t>
      </w:r>
    </w:p>
    <w:p w14:paraId="62DAFB49">
      <w:pPr>
        <w:ind w:firstLine="420"/>
        <w:rPr>
          <w:rFonts w:ascii="宋体" w:hAnsi="宋体"/>
        </w:rPr>
      </w:pPr>
      <w:r>
        <w:rPr>
          <w:rFonts w:ascii="宋体" w:hAnsi="宋体"/>
          <w:bCs/>
        </w:rPr>
        <w:t>副部长兼军事科长：</w:t>
      </w:r>
      <w:r>
        <w:rPr>
          <w:rFonts w:ascii="宋体" w:hAnsi="宋体"/>
        </w:rPr>
        <w:t>叶向京</w:t>
      </w:r>
    </w:p>
    <w:p w14:paraId="0FC1E590">
      <w:pPr>
        <w:ind w:firstLine="420"/>
        <w:rPr>
          <w:rFonts w:ascii="宋体" w:hAnsi="宋体"/>
        </w:rPr>
      </w:pPr>
      <w:r>
        <w:rPr>
          <w:rFonts w:ascii="宋体" w:hAnsi="宋体"/>
          <w:bCs/>
        </w:rPr>
        <w:t>副部长：</w:t>
      </w:r>
      <w:r>
        <w:rPr>
          <w:rFonts w:ascii="宋体" w:hAnsi="宋体"/>
        </w:rPr>
        <w:t>张文超</w:t>
      </w:r>
    </w:p>
    <w:p w14:paraId="04755566">
      <w:pPr>
        <w:ind w:firstLine="420"/>
        <w:rPr>
          <w:rFonts w:ascii="宋体" w:hAnsi="宋体"/>
        </w:rPr>
      </w:pPr>
      <w:r>
        <w:rPr>
          <w:rFonts w:ascii="宋体" w:hAnsi="宋体"/>
          <w:bCs/>
        </w:rPr>
        <w:t>政工科长：</w:t>
      </w:r>
      <w:r>
        <w:rPr>
          <w:rFonts w:ascii="宋体" w:hAnsi="宋体"/>
        </w:rPr>
        <w:t>李金明</w:t>
      </w:r>
    </w:p>
    <w:p w14:paraId="2CB4A2C2">
      <w:pPr>
        <w:ind w:firstLine="420"/>
        <w:rPr>
          <w:rFonts w:ascii="宋体" w:hAnsi="宋体"/>
        </w:rPr>
      </w:pPr>
      <w:r>
        <w:rPr>
          <w:rFonts w:ascii="宋体" w:hAnsi="宋体"/>
          <w:bCs/>
        </w:rPr>
        <w:t>后勤科长：</w:t>
      </w:r>
      <w:r>
        <w:rPr>
          <w:rFonts w:ascii="宋体" w:hAnsi="宋体"/>
        </w:rPr>
        <w:t>于伟元</w:t>
      </w:r>
    </w:p>
    <w:p w14:paraId="4C890F27">
      <w:pPr>
        <w:pStyle w:val="3"/>
      </w:pPr>
      <w:r>
        <w:t>预备役</w:t>
      </w:r>
    </w:p>
    <w:p w14:paraId="518FFD86">
      <w:pPr>
        <w:pStyle w:val="4"/>
      </w:pPr>
      <w:r>
        <w:t>【概况】</w:t>
      </w:r>
    </w:p>
    <w:p w14:paraId="0DF1931C">
      <w:pPr>
        <w:ind w:firstLine="420"/>
        <w:rPr>
          <w:rFonts w:ascii="宋体" w:hAnsi="宋体"/>
        </w:rPr>
      </w:pPr>
      <w:r>
        <w:rPr>
          <w:rFonts w:ascii="宋体" w:hAnsi="宋体"/>
        </w:rPr>
        <w:t>南雄市预备役营为韶关市预备役团在编第三营，营部设于市人民武装部（简称市人武部），设营长、预任教导员各1名，预任副营长2名，下设三个连，并设连长和预任指导员各1名。预备役三营在南雄市原85加农炮连的基础上于1999年10月改编成立，编制干部28人，其中现役干部4人，预任干部24人，2009年，实有现役干部2人，预任干部22人。2010年8月，预备役三营撤编。该营受军地双重领导，既区别于现役部队，又不同于民兵组织。是平战结合的一种形式，是战争初期的首批动员对象，也是应对突发事件，承担急难险重任务的突击力量。</w:t>
      </w:r>
    </w:p>
    <w:p w14:paraId="5ADD2CE0">
      <w:pPr>
        <w:pStyle w:val="4"/>
      </w:pPr>
      <w:r>
        <w:t>【政治工作】</w:t>
      </w:r>
    </w:p>
    <w:p w14:paraId="0795D5EF">
      <w:pPr>
        <w:ind w:firstLine="420"/>
        <w:rPr>
          <w:rFonts w:ascii="宋体" w:hAnsi="宋体"/>
        </w:rPr>
      </w:pPr>
      <w:r>
        <w:rPr>
          <w:rFonts w:ascii="宋体" w:hAnsi="宋体"/>
        </w:rPr>
        <w:t>该营始终将学习马列主义、毛泽东思想和邓小平理论作为预备役营、连全面建设的首要任务来抓，坚持年年有计划，季度有安排，学习后做好读书笔记检查验收。</w:t>
      </w:r>
    </w:p>
    <w:p w14:paraId="600D9235">
      <w:pPr>
        <w:ind w:firstLine="420"/>
        <w:rPr>
          <w:rFonts w:ascii="宋体" w:hAnsi="宋体"/>
        </w:rPr>
      </w:pPr>
      <w:r>
        <w:rPr>
          <w:rFonts w:ascii="宋体" w:hAnsi="宋体"/>
        </w:rPr>
        <w:t>利用“八一”集会和集训集中授课为主，采用函授，随机教育和民兵教育同步进行为辅的方式，重点突出了“三个专题教育”，即理想信念教育、我军根本职能和形势教育、爱国奉献教育。通过教育坚定广大官兵的共产主义信念，克服了和平麻痹思想，较好的解决了部分官兵入队动机不纯，对服预备役认识不清等问题。连队抓经常性思想工作，在每个连队都建立7人以上的思想骨干队伍，利用一切机会广泛开展交心谈心活动。充分掌握官兵思想动态，当好党委、支部的帮手。</w:t>
      </w:r>
    </w:p>
    <w:p w14:paraId="2A79707B">
      <w:pPr>
        <w:pStyle w:val="4"/>
      </w:pPr>
      <w:r>
        <w:t>【军事工作】</w:t>
      </w:r>
    </w:p>
    <w:p w14:paraId="185E231B">
      <w:pPr>
        <w:ind w:firstLine="420"/>
        <w:rPr>
          <w:rFonts w:ascii="宋体" w:hAnsi="宋体"/>
        </w:rPr>
      </w:pPr>
      <w:r>
        <w:rPr>
          <w:rFonts w:ascii="宋体" w:hAnsi="宋体"/>
        </w:rPr>
        <w:t>三营严格按照《军事训练和考核大纲》要求，结合实际、突出重点、难点科目训练，做到精讲多练，循序渐进，打基础，重实效。采取开展训练竞赛，分阶段考核等办法，想方设法调动参训人员训练积极性。几年来，共参加上级集训30多期，保证参训人员全部合格，总评成绩良好。</w:t>
      </w:r>
    </w:p>
    <w:p w14:paraId="1E787904">
      <w:pPr>
        <w:ind w:firstLine="420"/>
        <w:rPr>
          <w:rFonts w:ascii="宋体" w:hAnsi="宋体"/>
        </w:rPr>
      </w:pPr>
      <w:r>
        <w:rPr>
          <w:rFonts w:ascii="宋体" w:hAnsi="宋体"/>
        </w:rPr>
        <w:t>针对台海局势紧张的实际，三营紧紧围绕“召之即来、来之能战、战之能胜”的要求，结合组织整顿、军事训练、集结点验、政治教育等活动，进行战备教育。针对改编后的任务，重点拟制了快速动员集结，抢险救灾以及地方维稳三个战备方案，并要求各连利用节假日进行防护期战备教育，落实好战备值班。</w:t>
      </w:r>
    </w:p>
    <w:p w14:paraId="51AF1AB4">
      <w:pPr>
        <w:pStyle w:val="4"/>
      </w:pPr>
      <w:r>
        <w:t>【后勤工作】</w:t>
      </w:r>
    </w:p>
    <w:p w14:paraId="3959196E">
      <w:pPr>
        <w:ind w:firstLine="420"/>
        <w:rPr>
          <w:rFonts w:ascii="宋体" w:hAnsi="宋体"/>
        </w:rPr>
      </w:pPr>
      <w:r>
        <w:rPr>
          <w:rFonts w:ascii="宋体" w:hAnsi="宋体"/>
        </w:rPr>
        <w:t>南雄市委、市政府历来重视预备役建设，营、连部办公、生活条件逐步改善。市人武部给预备役营部更换办公室，重新安装电话、打印机、传真机等办公设备。2004年正规化建设中，各镇政府为连部的建设提供单独的办公室。</w:t>
      </w:r>
    </w:p>
    <w:p w14:paraId="22862EFD">
      <w:pPr>
        <w:pStyle w:val="4"/>
      </w:pPr>
      <w:r>
        <w:t>【军民共建】</w:t>
      </w:r>
    </w:p>
    <w:p w14:paraId="3204F3B0">
      <w:pPr>
        <w:ind w:firstLine="420"/>
        <w:rPr>
          <w:rFonts w:ascii="宋体" w:hAnsi="宋体"/>
        </w:rPr>
      </w:pPr>
      <w:r>
        <w:rPr>
          <w:rFonts w:ascii="宋体" w:hAnsi="宋体"/>
        </w:rPr>
        <w:t>该营在三个文明建设中争当先锋。几年来，在各级开展的“学雷锋、树新风”活动中，各预建团支部积极响应，共组织600余人参加义务植树5000余棵。在扶贫帮困“三大会战”中，组织广大官兵出动3000余人次，修路15公里，捐款捐物计人民币3万余元。2004年初，八连出动50余人抗击禽流感病毒，帮助捕灭家禽2000余只，掩埋3000余只。消洗场地1.5平方公里。</w:t>
      </w:r>
    </w:p>
    <w:p w14:paraId="5F9688FF">
      <w:pPr>
        <w:ind w:firstLine="420"/>
        <w:jc w:val="right"/>
        <w:rPr>
          <w:rFonts w:ascii="宋体" w:hAnsi="宋体"/>
        </w:rPr>
      </w:pPr>
      <w:r>
        <w:rPr>
          <w:rFonts w:ascii="宋体" w:hAnsi="宋体"/>
        </w:rPr>
        <w:t>（叶向京）</w:t>
      </w:r>
    </w:p>
    <w:p w14:paraId="3BB8FD08">
      <w:pPr>
        <w:ind w:firstLine="422"/>
        <w:rPr>
          <w:rFonts w:ascii="宋体" w:hAnsi="宋体"/>
          <w:b/>
        </w:rPr>
      </w:pPr>
      <w:r>
        <w:rPr>
          <w:rFonts w:ascii="宋体" w:hAnsi="宋体"/>
          <w:b/>
        </w:rPr>
        <w:t>附：2010年预备役领导班子成员名单</w:t>
      </w:r>
    </w:p>
    <w:p w14:paraId="3D715524">
      <w:pPr>
        <w:ind w:firstLine="420"/>
        <w:rPr>
          <w:rFonts w:ascii="宋体" w:hAnsi="宋体"/>
        </w:rPr>
      </w:pPr>
      <w:r>
        <w:rPr>
          <w:rFonts w:ascii="宋体" w:hAnsi="宋体"/>
        </w:rPr>
        <w:t>营长：相建峰</w:t>
      </w:r>
    </w:p>
    <w:p w14:paraId="475D7402">
      <w:pPr>
        <w:ind w:firstLine="420"/>
        <w:rPr>
          <w:rFonts w:ascii="宋体" w:hAnsi="宋体"/>
        </w:rPr>
      </w:pPr>
      <w:r>
        <w:rPr>
          <w:rFonts w:ascii="宋体" w:hAnsi="宋体"/>
        </w:rPr>
        <w:t>代理营长：左</w:t>
      </w:r>
      <w:r>
        <w:rPr>
          <w:rFonts w:hint="eastAsia" w:ascii="宋体" w:hAnsi="宋体"/>
        </w:rPr>
        <w:t xml:space="preserve">  </w:t>
      </w:r>
      <w:r>
        <w:rPr>
          <w:rFonts w:ascii="宋体" w:hAnsi="宋体"/>
        </w:rPr>
        <w:t>春</w:t>
      </w:r>
    </w:p>
    <w:p w14:paraId="59353C9E">
      <w:pPr>
        <w:ind w:firstLine="420"/>
        <w:rPr>
          <w:rFonts w:ascii="宋体" w:hAnsi="宋体"/>
        </w:rPr>
      </w:pPr>
      <w:r>
        <w:rPr>
          <w:rFonts w:ascii="宋体" w:hAnsi="宋体"/>
        </w:rPr>
        <w:t>政治教导员：何</w:t>
      </w:r>
      <w:r>
        <w:rPr>
          <w:rFonts w:hint="eastAsia" w:ascii="宋体" w:hAnsi="宋体"/>
        </w:rPr>
        <w:t xml:space="preserve">  </w:t>
      </w:r>
      <w:r>
        <w:rPr>
          <w:rFonts w:ascii="宋体" w:hAnsi="宋体"/>
        </w:rPr>
        <w:t>坚</w:t>
      </w:r>
    </w:p>
    <w:p w14:paraId="214CC365">
      <w:pPr>
        <w:ind w:firstLine="420"/>
        <w:rPr>
          <w:rFonts w:ascii="宋体" w:hAnsi="宋体"/>
        </w:rPr>
      </w:pPr>
      <w:r>
        <w:rPr>
          <w:rFonts w:ascii="宋体" w:hAnsi="宋体"/>
        </w:rPr>
        <w:t>副营长：何启林</w:t>
      </w:r>
      <w:r>
        <w:rPr>
          <w:rFonts w:hint="eastAsia" w:ascii="宋体" w:hAnsi="宋体"/>
        </w:rPr>
        <w:t xml:space="preserve">  </w:t>
      </w:r>
      <w:r>
        <w:rPr>
          <w:rFonts w:ascii="宋体" w:hAnsi="宋体"/>
        </w:rPr>
        <w:t>沈步亮</w:t>
      </w:r>
    </w:p>
    <w:p w14:paraId="1C21EB45">
      <w:pPr>
        <w:ind w:firstLine="420"/>
        <w:rPr>
          <w:rFonts w:ascii="宋体" w:hAnsi="宋体"/>
        </w:rPr>
      </w:pPr>
      <w:r>
        <w:rPr>
          <w:rFonts w:ascii="宋体" w:hAnsi="宋体"/>
        </w:rPr>
        <w:t>副教导员：刘发龙</w:t>
      </w:r>
    </w:p>
    <w:p w14:paraId="4ECD776F">
      <w:pPr>
        <w:ind w:firstLine="420"/>
        <w:rPr>
          <w:rFonts w:ascii="宋体" w:hAnsi="宋体"/>
        </w:rPr>
      </w:pPr>
      <w:r>
        <w:rPr>
          <w:rFonts w:ascii="宋体" w:hAnsi="宋体"/>
        </w:rPr>
        <w:t>卫生所所长：廖宣明</w:t>
      </w:r>
    </w:p>
    <w:p w14:paraId="66302B5D">
      <w:pPr>
        <w:pStyle w:val="3"/>
      </w:pPr>
      <w:r>
        <w:t>武警</w:t>
      </w:r>
    </w:p>
    <w:p w14:paraId="66810DC7">
      <w:pPr>
        <w:pStyle w:val="4"/>
      </w:pPr>
      <w:r>
        <w:t>【概况】</w:t>
      </w:r>
    </w:p>
    <w:p w14:paraId="4D791EFF">
      <w:pPr>
        <w:ind w:firstLine="420"/>
        <w:rPr>
          <w:rFonts w:ascii="宋体" w:hAnsi="宋体"/>
        </w:rPr>
      </w:pPr>
      <w:r>
        <w:rPr>
          <w:rFonts w:ascii="宋体" w:hAnsi="宋体"/>
        </w:rPr>
        <w:t>中国人民武装警察部队韶关支队南雄市中队位于南雄市雄州镇陵园路1号，组建于1949年，主要担负南雄市看守所的武装看守、南雄地区的“处突”、“反恐”，城市武装巡逻、重大临时勤务等维稳任务。</w:t>
      </w:r>
    </w:p>
    <w:p w14:paraId="7C32E1EC">
      <w:pPr>
        <w:pStyle w:val="4"/>
      </w:pPr>
      <w:r>
        <w:t>【党支部班子建设】</w:t>
      </w:r>
    </w:p>
    <w:p w14:paraId="6D245C61">
      <w:pPr>
        <w:ind w:firstLine="420"/>
        <w:rPr>
          <w:rFonts w:ascii="宋体" w:hAnsi="宋体"/>
        </w:rPr>
      </w:pPr>
      <w:r>
        <w:rPr>
          <w:rFonts w:ascii="宋体" w:hAnsi="宋体"/>
        </w:rPr>
        <w:t>中队党支部一班人，按照“想干事、干成事、好共事、不出事”的思路，着眼部队科学、安全发展，党支部班子的先进性建设和能力建设，进步显著。把关定能力强，团结共事氛围浓，勤奋敬业作风室，廉洁自律形象好。</w:t>
      </w:r>
    </w:p>
    <w:p w14:paraId="18254A76">
      <w:pPr>
        <w:pStyle w:val="4"/>
      </w:pPr>
      <w:r>
        <w:t>【思想政治工作】</w:t>
      </w:r>
    </w:p>
    <w:p w14:paraId="5318D896">
      <w:pPr>
        <w:ind w:firstLine="420"/>
        <w:rPr>
          <w:rFonts w:ascii="宋体" w:hAnsi="宋体"/>
        </w:rPr>
      </w:pPr>
      <w:r>
        <w:rPr>
          <w:rFonts w:ascii="宋体" w:hAnsi="宋体"/>
        </w:rPr>
        <w:t>中队始终把思想政治建设摆在首位，着眼驻地环境复杂的特点，探索思想政治工作的新路子、新特点、新方法，打牢官兵的政治思想基础，狠抓以“争做党和人民忠诚卫士”为主题的四个教育，校正官兵的世界观、人生观、价值观，筑老反腐倡廉的思想防线，使广大官兵始终保持政治上的坚定和思想道德的纯洁，向党和人民交出“打得赢”、“不变质”的合格答卷。</w:t>
      </w:r>
    </w:p>
    <w:p w14:paraId="4ABDE406">
      <w:pPr>
        <w:pStyle w:val="4"/>
      </w:pPr>
      <w:r>
        <w:t>【行政管理】</w:t>
      </w:r>
    </w:p>
    <w:p w14:paraId="14DAE827">
      <w:pPr>
        <w:ind w:firstLine="420"/>
        <w:rPr>
          <w:rFonts w:ascii="宋体" w:hAnsi="宋体"/>
        </w:rPr>
      </w:pPr>
      <w:r>
        <w:rPr>
          <w:rFonts w:ascii="宋体" w:hAnsi="宋体"/>
        </w:rPr>
        <w:t>中队贯彻落实条例条令和各项规章制度，建立和维护良好的内外关系，督促履行职责，建立和保持正规秩序，严格政治纪律，培养良好作风。管好武器装备，预防各类事故。使官兵培养、锻炼成为具有高度自觉的组织纪律、优良作风和良好习惯的忠诚卫士，使部队保持高度稳定和统一，巩固和提高部队战斗力，保证执勤和处置突发事件等各项任务的顺利完成。</w:t>
      </w:r>
    </w:p>
    <w:p w14:paraId="43C7DC8B">
      <w:pPr>
        <w:pStyle w:val="4"/>
      </w:pPr>
      <w:r>
        <w:t>【军事训练】</w:t>
      </w:r>
    </w:p>
    <w:p w14:paraId="779B5459">
      <w:pPr>
        <w:ind w:firstLine="420"/>
        <w:rPr>
          <w:rFonts w:ascii="宋体" w:hAnsi="宋体"/>
        </w:rPr>
      </w:pPr>
      <w:r>
        <w:rPr>
          <w:rFonts w:ascii="宋体" w:hAnsi="宋体"/>
        </w:rPr>
        <w:t>中队在训练中坚持以任务为牵引，以质量为核心，从难、从严要求，按纲科学实训，不断打牢官兵的战斗精神和技、战术基础，训练水平不断提高，为高标准实现“两个确保”打下来基础。</w:t>
      </w:r>
    </w:p>
    <w:p w14:paraId="610C9A6A">
      <w:pPr>
        <w:pStyle w:val="4"/>
      </w:pPr>
      <w:r>
        <w:t>【执勤】</w:t>
      </w:r>
    </w:p>
    <w:p w14:paraId="3686292A">
      <w:pPr>
        <w:ind w:firstLine="420"/>
        <w:rPr>
          <w:rFonts w:ascii="宋体" w:hAnsi="宋体"/>
        </w:rPr>
      </w:pPr>
      <w:r>
        <w:rPr>
          <w:rFonts w:ascii="宋体" w:hAnsi="宋体"/>
        </w:rPr>
        <w:t>中队紧密结合执勤任务和执勤改革的实际，加强对新情况，新问题的研究，探索信贷条件下执勤工作的特点和规律，改进执勤的工作内容，方法和手段，使之更好地发挥服务保证作用，确保执勤工作的圆满完成。</w:t>
      </w:r>
    </w:p>
    <w:p w14:paraId="20D3A7D2">
      <w:pPr>
        <w:pStyle w:val="4"/>
      </w:pPr>
      <w:r>
        <w:t>【拥政爱民】</w:t>
      </w:r>
    </w:p>
    <w:p w14:paraId="232B6E26">
      <w:pPr>
        <w:ind w:firstLine="420"/>
        <w:rPr>
          <w:rFonts w:ascii="宋体" w:hAnsi="宋体"/>
        </w:rPr>
      </w:pPr>
      <w:r>
        <w:rPr>
          <w:rFonts w:ascii="宋体" w:hAnsi="宋体"/>
        </w:rPr>
        <w:t>中队明确拥政爱民、加强军政军民团结的重要性，坚持发扬拥政爱民的优良传统，坚持全心全意为人民服务的宗旨，始终以人民群众以地方政府的关系，不断增强军政军民团结。</w:t>
      </w:r>
    </w:p>
    <w:p w14:paraId="1AA06DB9">
      <w:pPr>
        <w:pStyle w:val="4"/>
      </w:pPr>
      <w:r>
        <w:t>【后勤管理】</w:t>
      </w:r>
    </w:p>
    <w:p w14:paraId="41CA65A0">
      <w:pPr>
        <w:ind w:firstLine="420"/>
        <w:rPr>
          <w:rFonts w:ascii="宋体" w:hAnsi="宋体"/>
        </w:rPr>
      </w:pPr>
      <w:r>
        <w:rPr>
          <w:rFonts w:ascii="宋体" w:hAnsi="宋体"/>
        </w:rPr>
        <w:t>中队坚持以“保障有力”为目标，狠抓后勤建设和管理，提高后勤规范化建设管理水平，后勤综合保障能力不断增强，为执勤“处突”任务的圆满完成提供了也咯的保障。</w:t>
      </w:r>
    </w:p>
    <w:p w14:paraId="1807D66A">
      <w:pPr>
        <w:ind w:firstLine="420"/>
        <w:jc w:val="right"/>
        <w:rPr>
          <w:rFonts w:ascii="宋体" w:hAnsi="宋体"/>
        </w:rPr>
      </w:pPr>
      <w:r>
        <w:rPr>
          <w:rFonts w:ascii="宋体" w:hAnsi="宋体"/>
        </w:rPr>
        <w:t>（刘玉学）</w:t>
      </w:r>
    </w:p>
    <w:p w14:paraId="58257623">
      <w:pPr>
        <w:ind w:firstLine="422"/>
        <w:rPr>
          <w:rFonts w:ascii="宋体" w:hAnsi="宋体"/>
          <w:b/>
          <w:bCs/>
        </w:rPr>
      </w:pPr>
      <w:r>
        <w:rPr>
          <w:rFonts w:ascii="宋体" w:hAnsi="宋体"/>
          <w:b/>
          <w:bCs/>
        </w:rPr>
        <w:t>附：2010年武警中队领导班子成员名单</w:t>
      </w:r>
    </w:p>
    <w:p w14:paraId="5B791927">
      <w:pPr>
        <w:ind w:firstLine="422"/>
        <w:rPr>
          <w:rFonts w:ascii="宋体" w:hAnsi="宋体"/>
        </w:rPr>
      </w:pPr>
      <w:r>
        <w:rPr>
          <w:rFonts w:ascii="宋体" w:hAnsi="宋体"/>
          <w:b/>
          <w:bCs/>
        </w:rPr>
        <w:t>中队长：</w:t>
      </w:r>
      <w:r>
        <w:rPr>
          <w:rFonts w:ascii="宋体" w:hAnsi="宋体"/>
        </w:rPr>
        <w:t>黄小马</w:t>
      </w:r>
    </w:p>
    <w:p w14:paraId="386299A0">
      <w:pPr>
        <w:ind w:firstLine="422"/>
        <w:rPr>
          <w:rFonts w:ascii="宋体" w:hAnsi="宋体"/>
        </w:rPr>
      </w:pPr>
      <w:r>
        <w:rPr>
          <w:rFonts w:ascii="宋体" w:hAnsi="宋体"/>
          <w:b/>
          <w:bCs/>
        </w:rPr>
        <w:t>指导员：</w:t>
      </w:r>
      <w:r>
        <w:rPr>
          <w:rFonts w:ascii="宋体" w:hAnsi="宋体"/>
        </w:rPr>
        <w:t>刘玉学</w:t>
      </w:r>
    </w:p>
    <w:p w14:paraId="241A53F8">
      <w:pPr>
        <w:pStyle w:val="3"/>
      </w:pPr>
      <w:r>
        <w:t>消防</w:t>
      </w:r>
    </w:p>
    <w:p w14:paraId="527CB6F4">
      <w:pPr>
        <w:pStyle w:val="4"/>
      </w:pPr>
      <w:r>
        <w:t>【概况】</w:t>
      </w:r>
    </w:p>
    <w:p w14:paraId="6E28B6BC">
      <w:pPr>
        <w:ind w:firstLine="420"/>
        <w:rPr>
          <w:rFonts w:ascii="宋体" w:hAnsi="宋体"/>
        </w:rPr>
      </w:pPr>
      <w:r>
        <w:rPr>
          <w:rFonts w:ascii="宋体" w:hAnsi="宋体"/>
        </w:rPr>
        <w:t>南雄市公安消防大队位于雄州街道陵园路3号，有现役官兵26人（干部7人，士官11人，义务兵8人），合同制消防员18人。下辖有消防中队1个，并负责管理南雄市综合应急救援队。配备消防车辆5台（多功能主战消防车1台、大功率水罐车1台、水罐泡沫车2台、抢险救援车1台），行政车辆3台。肩负全市防火灭火、抢险救援等工作任务。</w:t>
      </w:r>
    </w:p>
    <w:p w14:paraId="4B43BBE7">
      <w:pPr>
        <w:pStyle w:val="4"/>
      </w:pPr>
      <w:r>
        <w:t>【业务建设】</w:t>
      </w:r>
    </w:p>
    <w:p w14:paraId="29883EB1">
      <w:pPr>
        <w:ind w:firstLine="420"/>
        <w:rPr>
          <w:rFonts w:ascii="宋体" w:hAnsi="宋体"/>
        </w:rPr>
      </w:pPr>
      <w:r>
        <w:rPr>
          <w:rFonts w:ascii="宋体" w:hAnsi="宋体"/>
        </w:rPr>
        <w:t>2008年在“三基”工程建设中，大队投入80余万元完成中队综合楼改造项目，2008年至2010年逐步建全了视频会议室、电脑室、荣誉室、图书室、健身室、卡拉OK室等26个标准场室库；自2009年10月起，由财政解决经费招聘合同制消防员，成立工业园综合应急救援队；2010年，市政府购置250万元的城市多功能主战消防车1台；2010年9月投入45万元建成综合训练塔并投入使用。</w:t>
      </w:r>
    </w:p>
    <w:p w14:paraId="33EB0F0C">
      <w:pPr>
        <w:pStyle w:val="4"/>
      </w:pPr>
      <w:r>
        <w:t>【执勤备战】</w:t>
      </w:r>
    </w:p>
    <w:p w14:paraId="65A84830">
      <w:pPr>
        <w:ind w:firstLine="420"/>
        <w:rPr>
          <w:rFonts w:ascii="宋体" w:hAnsi="宋体"/>
        </w:rPr>
      </w:pPr>
      <w:r>
        <w:rPr>
          <w:rFonts w:ascii="宋体" w:hAnsi="宋体"/>
        </w:rPr>
        <w:t>2010年，全市共发生火灾16起，死亡0人，伤0人，直接财产损失7500元，同比去年，火灾起数上升33.3%，亡人数与去年持平，伤人数与去年持平，直接财产损失下降87.7%。消防大队共接警141起，出动消防车311辆次，消防官兵1739人次，抢救被困人员11人，疏散人员15人，抢救财产价值150余万元。</w:t>
      </w:r>
    </w:p>
    <w:p w14:paraId="6C0B7FFC">
      <w:pPr>
        <w:ind w:firstLine="420"/>
        <w:rPr>
          <w:rFonts w:ascii="宋体" w:hAnsi="宋体"/>
        </w:rPr>
      </w:pPr>
      <w:r>
        <w:rPr>
          <w:rFonts w:ascii="宋体" w:hAnsi="宋体"/>
        </w:rPr>
        <w:t>2009年，大队成功处置了“5.8”龙华山温矿泉度假村火灾、“7.3”建筑工地塌方事件、“7.3”乌迳抗洪抢险救灾、“7.13”扑救保险粉运输车火灾、“9.24”盐酸槽车泄漏等各类不同的急、难、险、重任务。其中2009年“7.3”抗洪抢险等事迹先后被中央电视台、广东卫视、南方电视台及南方日报、广州日报、羊城晚报、中国新闻网、人民网等主流媒体报道。</w:t>
      </w:r>
    </w:p>
    <w:p w14:paraId="11C14575">
      <w:pPr>
        <w:pStyle w:val="4"/>
      </w:pPr>
      <w:r>
        <w:t>【消防宣传】</w:t>
      </w:r>
    </w:p>
    <w:p w14:paraId="5BD5B4D6">
      <w:pPr>
        <w:ind w:firstLine="420"/>
        <w:rPr>
          <w:rFonts w:ascii="宋体" w:hAnsi="宋体"/>
        </w:rPr>
      </w:pPr>
      <w:r>
        <w:rPr>
          <w:rFonts w:ascii="宋体" w:hAnsi="宋体"/>
        </w:rPr>
        <w:t>2010年，大队着力构筑社会消防安全“防火墙”工程，加大消防安全宣传教育和新《消防法》的宣贯工作，在全市范围内营造了“全民关注消防、全民学消防”的热烈氛围。开展大规模宣传活动，利用消防车悬挂醒目标语环城游行，沿街派发宣传资料，电视台跟踪报道。在9月份的《实施办法》宣贯月，11月份的消防宣传月，均组织开展大规模宣传活动，利用消防车悬挂醒目标语环城游行3次，设置户外大型消防宣传板2块，沿街派发宣传资料20000余份；11月在市人民大会堂组织开展两场消防公益文艺演出，宣传广泛面向各类群众，各机关、学校、重点单位及四小场所等2000余人员观看演出，取得良好效果。市消防工作在韶关市、南雄市电视台播出消防宣传、监督执法、抢险救灾等相关报道10余次，联合市移动、联通公司共发出30000余条消防宣传短信，开放消防站10余次，组织举办派出所、乡镇等各类培训班10余次，培训各类社会人员1200余人。</w:t>
      </w:r>
    </w:p>
    <w:p w14:paraId="5B5E95AD">
      <w:pPr>
        <w:pStyle w:val="4"/>
      </w:pPr>
      <w:r>
        <w:t>【消防监督】</w:t>
      </w:r>
    </w:p>
    <w:p w14:paraId="3071A75B">
      <w:pPr>
        <w:ind w:firstLine="420"/>
        <w:rPr>
          <w:rFonts w:ascii="宋体" w:hAnsi="宋体"/>
        </w:rPr>
      </w:pPr>
      <w:r>
        <w:rPr>
          <w:rFonts w:ascii="宋体" w:hAnsi="宋体"/>
        </w:rPr>
        <w:t>一是以社会单位“四个能力”建设为抓手，构筑消防安全“防火墙”工程。大队积极组织各重点单位分别设置消防设施布局标识、认知标识、操作使用标识和警示标语，确保消防设施标识率达到100%，疏散通道、安全出口畅通率达到100%，消防设施和灭火器材配备率达到100%。在亚运安保期间，市政府牵头开展消防、治安、文化、工商等多部门联合大检查5次，加大夜查力度和消防产品整治工作。在上海“11.15”火灾事故发生后，组织消防部门在第一时间对辖区全部高层建筑、公共娱乐场所进行了地毯式排查，开展专项防火检查30余次，共排查各类重点单位80余家；共发现火灾隐患65处，当场整改50处，发出《责令限期改正通知书》13份，实施行政处罚6起，实施罚款3.75万元。二是抓好“四小”场所等专项排查整治工作。2010年1至2月份市政府开展针对“四小”场所的专项火灾隐患整治工作。市政府共组织出动联合检查组12个，检查人员100余人次，并依托公安消防部门建立台帐，对存在的火灾隐患，按标准开展整治。共排查四小场所1300余家，整改隐患400余处，并对其全部建立台帐和进行免费消防宣传教育，消除辖区内存在的一批火灾隐患，取得良好的成效。三是抓好珠玑镇重点地区火灾隐患整治工作。1.珠玑镇由广州中山大学规划设计部门设计制作完成了城市规划，科学、规范的制定了消防规划。2.完善市政消防基础设施建设。镇政府已在主要街道增建4个市政消火栓，并制定增建计划，逐年增加，消防水源问题将逐步得到解决；3.加大整治力度，明确责任，推进珠玑镇火灾隐患整治工作。明确了镇政府和各个职能部门的职责，联合派出所、工商所开展场所排查和整治，推动火灾隐患整治进度。在各有关部门的通力配合下，全镇消防安全形势有根本好转。</w:t>
      </w:r>
    </w:p>
    <w:p w14:paraId="14AE9F11">
      <w:pPr>
        <w:pStyle w:val="4"/>
      </w:pPr>
      <w:r>
        <w:t>【拥政爱民】</w:t>
      </w:r>
    </w:p>
    <w:p w14:paraId="336EE637">
      <w:pPr>
        <w:ind w:firstLine="420"/>
        <w:rPr>
          <w:rFonts w:ascii="宋体" w:hAnsi="宋体"/>
        </w:rPr>
      </w:pPr>
      <w:r>
        <w:rPr>
          <w:rFonts w:ascii="宋体" w:hAnsi="宋体"/>
        </w:rPr>
        <w:t>开展拥政爱民活动，加强警营文化和廉政建设，树立消防部队良好形象。大队在拥政爱民工作上下力气、干实事。义务为群众送水、冲洗街道、摘马蜂窝、爱心献血，定期为革命烈士家属、孤寡老人送去生活日用品等等一系列助民爱民活动。尤其是2009年大队官兵捐款1.1万多元、发动社会企业和热心人士捐款、捐物累计价值6万余元资助贫困学生李兰英、帮助82岁贫困老革命前辈李定标建新房的做法，得到社会的高度认可，被市团委、电视台、报刊网络等媒体强势报道，市党委、政府给予充分肯定。</w:t>
      </w:r>
    </w:p>
    <w:p w14:paraId="5A4ADC99">
      <w:pPr>
        <w:ind w:firstLine="420"/>
        <w:rPr>
          <w:rFonts w:ascii="宋体" w:hAnsi="宋体"/>
        </w:rPr>
      </w:pPr>
      <w:r>
        <w:rPr>
          <w:rFonts w:ascii="宋体" w:hAnsi="宋体"/>
        </w:rPr>
        <w:t>每年八一、中秋、国庆、春节等重大节日均会组织大队全体官兵慰问敬老院；每年组织两次义务献血活动；每年均会组织多种形式的捐款捐物活动；免费为学校、企业送水等活动。2009年大队长陈伟同志荣获广东省青年志愿者工作银奖。</w:t>
      </w:r>
    </w:p>
    <w:p w14:paraId="6A104650">
      <w:pPr>
        <w:pStyle w:val="4"/>
      </w:pPr>
      <w:r>
        <w:t>【思想政治工作】</w:t>
      </w:r>
    </w:p>
    <w:p w14:paraId="7D0D1AA9">
      <w:pPr>
        <w:ind w:firstLine="420"/>
        <w:rPr>
          <w:rFonts w:ascii="宋体" w:hAnsi="宋体"/>
        </w:rPr>
      </w:pPr>
      <w:r>
        <w:rPr>
          <w:rFonts w:ascii="宋体" w:hAnsi="宋体"/>
        </w:rPr>
        <w:t>市公安消防大队以胡锦涛总书记“三句话”总要求为统领，全面发挥政治工作生命线作用，坚持服务中心，着力夯实基础，重点抓好部队党风廉政的建设、思想政治教育、干部队伍建设、创先争优活动等工作，以强有力的政治工作推进部队全面发展，为圆满完成以防火和灭火救援为中心的各项工作任务提供坚强有力的政治保证和精神动力。一、强化组织建设，发挥堡垒作用。二、强化政治引导，发挥教育作用。三、强化干部队伍建设，提升能力水平。四、强化廉政建设，打造廉政消防。</w:t>
      </w:r>
    </w:p>
    <w:p w14:paraId="0257BC7F">
      <w:pPr>
        <w:pStyle w:val="4"/>
      </w:pPr>
      <w:r>
        <w:t>【后勤管理】</w:t>
      </w:r>
    </w:p>
    <w:p w14:paraId="5551A2D3">
      <w:pPr>
        <w:ind w:firstLine="420"/>
        <w:rPr>
          <w:rFonts w:ascii="宋体" w:hAnsi="宋体"/>
        </w:rPr>
      </w:pPr>
      <w:r>
        <w:rPr>
          <w:rFonts w:ascii="宋体" w:hAnsi="宋体"/>
        </w:rPr>
        <w:t>市公安消防大队总结以往工作经验，围绕当前后勤工作的重点，在工作思路上开拓创新，在思想认识上打破常规，在方式方法上力求实效，采取多项措施致力于优化部队后勤管理工作，全面提高后勤保障实力。一是加强经费管理，保障经费有效落实和合理使用。二是完善财务和经费管理制度，健全监督体系。三是加强后勤人员本职业务和政治业务素质建设。四是加强固定资产管理规范化建设。五是构建节约型部队，促进部队全面建设。六是给养供应保障有力。</w:t>
      </w:r>
    </w:p>
    <w:p w14:paraId="462B1758">
      <w:pPr>
        <w:pStyle w:val="4"/>
      </w:pPr>
      <w:r>
        <w:t>【行政管理】</w:t>
      </w:r>
    </w:p>
    <w:p w14:paraId="44382B14">
      <w:pPr>
        <w:ind w:firstLine="420"/>
        <w:rPr>
          <w:rFonts w:ascii="宋体" w:hAnsi="宋体"/>
        </w:rPr>
      </w:pPr>
      <w:r>
        <w:rPr>
          <w:rFonts w:ascii="宋体" w:hAnsi="宋体"/>
        </w:rPr>
        <w:t>市公安消防大队党委高度重视部队管理教育，以强烈的忧患意识和政治责任感，将加强队伍管理、确保稳定，作为各项工作的重中之中来抓，不断加快部队正规化管理的步伐，打牢部队正规化建设工作的基石。一、狠抓依法从严治警，加大部队管理教育力度。二、加快部队正规化建设步伐，推进管理机制改革。三、切实做好事故预防工作，确保部队高度稳定。</w:t>
      </w:r>
    </w:p>
    <w:p w14:paraId="4B957BEC">
      <w:pPr>
        <w:ind w:firstLine="420"/>
        <w:jc w:val="right"/>
        <w:rPr>
          <w:rFonts w:ascii="宋体" w:hAnsi="宋体"/>
        </w:rPr>
      </w:pPr>
      <w:r>
        <w:rPr>
          <w:rFonts w:ascii="宋体" w:hAnsi="宋体"/>
        </w:rPr>
        <w:t>（王子曦）</w:t>
      </w:r>
    </w:p>
    <w:p w14:paraId="21E6EBDB">
      <w:pPr>
        <w:ind w:firstLine="422"/>
        <w:rPr>
          <w:rFonts w:ascii="宋体" w:hAnsi="宋体"/>
          <w:b/>
          <w:bCs/>
        </w:rPr>
      </w:pPr>
      <w:r>
        <w:rPr>
          <w:rFonts w:ascii="宋体" w:hAnsi="宋体"/>
          <w:b/>
          <w:bCs/>
        </w:rPr>
        <w:t>附：2010年公安消防大队领导班子成员名单</w:t>
      </w:r>
    </w:p>
    <w:p w14:paraId="3DFBAE4F">
      <w:pPr>
        <w:ind w:firstLine="422"/>
        <w:rPr>
          <w:rFonts w:ascii="宋体" w:hAnsi="宋体"/>
        </w:rPr>
      </w:pPr>
      <w:r>
        <w:rPr>
          <w:rFonts w:ascii="宋体" w:hAnsi="宋体"/>
          <w:b/>
          <w:bCs/>
        </w:rPr>
        <w:t>大队长：</w:t>
      </w:r>
      <w:r>
        <w:rPr>
          <w:rFonts w:ascii="宋体" w:hAnsi="宋体"/>
        </w:rPr>
        <w:t>陈伟</w:t>
      </w:r>
    </w:p>
    <w:p w14:paraId="17A5647D">
      <w:pPr>
        <w:ind w:firstLine="422"/>
        <w:rPr>
          <w:rFonts w:ascii="宋体" w:hAnsi="宋体"/>
        </w:rPr>
      </w:pPr>
      <w:r>
        <w:rPr>
          <w:rFonts w:ascii="宋体" w:hAnsi="宋体"/>
          <w:b/>
          <w:bCs/>
        </w:rPr>
        <w:t>教导员：</w:t>
      </w:r>
      <w:r>
        <w:rPr>
          <w:rFonts w:ascii="宋体" w:hAnsi="宋体"/>
        </w:rPr>
        <w:t>范奇</w:t>
      </w:r>
    </w:p>
    <w:p w14:paraId="05C11C21">
      <w:pPr>
        <w:pStyle w:val="3"/>
      </w:pPr>
      <w:r>
        <w:t>人民防空</w:t>
      </w:r>
    </w:p>
    <w:p w14:paraId="6D926773">
      <w:pPr>
        <w:pStyle w:val="4"/>
      </w:pPr>
      <w:r>
        <w:t>【概况】</w:t>
      </w:r>
    </w:p>
    <w:p w14:paraId="4A7EA36E">
      <w:pPr>
        <w:ind w:firstLine="420"/>
        <w:rPr>
          <w:rFonts w:ascii="宋体" w:hAnsi="宋体"/>
        </w:rPr>
      </w:pPr>
      <w:r>
        <w:rPr>
          <w:rFonts w:ascii="宋体" w:hAnsi="宋体"/>
        </w:rPr>
        <w:t>2003年至2011年，南雄市人民防空办公室（简称市人防办）把握人防应急和常态化准备主线，紧紧围绕军事斗争人民防空应急准备，加强科学筹划，深化改革创新，狠抓工作落实，推动人防事业的发展。加快推进和完善人民防空指挥体系及指挥所建设，修订完善各类应急预案，落实城乡结合的人口疏散地域建设和重要经济目标防护工作。以提高“战略人防、效率人防、和谐人防”的发展水平为目标。现专职人员由过去的2人于2010年调整为7人，现任市人防办主任周宏忠，并指定一名政府办副主任为专职副主任，负责人防日常工作，每年两次在市区进行试鸣防空警报取得较好效果。</w:t>
      </w:r>
    </w:p>
    <w:p w14:paraId="2AC32F96">
      <w:pPr>
        <w:pStyle w:val="4"/>
      </w:pPr>
      <w:r>
        <w:t>【人防工程建设】</w:t>
      </w:r>
    </w:p>
    <w:p w14:paraId="71FE6816">
      <w:pPr>
        <w:ind w:firstLine="420"/>
        <w:rPr>
          <w:rFonts w:ascii="宋体" w:hAnsi="宋体"/>
        </w:rPr>
      </w:pPr>
      <w:r>
        <w:rPr>
          <w:rFonts w:ascii="宋体" w:hAnsi="宋体"/>
        </w:rPr>
        <w:t>市人防办发挥人民防空工程产权制度改革的政策效应，制定出台《南雄市人防工程使用与维护管理办法》，构建全市人民防空工程使用与维护管理长效机制。初步建立人防指挥体系，安装警报系统7个，定期邀请韶关市人防办的领导和工程技术人员到南雄市制定人防工程建设。目前规划方面优先考虑在帽子峰林场、澜河743矿、梅岭镇、全安镇建设人民防空疏散基地，由现在的2个基地增加到4个。</w:t>
      </w:r>
    </w:p>
    <w:p w14:paraId="0CB0BED6">
      <w:pPr>
        <w:pStyle w:val="4"/>
      </w:pPr>
      <w:r>
        <w:t>【指挥通信警报系统建设】</w:t>
      </w:r>
    </w:p>
    <w:p w14:paraId="43E1131C">
      <w:pPr>
        <w:ind w:firstLine="420"/>
        <w:rPr>
          <w:rFonts w:ascii="宋体" w:hAnsi="宋体"/>
        </w:rPr>
      </w:pPr>
      <w:r>
        <w:rPr>
          <w:rFonts w:ascii="宋体" w:hAnsi="宋体"/>
        </w:rPr>
        <w:t>市人防办在抓好警报控制中心及各警报点得维护保养工作，认真执行警报器管理制度的基础上，坚持定期到市区6个警报点进行坚持、测试和进行防尘维护工作。要求韶关市人防办的领导和工程技术人员到南雄市指导工作与加强警报器械、设备维护管理。确保警报器性能良好，常年备用。</w:t>
      </w:r>
    </w:p>
    <w:p w14:paraId="1F1F34E9">
      <w:pPr>
        <w:pStyle w:val="4"/>
      </w:pPr>
      <w:r>
        <w:t>【机关“准军事化”建设】</w:t>
      </w:r>
    </w:p>
    <w:p w14:paraId="7E3DE885">
      <w:pPr>
        <w:ind w:firstLine="420"/>
        <w:rPr>
          <w:rFonts w:ascii="宋体" w:hAnsi="宋体"/>
        </w:rPr>
      </w:pPr>
      <w:r>
        <w:rPr>
          <w:rFonts w:ascii="宋体" w:hAnsi="宋体"/>
        </w:rPr>
        <w:t>南雄市不断加强人防机关“准军事化”建设。安装人防机关“准军事化”要求，每年年初召开有关部门参加的人防工作联席会议，总结和分析一年来的工作情况，布置下一年工作目标和任务；加强与市政府和军事机关的密切配合，重大事项能及时向政府、军事机关和上级人防部门请示、报告，自觉接受政府和军事机关的领导、检查和督查；完善办公设施，办公室做到设备自动化，环境卫生整洁，档案资料齐全；参加上级举办的学习班和岗位练兵活动，提供工作人员专业技术水平；做到人防工作有计划、有总结，从而推动人防工作的顺利开展。</w:t>
      </w:r>
    </w:p>
    <w:p w14:paraId="77DB1583">
      <w:pPr>
        <w:ind w:firstLine="420"/>
        <w:jc w:val="right"/>
        <w:rPr>
          <w:rFonts w:ascii="宋体" w:hAnsi="宋体"/>
        </w:rPr>
      </w:pPr>
      <w:r>
        <w:rPr>
          <w:rFonts w:ascii="宋体" w:hAnsi="宋体"/>
        </w:rPr>
        <w:t>（张海平）</w:t>
      </w:r>
    </w:p>
    <w:p w14:paraId="08F181FA">
      <w:pPr>
        <w:ind w:firstLine="422"/>
        <w:rPr>
          <w:rFonts w:ascii="宋体" w:hAnsi="宋体"/>
          <w:b/>
          <w:bCs/>
        </w:rPr>
      </w:pPr>
      <w:r>
        <w:rPr>
          <w:rFonts w:ascii="宋体" w:hAnsi="宋体"/>
          <w:b/>
          <w:bCs/>
        </w:rPr>
        <w:t>附：2010年人防办领导班子成员名单</w:t>
      </w:r>
    </w:p>
    <w:p w14:paraId="508F95A6">
      <w:pPr>
        <w:ind w:firstLine="422"/>
        <w:rPr>
          <w:rFonts w:ascii="宋体" w:hAnsi="宋体"/>
        </w:rPr>
      </w:pPr>
      <w:r>
        <w:rPr>
          <w:rFonts w:ascii="宋体" w:hAnsi="宋体"/>
          <w:b/>
          <w:bCs/>
        </w:rPr>
        <w:t>主</w:t>
      </w:r>
      <w:r>
        <w:rPr>
          <w:rFonts w:hint="eastAsia" w:ascii="宋体" w:hAnsi="宋体"/>
          <w:b/>
          <w:bCs/>
        </w:rPr>
        <w:t xml:space="preserve">  </w:t>
      </w:r>
      <w:r>
        <w:rPr>
          <w:rFonts w:ascii="宋体" w:hAnsi="宋体"/>
          <w:b/>
          <w:bCs/>
        </w:rPr>
        <w:t>任：</w:t>
      </w:r>
      <w:r>
        <w:rPr>
          <w:rFonts w:ascii="宋体" w:hAnsi="宋体"/>
        </w:rPr>
        <w:t>周宏忠（兼）</w:t>
      </w:r>
    </w:p>
    <w:p w14:paraId="062DBBC5">
      <w:pPr>
        <w:ind w:firstLine="422"/>
        <w:rPr>
          <w:rFonts w:ascii="宋体" w:hAnsi="宋体"/>
        </w:rPr>
      </w:pPr>
      <w:r>
        <w:rPr>
          <w:rFonts w:ascii="宋体" w:hAnsi="宋体"/>
          <w:b/>
          <w:bCs/>
        </w:rPr>
        <w:t>副主任：</w:t>
      </w:r>
      <w:r>
        <w:rPr>
          <w:rFonts w:ascii="宋体" w:hAnsi="宋体"/>
        </w:rPr>
        <w:t>曾宪忠（兼）</w:t>
      </w:r>
    </w:p>
    <w:p w14:paraId="13E79233">
      <w:pPr>
        <w:pStyle w:val="2"/>
      </w:pPr>
      <w:r>
        <w:t>政法</w:t>
      </w:r>
    </w:p>
    <w:p w14:paraId="0D8542BC">
      <w:pPr>
        <w:pStyle w:val="3"/>
      </w:pPr>
      <w:r>
        <w:t>政法委</w:t>
      </w:r>
    </w:p>
    <w:p w14:paraId="7D4F8FEC">
      <w:pPr>
        <w:pStyle w:val="4"/>
      </w:pPr>
      <w:r>
        <w:t>【概况】</w:t>
      </w:r>
    </w:p>
    <w:p w14:paraId="45B71272">
      <w:pPr>
        <w:ind w:firstLine="420"/>
        <w:rPr>
          <w:rFonts w:ascii="宋体" w:hAnsi="宋体"/>
        </w:rPr>
      </w:pPr>
      <w:r>
        <w:rPr>
          <w:rFonts w:ascii="宋体" w:hAnsi="宋体"/>
        </w:rPr>
        <w:t>南雄市委政法委员会是市委领导和管理政法的职能部门和重要组织形式，是市委的一个重要职能部门，协助市委统一领导和管理全市政法工作。南雄市社会治安综合治理委员会办公室、南雄市禁毒委员会办公室、610办公室与市委政法委合署办公。内设机构总数核定5个，核定专项编制15人，其中后勤编制1人。2010年在职干部数14人。</w:t>
      </w:r>
    </w:p>
    <w:p w14:paraId="06B8FDB1">
      <w:pPr>
        <w:pStyle w:val="4"/>
      </w:pPr>
      <w:r>
        <w:t>【维稳工作】</w:t>
      </w:r>
    </w:p>
    <w:p w14:paraId="7FA2D363">
      <w:pPr>
        <w:ind w:firstLine="420"/>
        <w:rPr>
          <w:rFonts w:ascii="宋体" w:hAnsi="宋体"/>
        </w:rPr>
      </w:pPr>
      <w:r>
        <w:rPr>
          <w:rFonts w:ascii="宋体" w:hAnsi="宋体"/>
        </w:rPr>
        <w:t>集中开展全市范围内矛盾纠纷排查活动，层层落实包案责任制，成立南雄市民间调解中心，成为人民调解的有益补充。市、镇两级开展书记大接访活动，按照“一个案件，一名领导，一套方案，一抓到底”的四个一要求，明确责任单位，责任领导和责任人，落实“五包”责任制，即包掌握情况，包解决困难，包教育转化，包稳控管理，包依法处理。2010年排查出各类矛盾纠纷和不安定因素692起，调处成功655起，调处成功率96.3%。</w:t>
      </w:r>
    </w:p>
    <w:p w14:paraId="025D3FB4">
      <w:pPr>
        <w:ind w:firstLine="420"/>
        <w:rPr>
          <w:rFonts w:ascii="宋体" w:hAnsi="宋体"/>
        </w:rPr>
      </w:pPr>
      <w:r>
        <w:rPr>
          <w:rFonts w:ascii="宋体" w:hAnsi="宋体"/>
        </w:rPr>
        <w:t>镇（街道）全面铺平综治信访维稳中心建设，与信息平台的开发同步进行。镇（街道）综治信访维稳中心的硬件建设全部完成，信息平台已投入使用。镇（街道）综治信访维稳中心的运作逐步步入规范化、信息化，综治信访维稳中心建设先后得到省督导组和韶关市委主要领导的充分肯定。信息平台的建立走在全韶关市的前列。</w:t>
      </w:r>
    </w:p>
    <w:p w14:paraId="4208C7F1">
      <w:pPr>
        <w:pStyle w:val="4"/>
      </w:pPr>
      <w:r>
        <w:t>【禁毒工作】</w:t>
      </w:r>
    </w:p>
    <w:p w14:paraId="179CD0BC">
      <w:pPr>
        <w:ind w:firstLine="420"/>
        <w:rPr>
          <w:rFonts w:ascii="宋体" w:hAnsi="宋体"/>
        </w:rPr>
      </w:pPr>
      <w:r>
        <w:rPr>
          <w:rFonts w:ascii="宋体" w:hAnsi="宋体"/>
        </w:rPr>
        <w:t>2010年开展“大查控、大灭罪、大收戒”工作，破获毒品案件3宗，缴获各类毒品70.3克，收戒吸毒人员13人，行政拘留44人。</w:t>
      </w:r>
    </w:p>
    <w:p w14:paraId="7A5CD836">
      <w:pPr>
        <w:ind w:firstLine="420"/>
        <w:rPr>
          <w:rFonts w:ascii="宋体" w:hAnsi="宋体"/>
        </w:rPr>
      </w:pPr>
      <w:r>
        <w:rPr>
          <w:rFonts w:ascii="宋体" w:hAnsi="宋体"/>
        </w:rPr>
        <w:t>“6.26”国际禁毒日实施市委常委、政法委书记、市禁毒委主任刘悦明发表电视讲话。6月26日联合公安局、司法局、妇联、团委组织主题为“参与禁毒斗争、构建和谐社会”大型禁毒宣传活动，发放宣传资料2000份。</w:t>
      </w:r>
    </w:p>
    <w:p w14:paraId="4BBE657D">
      <w:pPr>
        <w:ind w:firstLine="420"/>
        <w:jc w:val="right"/>
        <w:rPr>
          <w:rFonts w:ascii="宋体" w:hAnsi="宋体"/>
        </w:rPr>
      </w:pPr>
      <w:r>
        <w:rPr>
          <w:rFonts w:ascii="宋体" w:hAnsi="宋体"/>
        </w:rPr>
        <w:t>（黄时清）</w:t>
      </w:r>
    </w:p>
    <w:p w14:paraId="76A0699E">
      <w:pPr>
        <w:ind w:firstLine="422"/>
        <w:rPr>
          <w:rFonts w:ascii="宋体" w:hAnsi="宋体"/>
          <w:b/>
          <w:bCs/>
        </w:rPr>
      </w:pPr>
      <w:r>
        <w:rPr>
          <w:rFonts w:ascii="宋体" w:hAnsi="宋体"/>
          <w:b/>
          <w:bCs/>
        </w:rPr>
        <w:t>附：2010年政法委领导班子成员名单</w:t>
      </w:r>
    </w:p>
    <w:p w14:paraId="6E4BFC9D">
      <w:pPr>
        <w:ind w:firstLine="422"/>
        <w:rPr>
          <w:rFonts w:ascii="宋体" w:hAnsi="宋体"/>
        </w:rPr>
      </w:pPr>
      <w:r>
        <w:rPr>
          <w:rFonts w:ascii="宋体" w:hAnsi="宋体"/>
          <w:b/>
          <w:bCs/>
        </w:rPr>
        <w:t>书记：</w:t>
      </w:r>
      <w:r>
        <w:rPr>
          <w:rFonts w:ascii="宋体" w:hAnsi="宋体"/>
        </w:rPr>
        <w:t>赖向阳（任至2010.4）</w:t>
      </w:r>
    </w:p>
    <w:p w14:paraId="443F1014">
      <w:pPr>
        <w:ind w:firstLine="1050" w:firstLineChars="500"/>
        <w:rPr>
          <w:rFonts w:ascii="宋体" w:hAnsi="宋体"/>
        </w:rPr>
      </w:pPr>
      <w:r>
        <w:rPr>
          <w:rFonts w:ascii="宋体" w:hAnsi="宋体"/>
        </w:rPr>
        <w:t>刘悦明（2010.4任）</w:t>
      </w:r>
    </w:p>
    <w:p w14:paraId="430A1911">
      <w:pPr>
        <w:ind w:firstLine="422"/>
        <w:rPr>
          <w:rFonts w:ascii="宋体" w:hAnsi="宋体"/>
        </w:rPr>
      </w:pPr>
      <w:r>
        <w:rPr>
          <w:rFonts w:ascii="宋体" w:hAnsi="宋体"/>
          <w:b/>
          <w:bCs/>
        </w:rPr>
        <w:t>副书记：</w:t>
      </w:r>
      <w:r>
        <w:rPr>
          <w:rFonts w:ascii="宋体" w:hAnsi="宋体"/>
        </w:rPr>
        <w:t>陈发龙（兼）</w:t>
      </w:r>
      <w:r>
        <w:rPr>
          <w:rFonts w:hint="eastAsia" w:ascii="宋体" w:hAnsi="宋体"/>
        </w:rPr>
        <w:t xml:space="preserve">  </w:t>
      </w:r>
      <w:r>
        <w:rPr>
          <w:rFonts w:ascii="宋体" w:hAnsi="宋体"/>
        </w:rPr>
        <w:t>陈伦寿</w:t>
      </w:r>
      <w:r>
        <w:rPr>
          <w:rFonts w:hint="eastAsia" w:ascii="宋体" w:hAnsi="宋体"/>
        </w:rPr>
        <w:t xml:space="preserve">  </w:t>
      </w:r>
      <w:r>
        <w:rPr>
          <w:rFonts w:ascii="宋体" w:hAnsi="宋体"/>
        </w:rPr>
        <w:t>杨应生</w:t>
      </w:r>
    </w:p>
    <w:p w14:paraId="7190EA7B">
      <w:pPr>
        <w:ind w:firstLine="1260" w:firstLineChars="600"/>
        <w:rPr>
          <w:rFonts w:ascii="宋体" w:hAnsi="宋体"/>
        </w:rPr>
      </w:pPr>
      <w:r>
        <w:rPr>
          <w:rFonts w:ascii="宋体" w:hAnsi="宋体"/>
        </w:rPr>
        <w:t>肖清志</w:t>
      </w:r>
      <w:r>
        <w:rPr>
          <w:rFonts w:hint="eastAsia" w:ascii="宋体" w:hAnsi="宋体"/>
        </w:rPr>
        <w:t xml:space="preserve">  </w:t>
      </w:r>
      <w:r>
        <w:rPr>
          <w:rFonts w:ascii="宋体" w:hAnsi="宋体"/>
        </w:rPr>
        <w:t>谭章林</w:t>
      </w:r>
    </w:p>
    <w:p w14:paraId="622C0B11">
      <w:pPr>
        <w:ind w:firstLine="422"/>
        <w:rPr>
          <w:rFonts w:ascii="宋体" w:hAnsi="宋体"/>
        </w:rPr>
      </w:pPr>
      <w:r>
        <w:rPr>
          <w:rFonts w:ascii="宋体" w:hAnsi="宋体"/>
          <w:b/>
          <w:bCs/>
        </w:rPr>
        <w:t>纪检组长：</w:t>
      </w:r>
      <w:r>
        <w:rPr>
          <w:rFonts w:ascii="宋体" w:hAnsi="宋体"/>
        </w:rPr>
        <w:t>陈世旺</w:t>
      </w:r>
    </w:p>
    <w:p w14:paraId="0E3227F1">
      <w:pPr>
        <w:pStyle w:val="3"/>
      </w:pPr>
      <w:r>
        <w:t>审判</w:t>
      </w:r>
    </w:p>
    <w:p w14:paraId="0B55CCA8">
      <w:pPr>
        <w:pStyle w:val="4"/>
      </w:pPr>
      <w:r>
        <w:t>【概况】</w:t>
      </w:r>
    </w:p>
    <w:p w14:paraId="20B1987A">
      <w:pPr>
        <w:ind w:firstLine="420"/>
        <w:rPr>
          <w:rFonts w:ascii="宋体" w:hAnsi="宋体"/>
        </w:rPr>
      </w:pPr>
      <w:r>
        <w:rPr>
          <w:rFonts w:ascii="宋体" w:hAnsi="宋体"/>
        </w:rPr>
        <w:t>南雄市人民法院法院（以下简称市法院）位于南雄市雄州街道新城林荫西路34号，现有干警86人，内设机构14个：政工科、办公室、纪检监察室、研究室、审判管理办公室、书记员管理办公室、立案庭、民事审判一、二、三庭、刑事审判庭、行政审判庭、执行局、法警大队。派出机构3个：乌迳法庭、湖口法庭、全安法庭。</w:t>
      </w:r>
    </w:p>
    <w:p w14:paraId="363C2917">
      <w:pPr>
        <w:ind w:firstLine="420"/>
        <w:rPr>
          <w:rFonts w:ascii="宋体" w:hAnsi="宋体"/>
        </w:rPr>
      </w:pPr>
      <w:r>
        <w:rPr>
          <w:rFonts w:ascii="宋体" w:hAnsi="宋体"/>
        </w:rPr>
        <w:t>2010年，全年共受理各类案件1843件，审、执结案件1818件，结案率为98.6%，解决诉讼标的金额5548.83万元。</w:t>
      </w:r>
    </w:p>
    <w:p w14:paraId="03ACDC28">
      <w:pPr>
        <w:pStyle w:val="4"/>
      </w:pPr>
      <w:r>
        <w:t>【刑事审判】</w:t>
      </w:r>
    </w:p>
    <w:p w14:paraId="7B5D525F">
      <w:pPr>
        <w:ind w:firstLine="420"/>
        <w:rPr>
          <w:rFonts w:ascii="宋体" w:hAnsi="宋体"/>
        </w:rPr>
      </w:pPr>
      <w:r>
        <w:rPr>
          <w:rFonts w:ascii="宋体" w:hAnsi="宋体"/>
        </w:rPr>
        <w:t>2010年受理各类刑事案件87件123人，审结案件87件，判处生效87件被告人123人。判处十年以上有期徒刑的罪犯有14人，判处三年以上十年以下有期徒刑的罪犯有43人，判处三年以下有期徒刑、拘役的罪犯有66人。全年刑事附带民事赔偿和解调解率达68%。</w:t>
      </w:r>
    </w:p>
    <w:p w14:paraId="2C2FE7A3">
      <w:pPr>
        <w:pStyle w:val="4"/>
      </w:pPr>
      <w:r>
        <w:t>【民事审判】</w:t>
      </w:r>
    </w:p>
    <w:p w14:paraId="3C4959C8">
      <w:pPr>
        <w:ind w:firstLine="420"/>
        <w:rPr>
          <w:rFonts w:ascii="宋体" w:hAnsi="宋体"/>
        </w:rPr>
      </w:pPr>
      <w:r>
        <w:rPr>
          <w:rFonts w:ascii="宋体" w:hAnsi="宋体"/>
        </w:rPr>
        <w:t>2010年受理民商事案件1346件，结案1324件，结案率98.4%，解决标的金额2903.09万元。在审结案件中，调解、撤诉结案的933件，调撤率达70.5%。</w:t>
      </w:r>
    </w:p>
    <w:p w14:paraId="6456D9B2">
      <w:pPr>
        <w:pStyle w:val="4"/>
      </w:pPr>
      <w:r>
        <w:t>【行政审判】</w:t>
      </w:r>
    </w:p>
    <w:p w14:paraId="5E5F3B55">
      <w:pPr>
        <w:ind w:firstLine="420"/>
        <w:rPr>
          <w:rFonts w:ascii="宋体" w:hAnsi="宋体"/>
        </w:rPr>
      </w:pPr>
      <w:r>
        <w:rPr>
          <w:rFonts w:ascii="宋体" w:hAnsi="宋体"/>
        </w:rPr>
        <w:t>2010年受理行政案件11件，结案11件。审查计划生育社会抚养费征收等行政非诉案件180件。</w:t>
      </w:r>
    </w:p>
    <w:p w14:paraId="1B18BEC9">
      <w:pPr>
        <w:pStyle w:val="4"/>
      </w:pPr>
      <w:r>
        <w:t>【执行工作】</w:t>
      </w:r>
    </w:p>
    <w:p w14:paraId="558E48E5">
      <w:pPr>
        <w:ind w:firstLine="420"/>
        <w:rPr>
          <w:rFonts w:ascii="宋体" w:hAnsi="宋体"/>
        </w:rPr>
      </w:pPr>
      <w:r>
        <w:rPr>
          <w:rFonts w:ascii="宋体" w:hAnsi="宋体"/>
        </w:rPr>
        <w:t>2010年受理各类执行案件399件，执结396件，执结率为99.2%。申请执行标的额2762.4万元，已执结标的额1834.2万元，执行标的额实际到位率66.4%。</w:t>
      </w:r>
    </w:p>
    <w:p w14:paraId="75623709">
      <w:pPr>
        <w:pStyle w:val="4"/>
      </w:pPr>
      <w:r>
        <w:t>【审判公开】</w:t>
      </w:r>
    </w:p>
    <w:p w14:paraId="1683E671">
      <w:pPr>
        <w:ind w:firstLine="420"/>
        <w:rPr>
          <w:rFonts w:ascii="宋体" w:hAnsi="宋体"/>
        </w:rPr>
      </w:pPr>
      <w:r>
        <w:rPr>
          <w:rFonts w:ascii="宋体" w:hAnsi="宋体"/>
        </w:rPr>
        <w:t>年内，核查、评查共计163件案件，没有发现案件质量问题。通过案件核查、评查，有效促进司法公正。联络代表、委员共计128人次。邀请人大代表、政协委员参加“百庭观摩”，人大代表、政协委员与审委会委员共同组成庭审观摩小组，观摩庭审过程，对开庭情况进行评查。</w:t>
      </w:r>
    </w:p>
    <w:p w14:paraId="53218E5D">
      <w:pPr>
        <w:pStyle w:val="4"/>
      </w:pPr>
      <w:r>
        <w:t>【司法为民】</w:t>
      </w:r>
    </w:p>
    <w:p w14:paraId="490ED6C0">
      <w:pPr>
        <w:ind w:firstLine="420"/>
        <w:rPr>
          <w:rFonts w:ascii="宋体" w:hAnsi="宋体"/>
        </w:rPr>
      </w:pPr>
      <w:r>
        <w:rPr>
          <w:rFonts w:ascii="宋体" w:hAnsi="宋体"/>
        </w:rPr>
        <w:t>建立“绿色诉讼通道”，依法为弱势群体当事人行使权利提供便利；保障困难群众权益，对经济确有困难的当事人，依法准予缓、减、免交诉讼费，体现司法的人文关怀，为群众提供优质、便利的司法服务。年内，审查立案1843件，立案及时率、准确率均达到100%。为当事人缓、减、免诉讼费共计8.9万元。</w:t>
      </w:r>
    </w:p>
    <w:p w14:paraId="3DD79395">
      <w:pPr>
        <w:pStyle w:val="4"/>
      </w:pPr>
      <w:r>
        <w:t>【成立交通事故巡回法庭】</w:t>
      </w:r>
    </w:p>
    <w:p w14:paraId="3F14AD0F">
      <w:pPr>
        <w:ind w:firstLine="420"/>
        <w:rPr>
          <w:rFonts w:ascii="宋体" w:hAnsi="宋体"/>
        </w:rPr>
      </w:pPr>
      <w:r>
        <w:rPr>
          <w:rFonts w:ascii="宋体" w:hAnsi="宋体"/>
        </w:rPr>
        <w:t>2010年5月17日，南雄市人民法院交通事故巡回法庭的挂牌成立。在南雄市公安交通警察大队设立韶关市第一个交通事故巡回法庭。按照快立、快审、快结的“一站式”服务方式，高效、低成本地审结交通事故人身损害赔偿案件，彻底化解社会矛盾，平息事故当事人的纷争。年内，共办理交通事故人身损害赔偿案件中的司法确认案件280宗，总标的额548.3万元，经司法确认的案件，没有一宗案件当事人反悔，没有一宗案件当事人申请强制执行，兑现率达百分之百。</w:t>
      </w:r>
    </w:p>
    <w:p w14:paraId="0FB698D9">
      <w:pPr>
        <w:ind w:firstLine="420"/>
        <w:jc w:val="right"/>
        <w:rPr>
          <w:rFonts w:ascii="宋体" w:hAnsi="宋体"/>
        </w:rPr>
      </w:pPr>
      <w:r>
        <w:rPr>
          <w:rFonts w:ascii="宋体" w:hAnsi="宋体"/>
        </w:rPr>
        <w:t>（黄跃伟）</w:t>
      </w:r>
    </w:p>
    <w:p w14:paraId="7F5EAA1A">
      <w:pPr>
        <w:ind w:firstLine="422"/>
        <w:rPr>
          <w:rFonts w:ascii="宋体" w:hAnsi="宋体"/>
          <w:b/>
          <w:bCs/>
        </w:rPr>
      </w:pPr>
      <w:r>
        <w:rPr>
          <w:rFonts w:ascii="宋体" w:hAnsi="宋体"/>
          <w:b/>
          <w:bCs/>
        </w:rPr>
        <w:t>附：2010年人民法院领导班子成员名单</w:t>
      </w:r>
    </w:p>
    <w:p w14:paraId="6AB57D2C">
      <w:pPr>
        <w:ind w:firstLine="422"/>
        <w:rPr>
          <w:rFonts w:ascii="宋体" w:hAnsi="宋体"/>
        </w:rPr>
      </w:pPr>
      <w:r>
        <w:rPr>
          <w:rFonts w:ascii="宋体" w:hAnsi="宋体"/>
          <w:b/>
          <w:bCs/>
        </w:rPr>
        <w:t>党组书记、院长：</w:t>
      </w:r>
      <w:r>
        <w:rPr>
          <w:rFonts w:ascii="宋体" w:hAnsi="宋体"/>
        </w:rPr>
        <w:t>肖裕忠</w:t>
      </w:r>
    </w:p>
    <w:p w14:paraId="2ACD7688">
      <w:pPr>
        <w:ind w:firstLine="422"/>
        <w:rPr>
          <w:rFonts w:ascii="宋体" w:hAnsi="宋体"/>
        </w:rPr>
      </w:pPr>
      <w:r>
        <w:rPr>
          <w:rFonts w:ascii="宋体" w:hAnsi="宋体"/>
          <w:b/>
          <w:bCs/>
        </w:rPr>
        <w:t>副院长：</w:t>
      </w:r>
      <w:r>
        <w:rPr>
          <w:rFonts w:ascii="宋体" w:hAnsi="宋体"/>
        </w:rPr>
        <w:t>谢雄生</w:t>
      </w:r>
      <w:r>
        <w:rPr>
          <w:rFonts w:hint="eastAsia" w:ascii="宋体" w:hAnsi="宋体"/>
        </w:rPr>
        <w:t xml:space="preserve">  </w:t>
      </w:r>
      <w:r>
        <w:rPr>
          <w:rFonts w:ascii="宋体" w:hAnsi="宋体"/>
        </w:rPr>
        <w:t>何文涛</w:t>
      </w:r>
      <w:r>
        <w:rPr>
          <w:rFonts w:hint="eastAsia" w:ascii="宋体" w:hAnsi="宋体"/>
        </w:rPr>
        <w:t xml:space="preserve">  </w:t>
      </w:r>
      <w:r>
        <w:rPr>
          <w:rFonts w:ascii="宋体" w:hAnsi="宋体"/>
        </w:rPr>
        <w:t>王文森</w:t>
      </w:r>
    </w:p>
    <w:p w14:paraId="44ACEE74">
      <w:pPr>
        <w:ind w:firstLine="422"/>
        <w:rPr>
          <w:rFonts w:ascii="宋体" w:hAnsi="宋体"/>
        </w:rPr>
      </w:pPr>
      <w:r>
        <w:rPr>
          <w:rFonts w:ascii="宋体" w:hAnsi="宋体"/>
          <w:b/>
          <w:bCs/>
        </w:rPr>
        <w:t>党组成员：</w:t>
      </w:r>
      <w:r>
        <w:rPr>
          <w:rFonts w:ascii="宋体" w:hAnsi="宋体"/>
        </w:rPr>
        <w:t>郑章新</w:t>
      </w:r>
      <w:r>
        <w:rPr>
          <w:rFonts w:hint="eastAsia" w:ascii="宋体" w:hAnsi="宋体"/>
        </w:rPr>
        <w:t xml:space="preserve">  </w:t>
      </w:r>
      <w:r>
        <w:rPr>
          <w:rFonts w:ascii="宋体" w:hAnsi="宋体"/>
        </w:rPr>
        <w:t>阳华</w:t>
      </w:r>
      <w:r>
        <w:rPr>
          <w:rFonts w:hint="eastAsia" w:ascii="宋体" w:hAnsi="宋体"/>
        </w:rPr>
        <w:t xml:space="preserve">  </w:t>
      </w:r>
      <w:r>
        <w:rPr>
          <w:rFonts w:ascii="宋体" w:hAnsi="宋体"/>
        </w:rPr>
        <w:t>陈建麟</w:t>
      </w:r>
    </w:p>
    <w:p w14:paraId="4C681EBE">
      <w:pPr>
        <w:pStyle w:val="3"/>
      </w:pPr>
      <w:r>
        <w:t>检察</w:t>
      </w:r>
    </w:p>
    <w:p w14:paraId="5DFBB77C">
      <w:pPr>
        <w:pStyle w:val="4"/>
      </w:pPr>
      <w:r>
        <w:t>【概况】</w:t>
      </w:r>
    </w:p>
    <w:p w14:paraId="354019AB">
      <w:pPr>
        <w:ind w:firstLine="420"/>
        <w:rPr>
          <w:rFonts w:ascii="宋体" w:hAnsi="宋体"/>
        </w:rPr>
      </w:pPr>
      <w:r>
        <w:rPr>
          <w:rFonts w:ascii="宋体" w:hAnsi="宋体"/>
        </w:rPr>
        <w:t>2008年12月18日，南雄市人民检察院从旧址（林荫西路44号）搬迁到新址（雄东路66号）办公。内设机构有政工科、办公室、侦查一科、侦查二科、反渎职侵权局、公诉科、侦查监督科、预防科、监所检察科、民事行政检察科、控告申诉检察科、法警大队12个部门。干警编制46人，现有干警42人。</w:t>
      </w:r>
    </w:p>
    <w:p w14:paraId="5DD5B4D2">
      <w:pPr>
        <w:pStyle w:val="4"/>
      </w:pPr>
      <w:r>
        <w:t>【刑事检察】</w:t>
      </w:r>
    </w:p>
    <w:p w14:paraId="1E042339">
      <w:pPr>
        <w:ind w:firstLine="420"/>
        <w:rPr>
          <w:rFonts w:ascii="宋体" w:hAnsi="宋体"/>
        </w:rPr>
      </w:pPr>
      <w:r>
        <w:rPr>
          <w:rFonts w:ascii="宋体" w:hAnsi="宋体"/>
        </w:rPr>
        <w:t>南雄市人民检察院致力于维护社会稳定，与有关部门密切配合，认真履行批捕、起诉职责，依法严厉打击严重刑事犯罪，重点打击黑恶势力犯罪、严重暴力犯罪、多发性侵财犯罪以及严重危害公共安全犯罪，2010年受理批捕案件100宗134人，批准逮捕97宗130人。受理移送起诉案件100宗141人（上年度积存案件15宗20人），起诉84宗113人，移送韶关市人民检察院审查起诉6宗9人，公安机关撤回起诉5人。</w:t>
      </w:r>
    </w:p>
    <w:p w14:paraId="3D6E4A4A">
      <w:pPr>
        <w:pStyle w:val="4"/>
      </w:pPr>
      <w:r>
        <w:t>【预防和查处职务犯罪】</w:t>
      </w:r>
    </w:p>
    <w:p w14:paraId="213B33DE">
      <w:pPr>
        <w:ind w:firstLine="420"/>
        <w:rPr>
          <w:rFonts w:ascii="宋体" w:hAnsi="宋体"/>
        </w:rPr>
      </w:pPr>
      <w:r>
        <w:rPr>
          <w:rFonts w:ascii="宋体" w:hAnsi="宋体"/>
        </w:rPr>
        <w:t>全年立案侦查贪污贿赂犯罪案件5件7人（其中受贿4件4人，行贿1件3人），渎职案件3件3人（其中玩忽职守2件2人，滥用职权1件1人），侦查终结8件10人，移送审查起诉5件7人，通过查办各类职务犯罪案件为国家挽回经济损失81.6万元。</w:t>
      </w:r>
    </w:p>
    <w:p w14:paraId="1E2361EB">
      <w:pPr>
        <w:pStyle w:val="4"/>
      </w:pPr>
      <w:r>
        <w:t>【法制宣传】</w:t>
      </w:r>
    </w:p>
    <w:p w14:paraId="38BD1D4B">
      <w:pPr>
        <w:ind w:firstLine="420"/>
        <w:rPr>
          <w:rFonts w:ascii="宋体" w:hAnsi="宋体"/>
        </w:rPr>
      </w:pPr>
      <w:r>
        <w:rPr>
          <w:rFonts w:ascii="宋体" w:hAnsi="宋体"/>
        </w:rPr>
        <w:t>与南雄市纪律检查委员会联合建成以党风廉政教育、检务公开为一体的反腐倡廉教育预防基地，增强预防工作实效。立足检察职能，进行预防警示教育。针对重点建设项目韶赣铁路建设征地工作，深入有关单位和农村作预防职务犯罪专题讲座10次，受教育1000多人，进行法律咨询和法律宣传15次。及时提高机关干部和农村干部法律意识。同时，对南雄市重点工程进行同步预防，杜绝工程上马干部下马现象发生，维护党和政府的良好形象。</w:t>
      </w:r>
    </w:p>
    <w:p w14:paraId="5685ED80">
      <w:pPr>
        <w:pStyle w:val="4"/>
      </w:pPr>
      <w:r>
        <w:t>【诉讼监督】</w:t>
      </w:r>
    </w:p>
    <w:p w14:paraId="76DB7200">
      <w:pPr>
        <w:ind w:firstLine="420"/>
        <w:rPr>
          <w:rFonts w:ascii="宋体" w:hAnsi="宋体"/>
        </w:rPr>
      </w:pPr>
      <w:r>
        <w:rPr>
          <w:rFonts w:ascii="宋体" w:hAnsi="宋体"/>
        </w:rPr>
        <w:t>坚持打击犯罪与保障人权并重，既注意监督纠正有罪不究、执法不严的问题，又重视监督纠正侵犯人权的问题，努力做到严格依法、客观公正。要求侦查机关说明不立案理由1件1人，提前介入21次。向公安机关发出追捕意见书56份；经审查起诉改变定性6件10人，追回起诉4人，出庭支持公诉53件，全部作了有罪判决。</w:t>
      </w:r>
    </w:p>
    <w:p w14:paraId="195A7BDF">
      <w:pPr>
        <w:pStyle w:val="4"/>
      </w:pPr>
      <w:r>
        <w:t>【控告申诉检察】</w:t>
      </w:r>
    </w:p>
    <w:p w14:paraId="12342528">
      <w:pPr>
        <w:ind w:firstLine="420"/>
        <w:rPr>
          <w:rFonts w:ascii="宋体" w:hAnsi="宋体"/>
        </w:rPr>
      </w:pPr>
      <w:r>
        <w:rPr>
          <w:rFonts w:ascii="宋体" w:hAnsi="宋体"/>
        </w:rPr>
        <w:t>南雄市人民检察院建立化解信访积案，避免矛盾积累激化机制，切实落实控告申诉首办责任制，畅通控告申诉渠道，加强举报中心建设，提供网上举报，广泛开展文明接待活动，推行上下级检察院联合接访。受理群众来信来访41件，检察长接待来访13人，批办案件7件。做到件件有着落，事事有回音。同时，积极创新接访工作机制，在18个镇（街）设立涉检信访联络点，聘请各镇（街）信访维稳中心专职副主任为检察信息联络员，把检察工作的触角延伸到最基层，为解决群众信访难开通一条“绿色通道”。</w:t>
      </w:r>
    </w:p>
    <w:p w14:paraId="465F6AB5">
      <w:pPr>
        <w:pStyle w:val="4"/>
      </w:pPr>
      <w:r>
        <w:t>【民事行政检察】</w:t>
      </w:r>
    </w:p>
    <w:p w14:paraId="39C64FF3">
      <w:pPr>
        <w:ind w:firstLine="420"/>
        <w:rPr>
          <w:rFonts w:ascii="宋体" w:hAnsi="宋体"/>
        </w:rPr>
      </w:pPr>
      <w:r>
        <w:rPr>
          <w:rFonts w:ascii="宋体" w:hAnsi="宋体"/>
        </w:rPr>
        <w:t>加大抗诉工作力度和再审检察建议力度，重点监督纠正涉及民生和损害国家利益、社会公共利益以及严重违反法定程序或审判人员贪赃枉法、徇私舞弊导致的错误裁判。2010年受理审查民事行政申诉案件3件，立案2件，审结3件。作息诉结案处理2件。</w:t>
      </w:r>
    </w:p>
    <w:p w14:paraId="37D07C5A">
      <w:pPr>
        <w:ind w:firstLine="420"/>
        <w:rPr>
          <w:rFonts w:ascii="宋体" w:hAnsi="宋体"/>
        </w:rPr>
      </w:pPr>
      <w:r>
        <w:rPr>
          <w:rFonts w:ascii="宋体" w:hAnsi="宋体"/>
        </w:rPr>
        <w:t>强化刑罚执行和监管活动法律监督。加强派驻监管场所检察室规范化建设，推进与监管场所信息联网和监控联网，推动建立刑罚变更执行同步监督机制。依法对减刑、假释、保外就医等情况严格监督，发现和消除隐患5次，发出检察建议6次，执行机关全部采纳并予以纠正。</w:t>
      </w:r>
    </w:p>
    <w:p w14:paraId="6E857A58">
      <w:pPr>
        <w:pStyle w:val="4"/>
      </w:pPr>
      <w:r>
        <w:t>【阳光检务】</w:t>
      </w:r>
    </w:p>
    <w:p w14:paraId="34B72D35">
      <w:pPr>
        <w:ind w:firstLine="420"/>
        <w:rPr>
          <w:rFonts w:ascii="宋体" w:hAnsi="宋体"/>
        </w:rPr>
      </w:pPr>
      <w:r>
        <w:rPr>
          <w:rFonts w:ascii="宋体" w:hAnsi="宋体"/>
        </w:rPr>
        <w:t>牢固树立“监督者更要接受监督”的意识，在去年推行阳光检务的基础上，建立阳光检务大厅，举行2次“检察开放日”活动，近一步充实检务公开内容、拓宽公开渠道、完善公开方式，使阳光检务制度化、规范化和长效化。2010年，院领导坚持定点下基层，共邀请省、市、县人大代表以及政协委员42人召开座谈会2场，专题评议会2场，汇报检察工作。使检察工作更加透明、公开和公正，提升社会各界、人大代表和政协委员对检察工作的满意度，提升检察工作的公信力，进一步促进各项检察工作的发展。</w:t>
      </w:r>
    </w:p>
    <w:p w14:paraId="32C6A9A1">
      <w:pPr>
        <w:ind w:firstLine="420"/>
        <w:jc w:val="right"/>
        <w:rPr>
          <w:rFonts w:ascii="宋体" w:hAnsi="宋体"/>
        </w:rPr>
      </w:pPr>
      <w:r>
        <w:rPr>
          <w:rFonts w:ascii="宋体" w:hAnsi="宋体"/>
        </w:rPr>
        <w:t>（罗天祥）</w:t>
      </w:r>
    </w:p>
    <w:p w14:paraId="03CC8B59">
      <w:pPr>
        <w:ind w:firstLine="422"/>
        <w:rPr>
          <w:rFonts w:ascii="宋体" w:hAnsi="宋体"/>
          <w:b/>
          <w:bCs/>
        </w:rPr>
      </w:pPr>
      <w:r>
        <w:rPr>
          <w:rFonts w:ascii="宋体" w:hAnsi="宋体"/>
          <w:b/>
          <w:bCs/>
        </w:rPr>
        <w:t>附：2010年检察院领导班子成员名单</w:t>
      </w:r>
    </w:p>
    <w:p w14:paraId="095ADD11">
      <w:pPr>
        <w:ind w:firstLine="422"/>
        <w:rPr>
          <w:rFonts w:ascii="宋体" w:hAnsi="宋体"/>
        </w:rPr>
      </w:pPr>
      <w:r>
        <w:rPr>
          <w:rFonts w:ascii="宋体" w:hAnsi="宋体"/>
          <w:b/>
          <w:bCs/>
        </w:rPr>
        <w:t>检察长：</w:t>
      </w:r>
      <w:r>
        <w:rPr>
          <w:rFonts w:ascii="宋体" w:hAnsi="宋体"/>
        </w:rPr>
        <w:t>栾怀持</w:t>
      </w:r>
    </w:p>
    <w:p w14:paraId="45096BCB">
      <w:pPr>
        <w:ind w:firstLine="422"/>
        <w:rPr>
          <w:rFonts w:ascii="宋体" w:hAnsi="宋体"/>
        </w:rPr>
      </w:pPr>
      <w:r>
        <w:rPr>
          <w:rFonts w:ascii="宋体" w:hAnsi="宋体"/>
          <w:b/>
          <w:bCs/>
        </w:rPr>
        <w:t>副检察长：</w:t>
      </w:r>
      <w:r>
        <w:rPr>
          <w:rFonts w:ascii="宋体" w:hAnsi="宋体"/>
        </w:rPr>
        <w:t>刘辉林</w:t>
      </w:r>
      <w:r>
        <w:rPr>
          <w:rFonts w:hint="eastAsia" w:ascii="宋体" w:hAnsi="宋体"/>
        </w:rPr>
        <w:t xml:space="preserve">  </w:t>
      </w:r>
      <w:r>
        <w:rPr>
          <w:rFonts w:ascii="宋体" w:hAnsi="宋体"/>
        </w:rPr>
        <w:t>贺真</w:t>
      </w:r>
      <w:r>
        <w:rPr>
          <w:rFonts w:hint="eastAsia" w:ascii="宋体" w:hAnsi="宋体"/>
        </w:rPr>
        <w:t xml:space="preserve">  </w:t>
      </w:r>
      <w:r>
        <w:rPr>
          <w:rFonts w:ascii="宋体" w:hAnsi="宋体"/>
        </w:rPr>
        <w:t>利保登</w:t>
      </w:r>
    </w:p>
    <w:p w14:paraId="38CF5ECA">
      <w:pPr>
        <w:ind w:firstLine="422"/>
        <w:rPr>
          <w:rFonts w:ascii="宋体" w:hAnsi="宋体"/>
        </w:rPr>
      </w:pPr>
      <w:r>
        <w:rPr>
          <w:rFonts w:ascii="宋体" w:hAnsi="宋体"/>
          <w:b/>
          <w:bCs/>
        </w:rPr>
        <w:t>党组成员兼纪检组长：</w:t>
      </w:r>
      <w:r>
        <w:rPr>
          <w:rFonts w:ascii="宋体" w:hAnsi="宋体"/>
        </w:rPr>
        <w:t>李兵</w:t>
      </w:r>
    </w:p>
    <w:p w14:paraId="184AD77F">
      <w:pPr>
        <w:ind w:firstLine="422"/>
        <w:rPr>
          <w:rFonts w:ascii="宋体" w:hAnsi="宋体"/>
        </w:rPr>
      </w:pPr>
      <w:r>
        <w:rPr>
          <w:rFonts w:ascii="宋体" w:hAnsi="宋体"/>
          <w:b/>
          <w:bCs/>
        </w:rPr>
        <w:t>党组成员兼政工科长：</w:t>
      </w:r>
      <w:r>
        <w:rPr>
          <w:rFonts w:ascii="宋体" w:hAnsi="宋体"/>
        </w:rPr>
        <w:t>刘军</w:t>
      </w:r>
    </w:p>
    <w:p w14:paraId="13EE487B">
      <w:pPr>
        <w:pStyle w:val="3"/>
      </w:pPr>
      <w:r>
        <w:t>公安</w:t>
      </w:r>
    </w:p>
    <w:p w14:paraId="1FF53390">
      <w:pPr>
        <w:pStyle w:val="4"/>
      </w:pPr>
      <w:r>
        <w:t>【概况】</w:t>
      </w:r>
    </w:p>
    <w:p w14:paraId="46210F86">
      <w:pPr>
        <w:ind w:firstLine="420"/>
        <w:rPr>
          <w:rFonts w:ascii="宋体" w:hAnsi="宋体"/>
        </w:rPr>
      </w:pPr>
      <w:r>
        <w:rPr>
          <w:rFonts w:ascii="宋体" w:hAnsi="宋体"/>
        </w:rPr>
        <w:t>南雄市公安局系南雄市人民政府工作部门，为正科级单位。负责社会治安秩序和消防工作，组织建设和公安民警队伍建设，侦破处置危害国家安全案件和一切刑事案件及各类治安事件，管理治安、出入境、户籍、居民身份证、道路交通、看守所、拘留所等工作，组织实施警卫任务和大型会议、群体活动的安保工作。管理并监督各机关、企事业单位的安全保卫工作和治安保卫组织建设，主管计算机信息系统安全监察工作，检查督促公安机关的执法活动，组织督察工作，承办市委、政府和上级部门交办的其它事项。内设机构总数核定12个，派出所22个，看守所、拘留所各1个，均为副科级建制。核定政法专项编制382人。2010年在职人员432人，其中民警407人。</w:t>
      </w:r>
    </w:p>
    <w:p w14:paraId="1644F86D">
      <w:pPr>
        <w:pStyle w:val="4"/>
      </w:pPr>
      <w:r>
        <w:t>【维稳工作】</w:t>
      </w:r>
    </w:p>
    <w:p w14:paraId="54E4CD35">
      <w:pPr>
        <w:ind w:firstLine="420"/>
        <w:rPr>
          <w:rFonts w:ascii="宋体" w:hAnsi="宋体"/>
        </w:rPr>
      </w:pPr>
      <w:r>
        <w:rPr>
          <w:rFonts w:ascii="宋体" w:hAnsi="宋体"/>
        </w:rPr>
        <w:t>加强情报信息工作，完善维稳会商联席会议制度。开展矛盾纠纷排查调处和情报信息的排查、汇集、研判工作，提高预警能力。收集情报信息298条，较有价值的251条，采用上报韶关市局和南雄市委、政府136条。及时调处化解征地拆迁、林权改革、退伍军人集体上访等各类不安定苗头事件。开展“信访积案化解年”和案件评查活动，及时化解一批影响社会稳定的突出问题。做好上海世博会和广州亚运会背景审查工作。打击国内外敌对势力的破坏活动，做好反恐怖袭击工作，完善反恐应急工作机制。</w:t>
      </w:r>
    </w:p>
    <w:p w14:paraId="2230F542">
      <w:pPr>
        <w:pStyle w:val="4"/>
      </w:pPr>
      <w:r>
        <w:t>【治安管理】</w:t>
      </w:r>
    </w:p>
    <w:p w14:paraId="0558EEAA">
      <w:pPr>
        <w:ind w:firstLine="420"/>
        <w:rPr>
          <w:rFonts w:ascii="宋体" w:hAnsi="宋体"/>
        </w:rPr>
      </w:pPr>
      <w:r>
        <w:rPr>
          <w:rFonts w:ascii="宋体" w:hAnsi="宋体"/>
        </w:rPr>
        <w:t>开展“人、屋、车、场、网”治理，加强巡逻防控，按照“重打击、严防控、抓管理、促工作、保稳定”的总体工作思路，大力整治各类治安问题，有效遏制犯罪空间。全年查处治安案件1241起，同比下降17.5%，查处违法人员1135人。查破“黄赌”案件119宗，抓获“黄赌”人员485人。做好大型公共活动保卫工作，完成各类重大活动安保任务6次、警卫任务3次。抓好环粤环穗亚运“安保圈”检查站工程建设，2010年10月10日南雄市附城公安检查站全面启动运行，出动警力5045人次、检查入粤车辆13.4万多辆、检查人员20.3万多人。抓获违法嫌疑人24人，圆满完成亚运安保任务。开展治爆缉枪专项行动，加强危爆物品管理，防止重特大治安事故的发生。加强单位内部安保工作，开展重点单位、重要部位、重要设施摸底工作，提高单位内部防范水平。</w:t>
      </w:r>
    </w:p>
    <w:p w14:paraId="1DD57403">
      <w:pPr>
        <w:pStyle w:val="4"/>
      </w:pPr>
      <w:r>
        <w:t>【案件侦查】</w:t>
      </w:r>
    </w:p>
    <w:p w14:paraId="22044331">
      <w:pPr>
        <w:ind w:firstLine="420"/>
        <w:rPr>
          <w:rFonts w:ascii="宋体" w:hAnsi="宋体"/>
        </w:rPr>
      </w:pPr>
      <w:r>
        <w:rPr>
          <w:rFonts w:ascii="宋体" w:hAnsi="宋体"/>
        </w:rPr>
        <w:t>围绕“平安亚运”总目标，组织开展“粤安10”、“创平安、迎亚运”和“平安亚运十大行动”、打击假币犯罪“09行动”和假发票犯罪等一系列专项行动，打击拐卖妇女儿童、涉枪、涉爆、涉黑、职务侵占、合同诈骗和非法经营等违法犯罪，开展协税护税、烟草专项整治工作，遏制刑事案件的发生。破刑事案件349宗，破案数同比上升2.3%。其中，破命案6宗，命案破案率为100%，排名韶关市第一位，破“两抢一盗”案件288宗，破经济案件3宗，挽回经济损失31万多元。打掉犯罪团伙17个。开展“大查控、大灭罪、大收戒”工作，破获毒品案件3宗，缴获毒品70.3克，收戒吸毒人员13人，行政拘留44人。</w:t>
      </w:r>
    </w:p>
    <w:p w14:paraId="478EAD9D">
      <w:pPr>
        <w:pStyle w:val="4"/>
      </w:pPr>
      <w:r>
        <w:t>【户政管理】</w:t>
      </w:r>
    </w:p>
    <w:p w14:paraId="20AF50AD">
      <w:pPr>
        <w:ind w:firstLine="420"/>
        <w:rPr>
          <w:rFonts w:ascii="宋体" w:hAnsi="宋体"/>
        </w:rPr>
      </w:pPr>
      <w:r>
        <w:rPr>
          <w:rFonts w:ascii="宋体" w:hAnsi="宋体"/>
        </w:rPr>
        <w:t>加强实有人口和出租屋管理，推进《广东省居住证》制度工作，全市办理《居住证》2574张，登记（建档）出租屋158间、工棚工地43处。抓好第六次全国人口普查户口整顿工作，全市现有常住人口131675户471365人，其中农业户口385601人。登记暂住人口2196人。落实重点人口的管控和帮教措施，2010年列管重点人口417人。落实户籍管理便民利民措施，推进户政业务警务规范化管理。2010年受理、审批入户申请材料8764份，办理出生入户6858人、迁入入户1151人，变更、更正户口项目审批755人，发放“二代证”15237人张，提供人口信息查询27300人次。</w:t>
      </w:r>
    </w:p>
    <w:p w14:paraId="29B0E534">
      <w:pPr>
        <w:pStyle w:val="4"/>
      </w:pPr>
      <w:r>
        <w:t>【出入境管理】</w:t>
      </w:r>
    </w:p>
    <w:p w14:paraId="38378B10">
      <w:pPr>
        <w:ind w:firstLine="420"/>
        <w:rPr>
          <w:rFonts w:ascii="宋体" w:hAnsi="宋体"/>
        </w:rPr>
      </w:pPr>
      <w:r>
        <w:rPr>
          <w:rFonts w:ascii="宋体" w:hAnsi="宋体"/>
        </w:rPr>
        <w:t>规范受理审批出入境证件工作，推行网上申请、电话申请、双向速递等申请方式，今年受理各类出入境申请9230人次，其中受理赴港澳：旅游7448人次、探亲180人次、单程定居18人；受理出国申请1231人次；受理赴台湾申请345人次；办理商务签注8人次。组织开展“三非”（非法入境、非法居留、非法务工）外国人专项清理整治行动，登记管理来雄外国人1人，全市没有“三非”外国人。</w:t>
      </w:r>
    </w:p>
    <w:p w14:paraId="6C4531BB">
      <w:pPr>
        <w:pStyle w:val="4"/>
      </w:pPr>
      <w:r>
        <w:t>【交通管理】</w:t>
      </w:r>
    </w:p>
    <w:p w14:paraId="13369212">
      <w:pPr>
        <w:ind w:firstLine="420"/>
        <w:rPr>
          <w:rFonts w:ascii="宋体" w:hAnsi="宋体"/>
        </w:rPr>
      </w:pPr>
      <w:r>
        <w:rPr>
          <w:rFonts w:ascii="宋体" w:hAnsi="宋体"/>
        </w:rPr>
        <w:t>开展春运交通整治、“创平安、迎亚运”道路交通专项整治、机动车涉牌涉证违法行为集中整治的各项交通整治工作，以国、省道等各主干道和超速超员行驶、酒后驾驶等交通违法行为为重点，预防重特大交通事故，消除交通安全隐患。发生交通事故27宗、同比下降4%，死亡16人、同比持平。交通事故除死亡人数持平外，事故数、受伤人数、经济损失数同比全面下降。</w:t>
      </w:r>
    </w:p>
    <w:p w14:paraId="6D770D10">
      <w:pPr>
        <w:pStyle w:val="4"/>
      </w:pPr>
      <w:r>
        <w:t>【消防管理】</w:t>
      </w:r>
    </w:p>
    <w:p w14:paraId="5CF5E275">
      <w:pPr>
        <w:ind w:firstLine="420"/>
        <w:rPr>
          <w:rFonts w:ascii="宋体" w:hAnsi="宋体"/>
        </w:rPr>
      </w:pPr>
      <w:r>
        <w:rPr>
          <w:rFonts w:ascii="宋体" w:hAnsi="宋体"/>
        </w:rPr>
        <w:t>强化消防安全管理，开展火灾隐患排查和人员密集场所、高层地下建筑、易燃易爆单位等消防安全专项治理，完善消防安全责任体系建设，堵塞消防安全漏洞。全市发生火灾事故6起，同比上升20%，连续三年实现火灾事故零死亡。</w:t>
      </w:r>
    </w:p>
    <w:p w14:paraId="4901C069">
      <w:pPr>
        <w:pStyle w:val="4"/>
      </w:pPr>
      <w:r>
        <w:t>【监所管理】</w:t>
      </w:r>
    </w:p>
    <w:p w14:paraId="60820179">
      <w:pPr>
        <w:ind w:firstLine="420"/>
        <w:rPr>
          <w:rFonts w:ascii="宋体" w:hAnsi="宋体"/>
        </w:rPr>
      </w:pPr>
      <w:r>
        <w:rPr>
          <w:rFonts w:ascii="宋体" w:hAnsi="宋体"/>
        </w:rPr>
        <w:t>开展集中整治涉案人员非正常死亡专项行动，预防和打击“牢头狱霸”，深挖犯罪。落实疾病防控，严防疫情发生，确保监所的安全和稳定。全年累计收押2164人次，月均关押161人次。</w:t>
      </w:r>
    </w:p>
    <w:p w14:paraId="1F84F024">
      <w:pPr>
        <w:pStyle w:val="4"/>
      </w:pPr>
      <w:r>
        <w:t>【公安科技】</w:t>
      </w:r>
    </w:p>
    <w:p w14:paraId="02C2B7EE">
      <w:pPr>
        <w:ind w:firstLine="420"/>
        <w:rPr>
          <w:rFonts w:ascii="宋体" w:hAnsi="宋体"/>
        </w:rPr>
      </w:pPr>
      <w:r>
        <w:rPr>
          <w:rFonts w:ascii="宋体" w:hAnsi="宋体"/>
        </w:rPr>
        <w:t>推进公安信息化建设，开展“一个平台、三个系统”（指挥中心平台、警务综合信息系统、互联网虚拟社会管理系统、政府各部门联网的信息资源系统）和“五个一网”（视频监管一网控、办公办案一网通、信息情报一网综、服务措施一网办、工作执法一网考）建设，完成省级治安视频监控卡口的建设任务。“大情报”系统、绩效考核“三挂钩”、“网上作战”和办理居住证“一证通”全面铺开，并取得较好成绩。</w:t>
      </w:r>
    </w:p>
    <w:p w14:paraId="2429D096">
      <w:pPr>
        <w:pStyle w:val="4"/>
      </w:pPr>
      <w:r>
        <w:t>【后勤保障】</w:t>
      </w:r>
    </w:p>
    <w:p w14:paraId="4F31E35C">
      <w:pPr>
        <w:ind w:firstLine="420"/>
        <w:rPr>
          <w:rFonts w:ascii="宋体" w:hAnsi="宋体"/>
        </w:rPr>
      </w:pPr>
      <w:r>
        <w:rPr>
          <w:rFonts w:ascii="宋体" w:hAnsi="宋体"/>
        </w:rPr>
        <w:t>做好预算编制和经费保障标准的落实，加强对公安行政性收费和罚没款收入的管理，坚决执行“收支两条线”的有关规定。完善公安应急装备储备调拨机制，建立健全国有资产管理制度。2010年新增资产253件，价值2218万元。目前存有资产2320件，价值4785万元。</w:t>
      </w:r>
    </w:p>
    <w:p w14:paraId="2558648F">
      <w:pPr>
        <w:pStyle w:val="4"/>
      </w:pPr>
      <w:r>
        <w:t>【警务监督】</w:t>
      </w:r>
    </w:p>
    <w:p w14:paraId="017D238C">
      <w:pPr>
        <w:ind w:firstLine="420"/>
        <w:rPr>
          <w:rFonts w:ascii="宋体" w:hAnsi="宋体"/>
        </w:rPr>
      </w:pPr>
      <w:r>
        <w:rPr>
          <w:rFonts w:ascii="宋体" w:hAnsi="宋体"/>
        </w:rPr>
        <w:t>落实党风廉政建设责任制“五个一”制度，严格执行“三谈两述”（日常谈话、任职谈话、诫勉谈话和述职述廉）制度。开展工程建设领导突出问题、集中整治执法过程中涉案人员非正常死亡问题、警车涉案车辆违规问题等专项治理。建立廉政监督制度，从各单位和社会各阶层中聘请153名警务廉政监督员。建立警务暗访工作机制，抓好信访举报调查，及时发现和纠正队伍中的违法违纪苗头。开展基层执法服务活动，提高服务单位的执法水平。围绕“工作执法一网考”的建设和运用，建立执法信息网上录入、执法流程网上管理、执法活动网上监控、执法质量网上考核办案新举措。2010年日常考核各类案件1335宗，审核各类案件50宗147人，在韶关市公安局的执法质量考核中，再次名列第一。严格执行取保候审强制措施、规范办理提解看守所在押人员和提前解除行政拘留等有关规定。</w:t>
      </w:r>
    </w:p>
    <w:p w14:paraId="1D2D7B41">
      <w:pPr>
        <w:pStyle w:val="4"/>
      </w:pPr>
      <w:r>
        <w:t>【队伍建设】</w:t>
      </w:r>
    </w:p>
    <w:p w14:paraId="23B527CE">
      <w:pPr>
        <w:ind w:firstLine="420"/>
        <w:rPr>
          <w:rFonts w:ascii="宋体" w:hAnsi="宋体"/>
        </w:rPr>
      </w:pPr>
      <w:r>
        <w:rPr>
          <w:rFonts w:ascii="宋体" w:hAnsi="宋体"/>
        </w:rPr>
        <w:t>开展争先创优、“扶贫双到”、大讨论、大走访等系列活动。结合“工作执法一网考”，强化队伍正规化建设，开展岗位练兵和“战训合一、轮训轮值”实战必训活动。2010年举办“战训合一”培训班4期，培训民警131人。开展绩效考核，实行绩效考核结果与奖金、评先评优、提拔任用“三挂钩”。完成新警招聘工作。落实民警休假、养老、医疗、意外保险制度和民警因公牺牲、伤残专项抚恤金制度，2010年9月成立南雄市公安局民警救助会，募得首批资金50万元。2010年有123名民警得到上级公安机关和市局7万多元的资助。</w:t>
      </w:r>
    </w:p>
    <w:p w14:paraId="64605D48">
      <w:pPr>
        <w:ind w:firstLine="420"/>
        <w:jc w:val="right"/>
        <w:rPr>
          <w:rFonts w:ascii="宋体" w:hAnsi="宋体"/>
        </w:rPr>
      </w:pPr>
      <w:r>
        <w:rPr>
          <w:rFonts w:ascii="宋体" w:hAnsi="宋体"/>
        </w:rPr>
        <w:t>（叶青）</w:t>
      </w:r>
    </w:p>
    <w:p w14:paraId="64CF7845">
      <w:pPr>
        <w:ind w:firstLine="422"/>
        <w:rPr>
          <w:rFonts w:ascii="宋体" w:hAnsi="宋体"/>
          <w:b/>
          <w:bCs/>
        </w:rPr>
      </w:pPr>
      <w:r>
        <w:rPr>
          <w:rFonts w:ascii="宋体" w:hAnsi="宋体"/>
          <w:b/>
          <w:bCs/>
        </w:rPr>
        <w:t>附：2010年公安局领导班子成员名单</w:t>
      </w:r>
    </w:p>
    <w:p w14:paraId="68235174">
      <w:pPr>
        <w:ind w:firstLine="422"/>
        <w:rPr>
          <w:rFonts w:ascii="宋体" w:hAnsi="宋体"/>
        </w:rPr>
      </w:pPr>
      <w:r>
        <w:rPr>
          <w:rFonts w:ascii="宋体" w:hAnsi="宋体"/>
          <w:b/>
          <w:bCs/>
        </w:rPr>
        <w:t>局长：</w:t>
      </w:r>
      <w:r>
        <w:rPr>
          <w:rFonts w:ascii="宋体" w:hAnsi="宋体"/>
        </w:rPr>
        <w:t>赖向阳（任至2010.04）</w:t>
      </w:r>
    </w:p>
    <w:p w14:paraId="0267D9C3">
      <w:pPr>
        <w:ind w:firstLine="1050" w:firstLineChars="500"/>
        <w:rPr>
          <w:rFonts w:ascii="宋体" w:hAnsi="宋体"/>
        </w:rPr>
      </w:pPr>
      <w:r>
        <w:rPr>
          <w:rFonts w:ascii="宋体" w:hAnsi="宋体"/>
        </w:rPr>
        <w:t>刘悦明（2010.04任）</w:t>
      </w:r>
    </w:p>
    <w:p w14:paraId="30585A60">
      <w:pPr>
        <w:ind w:firstLine="422"/>
        <w:rPr>
          <w:rFonts w:ascii="宋体" w:hAnsi="宋体"/>
        </w:rPr>
      </w:pPr>
      <w:r>
        <w:rPr>
          <w:rFonts w:ascii="宋体" w:hAnsi="宋体"/>
          <w:b/>
          <w:bCs/>
        </w:rPr>
        <w:t>政委：</w:t>
      </w:r>
      <w:r>
        <w:rPr>
          <w:rFonts w:ascii="宋体" w:hAnsi="宋体"/>
        </w:rPr>
        <w:t>杨云党</w:t>
      </w:r>
    </w:p>
    <w:p w14:paraId="2427241C">
      <w:pPr>
        <w:ind w:firstLine="422"/>
        <w:rPr>
          <w:rFonts w:ascii="宋体" w:hAnsi="宋体"/>
        </w:rPr>
      </w:pPr>
      <w:r>
        <w:rPr>
          <w:rFonts w:ascii="宋体" w:hAnsi="宋体"/>
          <w:b/>
          <w:bCs/>
        </w:rPr>
        <w:t>委副书记：</w:t>
      </w:r>
      <w:r>
        <w:rPr>
          <w:rFonts w:ascii="宋体" w:hAnsi="宋体"/>
        </w:rPr>
        <w:t>张桂通</w:t>
      </w:r>
    </w:p>
    <w:p w14:paraId="15437D12">
      <w:pPr>
        <w:ind w:firstLine="422"/>
        <w:rPr>
          <w:rFonts w:ascii="宋体" w:hAnsi="宋体"/>
        </w:rPr>
      </w:pPr>
      <w:r>
        <w:rPr>
          <w:rFonts w:ascii="宋体" w:hAnsi="宋体"/>
          <w:b/>
          <w:bCs/>
        </w:rPr>
        <w:t>副局长：</w:t>
      </w:r>
      <w:r>
        <w:rPr>
          <w:rFonts w:ascii="宋体" w:hAnsi="宋体"/>
        </w:rPr>
        <w:t>陈小桦</w:t>
      </w:r>
      <w:r>
        <w:rPr>
          <w:rFonts w:hint="eastAsia" w:ascii="宋体" w:hAnsi="宋体"/>
        </w:rPr>
        <w:t xml:space="preserve">  </w:t>
      </w:r>
      <w:r>
        <w:rPr>
          <w:rFonts w:ascii="宋体" w:hAnsi="宋体"/>
        </w:rPr>
        <w:t>叶建英</w:t>
      </w:r>
      <w:r>
        <w:rPr>
          <w:rFonts w:hint="eastAsia" w:ascii="宋体" w:hAnsi="宋体"/>
        </w:rPr>
        <w:t xml:space="preserve">  </w:t>
      </w:r>
      <w:r>
        <w:rPr>
          <w:rFonts w:ascii="宋体" w:hAnsi="宋体"/>
        </w:rPr>
        <w:t>邓德尧</w:t>
      </w:r>
    </w:p>
    <w:p w14:paraId="72A0EA89">
      <w:pPr>
        <w:ind w:firstLine="1260" w:firstLineChars="600"/>
        <w:rPr>
          <w:rFonts w:ascii="宋体" w:hAnsi="宋体"/>
        </w:rPr>
      </w:pPr>
      <w:r>
        <w:rPr>
          <w:rFonts w:ascii="宋体" w:hAnsi="宋体"/>
        </w:rPr>
        <w:t>钟</w:t>
      </w:r>
      <w:r>
        <w:rPr>
          <w:rFonts w:hint="eastAsia" w:ascii="宋体" w:hAnsi="宋体"/>
        </w:rPr>
        <w:t xml:space="preserve">  </w:t>
      </w:r>
      <w:r>
        <w:rPr>
          <w:rFonts w:ascii="宋体" w:hAnsi="宋体"/>
        </w:rPr>
        <w:t>彬</w:t>
      </w:r>
      <w:r>
        <w:rPr>
          <w:rFonts w:hint="eastAsia" w:ascii="宋体" w:hAnsi="宋体"/>
        </w:rPr>
        <w:t xml:space="preserve">  </w:t>
      </w:r>
      <w:r>
        <w:rPr>
          <w:rFonts w:ascii="宋体" w:hAnsi="宋体"/>
        </w:rPr>
        <w:t>成</w:t>
      </w:r>
      <w:r>
        <w:rPr>
          <w:rFonts w:hint="eastAsia" w:ascii="宋体" w:hAnsi="宋体"/>
        </w:rPr>
        <w:t xml:space="preserve">  </w:t>
      </w:r>
      <w:r>
        <w:rPr>
          <w:rFonts w:ascii="宋体" w:hAnsi="宋体"/>
        </w:rPr>
        <w:t>铭</w:t>
      </w:r>
    </w:p>
    <w:p w14:paraId="339E4E52">
      <w:pPr>
        <w:pStyle w:val="3"/>
      </w:pPr>
      <w:r>
        <w:t>司法行政</w:t>
      </w:r>
    </w:p>
    <w:p w14:paraId="1F520F20">
      <w:pPr>
        <w:pStyle w:val="4"/>
      </w:pPr>
      <w:r>
        <w:t>【概况】</w:t>
      </w:r>
    </w:p>
    <w:p w14:paraId="685A9300">
      <w:pPr>
        <w:ind w:firstLine="420"/>
        <w:rPr>
          <w:rFonts w:ascii="宋体" w:hAnsi="宋体"/>
        </w:rPr>
      </w:pPr>
      <w:r>
        <w:rPr>
          <w:rFonts w:ascii="宋体" w:hAnsi="宋体"/>
        </w:rPr>
        <w:t>1981年2月成立南雄县司法局，局内设：政工科（副科级）、办公室、宣教股、基层股、公律股、南雄市公证处、南雄市法律援助处、广东永顺律师事务所。18个乡镇（街道）设司法所。2010年，局机关人员编制数为19人，在编人员19人；南雄市公职律师事务所人员编制数为5人，在编人员1人；南雄市公证处人员编制数为5人，在编人员1人；南雄市法律援助处人员编制数为3人，在编人员2人。乡镇（街道）司法所人员编制数37人，在编人员31人。</w:t>
      </w:r>
    </w:p>
    <w:p w14:paraId="716AD261">
      <w:pPr>
        <w:pStyle w:val="4"/>
      </w:pPr>
      <w:r>
        <w:t>【普法教育和法学教育】</w:t>
      </w:r>
    </w:p>
    <w:p w14:paraId="0B04CA9A">
      <w:pPr>
        <w:ind w:firstLine="420"/>
        <w:rPr>
          <w:rFonts w:ascii="宋体" w:hAnsi="宋体"/>
        </w:rPr>
      </w:pPr>
      <w:r>
        <w:rPr>
          <w:rFonts w:ascii="宋体" w:hAnsi="宋体"/>
        </w:rPr>
        <w:t>南雄市普法部门严格按照上级普法主管部门的部署和全国法治市（县）创建工作要求，落实“五五”普法和依法治市检查验收工作，顺利通过省、市检查组的检查，得到检查组人员的一致好评，先后被广东省、韶关市及南雄市评为先进单位。市普法部门把此次检查验收作为推进工作、务实创新的契机，全面总结五年普法的成果和经验，理清工作思路，为“六五”普法工作奠定良好基础。</w:t>
      </w:r>
    </w:p>
    <w:p w14:paraId="68EB1F31">
      <w:pPr>
        <w:pStyle w:val="4"/>
      </w:pPr>
      <w:r>
        <w:t>【公证工作】</w:t>
      </w:r>
    </w:p>
    <w:p w14:paraId="333E3AF0">
      <w:pPr>
        <w:ind w:firstLine="420"/>
        <w:rPr>
          <w:rFonts w:ascii="宋体" w:hAnsi="宋体"/>
        </w:rPr>
      </w:pPr>
      <w:r>
        <w:rPr>
          <w:rFonts w:ascii="宋体" w:hAnsi="宋体"/>
        </w:rPr>
        <w:t>2010年，南雄市公证处办结各类公证402件，其中：国内民事公证299件，涉外公证91件，涉港澳台公证12件。</w:t>
      </w:r>
    </w:p>
    <w:p w14:paraId="01425923">
      <w:pPr>
        <w:pStyle w:val="4"/>
      </w:pPr>
      <w:r>
        <w:t>【律师工作】</w:t>
      </w:r>
    </w:p>
    <w:p w14:paraId="19EFF711">
      <w:pPr>
        <w:ind w:firstLine="420"/>
        <w:rPr>
          <w:rFonts w:ascii="宋体" w:hAnsi="宋体"/>
        </w:rPr>
      </w:pPr>
      <w:r>
        <w:rPr>
          <w:rFonts w:ascii="宋体" w:hAnsi="宋体"/>
        </w:rPr>
        <w:t>2010年，永顺律师事务所律师共担任常年法律顾问5家，办理各类案件50宗，其中民事案件36宗，经济诉讼代理2宗，行政诉讼案件4宗，刑事诉讼案件2宗，非诉讼法律事务6宗。</w:t>
      </w:r>
    </w:p>
    <w:p w14:paraId="2CAA473C">
      <w:pPr>
        <w:pStyle w:val="4"/>
      </w:pPr>
      <w:r>
        <w:t>【法律援助】</w:t>
      </w:r>
    </w:p>
    <w:p w14:paraId="3D51167F">
      <w:pPr>
        <w:ind w:firstLine="420"/>
        <w:rPr>
          <w:rFonts w:ascii="宋体" w:hAnsi="宋体"/>
        </w:rPr>
      </w:pPr>
      <w:r>
        <w:rPr>
          <w:rFonts w:ascii="宋体" w:hAnsi="宋体"/>
        </w:rPr>
        <w:t>南雄市法律援助中心开通12348法律服务热线，为困难群众、企事业单位和社会团体提供方便、快捷的法律咨询及各方面法律服务。2010年，市法律援助处受理援助案件85件，其中刑事辩护案件40件，民事代理案件45件，解答法律咨询473人次。</w:t>
      </w:r>
    </w:p>
    <w:p w14:paraId="74E66615">
      <w:pPr>
        <w:pStyle w:val="4"/>
      </w:pPr>
      <w:r>
        <w:t>【基层法律服务】</w:t>
      </w:r>
    </w:p>
    <w:p w14:paraId="1EE1EA00">
      <w:pPr>
        <w:ind w:firstLine="420"/>
        <w:rPr>
          <w:rFonts w:ascii="宋体" w:hAnsi="宋体"/>
        </w:rPr>
      </w:pPr>
      <w:r>
        <w:rPr>
          <w:rFonts w:ascii="宋体" w:hAnsi="宋体"/>
        </w:rPr>
        <w:t>基层法律服务所通过强化内部管理、加强业务培训的有力措施，提高法律服务水平，为农村社会和群众提供全方位的法律服务；基层法律服务工作者积极参与矛盾纠纷调解工作，发挥法律知识扎实、办案经验丰富等优势，引导群众理性合法表达诉求，切实维护社会秩序稳定。</w:t>
      </w:r>
    </w:p>
    <w:p w14:paraId="4B08F2FD">
      <w:pPr>
        <w:pStyle w:val="4"/>
      </w:pPr>
      <w:r>
        <w:t>【人民调解】</w:t>
      </w:r>
    </w:p>
    <w:p w14:paraId="1A66C18D">
      <w:pPr>
        <w:ind w:firstLine="420"/>
        <w:rPr>
          <w:rFonts w:ascii="宋体" w:hAnsi="宋体"/>
        </w:rPr>
      </w:pPr>
      <w:r>
        <w:rPr>
          <w:rFonts w:ascii="宋体" w:hAnsi="宋体"/>
        </w:rPr>
        <w:t>2010年，全市人民调解组织调解矛盾纠纷626件，调解成功608件，司法所参与调解疑难复杂纠纷51件，防止群体性上访事件13件151人次，防止民间纠纷转为刑事案件3件8人次，为维护南雄社会的和谐稳定作出了积极贡献。</w:t>
      </w:r>
    </w:p>
    <w:p w14:paraId="0873FC3D">
      <w:pPr>
        <w:pStyle w:val="4"/>
      </w:pPr>
      <w:r>
        <w:t>【安置帮教工作】</w:t>
      </w:r>
    </w:p>
    <w:p w14:paraId="47EB6BD2">
      <w:pPr>
        <w:ind w:firstLine="420"/>
        <w:rPr>
          <w:rFonts w:ascii="宋体" w:hAnsi="宋体"/>
        </w:rPr>
      </w:pPr>
      <w:r>
        <w:rPr>
          <w:rFonts w:ascii="宋体" w:hAnsi="宋体"/>
        </w:rPr>
        <w:t>按照南雄市委、市政府及上级司法行政机关统一部署和要求，落实亚运安保各阶段重点工作，召开阶段性司法行政工作会议，布置针对刑释解教人员的思想排查工作，要求基层司法所及时健全完善对刑释解教人员定期帮教，及时了解其生产、生活、思想情况，帮助、协调有关部门解决他们的实际困难，预防和减少刑释解教人员重新犯罪，维护社会和谐稳定。2010年，全市接受刑释解教人员70人。</w:t>
      </w:r>
    </w:p>
    <w:p w14:paraId="44E9106B">
      <w:pPr>
        <w:pStyle w:val="4"/>
      </w:pPr>
      <w:r>
        <w:t>【社区矫正工作】</w:t>
      </w:r>
    </w:p>
    <w:p w14:paraId="111A57A6">
      <w:pPr>
        <w:ind w:firstLine="420"/>
        <w:rPr>
          <w:rFonts w:ascii="宋体" w:hAnsi="宋体"/>
        </w:rPr>
      </w:pPr>
      <w:r>
        <w:rPr>
          <w:rFonts w:ascii="宋体" w:hAnsi="宋体"/>
        </w:rPr>
        <w:t>市司法局深入镇（街）调研，加强工作指导，开展社区矫正工作规范化、制度化建设，完善各项工作制度。实现五个统一：统一衔接和首次谈话、统一实施分类管理、统一执行考核评议会制度、统一解矫程序、统一工作台帐；做好日常管理工作，司法所社区矫正工作人员加强对矫正对象的走访，掌握社区服刑人员的家庭状况和思想表现，做到思想教育从严，生活关心到位，随时掌握动态。2010年，南雄市接收社区服刑人员15人。</w:t>
      </w:r>
    </w:p>
    <w:p w14:paraId="26A24B4E">
      <w:pPr>
        <w:pStyle w:val="4"/>
      </w:pPr>
      <w:r>
        <w:t>【队伍建设】</w:t>
      </w:r>
    </w:p>
    <w:p w14:paraId="6C406909">
      <w:pPr>
        <w:ind w:firstLine="420"/>
        <w:rPr>
          <w:rFonts w:ascii="宋体" w:hAnsi="宋体"/>
        </w:rPr>
      </w:pPr>
      <w:r>
        <w:rPr>
          <w:rFonts w:ascii="宋体" w:hAnsi="宋体"/>
        </w:rPr>
        <w:t>从司法行政工作职能特点出发，结合“受了表扬，怎么办”、纪律教育学习月活动、“树立正确权力观、提高执行力”、“加温鼓劲加快发展”等活动，通过召开民主生活会、学习讨论会，组织教育培训等形式，不断加强思想作风和组织纪律建设。加强政治理论学习，深入学习“三个代表”重要思想和科学发展观、党的十七届四中全会精神及省、市司法行政工作会议精神等相关文件精神，努力提升党员领导干部整体素质，强化责任意识和使命感，打造一支公正廉洁的司法行政干部队伍。</w:t>
      </w:r>
    </w:p>
    <w:p w14:paraId="056006C2">
      <w:pPr>
        <w:ind w:firstLine="420"/>
        <w:jc w:val="right"/>
        <w:rPr>
          <w:rFonts w:ascii="宋体" w:hAnsi="宋体"/>
        </w:rPr>
      </w:pPr>
      <w:r>
        <w:rPr>
          <w:rFonts w:ascii="宋体" w:hAnsi="宋体"/>
        </w:rPr>
        <w:t>（孔莉莉）</w:t>
      </w:r>
    </w:p>
    <w:p w14:paraId="437AB9D3">
      <w:pPr>
        <w:ind w:firstLine="422"/>
        <w:rPr>
          <w:rFonts w:ascii="宋体" w:hAnsi="宋体"/>
          <w:b/>
          <w:bCs/>
        </w:rPr>
      </w:pPr>
      <w:r>
        <w:rPr>
          <w:rFonts w:ascii="宋体" w:hAnsi="宋体"/>
          <w:b/>
          <w:bCs/>
        </w:rPr>
        <w:t>附：2010年司法局领导班子成员名单</w:t>
      </w:r>
    </w:p>
    <w:p w14:paraId="7B32AD6C">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陈志雄</w:t>
      </w:r>
    </w:p>
    <w:p w14:paraId="1C3DA20E">
      <w:pPr>
        <w:ind w:firstLine="422"/>
        <w:rPr>
          <w:rFonts w:ascii="宋体" w:hAnsi="宋体"/>
        </w:rPr>
      </w:pPr>
      <w:r>
        <w:rPr>
          <w:rFonts w:ascii="宋体" w:hAnsi="宋体"/>
          <w:b/>
          <w:bCs/>
        </w:rPr>
        <w:t>副局长：</w:t>
      </w:r>
      <w:r>
        <w:rPr>
          <w:rFonts w:ascii="宋体" w:hAnsi="宋体"/>
        </w:rPr>
        <w:t>李集光</w:t>
      </w:r>
      <w:r>
        <w:rPr>
          <w:rFonts w:hint="eastAsia" w:ascii="宋体" w:hAnsi="宋体"/>
        </w:rPr>
        <w:t xml:space="preserve">  </w:t>
      </w:r>
      <w:r>
        <w:rPr>
          <w:rFonts w:ascii="宋体" w:hAnsi="宋体"/>
        </w:rPr>
        <w:t>钟爱莲</w:t>
      </w:r>
    </w:p>
    <w:p w14:paraId="428F57F6">
      <w:pPr>
        <w:ind w:firstLine="422"/>
        <w:rPr>
          <w:rFonts w:ascii="宋体" w:hAnsi="宋体"/>
        </w:rPr>
      </w:pPr>
      <w:r>
        <w:rPr>
          <w:rFonts w:ascii="宋体" w:hAnsi="宋体"/>
          <w:b/>
          <w:bCs/>
        </w:rPr>
        <w:t>纪检组长：</w:t>
      </w:r>
      <w:r>
        <w:rPr>
          <w:rFonts w:ascii="宋体" w:hAnsi="宋体"/>
        </w:rPr>
        <w:t>邓彩军</w:t>
      </w:r>
    </w:p>
    <w:p w14:paraId="27DB18ED">
      <w:pPr>
        <w:pStyle w:val="3"/>
      </w:pPr>
      <w:r>
        <w:t>政府法制</w:t>
      </w:r>
    </w:p>
    <w:p w14:paraId="31C1C09B">
      <w:pPr>
        <w:pStyle w:val="4"/>
      </w:pPr>
      <w:r>
        <w:t>【机构设置】</w:t>
      </w:r>
    </w:p>
    <w:p w14:paraId="1CA6015B">
      <w:pPr>
        <w:ind w:firstLine="420"/>
        <w:rPr>
          <w:rFonts w:ascii="宋体" w:hAnsi="宋体"/>
        </w:rPr>
      </w:pPr>
      <w:r>
        <w:rPr>
          <w:rFonts w:ascii="宋体" w:hAnsi="宋体"/>
        </w:rPr>
        <w:t>南雄市人民政府法制局，正科级建制，在市政府办公室挂牌，设3个内设机构：行政复议应诉股、行政执法协调股、法律事务股。行政编制4名，其中局长1名、副局长1名；股长2名。</w:t>
      </w:r>
    </w:p>
    <w:p w14:paraId="1571531B">
      <w:pPr>
        <w:pStyle w:val="4"/>
      </w:pPr>
      <w:r>
        <w:t>【规范性文件管理】</w:t>
      </w:r>
    </w:p>
    <w:p w14:paraId="0A511023">
      <w:pPr>
        <w:ind w:firstLine="420"/>
        <w:rPr>
          <w:rFonts w:ascii="宋体" w:hAnsi="宋体"/>
        </w:rPr>
      </w:pPr>
      <w:r>
        <w:rPr>
          <w:rFonts w:ascii="宋体" w:hAnsi="宋体"/>
        </w:rPr>
        <w:t>1、2010年，市法制局审核拟以市政府或市政府办公室名义发布的文件49件，其中提出修改意见21件，建议不予发文的2件。2、2010年9月，市法制局根据省政府法制办《关于开展有关征地拆迁规章和规范性文件专项清理工作的通知》，对本市现行有效的有关征地拆迁的规范性文件进行了专项清理。清理该类文件11件，其中保留1件，废止10件，清理结果及时由市政府发文，并向社会予以了公布。3、2010年，市上报8件规范性文件到韶关备案，同时按照《广东省各级人民代表大会常务委员会规范性文件备案审查工作程序规定》，及时将市政府和政府办发布的规范性文件报送市人大常委会备案审查。</w:t>
      </w:r>
    </w:p>
    <w:p w14:paraId="4FC2E42A">
      <w:pPr>
        <w:pStyle w:val="4"/>
      </w:pPr>
      <w:r>
        <w:t>【行政复议】</w:t>
      </w:r>
    </w:p>
    <w:p w14:paraId="38047B46">
      <w:pPr>
        <w:ind w:firstLine="420"/>
        <w:rPr>
          <w:rFonts w:ascii="宋体" w:hAnsi="宋体"/>
        </w:rPr>
      </w:pPr>
      <w:r>
        <w:rPr>
          <w:rFonts w:ascii="宋体" w:hAnsi="宋体"/>
        </w:rPr>
        <w:t>2010年，南雄市政府受理行政复议案件2宗，其中因申请人自行撤销申请而终止审理1宗，维持1宗。</w:t>
      </w:r>
    </w:p>
    <w:p w14:paraId="3594D761">
      <w:pPr>
        <w:pStyle w:val="4"/>
      </w:pPr>
      <w:r>
        <w:t>【行政执法协调】</w:t>
      </w:r>
    </w:p>
    <w:p w14:paraId="2AFB3D0E">
      <w:pPr>
        <w:ind w:firstLine="420"/>
        <w:rPr>
          <w:rFonts w:ascii="宋体" w:hAnsi="宋体"/>
        </w:rPr>
      </w:pPr>
      <w:r>
        <w:rPr>
          <w:rFonts w:ascii="宋体" w:hAnsi="宋体"/>
        </w:rPr>
        <w:t>1、加强对行政机关的执法指导。2010年，市法制局为城管局、交通局综合执法局、国土资源局等执法部门进行了执法指导22宗，解答执法机关在行政执法上的疑义，及时指正执法中存在的问题和错误。2、协调执法机关之间的问题。市法制局充分发挥法制部门的协调作用，对行政机关之间存在的问题进行调解，保证执法的顺利进行。3、做好《行政执法证》办理工作，把好行政执法人员审查关。市法制局严格按照广东省行政执法证管理办法的有关规定，做好办理行政执法证的初审和送审、发放工作。2010年，办理行政执法证换发111件，为5个单位开通或变更行政执法证管理系统内容，进行5次办证系统使用培训。</w:t>
      </w:r>
    </w:p>
    <w:p w14:paraId="3403DFAD">
      <w:pPr>
        <w:pStyle w:val="4"/>
      </w:pPr>
      <w:r>
        <w:t>【行政执法责任制】</w:t>
      </w:r>
    </w:p>
    <w:p w14:paraId="58BD4D8B">
      <w:pPr>
        <w:ind w:firstLine="420"/>
        <w:rPr>
          <w:rFonts w:ascii="宋体" w:hAnsi="宋体"/>
        </w:rPr>
      </w:pPr>
      <w:r>
        <w:rPr>
          <w:rFonts w:ascii="宋体" w:hAnsi="宋体"/>
        </w:rPr>
        <w:t>2010年，市制定《南雄市行政执法责任制追究办法》、《南雄市行政处罚案卷评查办法》等各项制度，制定推行行政执法责任制的具体内容和措施。2010年，南雄市根据各项制度要求，通过行政复议、依法治市检查、落实“执法两制”评议考核、案卷评查等，进一步贯彻落实行政执法责任制。</w:t>
      </w:r>
    </w:p>
    <w:p w14:paraId="57080671">
      <w:pPr>
        <w:pStyle w:val="4"/>
      </w:pPr>
      <w:r>
        <w:t>【政府法律顾问】</w:t>
      </w:r>
    </w:p>
    <w:p w14:paraId="4061BBB9">
      <w:pPr>
        <w:ind w:firstLine="420"/>
        <w:rPr>
          <w:rFonts w:ascii="宋体" w:hAnsi="宋体"/>
        </w:rPr>
      </w:pPr>
      <w:r>
        <w:rPr>
          <w:rFonts w:ascii="宋体" w:hAnsi="宋体"/>
        </w:rPr>
        <w:t>发挥政府法律顾问作用，当好政府的参谋助手。1、市法制局积极为政府重大决策、经济管理和社会事务及其他法律事务提供及时、准确、优质的法律服务，充分发挥了作为政府的参谋助手、法律顾问作用。2010年，共为铁路征地拆迁、西气东输用地等行政强制征收、旅游开发经营等招商引资、移民安置优抚、企业转制、重大行政许可、违章建筑整治等重要民生热点、重点项目等行政决策问题提供法律意见40多件，保证市政府行政决策的正确合法。2、解答有关部门的法律咨询。2010年度，市法制局为江头镇政府、国土资源局、林业局、统计局等31个单位部门提供法律咨询意见78件。对疑义分歧较大的问题，法制局还根据有关法律法规作出了书面的解答意见。一年来为咨询单位出具书面的法制意见书15件。</w:t>
      </w:r>
    </w:p>
    <w:p w14:paraId="5D479960">
      <w:pPr>
        <w:ind w:firstLine="420"/>
        <w:jc w:val="right"/>
        <w:rPr>
          <w:rFonts w:ascii="宋体" w:hAnsi="宋体"/>
        </w:rPr>
      </w:pPr>
      <w:r>
        <w:rPr>
          <w:rFonts w:ascii="宋体" w:hAnsi="宋体"/>
        </w:rPr>
        <w:t>（张海平）</w:t>
      </w:r>
    </w:p>
    <w:p w14:paraId="126915F1">
      <w:pPr>
        <w:ind w:firstLine="422"/>
        <w:rPr>
          <w:rFonts w:ascii="宋体" w:hAnsi="宋体"/>
          <w:b/>
          <w:bCs/>
        </w:rPr>
      </w:pPr>
      <w:r>
        <w:rPr>
          <w:rFonts w:ascii="宋体" w:hAnsi="宋体"/>
          <w:b/>
          <w:bCs/>
        </w:rPr>
        <w:t>附：2010年法制局领导班子成员名单</w:t>
      </w:r>
    </w:p>
    <w:p w14:paraId="4E3D3BAC">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陈云英</w:t>
      </w:r>
    </w:p>
    <w:p w14:paraId="5657C5F2">
      <w:pPr>
        <w:ind w:firstLine="422"/>
        <w:rPr>
          <w:rFonts w:ascii="宋体" w:hAnsi="宋体"/>
        </w:rPr>
      </w:pPr>
      <w:r>
        <w:rPr>
          <w:rFonts w:ascii="宋体" w:hAnsi="宋体"/>
          <w:b/>
          <w:bCs/>
        </w:rPr>
        <w:t>副局长：</w:t>
      </w:r>
      <w:r>
        <w:rPr>
          <w:rFonts w:ascii="宋体" w:hAnsi="宋体"/>
        </w:rPr>
        <w:t>谢振雄</w:t>
      </w:r>
    </w:p>
    <w:p w14:paraId="426246C1">
      <w:pPr>
        <w:pStyle w:val="3"/>
      </w:pPr>
      <w:r>
        <w:t>看守所</w:t>
      </w:r>
    </w:p>
    <w:p w14:paraId="0E9FBE58">
      <w:pPr>
        <w:pStyle w:val="4"/>
      </w:pPr>
      <w:r>
        <w:t>【南雄看守所】</w:t>
      </w:r>
    </w:p>
    <w:p w14:paraId="0F6F151B">
      <w:pPr>
        <w:ind w:firstLine="420"/>
        <w:rPr>
          <w:rFonts w:ascii="宋体" w:hAnsi="宋体"/>
        </w:rPr>
      </w:pPr>
      <w:r>
        <w:rPr>
          <w:rFonts w:ascii="宋体" w:hAnsi="宋体"/>
        </w:rPr>
        <w:t>推进“工作执法一网考”，实行人防、物防、技防相结合的安全防范体系，值班巡视和监控“二岗合一”，加强信息应用系统管理，保证监所信息数据随工作流程实时采集，建立电子台帐，落实数据管理监督机制，在押人员数据的完整率和准确率达到100%。招聘专职医生1名、工勤人员2名。落实疾病防控，严防疫情发生。做好在押人员伙食保障，提高每月伙食实物量金额标准，由原来的145元6角提高到214元6角。开展集中整治涉案人员非正常死亡问题和打击牢头犾霸、深挖犯罪等专项工作。今年收押635人（其中司法、行政拘留330人），出所649人。累计收押2164人次，月均关押161人。深挖扩线协助破获各类刑案件23宗，抓获犯罪分子3人。</w:t>
      </w:r>
    </w:p>
    <w:p w14:paraId="283BF76A">
      <w:pPr>
        <w:ind w:firstLine="420"/>
        <w:jc w:val="right"/>
        <w:rPr>
          <w:rFonts w:ascii="宋体" w:hAnsi="宋体"/>
        </w:rPr>
      </w:pPr>
      <w:r>
        <w:rPr>
          <w:rFonts w:ascii="宋体" w:hAnsi="宋体"/>
        </w:rPr>
        <w:t>（叶青）</w:t>
      </w:r>
    </w:p>
    <w:p w14:paraId="58AC3611">
      <w:pPr>
        <w:pStyle w:val="2"/>
      </w:pPr>
      <w:r>
        <w:t>经济管理</w:t>
      </w:r>
    </w:p>
    <w:p w14:paraId="32B03518">
      <w:pPr>
        <w:pStyle w:val="3"/>
      </w:pPr>
      <w:r>
        <w:t>发展与改革</w:t>
      </w:r>
    </w:p>
    <w:p w14:paraId="62D9A072">
      <w:pPr>
        <w:pStyle w:val="4"/>
      </w:pPr>
      <w:r>
        <w:t>【概况】</w:t>
      </w:r>
    </w:p>
    <w:p w14:paraId="4B37D5DD">
      <w:pPr>
        <w:ind w:firstLine="420"/>
        <w:rPr>
          <w:rFonts w:ascii="宋体" w:hAnsi="宋体"/>
        </w:rPr>
      </w:pPr>
      <w:r>
        <w:rPr>
          <w:rFonts w:ascii="宋体" w:hAnsi="宋体"/>
        </w:rPr>
        <w:t>南雄市发展和改革局是负责研究提出全市国民经济和社会发展战略、发展规划和政策、进行总量平衡、结构调整，指导总体经济体制改革的宏观调控部门。原为南雄市计划委员会，2001年更名为南雄市发展计划局，2004年再度更名为南雄市发展和改革局，代管南雄市重点建设项目办公室，加挂物价局牌子，位于南雄市雄州街道雄州大道东路181号。下设办公室、综合规划、投资、价格、社会发展等9个股室。核定机关行政编制20名，事业编制4名，后勤编制1名，其中：局长1名，副局长2名，纪检组长1名。下属1个事业单位，为价格认证中心。此外，市政府重点建设项目办公室核定事业编制2名，设主任1名，由市发改局副局长兼任。</w:t>
      </w:r>
    </w:p>
    <w:p w14:paraId="66B6D974">
      <w:pPr>
        <w:ind w:firstLine="420"/>
        <w:rPr>
          <w:rFonts w:ascii="宋体" w:hAnsi="宋体"/>
        </w:rPr>
      </w:pPr>
      <w:r>
        <w:rPr>
          <w:rFonts w:ascii="宋体" w:hAnsi="宋体"/>
        </w:rPr>
        <w:t>2010年，全市实现生产总值60.26亿元，同比增长23%。其中第一产业完成16.36亿元，同比增长5%；第二产业完成17.12亿元，同比增长56%；第三产业完成26.78亿元，同比增长17.5%。地方财政一般预算收入完成2.83亿元；全市固定资产投资完成58.03亿元，同比增长35.1%；农村居民人均纯收入5956元，同比增长11.1%；城镇登记失业率控制在3.01%以内，人口自然增长率控制在7.5‰以内，均处于年度预期目标控制范围。</w:t>
      </w:r>
    </w:p>
    <w:p w14:paraId="05571D72">
      <w:pPr>
        <w:pStyle w:val="4"/>
      </w:pPr>
      <w:r>
        <w:t>【发展规划的组织编制】</w:t>
      </w:r>
    </w:p>
    <w:p w14:paraId="11C87DEA">
      <w:pPr>
        <w:ind w:firstLine="420"/>
        <w:rPr>
          <w:rFonts w:ascii="宋体" w:hAnsi="宋体"/>
        </w:rPr>
      </w:pPr>
      <w:r>
        <w:rPr>
          <w:rFonts w:ascii="宋体" w:hAnsi="宋体"/>
        </w:rPr>
        <w:t>编制下发年度南雄市国民经济和社会发展计划，强化季度、年度经济运行分析工作，做好年度计划组织实施工作。2010年，编制《南雄市国民经济和社会发展第十二个五年规划纲要》，先后经市政府常务会议、市委常委会议以及市十三届人大六次会议审议通过，得到市领导、人大代表和社会各界的高度评价；配合省、市研究制定《广东省主体功能区规划（2009~2020年）》、《粤北地区经济社会发展规划（2010~2015年）》、《韶关市培育产业集群总体规划》、《南雄市现代产业体系规划》、《南雄市南岭生态建设实施方案》等重大中长期发展规划，及时提供、反映全市的中长期发展思路、发展目标和发展战略，力争有更多的项目列入省的发展规划，争取更多的政策支持。</w:t>
      </w:r>
    </w:p>
    <w:p w14:paraId="5D5BDC9E">
      <w:pPr>
        <w:pStyle w:val="4"/>
      </w:pPr>
      <w:r>
        <w:t>【重大政策争取】</w:t>
      </w:r>
    </w:p>
    <w:p w14:paraId="511433C1">
      <w:pPr>
        <w:ind w:firstLine="420"/>
        <w:rPr>
          <w:rFonts w:ascii="宋体" w:hAnsi="宋体"/>
        </w:rPr>
      </w:pPr>
      <w:r>
        <w:rPr>
          <w:rFonts w:ascii="宋体" w:hAnsi="宋体"/>
        </w:rPr>
        <w:t>2010年5月6日，经中共中央党史研究室认定，南雄被正式认定成为“原中央苏区县”，南雄成为广东省第二个、韶关市唯一的“原中央苏区县”。围绕“原中央苏区县”开展卓有成效的重大政策争取工作：一是出台《关于做好对接中央、省扶持原中央苏区县加快发展政策工作的意见》，明确相关单位争取政策、项目的职责，建立健全对接工作考核机制和激励机制，推动重大政策争取工作发展。二是积极配合省编制《赣闽粤原中央苏区地区振兴规划》，从财税、金融、土地、重大项目等方面请求中央给予原中央苏区以特殊政策支持。</w:t>
      </w:r>
    </w:p>
    <w:p w14:paraId="6446E5D9">
      <w:pPr>
        <w:pStyle w:val="4"/>
      </w:pPr>
      <w:r>
        <w:t>【投资领域】</w:t>
      </w:r>
    </w:p>
    <w:p w14:paraId="470AA6D5">
      <w:pPr>
        <w:ind w:firstLine="420"/>
        <w:rPr>
          <w:rFonts w:ascii="宋体" w:hAnsi="宋体"/>
        </w:rPr>
      </w:pPr>
      <w:r>
        <w:rPr>
          <w:rFonts w:ascii="宋体" w:hAnsi="宋体"/>
        </w:rPr>
        <w:t>2010年，全社会固定资产投资完成58.03亿元，同比增长35.1%，实现了新的跨越。工业投资、产业园区保持较快增长，工业投资增长68.2%。“十一五”期间，全市五年累计完成投资165.82亿元，比“十五”期间增加128.46亿元，规模是“十五”期间的4.44倍。其中2008年、2009年和2010年，全社会固定资产投资分别完成29.53亿元、42.97亿元、58.03亿元，分别增长41.3%、45.5%、35.1%。</w:t>
      </w:r>
    </w:p>
    <w:p w14:paraId="479F211E">
      <w:pPr>
        <w:pStyle w:val="4"/>
      </w:pPr>
      <w:r>
        <w:t>【重点项目建设】</w:t>
      </w:r>
    </w:p>
    <w:p w14:paraId="6698FE49">
      <w:pPr>
        <w:ind w:firstLine="420"/>
        <w:rPr>
          <w:rFonts w:ascii="宋体" w:hAnsi="宋体"/>
        </w:rPr>
      </w:pPr>
      <w:r>
        <w:rPr>
          <w:rFonts w:ascii="宋体" w:hAnsi="宋体"/>
        </w:rPr>
        <w:t>2010年全市共实施重点项目61个，完成年度投资30亿元。其中，产业转移工业园完成投资34.25亿元；韶赣高速公路（南雄段）累计完成投资19.5亿元，顺利通车；赣韶铁路（南雄段）除羊角外基本完成征地拆迁任务，完成投资4.89亿元；西气东输二线工程完成投资5.85亿元，基本建成，正在规划建设市区天然气管网工程；绿州纸模项目列入省现代产业500强项目；国省干线改造和农村公路建设进展顺利；旧国道323线城区段管道基础设施工程加紧推进；工业园污水处理厂已正式投入运营。同时，一批事关长远发展的重大项目相继进入国家和省的计划笼子。重点项目的顺利推进，推动全市基础设施完善，带动投资领域再创新高，2010年全市完成全社会固定资产投资58.03亿元，同比增长35.1%。</w:t>
      </w:r>
    </w:p>
    <w:p w14:paraId="04311FC4">
      <w:pPr>
        <w:pStyle w:val="4"/>
      </w:pPr>
      <w:r>
        <w:t>【重点领域和体制改革】</w:t>
      </w:r>
    </w:p>
    <w:p w14:paraId="52055CBD">
      <w:pPr>
        <w:ind w:firstLine="420"/>
        <w:rPr>
          <w:rFonts w:ascii="宋体" w:hAnsi="宋体"/>
        </w:rPr>
      </w:pPr>
      <w:r>
        <w:rPr>
          <w:rFonts w:ascii="宋体" w:hAnsi="宋体"/>
        </w:rPr>
        <w:t>在加快转变经济发展方式中继续推进重点领域改革，行政管理体制改革进一步深化。一是完善镇（街道）经济社会科学发展考核机制。积极制定《南雄市镇（街道）经济社会科学发展考核办法》，建立健全镇（街道）落实科学发展观评价指标体系，并在实践中不断完善，使镇（街道）发展考核评价体系对科学发展的导向作用更加突出。二是积极推进开展省管县财政体制改革试点。三是组织开展医药卫生体制改革。落实医药卫生体制改革近期重点实施方案，抓好基本医疗保障制度、基本药物制度、基层医疗卫生服务体系、基本公共卫生服务均等化、公立医院改革试点等五项重点改革，扎实推进基层医疗卫生机构综合改革，先行先试在全市事业单位开展绩效工资改革，前瞻性的在基层医疗卫生机构实施收支两条线管理。四是认真做好农村综合配套改革，编制《南雄市主体功能区绩效考核实施方案》、《南雄市南岭生态建设实施方案》。</w:t>
      </w:r>
    </w:p>
    <w:p w14:paraId="2232B49C">
      <w:pPr>
        <w:pStyle w:val="4"/>
      </w:pPr>
      <w:r>
        <w:t>【韶赣铁路建设】</w:t>
      </w:r>
    </w:p>
    <w:p w14:paraId="5568525D">
      <w:pPr>
        <w:ind w:firstLine="420"/>
        <w:rPr>
          <w:rFonts w:ascii="宋体" w:hAnsi="宋体"/>
        </w:rPr>
      </w:pPr>
      <w:r>
        <w:rPr>
          <w:rFonts w:ascii="宋体" w:hAnsi="宋体"/>
        </w:rPr>
        <w:t>赣韶铁路（南雄段）全长约35公里，途径珠玑、雄州、全安、古市四个镇（街道）19个村委会，涉及征用土地2386.3亩，拆迁房屋3.26万平方米。韶赣铁路（南雄段）的征地工作任务已基本完成，完成协议征（用）地2144.50亩，已支付征地补偿费4888.62万元；拆除房屋总面积2.9万平方米，房屋拆迁补偿费921.72万元。</w:t>
      </w:r>
    </w:p>
    <w:p w14:paraId="4EEE2E30">
      <w:pPr>
        <w:pStyle w:val="4"/>
      </w:pPr>
      <w:r>
        <w:t>【华电集团热电冷联供项目】</w:t>
      </w:r>
    </w:p>
    <w:p w14:paraId="6472A088">
      <w:pPr>
        <w:ind w:firstLine="420"/>
        <w:rPr>
          <w:rFonts w:ascii="宋体" w:hAnsi="宋体"/>
        </w:rPr>
      </w:pPr>
      <w:r>
        <w:rPr>
          <w:rFonts w:ascii="宋体" w:hAnsi="宋体"/>
        </w:rPr>
        <w:t>华电南雄热电冷联供项目暂时按2×350MW国产亚临界燃煤供热发电机组设计，工程项目计划总资金约32亿元。自2009年9月省发改委批准开展项目前期工作以来，市各职能部门积极配合，为项目上报做了大量工作，包括：实地考察项目选址、考察韶赣高速公路、赣韶铁路等交通运输情况、提供项目选址周边取水品选址、相关灰场选址、厂址的风向气象等资料、提供省市相关部门出具的项目支持性批复等文件、进行企业热负荷调查和汇总工作，项目前期工作得到有效推进。2010年6月省发改委已将项目正式上报到国家能源局。</w:t>
      </w:r>
    </w:p>
    <w:p w14:paraId="5B0CA622">
      <w:pPr>
        <w:ind w:firstLine="420"/>
        <w:jc w:val="right"/>
        <w:rPr>
          <w:rFonts w:ascii="宋体" w:hAnsi="宋体"/>
        </w:rPr>
      </w:pPr>
      <w:r>
        <w:rPr>
          <w:rFonts w:ascii="宋体" w:hAnsi="宋体"/>
        </w:rPr>
        <w:t>（王凤军）</w:t>
      </w:r>
    </w:p>
    <w:p w14:paraId="4489E1A1">
      <w:pPr>
        <w:ind w:firstLine="422"/>
        <w:rPr>
          <w:rFonts w:ascii="宋体" w:hAnsi="宋体"/>
          <w:b/>
          <w:bCs/>
        </w:rPr>
      </w:pPr>
      <w:r>
        <w:rPr>
          <w:rFonts w:ascii="宋体" w:hAnsi="宋体"/>
          <w:b/>
          <w:bCs/>
        </w:rPr>
        <w:t>附：2010年发改局领导班子成员名单</w:t>
      </w:r>
    </w:p>
    <w:p w14:paraId="3E0FB530">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王友华</w:t>
      </w:r>
    </w:p>
    <w:p w14:paraId="0452AB1B">
      <w:pPr>
        <w:ind w:firstLine="422"/>
        <w:rPr>
          <w:rFonts w:ascii="宋体" w:hAnsi="宋体"/>
        </w:rPr>
      </w:pPr>
      <w:r>
        <w:rPr>
          <w:rFonts w:ascii="宋体" w:hAnsi="宋体"/>
          <w:b/>
          <w:bCs/>
        </w:rPr>
        <w:t>副局长：</w:t>
      </w:r>
      <w:r>
        <w:rPr>
          <w:rFonts w:ascii="宋体" w:hAnsi="宋体"/>
        </w:rPr>
        <w:t>李指源</w:t>
      </w:r>
      <w:r>
        <w:rPr>
          <w:rFonts w:hint="eastAsia" w:ascii="宋体" w:hAnsi="宋体"/>
        </w:rPr>
        <w:t xml:space="preserve">  </w:t>
      </w:r>
      <w:r>
        <w:rPr>
          <w:rFonts w:ascii="宋体" w:hAnsi="宋体"/>
        </w:rPr>
        <w:t>游伦芳</w:t>
      </w:r>
    </w:p>
    <w:p w14:paraId="2A5852A5">
      <w:pPr>
        <w:ind w:firstLine="422"/>
        <w:rPr>
          <w:rFonts w:ascii="宋体" w:hAnsi="宋体"/>
        </w:rPr>
      </w:pPr>
      <w:r>
        <w:rPr>
          <w:rFonts w:ascii="宋体" w:hAnsi="宋体"/>
          <w:b/>
          <w:bCs/>
        </w:rPr>
        <w:t>纪检组长：</w:t>
      </w:r>
      <w:r>
        <w:rPr>
          <w:rFonts w:ascii="宋体" w:hAnsi="宋体"/>
        </w:rPr>
        <w:t>刘金华</w:t>
      </w:r>
    </w:p>
    <w:p w14:paraId="11A58FC6">
      <w:pPr>
        <w:pStyle w:val="3"/>
      </w:pPr>
      <w:r>
        <w:t>统计</w:t>
      </w:r>
    </w:p>
    <w:p w14:paraId="6E49DD7D">
      <w:pPr>
        <w:pStyle w:val="4"/>
      </w:pPr>
      <w:r>
        <w:t>【概况】</w:t>
      </w:r>
    </w:p>
    <w:p w14:paraId="467B021E">
      <w:pPr>
        <w:ind w:firstLine="420"/>
        <w:rPr>
          <w:rFonts w:ascii="宋体" w:hAnsi="宋体"/>
        </w:rPr>
      </w:pPr>
      <w:r>
        <w:rPr>
          <w:rFonts w:ascii="宋体" w:hAnsi="宋体"/>
        </w:rPr>
        <w:t>南雄市统计局编制12个，现有在职行政编制人员10人，工勤编制2人，其中本科学历2人，大专学历7人，中专以上学历3人。为壮大统计队伍，夯实普查力量，2010年，经市机构编制委员会批准，成立了普查中心，中心配备工作人员5名，人员和机构全面组建到位。</w:t>
      </w:r>
    </w:p>
    <w:p w14:paraId="7CA038AD">
      <w:pPr>
        <w:ind w:firstLine="420"/>
        <w:rPr>
          <w:rFonts w:ascii="宋体" w:hAnsi="宋体"/>
        </w:rPr>
      </w:pPr>
      <w:r>
        <w:rPr>
          <w:rFonts w:ascii="宋体" w:hAnsi="宋体"/>
        </w:rPr>
        <w:t>2004年2月获得全省依法统计先进单位荣誉称号，2006年被评为省“四五”普法先进集体单位，2006年被评为“2001-2005年广东省统计法制法宣传教育先进单位”、陈晖同志被评为“2001-2005年全国统计法制法宣传教育先进个人”。统计局在2006-2010年度韶关市统计系统业务指标量化考核中，五年总分均排名第一，并连续九年评为韶关市统计系统先进单位，2008年被省人事厅和省统计局评为“2005-2008年度全省统计系统先进集体”，2009年被广东省评为“第二次全国农业普查先进集体”，2010年被国家评为“第二次全国经济普查先进集体”。</w:t>
      </w:r>
    </w:p>
    <w:p w14:paraId="501D33A1">
      <w:pPr>
        <w:pStyle w:val="4"/>
      </w:pPr>
      <w:r>
        <w:t>【信息化建设】</w:t>
      </w:r>
    </w:p>
    <w:p w14:paraId="4D88C062">
      <w:pPr>
        <w:ind w:firstLine="420"/>
        <w:rPr>
          <w:rFonts w:ascii="宋体" w:hAnsi="宋体"/>
        </w:rPr>
      </w:pPr>
      <w:r>
        <w:rPr>
          <w:rFonts w:ascii="宋体" w:hAnsi="宋体"/>
        </w:rPr>
        <w:t>2002年底，统计局基本实现“一人一机”的统计信息化建设目标，建立“统计信息内部网站”，统计局微机数量由1986年的一台IBMPC微机发展到现在的16台P4机、一台VPN、九台激光打印机、一台复印机、一台速印机。2004年，在省局的支持下，优化县级网络连接办法，市县之间采用VPN组网方式全面实现联通。南雄已建成联接全国、全省，全市的统计系统广域网和内部局域网，实现国家、省、市、县四级联网。</w:t>
      </w:r>
    </w:p>
    <w:p w14:paraId="24AD9C15">
      <w:pPr>
        <w:ind w:firstLine="420"/>
        <w:rPr>
          <w:rFonts w:ascii="宋体" w:hAnsi="宋体"/>
        </w:rPr>
      </w:pPr>
      <w:r>
        <w:rPr>
          <w:rFonts w:ascii="宋体" w:hAnsi="宋体"/>
        </w:rPr>
        <w:t>2008年，按照统计信息化建设的要求，统计局积极争取政府资金10多万元，购置18台（套）电脑、打印机等办公设备配发到镇（街）统计站，全市各镇（街道）统计站全部建立健全了网上直报系统，实现统计数据的网上传输。</w:t>
      </w:r>
    </w:p>
    <w:p w14:paraId="6F3048C8">
      <w:pPr>
        <w:pStyle w:val="4"/>
      </w:pPr>
      <w:r>
        <w:t>【统计服务】</w:t>
      </w:r>
    </w:p>
    <w:p w14:paraId="17A5796F">
      <w:pPr>
        <w:ind w:firstLine="420"/>
        <w:rPr>
          <w:rFonts w:ascii="宋体" w:hAnsi="宋体"/>
        </w:rPr>
      </w:pPr>
      <w:r>
        <w:rPr>
          <w:rFonts w:ascii="宋体" w:hAnsi="宋体"/>
        </w:rPr>
        <w:t>在抓好统计正常业务工作开展的同时，统计局始终以“四个理念”贯穿统计服务工作，统计服务工作取得长足发展，密切跟踪宏观调控政策的实施和经济社会发展中的热点、重点、难点问题，深入开展分析，适时提出监测报告，为各级党政领导提供观点鲜明、判断准确、对策可行的分析资料，各级领导和部门提供大量有价值的统计分析和社会经济信息。统计政务信息工作在韶关统计业务考核中连续两年排名第一，大量的统计信息被省和韶关市级统计网采用，统计分析在省和市的优秀分析评比中均取得佳绩。2010年全局专业人员撰写的统计信息被各级媒体采用255篇次，在韶关统计系统中名列前茅。其中县级媒体采用112篇，市级媒体采用97篇，省级媒体采用46篇，《南雄副市长要求“三个到位”共同做好人口普查》和《南雄多措并举确保人普编码工作质量》信息被国家统计局信息网采用；全年撰写统计分析30篇，其中被省级媒体采用2篇，市级媒体采用1篇，县级媒体采用6篇，《南雄在韶关经济带地位探析》一文被评为2010年省统计系统优秀分析三等奖，《大力培育壮大产业转移园实现南雄经济跨越式发展》一文被评为2010年度韶关市优秀统计分析一等奖，《对进一步缩小城乡居民收入差距的调查》专题分析被《韶关调研》刊物全文刊登。</w:t>
      </w:r>
    </w:p>
    <w:p w14:paraId="182DC2C6">
      <w:pPr>
        <w:pStyle w:val="4"/>
      </w:pPr>
      <w:r>
        <w:t>【普查和调查】</w:t>
      </w:r>
    </w:p>
    <w:p w14:paraId="3C1E2059">
      <w:pPr>
        <w:ind w:firstLine="420"/>
        <w:rPr>
          <w:rFonts w:ascii="宋体" w:hAnsi="宋体"/>
        </w:rPr>
      </w:pPr>
      <w:r>
        <w:rPr>
          <w:rFonts w:ascii="宋体" w:hAnsi="宋体"/>
        </w:rPr>
        <w:t>2008年，经国务院批准，国家统计局、国家发展改革委和财政部联合印发了《关于调整国家普查项目和周期性安排的通知》，确立了人口普查、农业普查和经济普查三项国家周期性普查制度。人口普查、农业普查每10年进行一次，分别在尾数逢。和6的年份实施。经济普查每5年进行一次，分别在尾数逢3和8的年份实施。普查取得的统计数据一般比经常性的全面调查报表调查取得的数据更为全面、系统、准确、可靠。由于普查的工作量大，需要投入大量的人力、物力和财力，只能少而精地进行。</w:t>
      </w:r>
    </w:p>
    <w:p w14:paraId="7258712C">
      <w:pPr>
        <w:pStyle w:val="4"/>
      </w:pPr>
      <w:r>
        <w:t>【居民收入与消费】</w:t>
      </w:r>
    </w:p>
    <w:p w14:paraId="2816A260">
      <w:pPr>
        <w:ind w:firstLine="420"/>
        <w:rPr>
          <w:rFonts w:ascii="宋体" w:hAnsi="宋体"/>
        </w:rPr>
      </w:pPr>
      <w:r>
        <w:rPr>
          <w:rFonts w:ascii="宋体" w:hAnsi="宋体"/>
        </w:rPr>
        <w:t>2010年，全市城镇居民人均可支配收入为11886元，同比上年增长10.0%；城镇居民家庭恩格尔系数为42.16%。家庭总收入为12839元（人均，以下均同），其中工薪收入7831元，经营收入1240元，财产性收入117元，转移性收入3650元，出售财物收入3.4元，借贷收入4264元。在家庭总支出10048元中，消费支出8141元，其中食品支出3231元，衣着支出843元，家庭设备用品及服务支出743元，医疗保健支出394元，交通和通信支出898元，教育文化娱乐服务支出725元，居住支出1100元。城镇住户每百户拥有摩托车76辆，家用汽车10辆，洗衣机94台，电冰箱94台，彩色电视机170台，家用电脑62台，照相机30台，微波炉44台，空调器126台，移动电话184部。</w:t>
      </w:r>
    </w:p>
    <w:p w14:paraId="4375897B">
      <w:pPr>
        <w:ind w:firstLine="420"/>
        <w:rPr>
          <w:rFonts w:ascii="宋体" w:hAnsi="宋体"/>
        </w:rPr>
      </w:pPr>
      <w:r>
        <w:rPr>
          <w:rFonts w:ascii="宋体" w:hAnsi="宋体"/>
        </w:rPr>
        <w:t>全市农民人均纯收入5956元，按可比口径增长11.1%；农村居民家庭恩格尔系数（即居民家庭食品消费支出占家庭消费总支出的比重）为43.9%。家庭总收入为10495元（人均，以下均同），其中工资性收入4003元，经营收入5434元，财产性收入25元，转移性收入1032元。在家庭总支出9733元中，消费支出7812元，其中食品支出3084元，衣着支出190元，家庭设备用品及服务支出471元，医疗保健支出721元，交通和通信支出556元，教育文化娱乐服务支出371元，居住支出2363元。农村住户每百户拥有摩托车100辆，洗衣机5.7台，电冰箱58.6台，彩色电视机124台，家用电脑2.9台，热水器12.9台，空调器8.6台，电话97部。人均钢筋砖木结构住房面积25.9平方米。</w:t>
      </w:r>
    </w:p>
    <w:p w14:paraId="7A4FC4F7">
      <w:pPr>
        <w:ind w:firstLine="420"/>
        <w:jc w:val="right"/>
        <w:rPr>
          <w:rFonts w:ascii="宋体" w:hAnsi="宋体"/>
        </w:rPr>
      </w:pPr>
      <w:r>
        <w:rPr>
          <w:rFonts w:ascii="宋体" w:hAnsi="宋体"/>
        </w:rPr>
        <w:t>（陈晖）</w:t>
      </w:r>
    </w:p>
    <w:p w14:paraId="07231818">
      <w:pPr>
        <w:ind w:firstLine="422"/>
        <w:rPr>
          <w:rFonts w:ascii="宋体" w:hAnsi="宋体"/>
          <w:b/>
          <w:bCs/>
        </w:rPr>
      </w:pPr>
      <w:r>
        <w:rPr>
          <w:rFonts w:ascii="宋体" w:hAnsi="宋体"/>
          <w:b/>
          <w:bCs/>
        </w:rPr>
        <w:t>附：2010年统计局领导班子成员名单</w:t>
      </w:r>
    </w:p>
    <w:p w14:paraId="1C2B5AB7">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肖梅山</w:t>
      </w:r>
    </w:p>
    <w:p w14:paraId="0EA6F178">
      <w:pPr>
        <w:ind w:firstLine="422"/>
        <w:rPr>
          <w:rFonts w:ascii="宋体" w:hAnsi="宋体"/>
        </w:rPr>
      </w:pPr>
      <w:r>
        <w:rPr>
          <w:rFonts w:ascii="宋体" w:hAnsi="宋体"/>
          <w:b/>
          <w:bCs/>
        </w:rPr>
        <w:t>副局长：</w:t>
      </w:r>
      <w:r>
        <w:rPr>
          <w:rFonts w:ascii="宋体" w:hAnsi="宋体"/>
        </w:rPr>
        <w:t>刘宏星</w:t>
      </w:r>
      <w:r>
        <w:rPr>
          <w:rFonts w:hint="eastAsia" w:ascii="宋体" w:hAnsi="宋体"/>
        </w:rPr>
        <w:t xml:space="preserve">  </w:t>
      </w:r>
      <w:r>
        <w:rPr>
          <w:rFonts w:ascii="宋体" w:hAnsi="宋体"/>
        </w:rPr>
        <w:t>曾文彬</w:t>
      </w:r>
    </w:p>
    <w:p w14:paraId="3B9C512D">
      <w:pPr>
        <w:ind w:firstLine="422"/>
        <w:rPr>
          <w:rFonts w:ascii="宋体" w:hAnsi="宋体"/>
        </w:rPr>
      </w:pPr>
      <w:r>
        <w:rPr>
          <w:rFonts w:ascii="宋体" w:hAnsi="宋体"/>
          <w:b/>
          <w:bCs/>
        </w:rPr>
        <w:t>纪检组长：</w:t>
      </w:r>
      <w:r>
        <w:rPr>
          <w:rFonts w:ascii="宋体" w:hAnsi="宋体"/>
        </w:rPr>
        <w:t>桂晓明</w:t>
      </w:r>
    </w:p>
    <w:p w14:paraId="06DA5A06">
      <w:pPr>
        <w:pStyle w:val="3"/>
      </w:pPr>
      <w:r>
        <w:t>审计局</w:t>
      </w:r>
    </w:p>
    <w:p w14:paraId="7853D254">
      <w:pPr>
        <w:pStyle w:val="4"/>
      </w:pPr>
      <w:r>
        <w:t>【概况】</w:t>
      </w:r>
    </w:p>
    <w:p w14:paraId="2935B64B">
      <w:pPr>
        <w:ind w:firstLine="420"/>
        <w:rPr>
          <w:rFonts w:ascii="宋体" w:hAnsi="宋体"/>
        </w:rPr>
      </w:pPr>
      <w:r>
        <w:rPr>
          <w:rFonts w:ascii="宋体" w:hAnsi="宋体"/>
        </w:rPr>
        <w:t>审计局是市人民政府的组成部门，根据市机构编制委员会《关于印发南雄市审计局主要职责内设机构和人员编制规定的通知》，赋予审计监督的职能，内设办公室、法规审理股、经济责任审计办公室、财税金融与外资审计股、行政事业与经贸审计股、农业与资源环保审计股6个股室，2010年在职人员18人，其中行政管理人员8人，审计业务人员8人，工勤人员2人。</w:t>
      </w:r>
    </w:p>
    <w:p w14:paraId="41948FCC">
      <w:pPr>
        <w:ind w:firstLine="420"/>
        <w:rPr>
          <w:rFonts w:ascii="宋体" w:hAnsi="宋体"/>
        </w:rPr>
      </w:pPr>
      <w:r>
        <w:rPr>
          <w:rFonts w:ascii="宋体" w:hAnsi="宋体"/>
        </w:rPr>
        <w:t>2010年，审计局坚持“依法审计、服务大局、围绕中心、突出重点、求真务实”的工作方针，围绕市委市政府“调结构、上水平”这一工作核心，着力在促进市全力打好“三场硬战”、保障中央扩内需政策落实、维护财政资金安全、提高资金使用效益、维护人民群众切身利益等方面发挥积极作用，注重从体制、机制、制度层面揭示、分析和反映问题，提出改进和完善的建议，提升审计机关服务南雄经济社会科学发展的能力和水平。全年共完成项目28项，查出违规金额533万元、损失浪费金额43万元、管理不规范金额4095万元，应上缴财政金额70万元，已上缴财政66万元；提出审计建议12条，被采纳11条；向市委市政府和韶关市审计局提交信息36篇，被采用7篇（次）。2010年1月，被省人社厅和省审计厅评为广东省审计系统“2005年—2008年度先进集体”。</w:t>
      </w:r>
    </w:p>
    <w:p w14:paraId="61517182">
      <w:pPr>
        <w:pStyle w:val="4"/>
      </w:pPr>
      <w:r>
        <w:t>【队伍建设】</w:t>
      </w:r>
    </w:p>
    <w:p w14:paraId="1B59ABF4">
      <w:pPr>
        <w:ind w:firstLine="420"/>
        <w:rPr>
          <w:rFonts w:ascii="宋体" w:hAnsi="宋体"/>
        </w:rPr>
      </w:pPr>
      <w:r>
        <w:rPr>
          <w:rFonts w:ascii="宋体" w:hAnsi="宋体"/>
        </w:rPr>
        <w:t>审计局不断规范运行机制，加强党支部的各项建设和抓好队伍的教育管理。一是顺利完成党支部换届选举工作，发展1名党员；二是开展“爱民实践”、《廉政准则》学习、集体廉政谈话、主题党课和征文等各项专题活动，增强党支部的凝聚力和战斗力。三是通过选派人员参加上级审计机关和市组织人事部门举办的各种培训班，切实加强审计人员对政治理论、国家政策、上级会议精神、专业知识和计算机知识的学习，特别是加强AO系统的学习和运用，提高业务素质和工作能力。还添置复印机、电脑、打印机、碎纸机等办公所必须的设备，提高工作效率。</w:t>
      </w:r>
    </w:p>
    <w:p w14:paraId="712A9CFC">
      <w:pPr>
        <w:pStyle w:val="4"/>
      </w:pPr>
      <w:r>
        <w:t>【规范化建设】</w:t>
      </w:r>
    </w:p>
    <w:p w14:paraId="583490EC">
      <w:pPr>
        <w:ind w:firstLine="420"/>
        <w:rPr>
          <w:rFonts w:ascii="宋体" w:hAnsi="宋体"/>
        </w:rPr>
      </w:pPr>
      <w:r>
        <w:rPr>
          <w:rFonts w:ascii="宋体" w:hAnsi="宋体"/>
        </w:rPr>
        <w:t>审计局按照市委市政府和上级审计部门的部署和要求，结合各项专题活动，以解放思想为先导、以提高审计执行力为主题、以改革创新为动力，做好规范化建设的相关工作。一是开展“受了表扬，我们该怎么办”学习讨论活动，加强制度教育，引导全体人员继续保持清醒的头脑，强化对规范化建设的认识，营造良好的干事创业氛围。二是开展“树立正确权力观，提高执行力”、“一诺千金为发展”学习教育活动，通过制定《深化作风建设提高执行力实施方案》、《开展“树立正确权力观，提高执行力”学习教育活动学习教育工作安排表》、《2010年纠风工作任务、责任分解表》、《开展“一诺千金为发展”活动落实情况时间安排表》等，并将《承诺书》在网上公开，建立健全“倒逼”机制和插红旗制度，确实做到以目标倒逼进度，以时间倒逼落实，以督察倒逼责任，提高审计执行力。三是开展“阳光工程”活动。通过编制职权目录和重大事项决策、重大资金使用、人事任免、审计业务等方面的流程图，明确审计风险点及其防控措施，编制《审计局岗位廉政风险识别和防控公示表》，组建“阳光使者”队伍，对本机关重大事项决策等方面进行监督评议，并制定《党支部会议列席旁听制度》、《党内情况通报制度》、《工作情况通报制度》等19项制度。</w:t>
      </w:r>
    </w:p>
    <w:p w14:paraId="11B9AFC5">
      <w:pPr>
        <w:pStyle w:val="4"/>
      </w:pPr>
      <w:r>
        <w:t>【预算执行审计】</w:t>
      </w:r>
    </w:p>
    <w:p w14:paraId="09909F19">
      <w:pPr>
        <w:ind w:firstLine="420"/>
        <w:rPr>
          <w:rFonts w:ascii="宋体" w:hAnsi="宋体"/>
        </w:rPr>
      </w:pPr>
      <w:r>
        <w:rPr>
          <w:rFonts w:ascii="宋体" w:hAnsi="宋体"/>
        </w:rPr>
        <w:t>2010年，审计局以财政资金审计为基础，财政支出审计为重点，促进增强预算的约束力，加强转移支付资金审计，促进建立科学规范的财政转移支付制度，完善公共财政制度的目的出发，对市2009年度本级预算执行和其他财政收支情况进行审计，主要审计市财政局具体组织的预算执行情况和财政各项制度改革情况、市地税局税收征管情况、2个乡镇的财政决算情况、专项资金情况以及公安局、检察院、法院3个部门的预算执行绩效情况进行专项审计调查，并向市政府提交审计结果报告，。6月，受市人民政府委托向市人大作《关于2009年度本级预算执行和其他财政收支的审计工作报告》，得到市人大常委会的肯定。</w:t>
      </w:r>
    </w:p>
    <w:p w14:paraId="782F52C4">
      <w:pPr>
        <w:pStyle w:val="4"/>
      </w:pPr>
      <w:r>
        <w:t>【经济责任审计】</w:t>
      </w:r>
    </w:p>
    <w:p w14:paraId="629AB234">
      <w:pPr>
        <w:ind w:firstLine="420"/>
        <w:rPr>
          <w:rFonts w:ascii="宋体" w:hAnsi="宋体"/>
        </w:rPr>
      </w:pPr>
      <w:r>
        <w:rPr>
          <w:rFonts w:ascii="宋体" w:hAnsi="宋体"/>
        </w:rPr>
        <w:t>一是全年开展经济责任审计项目21项（任中审计4项），查出违规金额519万元、管理不规范金额1241万元、损失浪费金额43万元，切实发挥经济责任审计在规范财经管理、维护经济秩序、加强对权力的制约和监督、促进党风廉政建设和反腐败等方面的预警防范作用。二是做好年度经济责任审计工作联席会议召开的组织协调和准备工作，确保会议及时召开。经济责任审计工作</w:t>
      </w:r>
      <w:r>
        <w:rPr>
          <w:rFonts w:hint="eastAsia" w:ascii="宋体" w:hAnsi="宋体"/>
          <w:lang w:eastAsia="zh-CN"/>
        </w:rPr>
        <w:t>联席会议</w:t>
      </w:r>
      <w:r>
        <w:rPr>
          <w:rFonts w:ascii="宋体" w:hAnsi="宋体"/>
        </w:rPr>
        <w:t>不仅邀请镇党委书记和政府部门一把手参加，还邀请教育局、雄州街道等单位在会上作开展经济责任内审工作的经验介绍，既进一步夯实市经济责任审计工作领导小组成员单位之间相互协作、有力配合、高效运作的基础，又推动内管干部和村干部经济责任审计工作的开展。</w:t>
      </w:r>
    </w:p>
    <w:p w14:paraId="079289EF">
      <w:pPr>
        <w:pStyle w:val="4"/>
      </w:pPr>
      <w:r>
        <w:t>【扩内需审计】</w:t>
      </w:r>
    </w:p>
    <w:p w14:paraId="71F067AA">
      <w:pPr>
        <w:ind w:firstLine="420"/>
        <w:rPr>
          <w:rFonts w:ascii="宋体" w:hAnsi="宋体"/>
        </w:rPr>
      </w:pPr>
      <w:r>
        <w:rPr>
          <w:rFonts w:ascii="宋体" w:hAnsi="宋体"/>
        </w:rPr>
        <w:t>审计局按照“提前介入、着力防控、保障落实、促进发展”的原则，为保障中央和省扩大内需促进经济平稳较快发展政策的贯彻落实，完善相关政策措施，确保相关政策措施取得实效，开展对“扩内需、保增长”专项资金的监督检查工作，跟踪审计“扩内需”资金，先后对上级财政安排南雄的10个“扩内需”建设项目资金3733.61万元进行动态跟踪审计，有效确保市扩内需促增长建设项目的顺利进行。</w:t>
      </w:r>
    </w:p>
    <w:p w14:paraId="16B3C417">
      <w:pPr>
        <w:pStyle w:val="4"/>
      </w:pPr>
      <w:r>
        <w:t>【专项资金审计】</w:t>
      </w:r>
    </w:p>
    <w:p w14:paraId="17D0D3BF">
      <w:pPr>
        <w:ind w:firstLine="420"/>
        <w:rPr>
          <w:rFonts w:ascii="宋体" w:hAnsi="宋体"/>
        </w:rPr>
      </w:pPr>
      <w:r>
        <w:rPr>
          <w:rFonts w:ascii="宋体" w:hAnsi="宋体"/>
        </w:rPr>
        <w:t>组织对省人大农村机电排灌议案工程项目资金、中小学校舍安全工程、国家农业综合开发项目土地治理资金、省中小学教师“代转公”和“两相当”问题专项经费、社会保险基金、扶贫资金、残疾人就业保障金、贫困地区法律援助及公职律师事务所补助经费、玉树地震救灾资金、因公出国经费、社会抚养费等专项资金进行绩效审计和审计调查，共审计专项资金23项，涉及金额45538万元。</w:t>
      </w:r>
    </w:p>
    <w:p w14:paraId="3F65B273">
      <w:pPr>
        <w:pStyle w:val="4"/>
      </w:pPr>
      <w:r>
        <w:t>【地方债务审计】</w:t>
      </w:r>
    </w:p>
    <w:p w14:paraId="5013F31D">
      <w:pPr>
        <w:ind w:firstLine="420"/>
        <w:rPr>
          <w:rFonts w:ascii="宋体" w:hAnsi="宋体"/>
        </w:rPr>
      </w:pPr>
      <w:r>
        <w:rPr>
          <w:rFonts w:ascii="宋体" w:hAnsi="宋体"/>
        </w:rPr>
        <w:t>市审计局围绕“摸清情况、分清责任、揭示风险、提出建议”的总体要求，开展地方政府性债务审计调查工作，此项工作摸清地方政府债务规模、结构、资金投向、管理现状等情况，分析地方政府债务的偿还责任以及偿债风险，指出政府性债务管理存在的问题，从防范和化解债务风险、加强和规范地方政府债务管理、促进建立健全债务风险责任制度、维护财政安全等方面提出审计建议，为市委市政府的宏观决策提供依据。</w:t>
      </w:r>
    </w:p>
    <w:p w14:paraId="72BC9B82">
      <w:pPr>
        <w:pStyle w:val="4"/>
      </w:pPr>
      <w:r>
        <w:t>【其他审计】</w:t>
      </w:r>
    </w:p>
    <w:p w14:paraId="1FFD92FA">
      <w:pPr>
        <w:ind w:firstLine="420"/>
        <w:rPr>
          <w:rFonts w:ascii="宋体" w:hAnsi="宋体"/>
        </w:rPr>
      </w:pPr>
      <w:r>
        <w:rPr>
          <w:rFonts w:ascii="宋体" w:hAnsi="宋体"/>
        </w:rPr>
        <w:t>市审计局还做好市委、市政府交办的翠屏公司经营状况、供销社会计核算和建安总公司资产处置等事项的审计工作任务。</w:t>
      </w:r>
    </w:p>
    <w:p w14:paraId="5A37B296">
      <w:pPr>
        <w:ind w:firstLine="420"/>
        <w:jc w:val="right"/>
        <w:rPr>
          <w:rFonts w:ascii="宋体" w:hAnsi="宋体"/>
        </w:rPr>
      </w:pPr>
      <w:r>
        <w:rPr>
          <w:rFonts w:ascii="宋体" w:hAnsi="宋体"/>
        </w:rPr>
        <w:t>（邬惠雄）</w:t>
      </w:r>
    </w:p>
    <w:p w14:paraId="62D3E2E9">
      <w:pPr>
        <w:ind w:firstLine="422"/>
        <w:rPr>
          <w:rFonts w:ascii="宋体" w:hAnsi="宋体"/>
          <w:b/>
          <w:bCs/>
        </w:rPr>
      </w:pPr>
      <w:r>
        <w:rPr>
          <w:rFonts w:ascii="宋体" w:hAnsi="宋体"/>
          <w:b/>
          <w:bCs/>
        </w:rPr>
        <w:t>附：2010年审计局领导班子成员名单</w:t>
      </w:r>
    </w:p>
    <w:p w14:paraId="5C6D8435">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陈宏华</w:t>
      </w:r>
    </w:p>
    <w:p w14:paraId="0DB6B3B3">
      <w:pPr>
        <w:ind w:firstLine="422"/>
        <w:rPr>
          <w:rFonts w:ascii="宋体" w:hAnsi="宋体"/>
        </w:rPr>
      </w:pPr>
      <w:r>
        <w:rPr>
          <w:rFonts w:ascii="宋体" w:hAnsi="宋体"/>
          <w:b/>
          <w:bCs/>
        </w:rPr>
        <w:t>副局长：</w:t>
      </w:r>
      <w:r>
        <w:rPr>
          <w:rFonts w:ascii="宋体" w:hAnsi="宋体"/>
        </w:rPr>
        <w:t>朱志康</w:t>
      </w:r>
      <w:r>
        <w:rPr>
          <w:rFonts w:hint="eastAsia" w:ascii="宋体" w:hAnsi="宋体"/>
        </w:rPr>
        <w:t xml:space="preserve">  </w:t>
      </w:r>
      <w:r>
        <w:rPr>
          <w:rFonts w:ascii="宋体" w:hAnsi="宋体"/>
        </w:rPr>
        <w:t>郭蕙梅</w:t>
      </w:r>
    </w:p>
    <w:p w14:paraId="33F4932C">
      <w:pPr>
        <w:ind w:firstLine="422"/>
        <w:rPr>
          <w:rFonts w:ascii="宋体" w:hAnsi="宋体"/>
        </w:rPr>
      </w:pPr>
      <w:r>
        <w:rPr>
          <w:rFonts w:ascii="宋体" w:hAnsi="宋体"/>
          <w:b/>
          <w:bCs/>
        </w:rPr>
        <w:t>纪检组长：</w:t>
      </w:r>
      <w:r>
        <w:rPr>
          <w:rFonts w:ascii="宋体" w:hAnsi="宋体"/>
        </w:rPr>
        <w:t>何小华</w:t>
      </w:r>
    </w:p>
    <w:p w14:paraId="7F35DF5C">
      <w:pPr>
        <w:pStyle w:val="2"/>
      </w:pPr>
      <w:r>
        <w:t>工商行政管理局</w:t>
      </w:r>
    </w:p>
    <w:p w14:paraId="5EF37C02">
      <w:pPr>
        <w:pStyle w:val="4"/>
      </w:pPr>
      <w:r>
        <w:t>【概况】</w:t>
      </w:r>
    </w:p>
    <w:p w14:paraId="66F8DA00">
      <w:pPr>
        <w:ind w:firstLine="420"/>
        <w:rPr>
          <w:rFonts w:ascii="宋体" w:hAnsi="宋体"/>
        </w:rPr>
      </w:pPr>
      <w:r>
        <w:rPr>
          <w:rFonts w:ascii="宋体" w:hAnsi="宋体"/>
        </w:rPr>
        <w:t>南雄市工商行政管理局（简称南雄工商局）是政府主管市场监管和行政执法的职能机构。其前身分别为南雄县政府工商科、县市场管理委员会、县工商局。1996年9月19日，南雄撤县设市，正式挂南雄市工商行政管理局牌子。1998年11月，实行省以下垂直管理，垂直后历任主要负责人：李选福、张向阳、李伟锋。2001年工商系统机构改革。2010年局机关内设8个股（室），1个直属单位，下辖7个工商所，并设2个社会团体；系统在职人员122人。</w:t>
      </w:r>
    </w:p>
    <w:p w14:paraId="7948160C">
      <w:pPr>
        <w:pStyle w:val="4"/>
      </w:pPr>
      <w:r>
        <w:t>【市场整治与规范】</w:t>
      </w:r>
    </w:p>
    <w:p w14:paraId="7B1409B6">
      <w:pPr>
        <w:ind w:firstLine="420"/>
        <w:rPr>
          <w:rFonts w:ascii="宋体" w:hAnsi="宋体"/>
        </w:rPr>
      </w:pPr>
      <w:r>
        <w:rPr>
          <w:rFonts w:ascii="宋体" w:hAnsi="宋体"/>
        </w:rPr>
        <w:t>查处各类经济违法行为659起，查办案件271宗，罚没入库64.74万元，同比增长122.7%，为历史新高。1.抓食品安全监管。全年开展食品安全宣传活动8次，对婴幼儿奶粉抽检27批次，检验合格率100%，对涉及使用添加剂的面粉、糕点等食品抽检14批次，合格率100%；开展酒类专项整治、“地沟油”专项整治、猪肉市场专项整治、流通环节食品非法添加和滥用食品添加专项整治等食品安全整治行动15次，下达责令改正通知书46份，查办食品案件18宗。2.开展“红盾护农”行动。以种子、农药、肥料等农资为重点，落实索证索票、进销货台账等制度，加大市场巡查力度，规范经营行为，严厉查处各类销售假冒伪劣农资行为。查处农资案14宗，特别办理首宗未建立农资台账案件。3.开展整治校园及周边环境秩序专项行动。加强校园周边食品、网吧游戏室等市场巡查监管和整治，检查校园周边各类市场主体1000户次，签订承诺书400份，发出责令改正建议书12份，查处取缔“黑网吧”10间，取缔无照经营游戏机室3户。4.着力抓安全生产监管。在严把准入、年检关基础上，结合“安全生产年”、“安全生产月”等活动，深入开展安全生产监管。特别在元旦、春节、五一、国庆等节日及重大活动期间，加强对高危行业、人员密集场所消防安全隐患排查整治力度。全年检查各类市场主体900户次，发现安全隐患场所23个，现场督促改正8户次，发出限期整改通知书15份。5.积极组织或配合相关职能部门推进综合治理工作。深入开展清理无照经营专项行动，立案查处无证无照违法经营案件59件，罚款12.28万元；开展打击商业欺诈专项行动3次，查办假冒伪劣案件5宗。</w:t>
      </w:r>
    </w:p>
    <w:p w14:paraId="67481723">
      <w:pPr>
        <w:pStyle w:val="4"/>
      </w:pPr>
      <w:r>
        <w:t>【工商登记与服务】</w:t>
      </w:r>
    </w:p>
    <w:p w14:paraId="7487B7D5">
      <w:pPr>
        <w:ind w:firstLine="420"/>
        <w:rPr>
          <w:rFonts w:ascii="宋体" w:hAnsi="宋体"/>
        </w:rPr>
      </w:pPr>
      <w:r>
        <w:rPr>
          <w:rFonts w:ascii="宋体" w:hAnsi="宋体"/>
        </w:rPr>
        <w:t>2010年全市发展各类市场经营主体1519户，34户精细化工生产企业顺利落户珠玑工业园。截止2010年底，全市有经济主体9513户，其中内资企业818户，私营企业641户，农民专业合作社121户，个体工商户7933户；90户精细化工生产企业进驻珠玑工业园。1.服务各类市场主体健康发展。全年驻行政服务中心窗口办理各类登记注册业务2850宗，登记“零收费”143户（次），免收工商登记费7.64万元。2.积极推进商标品牌战略。2010年全市正常使用的注册商标256件，2010年7月金友注册商标被评为广东省著名商标，办理5宗商标侵权案，案值71278元，罚款9500元。3.大力服务新农村建设。做好涉农企业、农民专业合作的注册登记及帮扶工作，支持发展农民专业合作组织和农村经纪人，引导涉农企业、农民专业合作社推进订单农业、申请农产品商标注册等。全年发展农民专业合作社82户。4.推进消保维权工作。以12315消费者权益保护日为契机，加大消费宣传力度；以12315投诉举报中心为依托，建立健全以工商监管、企业自律、社会监督为主要内容的“三位一体”监管机制。通过12315网络进社区、进村镇、进商家、进市场等办法，充分发挥基层“一会两站”的职能作用，形成日常监管、受理投诉、跟踪督办和案件查处相结合的行政执法网络。在社区、农村建立67个红盾服务维权工作站。</w:t>
      </w:r>
    </w:p>
    <w:p w14:paraId="7DF3E707">
      <w:pPr>
        <w:pStyle w:val="4"/>
      </w:pPr>
      <w:r>
        <w:t>【工商精神文明建设】</w:t>
      </w:r>
    </w:p>
    <w:p w14:paraId="26A1413C">
      <w:pPr>
        <w:ind w:firstLine="420"/>
        <w:rPr>
          <w:rFonts w:ascii="宋体" w:hAnsi="宋体"/>
        </w:rPr>
      </w:pPr>
      <w:r>
        <w:rPr>
          <w:rFonts w:ascii="宋体" w:hAnsi="宋体"/>
        </w:rPr>
        <w:t>按照科学发展观要求，紧紧围绕提高执行力，狠抓队伍建设，努力建设政治上过硬、业务上过硬、作风上过硬的队伍。1.抓政治思想建设。将中</w:t>
      </w:r>
      <w:r>
        <w:rPr>
          <w:rFonts w:hint="eastAsia" w:ascii="宋体" w:hAnsi="宋体"/>
          <w:lang w:val="en-US" w:eastAsia="zh-CN"/>
        </w:rPr>
        <w:t>华</w:t>
      </w:r>
      <w:r>
        <w:rPr>
          <w:rFonts w:ascii="宋体" w:hAnsi="宋体"/>
        </w:rPr>
        <w:t>优秀传统文化学习教育融入到深入贯彻落实上级和地方党委政府开展的各种学习教育活动中，以“孝”与“和”为重点，通过观看视频、听讲座、写心得、讨论等形式，加深对问题的理解和认识，形成和谐融洽、令行禁止、风清气正的氛围。2.抓业务能力建设。在加强法律、信息化等基础知识和办案、计算机操作等基本技能学习培训的基础上，突出以查代培（以会代训）为主，辅之跟班、交流、参观学习的培训方法，强化业务技能学习。还利用国家总局、省局、韶关市局及本局网络培训平台，立足岗位，强化岗位练兵，督促干部自学，强化业务能力。3.抓工作作风建设。结合“树立正确权力观提高执行力”教育、“转变作风、抓落实、促发展”和“纪律教育学习月”活动，以纪律作风建设为重点，扎实推进纪律作风年建设和民主评议行风政风活动，通过多种督查措施加强对机关、基层干部职工上下班纪律、注册窗口服务态度、服务质量的检查和督察，切实转变工作作风。4.抓廉政建设。以党性党风党纪为重点，以党组会、局务会、支部会、所务会等形式，开展提高执行力教育、廉洁从政教育等廉政教育活动。针对执法办案、行政许可、财务管理、人事安排等重点岗位排查风险点，深化廉政风险防范工作。同时把党风廉政建设责任制和反腐败工作与日常工作有机地结合起来，做到有布置、有指导、有督促、有检查，促进系统党风廉政建设。上级多次暗访均未发现工商干部有违反纪律作风行为。</w:t>
      </w:r>
    </w:p>
    <w:p w14:paraId="1921FF24">
      <w:pPr>
        <w:pStyle w:val="4"/>
      </w:pPr>
      <w:r>
        <w:t>【促进经济结构调整】</w:t>
      </w:r>
    </w:p>
    <w:p w14:paraId="78C07C8B">
      <w:pPr>
        <w:ind w:firstLine="420"/>
        <w:rPr>
          <w:rFonts w:ascii="宋体" w:hAnsi="宋体"/>
        </w:rPr>
      </w:pPr>
      <w:r>
        <w:rPr>
          <w:rFonts w:ascii="宋体" w:hAnsi="宋体"/>
        </w:rPr>
        <w:t>贯彻落实《贯彻国务院关于进一步促进中小企业若干意见的实施意见》、《广东省工商行政管理局关于服务我省加快经济发展方式转变的若干意见》文件精神，结合南雄市加温鼓劲加快发展动员大会精神，充分发挥工商部门企业注册登记职能优势，坚持“多准入、多生存、多发展壮大”，大力培育各类第三产业市场主体，重点发展商贸流通业、现代物流业、金融保险业、房地产业、交通运输业、旅游休闲业、信息服务业、中介服务业、社区服务业和社会事业，逐步形成种类齐全、结构合理的第三产业发展格局。大力支持公有制企业改制重组，扩大经营规模，全力支持民生工程、基础设施建设、生态环境建设等类型企业发展，大力支持南雄市精细化工、建材陶瓷、浆纸制造、农土特加工、旅游休闲等五大支柱产业发展。</w:t>
      </w:r>
    </w:p>
    <w:p w14:paraId="42778738">
      <w:pPr>
        <w:pStyle w:val="4"/>
      </w:pPr>
      <w:r>
        <w:t>【餐馆服务业】</w:t>
      </w:r>
    </w:p>
    <w:p w14:paraId="5A8CC805">
      <w:pPr>
        <w:ind w:firstLine="420"/>
        <w:rPr>
          <w:rFonts w:ascii="宋体" w:hAnsi="宋体"/>
        </w:rPr>
      </w:pPr>
      <w:r>
        <w:rPr>
          <w:rFonts w:ascii="宋体" w:hAnsi="宋体"/>
        </w:rPr>
        <w:t>随着经济社会的发展和人民群众生活水平的提高，南雄市餐饮行业得到快速发展。2010年底，全市餐饮业经营主体420家，其中城区287家，乡镇113家。南雄工商局根据《中华人民共和国食品安全法》规定，履行工商职责，加强对食品流通环节的监督管理，严把市场经营主体准入关，严格规范食品经营主体资格，坚决取缔无照经营行为。</w:t>
      </w:r>
    </w:p>
    <w:p w14:paraId="622FA434">
      <w:pPr>
        <w:pStyle w:val="4"/>
      </w:pPr>
      <w:r>
        <w:t>【休闲服务业】</w:t>
      </w:r>
    </w:p>
    <w:p w14:paraId="0998E460">
      <w:pPr>
        <w:ind w:firstLine="420"/>
        <w:rPr>
          <w:rFonts w:ascii="宋体" w:hAnsi="宋体"/>
        </w:rPr>
      </w:pPr>
      <w:r>
        <w:rPr>
          <w:rFonts w:ascii="宋体" w:hAnsi="宋体"/>
        </w:rPr>
        <w:t>南雄市美容美发、沐浴、足浴、KTV（含歌舞厅）、棋牌室等娱乐休闲服务业发展迅速，活跃群众生活，方便群众消费。南雄工商局认真落实本市服务业工商优惠政策，放宽市场准入条件，简化工商办证程序，积极推进服务业的健康快速发展。2010年底，全市摄影及冲印业有55家，其中，城区34户，乡镇21户；美容美发业主体有285户，其中，城区247户，乡镇38户。</w:t>
      </w:r>
    </w:p>
    <w:p w14:paraId="71B41B7C">
      <w:pPr>
        <w:pStyle w:val="4"/>
      </w:pPr>
      <w:r>
        <w:t>【其他服务业】</w:t>
      </w:r>
    </w:p>
    <w:p w14:paraId="63506618">
      <w:pPr>
        <w:ind w:firstLine="420"/>
        <w:rPr>
          <w:rFonts w:ascii="宋体" w:hAnsi="宋体"/>
        </w:rPr>
      </w:pPr>
      <w:r>
        <w:rPr>
          <w:rFonts w:ascii="宋体" w:hAnsi="宋体"/>
        </w:rPr>
        <w:t>中介、家政等服务业是新形势下发展的新型服务行业，是服务经济的重要组成部分，南雄工商局贯彻落实优惠政策，进一步放宽中介家政服务业市场准入，鼓励和支持各类经济主体进入法律、法规和规章未禁止进入的中介家政服务行业和领域。同时加强市场监管、诚信体系建设，引导、规范和促进中介家政服务业持续健康发展。2010年底，全市中介、家政服务业10家注册资金达3.8万元。</w:t>
      </w:r>
    </w:p>
    <w:p w14:paraId="5846D192">
      <w:pPr>
        <w:pStyle w:val="4"/>
      </w:pPr>
      <w:r>
        <w:t>【消费者投诉】</w:t>
      </w:r>
    </w:p>
    <w:p w14:paraId="2ACA65BE">
      <w:pPr>
        <w:ind w:firstLine="420"/>
        <w:rPr>
          <w:rFonts w:ascii="宋体" w:hAnsi="宋体"/>
        </w:rPr>
      </w:pPr>
      <w:r>
        <w:rPr>
          <w:rFonts w:ascii="宋体" w:hAnsi="宋体"/>
        </w:rPr>
        <w:t>2010年接受群众来人来电咨询投诉175件，受理投诉案件41宗，调解成功39宗，成功率95%，为消费者挽回经济损失19多万元。12315申诉举报中心接到17宗申诉举报案件，其中12宗举报案件，5宗申诉（消费纠纷）。举报案件查处取缔黑网吧6家，没收电脑26台，罚款8000元。</w:t>
      </w:r>
    </w:p>
    <w:p w14:paraId="14A5703A">
      <w:pPr>
        <w:pStyle w:val="4"/>
      </w:pPr>
      <w:r>
        <w:t>【消费宣传与指导】</w:t>
      </w:r>
    </w:p>
    <w:p w14:paraId="169A19E9">
      <w:pPr>
        <w:ind w:firstLine="420"/>
        <w:rPr>
          <w:rFonts w:ascii="宋体" w:hAnsi="宋体"/>
        </w:rPr>
      </w:pPr>
      <w:r>
        <w:rPr>
          <w:rFonts w:ascii="宋体" w:hAnsi="宋体"/>
        </w:rPr>
        <w:t>1.多种形式开展消费宣传。一是通过发表电视讲话、悬挂横幅、出版专题宣传板报、开展争创诚信单位活动、集中毁烧假冒伪劣商品、开展3.15现场宣传咨询活动等，扎实推进3.15消费宣传纪念系列活动。向消费者散发各种宣传材料1.5万份，接待消费者咨询3000人次，受理投诉咨询3起。二是4次会同相关职能部门分别开展“消费与服务”、“打击传销，规范直销”、“食品安全法实施一周年”、“普法”对外咨询宣传活动，接受咨询300多人次，发放各种宣传资料3500多份。三是于2010年9月在韶关民声热线电台参加一期“消费之声”消费维权专题栏目，加强消费维权普法力度，扩大消费权益保护工作的宣传途径。2.多种方式开展消费指导。一是针对消费热点、易发问题，及时发布消费警示或消费提示，为消费者提供真实可靠的消费信息，鼓励、指导消费者科学、合理消费，让更多的消费者避开消费陷阱。二是组织开展农资、建材钢筋行业业主2期法律法规学习培训。三是组织编印《诚信南雄？消费维权指南》一书，进一步倡导诚信经营，切实维护消费者权益。</w:t>
      </w:r>
    </w:p>
    <w:p w14:paraId="1D02A5AA">
      <w:pPr>
        <w:ind w:firstLine="420"/>
        <w:jc w:val="right"/>
        <w:rPr>
          <w:rFonts w:ascii="宋体" w:hAnsi="宋体"/>
        </w:rPr>
      </w:pPr>
      <w:r>
        <w:rPr>
          <w:rFonts w:ascii="宋体" w:hAnsi="宋体"/>
        </w:rPr>
        <w:t>（陈连连）</w:t>
      </w:r>
    </w:p>
    <w:p w14:paraId="12DEE5EC">
      <w:pPr>
        <w:ind w:firstLine="422"/>
        <w:rPr>
          <w:rFonts w:ascii="宋体" w:hAnsi="宋体"/>
          <w:b/>
          <w:bCs/>
        </w:rPr>
      </w:pPr>
      <w:r>
        <w:rPr>
          <w:rFonts w:ascii="宋体" w:hAnsi="宋体"/>
          <w:b/>
          <w:bCs/>
        </w:rPr>
        <w:t>附：2010年工商局领导班子成员名单</w:t>
      </w:r>
    </w:p>
    <w:p w14:paraId="07D8BA7E">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李伟锋</w:t>
      </w:r>
    </w:p>
    <w:p w14:paraId="180AF8A4">
      <w:pPr>
        <w:ind w:firstLine="422"/>
        <w:rPr>
          <w:rFonts w:ascii="宋体" w:hAnsi="宋体"/>
        </w:rPr>
      </w:pPr>
      <w:r>
        <w:rPr>
          <w:rFonts w:ascii="宋体" w:hAnsi="宋体"/>
          <w:b/>
          <w:bCs/>
        </w:rPr>
        <w:t>副局长：</w:t>
      </w:r>
      <w:r>
        <w:rPr>
          <w:rFonts w:ascii="宋体" w:hAnsi="宋体"/>
        </w:rPr>
        <w:t>谭耀贵</w:t>
      </w:r>
      <w:r>
        <w:rPr>
          <w:rFonts w:hint="eastAsia" w:ascii="宋体" w:hAnsi="宋体"/>
        </w:rPr>
        <w:t xml:space="preserve">  </w:t>
      </w:r>
      <w:r>
        <w:rPr>
          <w:rFonts w:ascii="宋体" w:hAnsi="宋体"/>
        </w:rPr>
        <w:t>谭志良</w:t>
      </w:r>
      <w:r>
        <w:rPr>
          <w:rFonts w:hint="eastAsia" w:ascii="宋体" w:hAnsi="宋体"/>
        </w:rPr>
        <w:t xml:space="preserve">  </w:t>
      </w:r>
      <w:r>
        <w:rPr>
          <w:rFonts w:ascii="宋体" w:hAnsi="宋体"/>
        </w:rPr>
        <w:t>熊文荣</w:t>
      </w:r>
    </w:p>
    <w:p w14:paraId="29D18D96">
      <w:pPr>
        <w:pStyle w:val="3"/>
      </w:pPr>
      <w:r>
        <w:t>质量技术监督</w:t>
      </w:r>
    </w:p>
    <w:p w14:paraId="52D1E253">
      <w:pPr>
        <w:pStyle w:val="4"/>
      </w:pPr>
      <w:r>
        <w:t>【概况】</w:t>
      </w:r>
    </w:p>
    <w:p w14:paraId="7D9962D1">
      <w:pPr>
        <w:ind w:firstLine="420"/>
        <w:rPr>
          <w:rFonts w:ascii="宋体" w:hAnsi="宋体"/>
        </w:rPr>
      </w:pPr>
      <w:r>
        <w:rPr>
          <w:rFonts w:ascii="宋体" w:hAnsi="宋体"/>
        </w:rPr>
        <w:t>南雄市质量技术监督局是履行全市质量、标准化、计量、认证、食品、特种设备质量安全等综合管理和行政执法两大职能的行政管理部门。前身是1986年6月成立的南雄县标准计量管理局，1990年更名为南雄县技术监督局，1996年南雄撤县设市后改为南雄市技术监督局，1999年下半年实施省以下垂直管理体制后，更名为南雄市质量技术监督局。现座落于雄州镇环城东路52号。经多次机构改革、职能调整，现有的职能为：贯彻执行国家、省和韶关市有关质量技术监督工作的方针政策和法律法规；指导监督本市产品质量的执法检查和打假工作；负责监督管理全市标准化、计量、认证认可和组织机构代码工作；综合管理全市食品和特种设备的安全监察和质量监督工作；组织管理全市质量技术监督服务、宣传、培训和信息等有关工作。</w:t>
      </w:r>
    </w:p>
    <w:p w14:paraId="20B58FEF">
      <w:pPr>
        <w:ind w:firstLine="420"/>
        <w:rPr>
          <w:rFonts w:ascii="宋体" w:hAnsi="宋体"/>
        </w:rPr>
      </w:pPr>
      <w:r>
        <w:rPr>
          <w:rFonts w:ascii="宋体" w:hAnsi="宋体"/>
        </w:rPr>
        <w:t>现有在职职工23人，其中工程师6名，助理工程师及技术人员14名，执法人员、专业技术人员均经过国家主管部门的培训考核，持证上岗。内设机构有：办公室、质量标准化股、锅特计量股、食品监管股、稽查队以及一个下属事业单位：南雄市质量技术监督检测所。</w:t>
      </w:r>
    </w:p>
    <w:p w14:paraId="1B8B7C97">
      <w:pPr>
        <w:pStyle w:val="4"/>
      </w:pPr>
      <w:r>
        <w:t>【法制工作】</w:t>
      </w:r>
    </w:p>
    <w:p w14:paraId="6B696D84">
      <w:pPr>
        <w:ind w:firstLine="420"/>
        <w:rPr>
          <w:rFonts w:ascii="宋体" w:hAnsi="宋体"/>
        </w:rPr>
      </w:pPr>
      <w:r>
        <w:rPr>
          <w:rFonts w:ascii="宋体" w:hAnsi="宋体"/>
        </w:rPr>
        <w:t>实施行政许可工作。行政许可工作人员符合规定，做到实施主体、许可程序和行政许可决定合法。依法实施对被许可人的监督检查。成立五五普法工作小组，建立领导干部学法、用法制度。积极开展法制宣传活动，落实民营企业培训工作。</w:t>
      </w:r>
    </w:p>
    <w:p w14:paraId="518B4E9B">
      <w:pPr>
        <w:ind w:firstLine="420"/>
        <w:rPr>
          <w:rFonts w:ascii="宋体" w:hAnsi="宋体"/>
        </w:rPr>
      </w:pPr>
      <w:r>
        <w:rPr>
          <w:rFonts w:ascii="宋体" w:hAnsi="宋体"/>
        </w:rPr>
        <w:t>开展行政许可自查自纠。使用统一许可文书，建立并执行行政许可档案管理制度。行政复议、行政诉讼撤销案件，没有出现乱收费现象，没有发生被检举、控告、投诉，并经纪检监察部门查证属实的违法违纪案件。</w:t>
      </w:r>
    </w:p>
    <w:p w14:paraId="41E7672C">
      <w:pPr>
        <w:ind w:firstLine="420"/>
        <w:rPr>
          <w:rFonts w:ascii="宋体" w:hAnsi="宋体"/>
        </w:rPr>
      </w:pPr>
      <w:r>
        <w:rPr>
          <w:rFonts w:ascii="宋体" w:hAnsi="宋体"/>
        </w:rPr>
        <w:t>开展地理标志产品资源的调研、普查。市政府出台《南雄市地理标志产品保护管理办法》，成立地理标志产品保护办。帮助、督促全市5家板鸭生产加工企业申报、使用统一的专用标志。加强对南雄板鸭的产品质量监管、维权和标识使用监管。</w:t>
      </w:r>
    </w:p>
    <w:p w14:paraId="32B48DF1">
      <w:pPr>
        <w:pStyle w:val="4"/>
      </w:pPr>
      <w:r>
        <w:t>【工作机制建设】</w:t>
      </w:r>
    </w:p>
    <w:p w14:paraId="2BE6A764">
      <w:pPr>
        <w:ind w:firstLine="420"/>
        <w:rPr>
          <w:rFonts w:ascii="宋体" w:hAnsi="宋体"/>
        </w:rPr>
      </w:pPr>
      <w:r>
        <w:rPr>
          <w:rFonts w:ascii="宋体" w:hAnsi="宋体"/>
        </w:rPr>
        <w:t>履行质监工作职责，推进大质量工作机制建设，提高全市质量工作总体水平。依靠地方政府，加强对质量工作的领导。按照地方政府对质量安全负总责的要求，依靠地方政府深入开展质量强市活动。建立部门协作机制和联席会议制度，加强质量信息交流，研究应对重大质量安全问题和突发事件的措施，开展联合整治和执法检查，形成部门各负其职、配合协作的工作机制。</w:t>
      </w:r>
    </w:p>
    <w:p w14:paraId="39CB223E">
      <w:pPr>
        <w:pStyle w:val="4"/>
      </w:pPr>
      <w:r>
        <w:t>【技术机构建设】</w:t>
      </w:r>
    </w:p>
    <w:p w14:paraId="237FDDC4">
      <w:pPr>
        <w:ind w:firstLine="420"/>
        <w:rPr>
          <w:rFonts w:ascii="宋体" w:hAnsi="宋体"/>
        </w:rPr>
      </w:pPr>
      <w:r>
        <w:rPr>
          <w:rFonts w:ascii="宋体" w:hAnsi="宋体"/>
        </w:rPr>
        <w:t>广东省质量监督精细化工产品检验站项目已完成立项、选址、用地确认、办理工程规划、土地使用证、勘探设计、招投标等工作，于2010年10月起动工兴建。年底完成土建主体工程。</w:t>
      </w:r>
    </w:p>
    <w:p w14:paraId="200EF4D4">
      <w:pPr>
        <w:ind w:firstLine="420"/>
        <w:rPr>
          <w:rFonts w:ascii="宋体" w:hAnsi="宋体"/>
        </w:rPr>
      </w:pPr>
      <w:r>
        <w:rPr>
          <w:rFonts w:ascii="宋体" w:hAnsi="宋体"/>
        </w:rPr>
        <w:t>南雄市质量技术监督检测所全年收入达到36.5万元；事业发展资金投入8.59万元，占全年业务收入的25%。</w:t>
      </w:r>
    </w:p>
    <w:p w14:paraId="6A31C0FC">
      <w:pPr>
        <w:pStyle w:val="4"/>
      </w:pPr>
      <w:r>
        <w:t>【执法监督】</w:t>
      </w:r>
    </w:p>
    <w:p w14:paraId="371EE791">
      <w:pPr>
        <w:ind w:firstLine="420"/>
        <w:rPr>
          <w:rFonts w:ascii="宋体" w:hAnsi="宋体"/>
        </w:rPr>
      </w:pPr>
      <w:r>
        <w:rPr>
          <w:rFonts w:ascii="宋体" w:hAnsi="宋体"/>
        </w:rPr>
        <w:t>食品生产监管。落实食品企业主体责任监督检查。组织全市食品加工企业学习贯彻《食品安全法》。在三影塔广场、乡镇墟镇设立咨询点开展宣传咨询，接待群众咨询300多人次，发放法律法规和宣传资料500多份，悬挂宣传标语30条。利用每月15日食品接待日活动，全年共接待来访群众和企业人员300多人次，为来访人员解决咨询问题24宗。</w:t>
      </w:r>
    </w:p>
    <w:p w14:paraId="418D8D0B">
      <w:pPr>
        <w:ind w:firstLine="420"/>
        <w:rPr>
          <w:rFonts w:ascii="宋体" w:hAnsi="宋体"/>
        </w:rPr>
      </w:pPr>
      <w:r>
        <w:rPr>
          <w:rFonts w:ascii="宋体" w:hAnsi="宋体"/>
        </w:rPr>
        <w:t>加强以应节食品等为重点的部门联动专项行政执法，开展滥用食品添加剂和使用非食品原料加工食品、问题奶粉清查食品用包装容器生产企业清理等三项整治、检查工作，严厉查处无证生产违法生产行为。全部食品企业均已建立添加剂备案表，无证无照生产食品和生产伪劣食品的行为得到有效遏制。全年抽检89家企业，抽检覆盖率达到100%。对供亚运、世博食品企业进行监测和产品检验。</w:t>
      </w:r>
    </w:p>
    <w:p w14:paraId="1407FCD0">
      <w:pPr>
        <w:pStyle w:val="4"/>
      </w:pPr>
      <w:r>
        <w:t>【特种设备安全监管】</w:t>
      </w:r>
    </w:p>
    <w:p w14:paraId="21AF57A4">
      <w:pPr>
        <w:ind w:firstLine="420"/>
        <w:rPr>
          <w:rFonts w:ascii="宋体" w:hAnsi="宋体"/>
        </w:rPr>
      </w:pPr>
      <w:r>
        <w:rPr>
          <w:rFonts w:ascii="宋体" w:hAnsi="宋体"/>
        </w:rPr>
        <w:t>全市各特种设备使用单位安全管理情况良好，未发现严重事故隐患和重大违规现象。共检查特种设备使用单位63家（次），检查施工现场8起（次），检查特种设备103台（次），填发《特种设备现场安全监督检查记录》51份，发出《特种设备安全监察指令书》5份。</w:t>
      </w:r>
    </w:p>
    <w:p w14:paraId="55C108EC">
      <w:pPr>
        <w:ind w:firstLine="420"/>
        <w:rPr>
          <w:rFonts w:ascii="宋体" w:hAnsi="宋体"/>
        </w:rPr>
      </w:pPr>
      <w:r>
        <w:rPr>
          <w:rFonts w:ascii="宋体" w:hAnsi="宋体"/>
        </w:rPr>
        <w:t>打击违法生产经营建设行为专项行动情况。开展气瓶专项整治，检查辖区内4家液化气站48次，未发现非法和违规充装现象。开展锅炉专项整治。检查单位16家，检查锅炉21台，重点检查中小学校、小型工厂的小型锅炉的安全使用等薄弱环节。市各锅炉使用单位锅炉状态良好，操作人员均持证上岗，锅炉处于检验有效期内，规章制度健全且落实也比较到位。</w:t>
      </w:r>
    </w:p>
    <w:p w14:paraId="7CDFCDF8">
      <w:pPr>
        <w:ind w:firstLine="420"/>
        <w:rPr>
          <w:rFonts w:ascii="宋体" w:hAnsi="宋体"/>
        </w:rPr>
      </w:pPr>
      <w:r>
        <w:rPr>
          <w:rFonts w:ascii="宋体" w:hAnsi="宋体"/>
        </w:rPr>
        <w:t>打击和整治非法违法生产行为。全市违法违规使用特种设备进行生产经营的现象得到遏制。</w:t>
      </w:r>
    </w:p>
    <w:p w14:paraId="75D9F27A">
      <w:pPr>
        <w:pStyle w:val="4"/>
      </w:pPr>
      <w:r>
        <w:t>【打假工作】</w:t>
      </w:r>
    </w:p>
    <w:p w14:paraId="526FAB91">
      <w:pPr>
        <w:ind w:firstLine="420"/>
        <w:rPr>
          <w:rFonts w:ascii="宋体" w:hAnsi="宋体"/>
        </w:rPr>
      </w:pPr>
      <w:r>
        <w:rPr>
          <w:rFonts w:ascii="宋体" w:hAnsi="宋体"/>
        </w:rPr>
        <w:t>开展政府打假协调、组织、指导、监督和检查工作。逐级签订《打假责任书》，组织打假成员单位开展元旦、春节、五一、十一应节食品和农资打假联合行动，营造打击制售假冒伪劣违法行为的声势。</w:t>
      </w:r>
    </w:p>
    <w:p w14:paraId="7469EC08">
      <w:pPr>
        <w:ind w:firstLine="420"/>
        <w:rPr>
          <w:rFonts w:ascii="宋体" w:hAnsi="宋体"/>
        </w:rPr>
      </w:pPr>
      <w:r>
        <w:rPr>
          <w:rFonts w:ascii="宋体" w:hAnsi="宋体"/>
        </w:rPr>
        <w:t>继续推动将打假工作列入南雄市政府工作计划和政府工作考评标准，向上级打假办和当地政府通报打假动态。经过努力，南雄市没有被省打假办列为打假重点区域、市场、产品，也没有被市打假办下达督办案件。卷烟打假工作取得新的成绩。市打假办与南雄烟草专卖局召开年度专项整治总结与表彰大会，表彰一批先进单位与先进个人。</w:t>
      </w:r>
    </w:p>
    <w:p w14:paraId="2B64AC01">
      <w:pPr>
        <w:pStyle w:val="4"/>
      </w:pPr>
      <w:r>
        <w:t>【质量监督】</w:t>
      </w:r>
    </w:p>
    <w:p w14:paraId="67771491">
      <w:pPr>
        <w:ind w:firstLine="420"/>
        <w:rPr>
          <w:rFonts w:ascii="宋体" w:hAnsi="宋体"/>
        </w:rPr>
      </w:pPr>
      <w:r>
        <w:rPr>
          <w:rFonts w:ascii="宋体" w:hAnsi="宋体"/>
        </w:rPr>
        <w:t>建立健全全市生产加工企业质量档案，实施动态管理，加强企业产品出厂检验，落实定期质量监督抽查工作。突出监督抽查重点。结合全市产品特点，确定2家工业生产许可证产品水泥、人造板以及供世博、亚运的3家食品企业生产的产品作为重点监督抽查。</w:t>
      </w:r>
    </w:p>
    <w:p w14:paraId="650FA70A">
      <w:pPr>
        <w:ind w:firstLine="420"/>
        <w:rPr>
          <w:rFonts w:ascii="宋体" w:hAnsi="宋体"/>
        </w:rPr>
      </w:pPr>
      <w:r>
        <w:rPr>
          <w:rFonts w:ascii="宋体" w:hAnsi="宋体"/>
        </w:rPr>
        <w:t>按照省、韶关市质监局定期监督抽检要求完成工业产品抽检28批次，27批次合格，合格率为96%；专项监督抽查11批次，合格率为100%。完成计划抽检的98%，监检后处理到位率100%。</w:t>
      </w:r>
    </w:p>
    <w:p w14:paraId="28E0164A">
      <w:pPr>
        <w:pStyle w:val="4"/>
      </w:pPr>
      <w:r>
        <w:t>【质量管理】</w:t>
      </w:r>
    </w:p>
    <w:p w14:paraId="6DB7C446">
      <w:pPr>
        <w:ind w:firstLine="420"/>
        <w:rPr>
          <w:rFonts w:ascii="宋体" w:hAnsi="宋体"/>
        </w:rPr>
      </w:pPr>
      <w:r>
        <w:rPr>
          <w:rFonts w:ascii="宋体" w:hAnsi="宋体"/>
        </w:rPr>
        <w:t>截至2010年12月底止，全市有4家工业企业获得管理体系认证，35家食品企业获QS认证。上述企业均建立健全企业质量档案，落实企业质量安全主体责任和监督检查措施。</w:t>
      </w:r>
    </w:p>
    <w:p w14:paraId="749EE1E5">
      <w:pPr>
        <w:ind w:firstLine="420"/>
        <w:rPr>
          <w:rFonts w:ascii="宋体" w:hAnsi="宋体"/>
        </w:rPr>
      </w:pPr>
      <w:r>
        <w:rPr>
          <w:rFonts w:ascii="宋体" w:hAnsi="宋体"/>
        </w:rPr>
        <w:t>开展名牌产品推荐、监管工作。推荐南雄市金叶包装有限公司生产的农用薄膜上报2010年省名牌并已通过审查，获得省名牌产品称号。开展质量强市活动，全市产品质量整体水平和市场竞争能力不断上升。向市政府提出建议建立地方政府质量奖励，提高企业参与“质量强市活动”的积极性。</w:t>
      </w:r>
    </w:p>
    <w:p w14:paraId="5F112D69">
      <w:pPr>
        <w:pStyle w:val="4"/>
      </w:pPr>
      <w:r>
        <w:t>【提高产品质量】</w:t>
      </w:r>
    </w:p>
    <w:p w14:paraId="4A6759E8">
      <w:pPr>
        <w:ind w:firstLine="420"/>
        <w:rPr>
          <w:rFonts w:ascii="宋体" w:hAnsi="宋体"/>
        </w:rPr>
      </w:pPr>
      <w:r>
        <w:rPr>
          <w:rFonts w:ascii="宋体" w:hAnsi="宋体"/>
        </w:rPr>
        <w:t>制定“质量提升”活动方案，举办“质量提升”活动。建立质量状况分析制度。每季度对监督抽查进行总结，并将有关情况及时上报韶关市质监局，将完成质量工作情况和质量状况分析材料及时报市政府。全市产品质量稳定，重点产品抽检合格率达到100%，没有发生质量安全事故。</w:t>
      </w:r>
    </w:p>
    <w:p w14:paraId="083A689A">
      <w:pPr>
        <w:pStyle w:val="4"/>
      </w:pPr>
      <w:r>
        <w:t>【标准化与计量管理】</w:t>
      </w:r>
    </w:p>
    <w:p w14:paraId="4245CC80">
      <w:pPr>
        <w:ind w:firstLine="420"/>
        <w:rPr>
          <w:rFonts w:ascii="宋体" w:hAnsi="宋体"/>
        </w:rPr>
      </w:pPr>
      <w:r>
        <w:rPr>
          <w:rFonts w:ascii="宋体" w:hAnsi="宋体"/>
        </w:rPr>
        <w:t>标准化战略。深入推进采标工作，全年申报4家企业4个产品采标材料，完成市局下达的采标任务。将创建“标准化良好”单位活动列为质量强市的内容之一，组织动员2家企业参与创建活动。</w:t>
      </w:r>
    </w:p>
    <w:p w14:paraId="3F63A811">
      <w:pPr>
        <w:ind w:firstLine="420"/>
        <w:rPr>
          <w:rFonts w:ascii="宋体" w:hAnsi="宋体"/>
        </w:rPr>
      </w:pPr>
      <w:r>
        <w:rPr>
          <w:rFonts w:ascii="宋体" w:hAnsi="宋体"/>
        </w:rPr>
        <w:t>协助南雄市金友集团公司完成有机稻种植标准化示范区的申报工作。组织制订《南雄板鸭地方标准》，并获省质监局批准发布。</w:t>
      </w:r>
    </w:p>
    <w:p w14:paraId="07D3612F">
      <w:pPr>
        <w:ind w:firstLine="420"/>
        <w:rPr>
          <w:rFonts w:ascii="宋体" w:hAnsi="宋体"/>
        </w:rPr>
      </w:pPr>
      <w:r>
        <w:rPr>
          <w:rFonts w:ascii="宋体" w:hAnsi="宋体"/>
        </w:rPr>
        <w:t>推广完成“两码”应用工作，2010年办理商品条码注册6家、续展9家，胶片订制12张；办理代码年检775家，新办证256家，换证308家，变更143家，IC卡办理96张。数字证书正处于推广使用过程中，并取得突出的成绩，已办理402份数字证书。</w:t>
      </w:r>
    </w:p>
    <w:p w14:paraId="1490DCB9">
      <w:pPr>
        <w:pStyle w:val="4"/>
      </w:pPr>
      <w:r>
        <w:t>【计量管理】</w:t>
      </w:r>
    </w:p>
    <w:p w14:paraId="544F4733">
      <w:pPr>
        <w:ind w:firstLine="420"/>
        <w:rPr>
          <w:rFonts w:ascii="宋体" w:hAnsi="宋体"/>
        </w:rPr>
      </w:pPr>
      <w:r>
        <w:rPr>
          <w:rFonts w:ascii="宋体" w:hAnsi="宋体"/>
        </w:rPr>
        <w:t>开展对企业申办三级计量保证体系确认，全市5家企业、1家加油站、4家用能企业通过确认评审。帮助和指导广东烟草南雄市有限公司及下属13家烟站办理三级计量保证体系年度考核。</w:t>
      </w:r>
    </w:p>
    <w:p w14:paraId="2EB8A311">
      <w:pPr>
        <w:ind w:firstLine="420"/>
        <w:rPr>
          <w:rFonts w:ascii="宋体" w:hAnsi="宋体"/>
        </w:rPr>
      </w:pPr>
      <w:r>
        <w:rPr>
          <w:rFonts w:ascii="宋体" w:hAnsi="宋体"/>
        </w:rPr>
        <w:t>组织实施节能降耗。成立能源计量工作领导小组，建立能源计量工作责任制，制定印发节能减排工作方案，明确并落实责任。深入开展形式多样的能源和计量的宣传活动。举办1期计量管理人员培训班，共有20家加油站和4家液化气充装站计量管理人员参加培训。</w:t>
      </w:r>
    </w:p>
    <w:p w14:paraId="14525FF3">
      <w:pPr>
        <w:ind w:firstLine="420"/>
        <w:rPr>
          <w:rFonts w:ascii="宋体" w:hAnsi="宋体"/>
        </w:rPr>
      </w:pPr>
      <w:r>
        <w:rPr>
          <w:rFonts w:ascii="宋体" w:hAnsi="宋体"/>
        </w:rPr>
        <w:t>加大对重点耗能企业的日常监管巡查。对全市3家年耗能5000吨标准煤的重点用能单位进行监督检查，检查能源计量器具70台件，受检率和合格率均达到100%。</w:t>
      </w:r>
    </w:p>
    <w:p w14:paraId="795C02C9">
      <w:pPr>
        <w:ind w:firstLine="420"/>
        <w:rPr>
          <w:rFonts w:ascii="宋体" w:hAnsi="宋体"/>
        </w:rPr>
      </w:pPr>
      <w:r>
        <w:rPr>
          <w:rFonts w:ascii="宋体" w:hAnsi="宋体"/>
        </w:rPr>
        <w:t>强化日常计量监督管理，严厉打击“缺秤少量”行为。重点开展计量专项整治和商品过度包装、液化气充装站、在用加油机的监督检查，对强制检定工作计量器具实行分类动态管理。对市区3家集贸市场和2家超市进行突击检查，检查在用电子计价秤30台，未发现加装作弊装置和破坏电子计价秤准确度的违法行为，在用的电子计价秤均检定合格并在检定周期有效范围内；定量包装抽查11批次，重点抽查食品、水泥，出动检查人员44（次），出动车辆7次，合格率为100%。加强对安检机构监督检查，对全市机动车安检机构进行2次专项检查，检查安检机构1家。</w:t>
      </w:r>
    </w:p>
    <w:p w14:paraId="7AF311A8">
      <w:pPr>
        <w:ind w:firstLine="420"/>
        <w:jc w:val="right"/>
        <w:rPr>
          <w:rFonts w:ascii="宋体" w:hAnsi="宋体"/>
        </w:rPr>
      </w:pPr>
      <w:r>
        <w:rPr>
          <w:rFonts w:ascii="宋体" w:hAnsi="宋体"/>
        </w:rPr>
        <w:t>（王剑宇</w:t>
      </w:r>
      <w:r>
        <w:rPr>
          <w:rFonts w:hint="eastAsia" w:ascii="宋体" w:hAnsi="宋体"/>
        </w:rPr>
        <w:t xml:space="preserve">  </w:t>
      </w:r>
      <w:r>
        <w:rPr>
          <w:rFonts w:ascii="宋体" w:hAnsi="宋体"/>
        </w:rPr>
        <w:t>彭慧）</w:t>
      </w:r>
    </w:p>
    <w:p w14:paraId="00CC03F5">
      <w:pPr>
        <w:ind w:firstLine="422"/>
        <w:rPr>
          <w:rFonts w:ascii="宋体" w:hAnsi="宋体"/>
          <w:b/>
          <w:bCs/>
        </w:rPr>
      </w:pPr>
      <w:r>
        <w:rPr>
          <w:rFonts w:ascii="宋体" w:hAnsi="宋体"/>
          <w:b/>
          <w:bCs/>
        </w:rPr>
        <w:t>附：2010年质监局领导班子成员名单</w:t>
      </w:r>
    </w:p>
    <w:p w14:paraId="69ED930D">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张海南</w:t>
      </w:r>
    </w:p>
    <w:p w14:paraId="646F6CA6">
      <w:pPr>
        <w:ind w:firstLine="422"/>
        <w:rPr>
          <w:rFonts w:ascii="宋体" w:hAnsi="宋体"/>
        </w:rPr>
      </w:pPr>
      <w:r>
        <w:rPr>
          <w:rFonts w:ascii="宋体" w:hAnsi="宋体"/>
          <w:b/>
          <w:bCs/>
        </w:rPr>
        <w:t>副局长：</w:t>
      </w:r>
      <w:r>
        <w:rPr>
          <w:rFonts w:ascii="宋体" w:hAnsi="宋体"/>
        </w:rPr>
        <w:t>黄哲勇</w:t>
      </w:r>
      <w:r>
        <w:rPr>
          <w:rFonts w:hint="eastAsia" w:ascii="宋体" w:hAnsi="宋体"/>
        </w:rPr>
        <w:t xml:space="preserve">  </w:t>
      </w:r>
      <w:r>
        <w:rPr>
          <w:rFonts w:ascii="宋体" w:hAnsi="宋体"/>
        </w:rPr>
        <w:t>廖发文</w:t>
      </w:r>
    </w:p>
    <w:p w14:paraId="04B1626E">
      <w:pPr>
        <w:pStyle w:val="3"/>
      </w:pPr>
      <w:r>
        <w:t>物价管理</w:t>
      </w:r>
    </w:p>
    <w:p w14:paraId="2D491C9E">
      <w:pPr>
        <w:pStyle w:val="4"/>
      </w:pPr>
      <w:r>
        <w:t>【概况】</w:t>
      </w:r>
    </w:p>
    <w:p w14:paraId="68033ACC">
      <w:pPr>
        <w:ind w:firstLine="420"/>
        <w:rPr>
          <w:rFonts w:ascii="宋体" w:hAnsi="宋体"/>
        </w:rPr>
      </w:pPr>
      <w:r>
        <w:rPr>
          <w:rFonts w:ascii="宋体" w:hAnsi="宋体"/>
        </w:rPr>
        <w:t>2002年物价局与发展和改革局合署办公。2010年南雄市物价局发挥价格杠杆作用，依法治价管费，加强价格监管调控，保持价格总水平的基本稳定，着力营造良好价格氛围，服务南雄经济发展大局。</w:t>
      </w:r>
    </w:p>
    <w:p w14:paraId="20D0D68D">
      <w:pPr>
        <w:pStyle w:val="4"/>
      </w:pPr>
      <w:r>
        <w:t>【商品价格和服务收费的管理】</w:t>
      </w:r>
    </w:p>
    <w:p w14:paraId="1691D73A">
      <w:pPr>
        <w:ind w:firstLine="420"/>
        <w:rPr>
          <w:rFonts w:ascii="宋体" w:hAnsi="宋体"/>
        </w:rPr>
      </w:pPr>
      <w:r>
        <w:rPr>
          <w:rFonts w:ascii="宋体" w:hAnsi="宋体"/>
        </w:rPr>
        <w:t>1、严把价格（收费）审批关。对要求定调价的商品和服务，首先是做好成本监审工作，以经营成本为依据；其次是加强调查研究工作，既考虑经营者的经营成本，更充分考虑到社会的承受能力；再次是把每一次的定调价与当时的价格总水平结合在一起来考虑，在价格总水平连续三个月上涨幅度超过一定的幅度时段内一律停止对定调价事项的批复。2、建章立制，应对价格波动：制定对企业提价和调价备案业务的工作程序规定，确保对有关商品的监控和管理。①2003年，受“非典”疫情的影响，波及全国大部分地区的价格异动事件也在南雄出现。物价部门快速行动、采取有效措施，及时平息食盐、中西药材等生活必需品的价格上涨风，维护市场价格秩序和社会秩序的稳定。被省人事厅、省物价局授予全省“抗非典先进单位”的荣誉称号；②加强对液化气等关系群众切身利益的商品的价格监管和跟踪，完善政府定价机制，全面推行价格政策跟踪调查和评估制度，建立反映供求状况、市场价值的燃气价格形成机制，健全液化气销售价格与上游价格联动机制，实现备案管理，确保燃气供应稳定，气价合理，促进公平交易和公平竞争；③确定粤客隆南雄店、明乐超市、肉联厂的生猪购销部、南雄金友粮食企业集团公司等四个单位为市的调价备案企业。3、推进以公共资源为重点的价格改革。合理制定和调整：①烟叶生产用肥价格、初烤烟叶收购结算价格、民爆器材价格、出租小汽车营运价格、中小学生作业本价格、集贸市场物业管理服务费和城市污水处理费标准、旅游景区门票等政府列管的商品价格和服务价格；②全面理顺小水电上网和电力销售价格。从2007年8月1日起全面上调小水电上网电价，上调后的小水电上网平均电价达到39.54分/千瓦时（不含税），对比调整前增加约10分/千瓦时，此举为小水电业主平均每月增加经营收入近180万元。2007年9月起，南雄的销售电价与韶关市实现同网同价。在实行同网同价后，农村居民住宅用电由原来的79分/千瓦时降低到61分/千瓦时，降幅为22.8%；城市居民住宅用电由原来的64分/千瓦时降低到61分/千瓦时，降幅为4.69%；其它分类用电价格有升有降。每年减轻城乡居民的电费负担约750万元；③落实烤烟电价政策，与省物价局沟通和协调，把烟叶生产烤烟用电纳入农业生产用电目录，从原来的0.79元/千瓦时降到0.6422元/千瓦时，每年为烟农减支160多万元；④整顿药品和医疗服务收费价格秩序，缓解群众反映“看病难、看病贵”问题。通过实施一系列的整顿措施，扼制药品和医疗服务价格年年上涨的势头，仅市人民医院执行新的药品和医疗服务价格政策后，每年为患者减少支出400多万元；⑤对市疾病控制中心的各项收费项目进行细致地审核，规范防疫检测收费，并对二类疫苗接种收费标准实行统一的规范管理；⑥加强对农资商品的价格管理，针对化肥经营者大多数不明码标价的问题，印发《南雄市物价局关于农资商品明码标价规定的通知》，发到各经营门店。要求经营者统一使用由南雄市物价检查所监制的商品标价签实行明码标价，从而规范化肥市场的价格行为。4、实行价格听证制度。先后举行三次价格听证会，①2005年11月18日召开南雄市调整城市供水价格听证会，由综合水价1.04元/立方米调整为1.35元/立方米；②2009年12月10日召开南雄市调整城市供水价格听证会，由综合水价137.03分/立方米调整为162.54分/立方米，同时，把原来划分的七类用水合并为居民生活用水、非居民用水、特种用水；③召开调整城市生活垃圾处理费征收标准的听证会，获得听证代表通过，从2010年7月起，调整城市生活垃圾处理费的征收标准。</w:t>
      </w:r>
    </w:p>
    <w:p w14:paraId="5B28B01E">
      <w:pPr>
        <w:pStyle w:val="4"/>
      </w:pPr>
      <w:r>
        <w:t>【行政事业性收费管理】</w:t>
      </w:r>
    </w:p>
    <w:p w14:paraId="4D534286">
      <w:pPr>
        <w:ind w:firstLine="420"/>
        <w:rPr>
          <w:rFonts w:ascii="宋体" w:hAnsi="宋体"/>
        </w:rPr>
      </w:pPr>
      <w:r>
        <w:rPr>
          <w:rFonts w:ascii="宋体" w:hAnsi="宋体"/>
        </w:rPr>
        <w:t>1、实行收费年审工作制度。每年的5-6月份，成立由物价、财政、审计、监察等四家组成的收费年审工作组，除重点审查收费单位的收费行为外，还对支出情况和使用票据情况进行审查。并及时指正年审过程中发现的少数单位存在的违规行为，作出立即整改，从而确保收费规范运作。2、加强收费管理。把好收费审批关，对不符合省、市物价部门规定，没有收费依据的收费申请一律拒批；对国家、省、市已发文取消或降低收费标准的及时通知收费单位。从2004年起，全市所有收费（含行政事业性收费、经营服务性收费、教育收费、社会力量办学收费）统一使用《广东省收费许可证》，并重新建立许可证发放台帐。执行国家和省市的收费政策，严格把好收费审批关。从2002年至2010年取消行政事业性收费项目99项，降低行政事业性收费标准项目13项，减轻企业和群众的负担。3、全面实行行政事业性收费公示制度。①2002年8月底前对全市232间中小学校的收费统一制作公示牌并进行公示，2003年9月对这232间学校重新核发《收费许可证》；②2002年12月完成全市涉农收费由镇级延伸到各村委会的公示，免费发放涉农收费公示牌160块；③2003年9月底完成全市35个收费单位（含基层单位）收费公示，除部分单位自行制作公示牌外，统一制作37块公示牌；④对全市的涉农收费进行一次全面的清理和整顿，编制《南雄市涉农收费目录》，修订《南雄市涉企收费目录》，制作25块涉农收费公示牌。4、认真贯彻执行义务教育免费的惠民政策。①从2002年秋季开始中小学校收费实行“一费制”。对“一费制”外的代收费项目和自愿选择的其它代收费项目分别以文件（雄价联[2003]24号和雄价联[2003]25号）做出明确的规定，从而进一步规范市中小学校的收费行为；②对已实行“一费制”的中小学的收费进行调整，重点是市区中小学和上等级学校。通过这次收费调整，更有利于全市中小学资源的配制，进一步发挥优质学校的潜能；③2006年秋季开学起，农村全面实施免费义务教育。农村小学生上学每学期只需缴课本费和作业本费50元，农村初中学生上学每学期只需缴课本费和作业本费105元。每年可减轻群众负担约2000万元；④2007年秋季开学起，农村中小学生在免收杂费的基础上再免收课本费。可减轻群众负担约2400万元；⑤进一步规范高中阶段的教育收费，严格执行择校生“三限”政策，从2007年秋季起，对择校生只收取择校费和“一费制”规定的课本费，不再收取学费。⑥2008年春季开学起，市区中小学生也全部免收杂费和课本费，实现全社会的九年制免费义务教育。5、推进明码标价和收费公示工作。①做好明码标价宣传工作，向广大化肥农药经营者宣传明码标价规定，同时下发《南雄市物价局关于做好农资商品明码标价的通知》，进一步规范农资市场的价格行为，收到一定的效果；②2010年物价局和建设局两部门联合召开全市11家房地产开发企业会议，布置新建商品房销售明码标价工作，由物价检查所监制《商品房销售价目牌》和《商品房销售相关信息公示牌》，明确公示项目和公示内容，达到公示牌制作统一规范，公示的项目和内容统一，使购房者一目了然；③做好教育收费公示，全面落实教育收费公示制度；④进一步完善医疗服务价格公示制，与市卫生局下发《关于做好医疗服务价格公示工作的通知》，规定各医疗机构必须将主要的医疗服务项目、内容以及收费标准制成公示牌，在医院显眼位置向群众公示。</w:t>
      </w:r>
    </w:p>
    <w:p w14:paraId="649762F3">
      <w:pPr>
        <w:pStyle w:val="4"/>
      </w:pPr>
      <w:r>
        <w:t>【维护市场价格秩序】</w:t>
      </w:r>
    </w:p>
    <w:p w14:paraId="0719F36F">
      <w:pPr>
        <w:ind w:firstLine="420"/>
        <w:rPr>
          <w:rFonts w:ascii="宋体" w:hAnsi="宋体"/>
        </w:rPr>
      </w:pPr>
      <w:r>
        <w:rPr>
          <w:rFonts w:ascii="宋体" w:hAnsi="宋体"/>
        </w:rPr>
        <w:t>1、开展价格监督检查工作。重点围绕政府关注、群众关心，社会反映强烈的价费热点问题，开展各项价格监督检查。①会同相关部门，对春运客运票价、教育收费、化肥价格、药品和医疗服务价格、电信邮政资费、人事劳动和社会保障系统收费、农村电价、猪肉等主要食品价格监管、开展整治商品房交易价格欺诈行为的专项行动、殡葬收费、石油、液化气等直接关系群众切身利益的项目进行专项检查；②开展涉农收费清理专项整治工作；③开展医疗服务价格和零售药店药品、疫苗价格专项检查；④开展涉企收费专项检查。结合每年的行政事业性收费年审工作，由物价、财政、纠风部门组成检查组到涉及企业收费的部门进行检查；⑤积极配合韶关市物价局检查组对市国土、建设、房管部门的涉企收费检查。⑥加强节日市场价格监管。在“元旦”、“春节”、“五一”等节日期间，组织人员开展市场价格巡查，重点对液化气、成品油、粮油、肉、禽、蛋价格及旅游景点、宾馆、车站、商场超市的明码标价和有无价格欺诈行为等进行巡查，确保节日市场的和谐稳定。2002年至2010年以来受理来电、来信、来访及网上举报和咨询301宗，查处价格违法案件36宗，查处违纪金额651.45万元，清退金额370.65万元，没收上缴财政29.9万元。2、做好价格举报工作。①把价格举报工作作为物价部门的“窗口工程”和“民心工程”来抓，开通有专人24小时负责受理的价格投诉专线电话12358，建立举报案件审批制度，由物价局长亲自阅批每一件价格举报案件，所长负责具体抓；②加大价格举报工作的宣传力度，在《市民价费指南》中印上“12358”价格举报电话，并通过“价格服务进万家惠民活动”现场向群众免费派发，使广大群众知道，在权益受到侵害时投诉有门；③对投诉的价格问题，都予以登记及时受理，在承诺的期限内作出调查处理，做到件件有落实，事事有回复；④2005年12月，南雄市物价检查所再度被国家发改委授予“规范化物价检查所”。3、加强物价监督网络的建设。建立镇、村两级物价员工作网络，聘请镇级物价员20名、村级物价监督员221名。聘请市区内企事业单位物价员33名，在房地产开发企业、商场和企业中聘请物价员50名。制定物价员工作制度，并先后举办三期物价员业务培训班。在全市范围内初步形成城乡价格监督和物价员工作网络。为推动南雄市物价工作上新台阶打下坚实基础。</w:t>
      </w:r>
    </w:p>
    <w:p w14:paraId="4E482533">
      <w:pPr>
        <w:pStyle w:val="4"/>
      </w:pPr>
      <w:r>
        <w:t>【开展价格公共服务】</w:t>
      </w:r>
    </w:p>
    <w:p w14:paraId="6C60F607">
      <w:pPr>
        <w:ind w:firstLine="420"/>
        <w:rPr>
          <w:rFonts w:ascii="宋体" w:hAnsi="宋体"/>
        </w:rPr>
      </w:pPr>
      <w:r>
        <w:rPr>
          <w:rFonts w:ascii="宋体" w:hAnsi="宋体"/>
        </w:rPr>
        <w:t>1、拓宽价格调节基金的征收渠道，管好用好价调金。①拓宽征收渠道。按照市政府《关于进一步完善价格调节基金制度的通知》（雄府〔2006〕26号）规定，在稳定原已征收价调金的基础上，增加对小水电上网电价、旅游景点门票、有线电视等征收价调金，增强政府对市场价格的调控能力；②发挥价格调节基金的作用。启用价格调节基金专项用于市区困难家庭的生活补贴。在2010年拨款29.12万元，在春节期间专项补贴全市五保户、优扶对象；③2010年共征收价调金68.3万元。同时，争取韶关市价格调节基金20万元扶持“菜蓝子”工程建设。2、开展价格认证工作。价格认证业务分为涉案物品价格鉴定、旧车交易价格评估和交通事故车物定损三块。以公平、公正为原则，以事实为依据，在承诺的时间内完成认证报告，受到委托单位（人）的好评。2002年至2010年共受理并作出价格鉴证结论的5088件，评估金额2254.32万元，办结率100%。3、做好成本调查工作。①开展国家定点的水稻、烟叶、花生等3个品种9个农调户的基础调查任务，把好调查登记基础关。成本数据做到实事求是、准确无误，及时上报各类报表和分析材料；②南雄市物价局被国家发改委评为“2008-2009年度全国农产品成本调查工作优秀集体”，首次被邀参加地级以上市参加的全省2010年价格成本工作会议，并代表县级局作《狠抓“四个突出，四个着力”推动农产品成本调查工作上新台阶》的发言；③有自然灾害发生后，及时深入到农调户中调查掌握黄烟、早稻等农产品受灾情况，向省和韶关市成本队反映，得到上级扶持受灾农调户。④对烟叶生产用肥价格、出租小汽车营运价格、中小学生作业本价格、物业管理服务费进行成本审核，对城区供水价格和城市污水处理费进行成本监审、中小学教育成本调查，为上级决策提供真实的依据。4、开展价格服务进万家工作。①从2005年6月起，开展价格服务进社区、进医院、进校园、进农户、进企业、进商场等工作。拨款7万元，印制《市民价费指南》2万本；举行以“物价部门开展价格服务进万家惠民活动”为主题的大型宣传咨询活动，现场受理价格投诉，向群众免费派发《市民价费指南》和“价格服务进万家”宣传资料。《市民价费指南》编列政府管理的与市民生活密切相关的收费项目和收费标准，涉及到住房、教育、医疗、通讯、水电等24个部门的上百种收费项目，进一步增加收费的透明度；②韶关市物价局2008年12月26日在南雄召开“全市开展价格服务进万家活动现场会”，南雄在会上专题发言，南雄价格服务进万家工作得到韶关市物价局肯定；③启动“惠农政策进千万农户”活动。2010年5月，在水口镇召开“惠农政策进千万农户活动”启动仪式。韶关市物价局局长刘伟聪、南雄市政府副市长刘发龙以及供电局、移动公司、水口镇政府等单位的领导和各村委会干部及农户代表共200多人参加启动仪式。随后，物价、供电、移动、镇政府四部门联合举行“惠农政策现场咨询和价费投诉现场受理”活动，现场派发《惠农政策进千万农户》手册6000册、宣传资料3000份；④拓宽价格服务领域，开展“价格服务进工业园区”活动，为工业“绿灯工程”服务，将价格服务延伸到精细化工园区。制定《保姆式价格服务进精细化工园工作方案》。在精细化工基地，与企业负责人座谈，了解园区建设、企业生产情况以及对价格政策方面的要求等等。为园区企业排忧解难，协调并圆满解决三拓化学工业有限公司与施工单位在工程建设收费方面的争议问题。</w:t>
      </w:r>
    </w:p>
    <w:p w14:paraId="28069D35">
      <w:pPr>
        <w:ind w:firstLine="420"/>
        <w:jc w:val="right"/>
        <w:rPr>
          <w:rFonts w:ascii="宋体" w:hAnsi="宋体"/>
        </w:rPr>
      </w:pPr>
      <w:r>
        <w:rPr>
          <w:rFonts w:ascii="宋体" w:hAnsi="宋体"/>
        </w:rPr>
        <w:t>（张实）</w:t>
      </w:r>
    </w:p>
    <w:p w14:paraId="345F01F4">
      <w:pPr>
        <w:ind w:firstLine="422"/>
        <w:rPr>
          <w:rFonts w:ascii="宋体" w:hAnsi="宋体"/>
          <w:b/>
          <w:bCs/>
        </w:rPr>
      </w:pPr>
      <w:r>
        <w:rPr>
          <w:rFonts w:ascii="宋体" w:hAnsi="宋体"/>
          <w:b/>
          <w:bCs/>
        </w:rPr>
        <w:t>附：2010年物价局领导班子成员名单</w:t>
      </w:r>
    </w:p>
    <w:p w14:paraId="3E116472">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游伦芳（兼）</w:t>
      </w:r>
    </w:p>
    <w:p w14:paraId="461454D4">
      <w:pPr>
        <w:pStyle w:val="3"/>
      </w:pPr>
      <w:r>
        <w:t>国土资源管理</w:t>
      </w:r>
    </w:p>
    <w:p w14:paraId="1D186D8B">
      <w:pPr>
        <w:pStyle w:val="4"/>
      </w:pPr>
      <w:r>
        <w:t>【概况】</w:t>
      </w:r>
    </w:p>
    <w:p w14:paraId="5D74E5AD">
      <w:pPr>
        <w:ind w:firstLine="420"/>
        <w:rPr>
          <w:rFonts w:ascii="宋体" w:hAnsi="宋体"/>
        </w:rPr>
      </w:pPr>
      <w:r>
        <w:rPr>
          <w:rFonts w:ascii="宋体" w:hAnsi="宋体"/>
        </w:rPr>
        <w:t>南雄市国土局1986年成立，2001年国土局与地矿局合并组建国土资源局。全系统现有干部职工102人，内设办公室、规划股、建设用地股、地籍股、地矿股、执法监察股（队）、测绘股和耕地保护股，下辖土地交易所、土地整理中心、测绘队、土地储备中心、地质遗迹保护区管理站和18个镇（街道）国土资源所。2007年10月设立测绘股，设股长1名，增加行政编制1名；2008年6月设立测绘队，编制4名，设正、副队长各一名。2010年8月设立南雄市土地储备中心，编制3名，其中主任1名（由南雄市国土资源局副局长兼任）。</w:t>
      </w:r>
    </w:p>
    <w:p w14:paraId="406C80DF">
      <w:pPr>
        <w:pStyle w:val="4"/>
      </w:pPr>
      <w:r>
        <w:t>【农田保护和复垦开发】</w:t>
      </w:r>
    </w:p>
    <w:p w14:paraId="2119F2A8">
      <w:pPr>
        <w:ind w:firstLine="420"/>
        <w:rPr>
          <w:rFonts w:ascii="宋体" w:hAnsi="宋体"/>
        </w:rPr>
      </w:pPr>
      <w:r>
        <w:rPr>
          <w:rFonts w:ascii="宋体" w:hAnsi="宋体"/>
        </w:rPr>
        <w:t>一是，落实耕地保护目标责任制，严格责任考核，尤其是强化对基本农田的管护力度，健全基本农田动态巡查制度，落实基本农田保护“五不准”措施，坚决守住基本农田这条“红线”。至2010年底，全市耕地保有量为64.59万亩，划定基本农田保护面积589211.68亩，超额完成基本农田保护目标。二是，完成已通过验收确认的2009年第一批利用园地山坡地补充耕地项目报备工作，报备土地总面积13289.63亩。三是加大土地开发整理和补充耕地工作力度，利用社会资金开垦耕地项目开发面积8204.07亩，新增耕地面积4019.4亩。</w:t>
      </w:r>
    </w:p>
    <w:p w14:paraId="34D29822">
      <w:pPr>
        <w:pStyle w:val="4"/>
      </w:pPr>
      <w:r>
        <w:t>【建设用地】</w:t>
      </w:r>
    </w:p>
    <w:p w14:paraId="3CDEDEF1">
      <w:pPr>
        <w:ind w:firstLine="420"/>
        <w:rPr>
          <w:rFonts w:ascii="宋体" w:hAnsi="宋体"/>
        </w:rPr>
      </w:pPr>
      <w:r>
        <w:rPr>
          <w:rFonts w:ascii="宋体" w:hAnsi="宋体"/>
        </w:rPr>
        <w:t>共完成招商引资和重点项目用地征地面积3900多亩，其中精细化工基地二期工程征地2500多亩，发放补偿款约3000万元；奥威斯休闲度假中心征地85.2亩，发放补偿款196万元；金刚小区项目征地411.31亩，发放补偿款1241万元；彤置富水泥有限公司征地459.24亩，发放补偿款1985万元，房屋拆迁126户，新村安置点已平整；韶赣铁路征地260亩，发放补偿款500万元；河堤及河堤公路征地230亩，征地面积300万。同时，完成4个批次的用地报批，已获取批文的面积为1591.5亩。保障全市扩大内需项目和重点工程项目用地，及时缓解了用地矛盾。</w:t>
      </w:r>
    </w:p>
    <w:p w14:paraId="63C2F9B4">
      <w:pPr>
        <w:pStyle w:val="4"/>
      </w:pPr>
      <w:r>
        <w:t>【地籍信息化管理与土地市场】</w:t>
      </w:r>
    </w:p>
    <w:p w14:paraId="099D728B">
      <w:pPr>
        <w:ind w:firstLine="420"/>
        <w:rPr>
          <w:rFonts w:ascii="宋体" w:hAnsi="宋体"/>
        </w:rPr>
      </w:pPr>
      <w:r>
        <w:rPr>
          <w:rFonts w:ascii="宋体" w:hAnsi="宋体"/>
        </w:rPr>
        <w:t>第二次全国土地调查工作已全面完成，建立了地籍数据库，地籍管理逐步走上了规范化信息化轨道。集中精力完成土地利用总体规划（2010-2020年）修编工作，确定了各重点建设项目用地范围和落实好建设用地规划。截止2010年底，全市土地利用总体规划数据库成果已通过省厅审查验收，镇级规划也通过了韶关市人民政府的批复，县级规划已上报省人民政府待批，近期将通过验收。抓好日常土地登记发证工作，全年共办理国有土地使用证2427本，集体土地使用证349本，抵押登记84宗，提供地籍档案查询60次。按照《广东省土地使用权交易市场管理规定》要求，并创新实行两级会审制，全面推进土地交易市场规范化建设。2010年公开交易土地98宗，其中工业用地74宗，土地面积237万平方米，成交金额4亿多元；商住用地24宗，土地面积5.1万平方米，成交金额0.6亿元。全年完成总成交金额4.6亿多元，取得了近年来最好的经济效益和社会效益。此外，依法审批个人用地建房548户，批准面积58088平方米。同时严把国有建设用地供应关，做到依法供地、合理供地。</w:t>
      </w:r>
    </w:p>
    <w:p w14:paraId="312117A9">
      <w:pPr>
        <w:pStyle w:val="4"/>
      </w:pPr>
      <w:r>
        <w:t>【土地执法监察】</w:t>
      </w:r>
    </w:p>
    <w:p w14:paraId="48F585E6">
      <w:pPr>
        <w:ind w:firstLine="420"/>
        <w:rPr>
          <w:rFonts w:ascii="宋体" w:hAnsi="宋体"/>
        </w:rPr>
      </w:pPr>
      <w:r>
        <w:rPr>
          <w:rFonts w:ascii="宋体" w:hAnsi="宋体"/>
        </w:rPr>
        <w:t>严格落实国土资源动态巡查工作，与全市各镇（街道）签订土地动态巡查责任书，明确各自职责和巡查区域及重点。同时，针对农村违法占用耕地现象，该局以市政府名义制发了《关于整治农村违法占用耕地建房专项行动实施方案》，建立健全举报违法用地有奖机制，严厉打击违法违规用地，共立案查处违法用地75宗，立案涉及土地面积24.9亩，落实罚款14万元，其中移送法院36宗。此外，加强部门联合执法，严厉打击无证开采行为，开展专项检查行动，检查、排查了4个勘查项目、13个开采项目，扣压运矿车辆3台、矿产半成品若干包。2010年，通过对全市界内的各非法开采矿点进行巡查，共发现15宗涉嫌违法开采行为，均已及时制止，将非法开采行为消灭在萌芽状态。</w:t>
      </w:r>
    </w:p>
    <w:p w14:paraId="2E3580A9">
      <w:pPr>
        <w:pStyle w:val="4"/>
      </w:pPr>
      <w:r>
        <w:t>【矿产资源管理、地灾预防和安全生产】</w:t>
      </w:r>
    </w:p>
    <w:p w14:paraId="4C084B69">
      <w:pPr>
        <w:ind w:firstLine="420"/>
        <w:rPr>
          <w:rFonts w:ascii="宋体" w:hAnsi="宋体"/>
        </w:rPr>
      </w:pPr>
      <w:r>
        <w:rPr>
          <w:rFonts w:ascii="宋体" w:hAnsi="宋体"/>
        </w:rPr>
        <w:t>全局办理延续、变更登记矿山企业10宗，按照“资源有偿”原则，加大资源费的征收力度，共征收矿产资源补偿费261200元。同时，切实加强地质灾害防治工作：一是先后制定了南雄市2010年度地质灾害防治预案、《南雄市地质灾害防治规划（2010-2020）》。二是积极向上级申请地质灾害防治专项资金，加强地质灾害群测群防“十有县”建设的申报。三是全力做好地质灾害隐患点排查工作，积极配合省核查工作组对威胁100人以上的地质灾害隐患点进行排查，并由市国土资源局进行全面核查。四是积极促进矿业权的市场化、公开化。8月份对百顺镇丰文村陶瓷用高岭土矿采矿权进行了挂牌出让，珠玑镇洋湖村花岗岩采矿权的挂牌出让资料正在组织之中。五是抓好汛期的地质灾害巡查、排查，发放了一批防治明白卡、地质灾害防灾告知书，制作了一批地质灾害警示牌，有效减少了地质灾害造成的影响。此外，启动了《南雄市矿产资源规划》工作。一年来没有发生地质灾害引发的安全事故。</w:t>
      </w:r>
    </w:p>
    <w:p w14:paraId="60E86D10">
      <w:pPr>
        <w:pStyle w:val="4"/>
      </w:pPr>
      <w:r>
        <w:t>【南雄恐龙化石自然保护区】</w:t>
      </w:r>
    </w:p>
    <w:p w14:paraId="0B72FAD9">
      <w:pPr>
        <w:ind w:firstLine="420"/>
        <w:rPr>
          <w:rFonts w:ascii="宋体" w:hAnsi="宋体"/>
        </w:rPr>
      </w:pPr>
      <w:r>
        <w:rPr>
          <w:rFonts w:ascii="宋体" w:hAnsi="宋体"/>
        </w:rPr>
        <w:t>南雄恐龙化石群自然保护区位于广东省南雄市，主要分为三个区。保护一区位于南雄城南至主田镇一带，实验区位于主田至南雄公路东侧及东1~5km范围左右的谭塘坪、石子桥、杨梅山、白石坑、石陂水，面积约9.41km2，缓冲区则在主田至南雄公路线东侧0.41~1.5km范围左右，面积为2.27km2，核心区为缓冲区及实验区包围的山墚上，面积约为0.84km2，保护一区总面积为12.52km2。保护二区位于湖口镇至水口镇公路西南一带的龙凤塘一上湖洞一罗佛寨等地，实验区位于湖口上湖洞、武台岗、矮岭、莲竹塘、中坪、园圃等地，面积为14.2km2，缓冲区位于长坑、下湖、张河坝等地，面积为2.46km2，核心区为缓冲区及实验区包围的山墚上，面积为1.25km2，保护二区总面积为17.91km2。保护三区位于黄坑镇东北一带的杨梅坑至坪岭等地，实验区位于灯笼排、腊树园、新田圩、浆田等地，面积为9.26km2，缓冲区位于坪塘、逆龙坑等地，面积为1.58km2，核心区为缓冲区及实验区包围的山墚上，面积为0.94km2，保护三区总面积为11.78km2。整个自然保护区共涉及8个镇，总面积为42.21km2。南雄地质遗迹保护区建立后，该区将是一个以核心区为中心、以缓冲区及实验区为边沿，有恐龙蛋化石原址展棚、含蛋化石地质地层剖面、恐龙蛋化石群博物馆、恐龙骨骼化石遗迹分布的集科学考察、科普教育、参观旅游为一体的经典区域。</w:t>
      </w:r>
    </w:p>
    <w:p w14:paraId="13E91D9E">
      <w:pPr>
        <w:ind w:firstLine="420"/>
        <w:rPr>
          <w:rFonts w:ascii="宋体" w:hAnsi="宋体"/>
        </w:rPr>
      </w:pPr>
      <w:r>
        <w:rPr>
          <w:rFonts w:ascii="宋体" w:hAnsi="宋体"/>
        </w:rPr>
        <w:t>1992年南雄市人民政府将南雄恐龙化石群列为县级保护区，并定桩立碑。南雄市人民政府发布《南雄市地质遗迹保护管理规定》，建立市、镇、村三级保护网，与相关村签订土地管护协议书，及时制止在保护区的乱挖乱占和偷盗行为，有效保护恐龙化石并防止化石流失。2003年专门成立南雄市地质遗迹保护区管理站。南雄恐龙化石群自然保护区是在2005年5月26日经广东省人民政府批复升格为省级自然保护区，2007年12月28日经编委批准同意成立广东南雄恐龙化石群省级自然保护区管理处，副处级事业单位。其主要任务是：负责南雄恐龙化石群省级自然保护区的具体管护工作。</w:t>
      </w:r>
    </w:p>
    <w:p w14:paraId="42CC0982">
      <w:pPr>
        <w:ind w:firstLine="420"/>
        <w:rPr>
          <w:rFonts w:ascii="宋体" w:hAnsi="宋体"/>
        </w:rPr>
      </w:pPr>
      <w:r>
        <w:rPr>
          <w:rFonts w:ascii="宋体" w:hAnsi="宋体"/>
        </w:rPr>
        <w:t>建立了恐龙化石博物馆，对外展出了霸王龙，短棘南雄龙，南雄小鸭嘴龙及成窝的恐龙蛋化石。通过图片、文字及实物，向人们展示了南雄红层与古生物化石的出土情况，再现了7000万年前白垩纪的恐龙世界。</w:t>
      </w:r>
    </w:p>
    <w:p w14:paraId="53D179B8">
      <w:pPr>
        <w:ind w:firstLine="420"/>
        <w:rPr>
          <w:rFonts w:ascii="宋体" w:hAnsi="宋体"/>
        </w:rPr>
      </w:pPr>
      <w:r>
        <w:rPr>
          <w:rFonts w:ascii="宋体" w:hAnsi="宋体"/>
        </w:rPr>
        <w:t>在省、市各级党委、政府的领导和支持下，结合相关专家和学者的意见，共投资了一百多万元完成了保护区一区枫树岭鸭嘴龙足迹化石的保护建设工作和下坪恐龙蛋化石保护点的保护建设工作，为改善管理设施、更新管理设备，实现保护区管护的规范化、科学化奠定了坚实基础。</w:t>
      </w:r>
    </w:p>
    <w:p w14:paraId="3BD64DAB">
      <w:pPr>
        <w:pStyle w:val="4"/>
      </w:pPr>
      <w:r>
        <w:t>【党风廉政建设】</w:t>
      </w:r>
    </w:p>
    <w:p w14:paraId="145ED776">
      <w:pPr>
        <w:ind w:firstLine="420"/>
        <w:rPr>
          <w:rFonts w:ascii="宋体" w:hAnsi="宋体"/>
        </w:rPr>
      </w:pPr>
      <w:r>
        <w:rPr>
          <w:rFonts w:ascii="宋体" w:hAnsi="宋体"/>
        </w:rPr>
        <w:t>2010年，开展多种形式的教育活动，不断加强局的机关效能建设。一是开展“受了表扬，我们怎么办”、“树立正确权力观，提升执行力”等活动，组织了国土系统“受了表扬怎么办”演讲比赛，二是结合“纪律教育学习月”及“国土所长不是地主”警示教育活动，建立健全廉洁从政制度。三是结合权力运行“阳光工程”以及“两整治一改革”活动，广泛开展了廉政风险查摆活动，同时，组建一支由“两代表一委员”、监督机关和群众代表等30人组成的“阳光使者”库，参与列席局的重要决策、重大项目评审、土地交易等重大活动。在全系统内形成了文明执法、廉洁从政、高效服务的良好工作环境。四是结合政风行风“回头看”活动，做好信访工作。创新信访工作机制，每月定期研究分析信访维稳形势，排查矛盾纠纷，对性质严重易引发越级上访的案件实行领导包案制度，一年来，根据省、市部署，局领导参与“领导大接访”活动，重大节日和特别时期实行班子成员带班轮流值班，保证政令畅通，社会稳定。2010年共受理来信来访40件，接待群众来访43人次，对所反映的问题全部及时进行了处理，做到事事有回音，件件有着落。</w:t>
      </w:r>
    </w:p>
    <w:p w14:paraId="01652732">
      <w:pPr>
        <w:pStyle w:val="4"/>
      </w:pPr>
      <w:r>
        <w:t>【队伍建设】</w:t>
      </w:r>
    </w:p>
    <w:p w14:paraId="34C50E5E">
      <w:pPr>
        <w:ind w:firstLine="420"/>
        <w:rPr>
          <w:rFonts w:ascii="宋体" w:hAnsi="宋体"/>
        </w:rPr>
      </w:pPr>
      <w:r>
        <w:rPr>
          <w:rFonts w:ascii="宋体" w:hAnsi="宋体"/>
        </w:rPr>
        <w:t>全体公务员参加市人事局组织的公共管理核心知识培训，局机关全体干部职工参加南雄市组织的干部自主选学课程和信息化能力培训，全部通过考核。该局邀请韶关市国土局的地质灾害防治的专家，组织全市基层干部开展一次地质灾害防治工作“五到位”培训。为优化局机关人员配置，推进市重点工程项目建设，打破论资排辈的习惯，对缺额的中层干部实行民主推荐，调整部分中层干部，启用多名年轻肯干、老实的干部担任股室负责人，并抽调多名年富力强、经验丰富的基层所人员充实到局机关工作，推进各项主要工作的顺利进行，干部队伍的整体素质得到提高。此外，结合实际，先后完善制定《南雄市国土资源局科学民主决策制度》、《南雄市国土资源局上班制度》、《南雄市国土资源局学习制度》、《南雄市国土资源局中层于部任前廉政知识考试制度》和《南雄市国土资源局干部任前谈话制度》等多项规章制度，从制度上进一步规范行为，促进国土资源系统党风廉政建设和反腐败工作。</w:t>
      </w:r>
    </w:p>
    <w:p w14:paraId="77F7F3C6">
      <w:pPr>
        <w:ind w:firstLine="420"/>
        <w:jc w:val="right"/>
        <w:rPr>
          <w:rFonts w:ascii="宋体" w:hAnsi="宋体"/>
        </w:rPr>
      </w:pPr>
      <w:r>
        <w:rPr>
          <w:rFonts w:ascii="宋体" w:hAnsi="宋体"/>
        </w:rPr>
        <w:t>（丁京林）</w:t>
      </w:r>
    </w:p>
    <w:p w14:paraId="696A0500">
      <w:pPr>
        <w:ind w:firstLine="422"/>
        <w:rPr>
          <w:rFonts w:ascii="宋体" w:hAnsi="宋体"/>
          <w:b/>
          <w:bCs/>
        </w:rPr>
      </w:pPr>
      <w:r>
        <w:rPr>
          <w:rFonts w:ascii="宋体" w:hAnsi="宋体"/>
          <w:b/>
          <w:bCs/>
        </w:rPr>
        <w:t>附：2010年国土资源局领导班子成员名单</w:t>
      </w:r>
    </w:p>
    <w:p w14:paraId="021EC73D">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陈尚妹</w:t>
      </w:r>
    </w:p>
    <w:p w14:paraId="14591356">
      <w:pPr>
        <w:ind w:firstLine="422"/>
        <w:rPr>
          <w:rFonts w:ascii="宋体" w:hAnsi="宋体"/>
        </w:rPr>
      </w:pPr>
      <w:r>
        <w:rPr>
          <w:rFonts w:ascii="宋体" w:hAnsi="宋体"/>
          <w:b/>
          <w:bCs/>
        </w:rPr>
        <w:t>副局长：</w:t>
      </w:r>
      <w:r>
        <w:rPr>
          <w:rFonts w:ascii="宋体" w:hAnsi="宋体"/>
        </w:rPr>
        <w:t>赖正雄</w:t>
      </w:r>
      <w:r>
        <w:rPr>
          <w:rFonts w:hint="eastAsia" w:ascii="宋体" w:hAnsi="宋体"/>
        </w:rPr>
        <w:t xml:space="preserve">  </w:t>
      </w:r>
      <w:r>
        <w:rPr>
          <w:rFonts w:ascii="宋体" w:hAnsi="宋体"/>
        </w:rPr>
        <w:t>林有利</w:t>
      </w:r>
      <w:r>
        <w:rPr>
          <w:rFonts w:hint="eastAsia" w:ascii="宋体" w:hAnsi="宋体"/>
        </w:rPr>
        <w:t xml:space="preserve">  </w:t>
      </w:r>
      <w:r>
        <w:rPr>
          <w:rFonts w:ascii="宋体" w:hAnsi="宋体"/>
        </w:rPr>
        <w:t>张政平</w:t>
      </w:r>
    </w:p>
    <w:p w14:paraId="64FEABAA">
      <w:pPr>
        <w:ind w:firstLine="422"/>
        <w:rPr>
          <w:rFonts w:ascii="宋体" w:hAnsi="宋体"/>
        </w:rPr>
      </w:pPr>
      <w:r>
        <w:rPr>
          <w:rFonts w:ascii="宋体" w:hAnsi="宋体"/>
          <w:b/>
          <w:bCs/>
        </w:rPr>
        <w:t>纪检组长：</w:t>
      </w:r>
      <w:r>
        <w:rPr>
          <w:rFonts w:ascii="宋体" w:hAnsi="宋体"/>
        </w:rPr>
        <w:t>吴启超</w:t>
      </w:r>
    </w:p>
    <w:p w14:paraId="61D44511">
      <w:pPr>
        <w:ind w:firstLine="422"/>
        <w:rPr>
          <w:rFonts w:ascii="宋体" w:hAnsi="宋体"/>
        </w:rPr>
      </w:pPr>
      <w:r>
        <w:rPr>
          <w:rFonts w:ascii="宋体" w:hAnsi="宋体"/>
          <w:b/>
          <w:bCs/>
        </w:rPr>
        <w:t>执法队长：</w:t>
      </w:r>
      <w:r>
        <w:rPr>
          <w:rFonts w:ascii="宋体" w:hAnsi="宋体"/>
        </w:rPr>
        <w:t>叶地状</w:t>
      </w:r>
    </w:p>
    <w:p w14:paraId="70634E6F">
      <w:pPr>
        <w:pStyle w:val="3"/>
      </w:pPr>
      <w:r>
        <w:t>食品药品监督管理</w:t>
      </w:r>
    </w:p>
    <w:p w14:paraId="2DDEE69D">
      <w:pPr>
        <w:pStyle w:val="4"/>
      </w:pPr>
      <w:r>
        <w:t>【概况】</w:t>
      </w:r>
    </w:p>
    <w:p w14:paraId="27854093">
      <w:pPr>
        <w:ind w:firstLine="420"/>
        <w:rPr>
          <w:rFonts w:ascii="宋体" w:hAnsi="宋体"/>
        </w:rPr>
      </w:pPr>
      <w:r>
        <w:rPr>
          <w:rFonts w:ascii="宋体" w:hAnsi="宋体"/>
        </w:rPr>
        <w:t>2010年机构改革，设立南雄市食品药品监督管理局，为市人民政府工作部门，内设7个机构：办公室、食品安全监管股、保健食品化妆品监管股、药品医疗器械监管股、稽查股（加挂稽查分局牌子）、食品药品质量快筛快检室、南雄市食品药品监督管理局乌迳工作站。人员编制：机关行政编制15名，行政专项执法编制11名（含南雄市食品药品监督管理局乌迳工作站工作人员5名），其中：局长1名，副局长3名；股长（主任、站长）7名，副股长（副主任）6名；其他干部9名。后勤服务人员3名（其中乌迳工作站1名）。职责调整①将综合协调食品安全、组织查处食品安全重大事故的职责划给市卫生局；②将市卫生局餐饮业、食堂等消费环节食品安全监督管理职责划入市食品药品监督管理局；③增加消费环节餐饮服务许可的职责。</w:t>
      </w:r>
    </w:p>
    <w:p w14:paraId="79FB036D">
      <w:pPr>
        <w:pStyle w:val="4"/>
      </w:pPr>
      <w:r>
        <w:t>【整顿和规范药品市场秩序】</w:t>
      </w:r>
    </w:p>
    <w:p w14:paraId="562B05B7">
      <w:pPr>
        <w:ind w:firstLine="420"/>
        <w:rPr>
          <w:rFonts w:ascii="宋体" w:hAnsi="宋体"/>
        </w:rPr>
      </w:pPr>
      <w:r>
        <w:rPr>
          <w:rFonts w:ascii="宋体" w:hAnsi="宋体"/>
        </w:rPr>
        <w:t>坚持“以整顿为手段，以规范为目的”的监管理念，针对全市药品医疗机械市场秩序现状，将边远乡村、城乡结合部、农村集贸市场作为重点区域，把过期失效药品、游医药贩、邮售假劣药品等群众反映强烈的突出问题作为整治重点，查处制售假劣药品医疗器械案件，捣毁制假售假窝点。2003年至2010年共出动执法人员10541人次，监督检查相关企业6529家次，查处各类违法案件331件，涉案货值52.86万元，取缔非法经营点6个。</w:t>
      </w:r>
    </w:p>
    <w:p w14:paraId="79263D67">
      <w:pPr>
        <w:pStyle w:val="4"/>
      </w:pPr>
      <w:r>
        <w:t>【行政执行力建设】</w:t>
      </w:r>
    </w:p>
    <w:p w14:paraId="3EEE0EEC">
      <w:pPr>
        <w:ind w:firstLine="420"/>
        <w:rPr>
          <w:rFonts w:ascii="宋体" w:hAnsi="宋体"/>
        </w:rPr>
      </w:pPr>
      <w:r>
        <w:rPr>
          <w:rFonts w:ascii="宋体" w:hAnsi="宋体"/>
        </w:rPr>
        <w:t>打造一支政治坚定、业务精湛、作风过硬、勤政廉洁的食品药品监管队伍。一是开展保持共产党员先进性和“理想、责任、能力、形象”、“加强作风建设，勤政廉政为民”、“树立正确权力观，提高执行力”等学习教育活动。二是健全制度，规范权力运行。制定完善的人事、财务、政务管理等制度，用制度规范权力的运行、约束干部的从政行为，确保各项工作有程序，具体岗位有规范，执行落实有保障，杜绝工作中的违纪违规行为。三是实行政务公开，在办公楼服务大厅设立政务公开栏，公布办事程序、办理承诺、服务承诺等，设立了举报箱及公布举报投诉电话，要求全体人员履行“八项承诺”，自觉接受广泛的社会监督，不断提高文明服务水平和机关工作效率。四是依法行政，提高执法办案水平。立案查处的案件结案率达100%，一般程序行政处罚案件审核率、备案率均达100%，且无一宗案件要求听证、行政复议或提起行政诉讼。</w:t>
      </w:r>
    </w:p>
    <w:p w14:paraId="7F73A4EF">
      <w:pPr>
        <w:pStyle w:val="4"/>
      </w:pPr>
      <w:r>
        <w:t>【治理商业贿赂】</w:t>
      </w:r>
    </w:p>
    <w:p w14:paraId="3ACDB790">
      <w:pPr>
        <w:ind w:firstLine="420"/>
        <w:rPr>
          <w:rFonts w:ascii="宋体" w:hAnsi="宋体"/>
        </w:rPr>
      </w:pPr>
      <w:r>
        <w:rPr>
          <w:rFonts w:ascii="宋体" w:hAnsi="宋体"/>
        </w:rPr>
        <w:t>2003年以来，在治理商业贿赂工作坚持防治结合的方针，运用典型案例开展法制宣传和警示教育，增强自觉抵制商业贿赂的意识。一是实行自防自治。成立治理商业贿赂专项工作领导小组，明确工作职责和任务，制定《南雄市食品药品监督管理局治理商业贿赂工作实施方案》，为治理工作提供了强有力的保证。二是积极发动社会力量，实行群防群治。通过设立举报电话和信访等方式，为群众监督食品药监部门的工作和提供举报信息开辟绿色通道。并通过问卷调查、召开座谈会、整理群众来信来访意见等形式，摸清药品、医疗器械生产经营企业在经营活动中违反商业道德和市场规则、影响公平交易的手段和做法。三是向各药品经营企业发出治理商业贿赂倡议书，举行“远离贿赂，净化心灵”的万人签名承诺活动，本局全体干部职工及百余家医药企业参加现场活动。完善全方位的反商业贿赂宣传教育平台，从体制和制度上逐步建立预防和遏制商业贿赂行为的长效机制。</w:t>
      </w:r>
    </w:p>
    <w:p w14:paraId="3E3C20F8">
      <w:pPr>
        <w:pStyle w:val="4"/>
      </w:pPr>
      <w:r>
        <w:t>【食品与保健化妆品监管】</w:t>
      </w:r>
    </w:p>
    <w:p w14:paraId="78A0E1C4">
      <w:pPr>
        <w:ind w:firstLine="420"/>
        <w:rPr>
          <w:rFonts w:ascii="宋体" w:hAnsi="宋体"/>
        </w:rPr>
      </w:pPr>
      <w:r>
        <w:rPr>
          <w:rFonts w:ascii="宋体" w:hAnsi="宋体"/>
        </w:rPr>
        <w:t>2004年机构改革，增加综合协调食品安全、组织查处食品安全重大事故的职责。11月4日，为加强全市食品安全监管工作，经市人民政府批准，决定成立市食品安全委员会。食品安全委员会下设办公室，办公室设在南雄市食品药品监督管理局。11月19日，南雄市食品安全委员会，在市政府市长会议室，召开第一次全体委员会议，讨论通过了《南雄市食品安全委员会工作制度》、《南雄市食品安全委员会委员单位工作职责》、《关于规范食品抽检工作的意见》等工作文件。2005年至2010年，联合卫生局、工商局、质监局、农业局、经贸局、公安局等部门，分别开展食品安全知识进校园、进农村、进社区入户宣传等活动，组织对“苏丹红一号”、“严禁使用工业硫磺熏制辣椒”、“三鹿牌婴幼儿奶粉”、“瘦肉精”、打击违法添加非食用物质和滥用食品添加剂等专项整治工作，检查食品生产、经营单位3857家。2009年，先后在界址、乌迳等5个镇查处违法使用硫磺熏制辣椒案件6宗，共没收销毁硫磺辣椒2550多公斤，工业硫磺1375多公斤。</w:t>
      </w:r>
    </w:p>
    <w:p w14:paraId="38B22E3A">
      <w:pPr>
        <w:pStyle w:val="4"/>
      </w:pPr>
      <w:r>
        <w:t>【保健食品化妆品监管】</w:t>
      </w:r>
    </w:p>
    <w:p w14:paraId="7C427DC6">
      <w:pPr>
        <w:ind w:firstLine="420"/>
        <w:rPr>
          <w:rFonts w:ascii="宋体" w:hAnsi="宋体"/>
        </w:rPr>
      </w:pPr>
      <w:r>
        <w:rPr>
          <w:rFonts w:ascii="宋体" w:hAnsi="宋体"/>
        </w:rPr>
        <w:t>2004年8月13日，举行“广东省南雄市食品药品监督管理局”挂牌仪式，标志着由卫生部门划入的保健品、化妆品安全监管、行政执法职能已正式启动。2005年至2010年，①根据新职能积极组织对保健食品、化妆品监管法规和相关业务知识的学习，加大调查研究的力度，规范相关行政许可和加强市场检查，结合对广大监管相对人进行本系统职能和相关监管法规的宣传，积极探索有效的保健食品、化妆品监管工作模式。②加强对保健品监管力度，从过去简单的查看是否有保健品批准文号转变到紧密联系相关产品生产企业所在地食品药品监管部门，随时核实产品合法性，同时加强网络即时联络功能即时共享打假信息，全面、快速、大范围清除发现的假冒产品。③将化妆品使用单位列入抽验对象，加大监管工作的覆盖面。检查经营使用单位1227家，发出整改通知书158份，查处保健食品化妆品违法案件9宗，有力的净化保健食品和化妆品的市场。</w:t>
      </w:r>
    </w:p>
    <w:p w14:paraId="6B360D4C">
      <w:pPr>
        <w:pStyle w:val="4"/>
      </w:pPr>
      <w:r>
        <w:t>【药品和医疗器械监管】</w:t>
      </w:r>
    </w:p>
    <w:p w14:paraId="39916332">
      <w:pPr>
        <w:ind w:firstLine="420"/>
        <w:rPr>
          <w:rFonts w:ascii="宋体" w:hAnsi="宋体"/>
        </w:rPr>
      </w:pPr>
      <w:r>
        <w:rPr>
          <w:rFonts w:ascii="宋体" w:hAnsi="宋体"/>
        </w:rPr>
        <w:t>①开展农村药品“两网”建设。2003年底，以农村药品监督网络、农村药品供应网络为重点的“两网”建设全面开展。我局以医疗机构药库药房规范化建设以及新“农合”和新农村建设为契机，积极采用“一点两用、药品季度效期机制、进货验收责任制、便民药柜管理制度、定期宣传机制”五个工作机制全方位监控农村药品质量，取得很好的效果。到目前为止，市建立包括21名镇协管员、208名村信息员在内的农村药品监督网络和农村药店、农村医疗机构在内的农村药品供应点375家，基本能满足农村群众购药用药的需求，农村药品“两网”覆盖率均到100%。利用协管员、信息员提供的信息将监管触角延伸到农村每个角落，使他们真正成为我们在药品打假治劣中的“千里眼”和“顺风耳”，降低执法成本，2003年至2010年，接到协管员举报30多宗，立案查处18宗，打击各种违法违规行为。②日常监管。加强辖区内药品、医疗器械市场监管，组织开展药品GSP认证和跟踪检查，加大广告审查和虚假广告治理工作，整顿规范药品流通秩序，规范辖区内药械市场。</w:t>
      </w:r>
    </w:p>
    <w:p w14:paraId="4783FC85">
      <w:pPr>
        <w:pStyle w:val="4"/>
      </w:pPr>
      <w:r>
        <w:t>【药品和医疗器械检验检测】</w:t>
      </w:r>
    </w:p>
    <w:p w14:paraId="19F2CC7C">
      <w:pPr>
        <w:ind w:firstLine="420"/>
        <w:rPr>
          <w:rFonts w:ascii="宋体" w:hAnsi="宋体"/>
        </w:rPr>
      </w:pPr>
      <w:r>
        <w:rPr>
          <w:rFonts w:ascii="宋体" w:hAnsi="宋体"/>
        </w:rPr>
        <w:t>①药品抽验。2003年至2010年，抽验药品625批次，强化药品监督的技术支撑作用。②药械不良反应事件监测。在2007年建立药品不良反应监测上报制度，并与卫生部门沟通、协调，一起研究制定措施，要求县级医疗卫生机构要在保证ADR专门机构和专职人员的基础上，县级医疗卫生机构各临床科室和镇级医疗卫生机构要设置兼职监测员，并在年初将药品不良反应监测目标具体量化到每一个医疗机构，真正发挥行政主管部门的组织协调作用。</w:t>
      </w:r>
    </w:p>
    <w:p w14:paraId="6B70394F">
      <w:pPr>
        <w:ind w:firstLine="420"/>
        <w:jc w:val="right"/>
        <w:rPr>
          <w:rFonts w:ascii="宋体" w:hAnsi="宋体"/>
        </w:rPr>
      </w:pPr>
      <w:r>
        <w:rPr>
          <w:rFonts w:ascii="宋体" w:hAnsi="宋体"/>
        </w:rPr>
        <w:t>（欧阳幸福）</w:t>
      </w:r>
    </w:p>
    <w:p w14:paraId="2E10D27C">
      <w:pPr>
        <w:ind w:firstLine="422"/>
        <w:rPr>
          <w:rFonts w:ascii="宋体" w:hAnsi="宋体"/>
          <w:b/>
          <w:bCs/>
        </w:rPr>
      </w:pPr>
      <w:r>
        <w:rPr>
          <w:rFonts w:ascii="宋体" w:hAnsi="宋体"/>
          <w:b/>
          <w:bCs/>
        </w:rPr>
        <w:t>附：2010年食品药品监管局领导班子成员名单</w:t>
      </w:r>
    </w:p>
    <w:p w14:paraId="375B3BBD">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朱运通</w:t>
      </w:r>
    </w:p>
    <w:p w14:paraId="6D6DCB2C">
      <w:pPr>
        <w:ind w:firstLine="422"/>
        <w:rPr>
          <w:rFonts w:ascii="宋体" w:hAnsi="宋体"/>
        </w:rPr>
      </w:pPr>
      <w:r>
        <w:rPr>
          <w:rFonts w:ascii="宋体" w:hAnsi="宋体"/>
          <w:b/>
          <w:bCs/>
        </w:rPr>
        <w:t>副局长：</w:t>
      </w:r>
      <w:r>
        <w:rPr>
          <w:rFonts w:ascii="宋体" w:hAnsi="宋体"/>
        </w:rPr>
        <w:t>刘继雄</w:t>
      </w:r>
    </w:p>
    <w:p w14:paraId="11E661CE">
      <w:pPr>
        <w:ind w:firstLine="422"/>
        <w:rPr>
          <w:rFonts w:ascii="宋体" w:hAnsi="宋体"/>
        </w:rPr>
      </w:pPr>
      <w:r>
        <w:rPr>
          <w:rFonts w:ascii="宋体" w:hAnsi="宋体"/>
          <w:b/>
          <w:bCs/>
        </w:rPr>
        <w:t>纪检组长：</w:t>
      </w:r>
      <w:r>
        <w:rPr>
          <w:rFonts w:ascii="宋体" w:hAnsi="宋体"/>
        </w:rPr>
        <w:t>陈瑶璇</w:t>
      </w:r>
    </w:p>
    <w:p w14:paraId="113B2DE6">
      <w:pPr>
        <w:pStyle w:val="3"/>
      </w:pPr>
      <w:r>
        <w:t>安全生产监督管理</w:t>
      </w:r>
    </w:p>
    <w:p w14:paraId="6E78ACBD">
      <w:pPr>
        <w:pStyle w:val="4"/>
      </w:pPr>
      <w:r>
        <w:t>【概况】</w:t>
      </w:r>
    </w:p>
    <w:p w14:paraId="2E3C9181">
      <w:pPr>
        <w:ind w:firstLine="420"/>
        <w:rPr>
          <w:rFonts w:ascii="宋体" w:hAnsi="宋体"/>
        </w:rPr>
      </w:pPr>
      <w:r>
        <w:rPr>
          <w:rFonts w:ascii="宋体" w:hAnsi="宋体"/>
        </w:rPr>
        <w:t>南雄市安全生产监督管理局组建于2005年5月，为正科级行政单位，主管安全生产综合监管的行政机构。内设综合股、监督管理股、执法监察股（挂南雄市安全生产监督管理局执法监察大队牌子）、市安全生产应急救援指挥中心办公室，行政编制5名，行政执法专项编制5名，工勤编制1名，总共编制11名。</w:t>
      </w:r>
    </w:p>
    <w:p w14:paraId="22CDA568">
      <w:pPr>
        <w:ind w:firstLine="420"/>
        <w:rPr>
          <w:rFonts w:ascii="宋体" w:hAnsi="宋体"/>
        </w:rPr>
      </w:pPr>
      <w:r>
        <w:rPr>
          <w:rFonts w:ascii="宋体" w:hAnsi="宋体"/>
        </w:rPr>
        <w:t>2010年，全市安全生产形势继续保持总体稳定的态势，发生各类事故37起，死亡16人，受伤23人，直接经济损失24.73万元，与上年同期对比，事故起数上升15.6%，受伤人数、死亡人数、直接经济损失分别下降11.6%、11%、80.5%，四项指数呈“三降一升”特点，没有发生一起较大以上生产安全事故。此外，工矿商贸、旅游、水上交通保持平稳无事故状态。</w:t>
      </w:r>
    </w:p>
    <w:p w14:paraId="45AF22E6">
      <w:pPr>
        <w:pStyle w:val="4"/>
      </w:pPr>
      <w:r>
        <w:t>【宣传教育】</w:t>
      </w:r>
    </w:p>
    <w:p w14:paraId="212288DE">
      <w:pPr>
        <w:ind w:firstLine="420"/>
        <w:rPr>
          <w:rFonts w:ascii="宋体" w:hAnsi="宋体"/>
        </w:rPr>
      </w:pPr>
      <w:r>
        <w:rPr>
          <w:rFonts w:ascii="宋体" w:hAnsi="宋体"/>
        </w:rPr>
        <w:t>组织开展第九个全国“安全生产月”活动，活动主题为“安全发展、预防为主”。开展安全生产应急知识竞赛、有奖征文活动、安全生产咨询日、安全生产执法警示日，向市民发送安全生产月短信、应急救援演练等活动。挂宣传横幅和安全标语500多条，发放宣传资料2万多份。通过“安全生产月”一系列活动的开展，弘扬和传播以人为本的安全文化，动员全社会关心、支持、参与、监督安全生产工作。加大安全生产培训力度，2010年，全市开展各类安全生产知识培训班共计20多期，培训各类安全管理人员1700多人，特种作业人员800多人，切实提高安全管理人员的管理水平，有力促进安全生产工作。</w:t>
      </w:r>
    </w:p>
    <w:p w14:paraId="74BAB0E2">
      <w:pPr>
        <w:pStyle w:val="4"/>
      </w:pPr>
      <w:r>
        <w:t>【推进“打非治违”专项行动】</w:t>
      </w:r>
    </w:p>
    <w:p w14:paraId="5879F62E">
      <w:pPr>
        <w:ind w:firstLine="420"/>
        <w:rPr>
          <w:rFonts w:ascii="宋体" w:hAnsi="宋体"/>
        </w:rPr>
      </w:pPr>
      <w:r>
        <w:rPr>
          <w:rFonts w:ascii="宋体" w:hAnsi="宋体"/>
        </w:rPr>
        <w:t>2010年，市安监局联合市直有关部门开展打击非法开采稀土矿、烟花爆竹、道路交通安全重大隐患整治、幼儿园安全卫生综合检查等专项行动，清除6个非法采矿点，拆除和捣毁工棚14个，风泵1台，压榨机2台，没收变压器3台，风泵4台，捣毁输水管一批，销毁1200余件假冒伪劣烟花爆竹，对62家幼儿园进行安全卫生综合大检查。2010年，全市监督检查生产经营单位121个，312次，监督检查覆盖率为100%，使用各类执法文书79份。</w:t>
      </w:r>
    </w:p>
    <w:p w14:paraId="1A247DAC">
      <w:pPr>
        <w:pStyle w:val="4"/>
      </w:pPr>
      <w:r>
        <w:t>【隐患排查治理】</w:t>
      </w:r>
    </w:p>
    <w:p w14:paraId="5F9E79AF">
      <w:pPr>
        <w:ind w:firstLine="420"/>
        <w:rPr>
          <w:rFonts w:ascii="宋体" w:hAnsi="宋体"/>
        </w:rPr>
      </w:pPr>
      <w:r>
        <w:rPr>
          <w:rFonts w:ascii="宋体" w:hAnsi="宋体"/>
        </w:rPr>
        <w:t>全市各部门开展“安全生产年”活动，对全市非煤矿山、危险化学品、烟花爆竹、道路交通、商贸企业等重点行业（领域）的生产安全、消防安全开展安全生产隐患排查治理行动。2010年，全市共排查治理隐患企业664家（次），查出一般隐患321处，已整改314处，督促企业投入整改资金10多万元，整改率98%。</w:t>
      </w:r>
    </w:p>
    <w:p w14:paraId="72C75EB2">
      <w:pPr>
        <w:pStyle w:val="4"/>
      </w:pPr>
      <w:r>
        <w:t>【园区安全监管】</w:t>
      </w:r>
    </w:p>
    <w:p w14:paraId="04D1EC7A">
      <w:pPr>
        <w:ind w:firstLine="420"/>
        <w:rPr>
          <w:rFonts w:ascii="宋体" w:hAnsi="宋体"/>
        </w:rPr>
      </w:pPr>
      <w:r>
        <w:rPr>
          <w:rFonts w:ascii="宋体" w:hAnsi="宋体"/>
        </w:rPr>
        <w:t>市安监局主动围绕中心、服务大局，着力落实责任，全力支持发展、服务发展，做到安全监管工作与招商引资、加快发展有机衔接，协助做好南雄精细化工园区企业、珠玑纸业技改工程、全安乐华陶瓷城建设工程、奥威斯温泉度假村、彤置富水泥厂等重点建设项目的安全许可工作。同时，加强企业“三同时”安全监管工作，全市完成4个新建非煤矿山的“三同时”工作，12个延期加油站已顺利实现换证，产业转移园企业领取《安全生产许可证》有3家，进入试生产阶段有3家，进入设施设计审查阶段有8家，与安评机构签定服务合同的有60多家企业。</w:t>
      </w:r>
    </w:p>
    <w:p w14:paraId="703BE779">
      <w:pPr>
        <w:ind w:firstLine="420"/>
        <w:jc w:val="right"/>
        <w:rPr>
          <w:rFonts w:ascii="宋体" w:hAnsi="宋体"/>
        </w:rPr>
      </w:pPr>
      <w:r>
        <w:rPr>
          <w:rFonts w:ascii="宋体" w:hAnsi="宋体"/>
        </w:rPr>
        <w:t>（何国华）</w:t>
      </w:r>
    </w:p>
    <w:p w14:paraId="3934A92A">
      <w:pPr>
        <w:ind w:firstLine="422"/>
        <w:rPr>
          <w:rFonts w:ascii="宋体" w:hAnsi="宋体"/>
          <w:b/>
          <w:bCs/>
        </w:rPr>
      </w:pPr>
      <w:r>
        <w:rPr>
          <w:rFonts w:ascii="宋体" w:hAnsi="宋体"/>
          <w:b/>
          <w:bCs/>
        </w:rPr>
        <w:t>附：2010年安监局领导班子成员名单</w:t>
      </w:r>
    </w:p>
    <w:p w14:paraId="0280F56B">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李新仁</w:t>
      </w:r>
    </w:p>
    <w:p w14:paraId="02B1CD3A">
      <w:pPr>
        <w:ind w:firstLine="422"/>
        <w:rPr>
          <w:rFonts w:ascii="宋体" w:hAnsi="宋体"/>
        </w:rPr>
      </w:pPr>
      <w:r>
        <w:rPr>
          <w:rFonts w:ascii="宋体" w:hAnsi="宋体"/>
          <w:b/>
          <w:bCs/>
        </w:rPr>
        <w:t>副局长：</w:t>
      </w:r>
      <w:r>
        <w:rPr>
          <w:rFonts w:ascii="宋体" w:hAnsi="宋体"/>
        </w:rPr>
        <w:t>李贤卫</w:t>
      </w:r>
    </w:p>
    <w:p w14:paraId="6D58E0F6">
      <w:pPr>
        <w:ind w:firstLine="422"/>
        <w:rPr>
          <w:rFonts w:ascii="宋体" w:hAnsi="宋体"/>
        </w:rPr>
      </w:pPr>
      <w:r>
        <w:rPr>
          <w:rFonts w:ascii="宋体" w:hAnsi="宋体"/>
          <w:b/>
          <w:bCs/>
        </w:rPr>
        <w:t>纪检组长：</w:t>
      </w:r>
      <w:r>
        <w:rPr>
          <w:rFonts w:ascii="宋体" w:hAnsi="宋体"/>
        </w:rPr>
        <w:t>沈学军</w:t>
      </w:r>
    </w:p>
    <w:p w14:paraId="71944D8A">
      <w:pPr>
        <w:pStyle w:val="3"/>
      </w:pPr>
      <w:r>
        <w:t>国有资产管理</w:t>
      </w:r>
    </w:p>
    <w:p w14:paraId="36444C3B">
      <w:pPr>
        <w:pStyle w:val="4"/>
      </w:pPr>
      <w:r>
        <w:t>【概况】</w:t>
      </w:r>
    </w:p>
    <w:p w14:paraId="028D1395">
      <w:pPr>
        <w:ind w:firstLine="420"/>
        <w:rPr>
          <w:rFonts w:ascii="宋体" w:hAnsi="宋体"/>
        </w:rPr>
      </w:pPr>
      <w:r>
        <w:rPr>
          <w:rFonts w:ascii="宋体" w:hAnsi="宋体"/>
        </w:rPr>
        <w:t>2003年3月成立南雄市公共资产管理中心，副科级事业单位，设4个股室，在职10人。职能是对国有资产的占有、使用、收益和处置进行管理，实现国有资产的保值与增值。2005年投资5000万元组建南雄市国有资产投资有限责任公司，2010年6月注资1500万元成立城市建设投资有限责任公司。</w:t>
      </w:r>
    </w:p>
    <w:p w14:paraId="6F88ED71">
      <w:pPr>
        <w:pStyle w:val="4"/>
      </w:pPr>
      <w:r>
        <w:t>【行政单位资产情况】</w:t>
      </w:r>
    </w:p>
    <w:p w14:paraId="737EA525">
      <w:pPr>
        <w:ind w:firstLine="420"/>
        <w:rPr>
          <w:rFonts w:ascii="宋体" w:hAnsi="宋体"/>
        </w:rPr>
      </w:pPr>
      <w:r>
        <w:rPr>
          <w:rFonts w:ascii="宋体" w:hAnsi="宋体"/>
        </w:rPr>
        <w:t>2007年4月对全市行政事业单位进行资产清查，资产清查工作基准日是2006年12月31日，清查一级单位73个，下属单位125个。汇总资产总额账面值为112，742万元，清查值为113，055万元；汇总负债总额账面值为29，949万元，清查值为3，026万元：汇总净资产总额账面值为82，806万元，清查值为82，806万元。</w:t>
      </w:r>
    </w:p>
    <w:p w14:paraId="007B26BB">
      <w:pPr>
        <w:ind w:firstLine="420"/>
        <w:rPr>
          <w:rFonts w:ascii="宋体" w:hAnsi="宋体"/>
        </w:rPr>
      </w:pPr>
      <w:r>
        <w:rPr>
          <w:rFonts w:ascii="宋体" w:hAnsi="宋体"/>
        </w:rPr>
        <w:t>2010年市公共资产管理中心进入产权交易评估的处置资产共154宗，评估价值为2065万元，拍卖成交总价值为2421万元，增值356万元，增长率为17%。其中：16宗均为单位使用年限较长的残旧车辆，其余138宗为原建安总公司门店。</w:t>
      </w:r>
    </w:p>
    <w:p w14:paraId="03488AAC">
      <w:pPr>
        <w:pStyle w:val="4"/>
      </w:pPr>
      <w:r>
        <w:t>【开展城市经营项目推介】</w:t>
      </w:r>
    </w:p>
    <w:p w14:paraId="10AAC758">
      <w:pPr>
        <w:ind w:firstLine="420"/>
        <w:rPr>
          <w:rFonts w:ascii="宋体" w:hAnsi="宋体"/>
        </w:rPr>
      </w:pPr>
      <w:r>
        <w:rPr>
          <w:rFonts w:ascii="宋体" w:hAnsi="宋体"/>
        </w:rPr>
        <w:t>2005年，南雄市委、市政府提出“统管资产、融资运作综合经营、滚动发展”、“北扩东移，西建南绿”及“引进来”“走出去”的发展战略，南雄市公共资产管理中心下属南雄市国有资产投资有限责任公司于2009年投资国道老323线穿城段综合配套改造工程（第一期）项目，项目投资总额约2850万元。项目主要建设内容包括：（1）人行道铺装面积约9万平方米；（2）人行道绿化面积7000平方米；（3）综合管沟整治7560米；（4）安装路灯262盏；（5）对改造道路被损坏的路肩进行修复。该改造项目计划从2009年8月开始动工建设，建设期为12个月。改造的国道老323线从古市路口至水南桥段全长6200米，原为穿越城区的国道公路，新修建的国道323线改道后，属市政道路性质。国道老323线穿城段作为主要的市政道路，既是城市基础设施发展的需要，也是旅游经济发展的需要。对原有道路进行改造，提升道路等级，美化路容路貌，作为城区另一条东西贯通的大动脉，往西通过可接南雄市精细化工基地，往东可连通南雄市汽车站。</w:t>
      </w:r>
    </w:p>
    <w:p w14:paraId="162F5B36">
      <w:pPr>
        <w:ind w:firstLine="420"/>
        <w:rPr>
          <w:rFonts w:ascii="宋体" w:hAnsi="宋体"/>
        </w:rPr>
      </w:pPr>
      <w:r>
        <w:rPr>
          <w:rFonts w:ascii="宋体" w:hAnsi="宋体"/>
        </w:rPr>
        <w:t>国家《广播电视科技“十五”计划和2010年远景规划》，在2010年要全面实现数字广播电视。结合广电科技发展形势和南雄实际，公共资产管理中心下属南雄市国有资产投资有限责任公司受市政府的委托，于2010年投资建设南雄市有线数字电视整体转换工程。该工程项目投资总额2149万元，用于数字电视前端平台等项目整套设备的添置、网络安装及系统调试。2010年底此项目正式开通运行。</w:t>
      </w:r>
    </w:p>
    <w:p w14:paraId="4E09D345">
      <w:pPr>
        <w:ind w:firstLine="420"/>
        <w:rPr>
          <w:rFonts w:ascii="宋体" w:hAnsi="宋体"/>
        </w:rPr>
      </w:pPr>
      <w:r>
        <w:rPr>
          <w:rFonts w:ascii="宋体" w:hAnsi="宋体"/>
        </w:rPr>
        <w:t>2010年由南雄市公共资产管理中心下属南雄市城市建设投资有限责任公司建设南雄市新城影剧院工程项目。该项目正在筹建之中，进展顺利。南雄市新城影剧院即可以为全市人民提供一个兼有电影文化消费、文艺欣赏娱乐活动，又可以改善周边生态环境和人文景观，美化城市面貌，提高南雄市的城市品味，进而带动全市旅游业、餐饮业的发展，扩大内需、拉动消费，促进南雄市的经济发展。</w:t>
      </w:r>
    </w:p>
    <w:p w14:paraId="3DE8B684">
      <w:pPr>
        <w:ind w:firstLine="420"/>
        <w:jc w:val="right"/>
        <w:rPr>
          <w:rFonts w:ascii="宋体" w:hAnsi="宋体"/>
        </w:rPr>
      </w:pPr>
      <w:r>
        <w:rPr>
          <w:rFonts w:ascii="宋体" w:hAnsi="宋体"/>
        </w:rPr>
        <w:t>（钟伟）</w:t>
      </w:r>
    </w:p>
    <w:p w14:paraId="28FE9374">
      <w:pPr>
        <w:ind w:firstLine="422"/>
        <w:rPr>
          <w:rFonts w:ascii="宋体" w:hAnsi="宋体"/>
          <w:b/>
          <w:bCs/>
        </w:rPr>
      </w:pPr>
      <w:r>
        <w:rPr>
          <w:rFonts w:ascii="宋体" w:hAnsi="宋体"/>
          <w:b/>
          <w:bCs/>
        </w:rPr>
        <w:t>附：2010年公共资产管理中心领导班子成员名单</w:t>
      </w:r>
    </w:p>
    <w:p w14:paraId="18D583CA">
      <w:pPr>
        <w:ind w:firstLine="422"/>
        <w:rPr>
          <w:rFonts w:ascii="宋体" w:hAnsi="宋体"/>
        </w:rPr>
      </w:pPr>
      <w:r>
        <w:rPr>
          <w:rFonts w:ascii="宋体" w:hAnsi="宋体"/>
          <w:b/>
          <w:bCs/>
        </w:rPr>
        <w:t>主</w:t>
      </w:r>
      <w:r>
        <w:rPr>
          <w:rFonts w:hint="eastAsia" w:ascii="宋体" w:hAnsi="宋体"/>
          <w:b/>
          <w:bCs/>
        </w:rPr>
        <w:t xml:space="preserve">  </w:t>
      </w:r>
      <w:r>
        <w:rPr>
          <w:rFonts w:ascii="宋体" w:hAnsi="宋体"/>
          <w:b/>
          <w:bCs/>
        </w:rPr>
        <w:t>任：</w:t>
      </w:r>
      <w:r>
        <w:rPr>
          <w:rFonts w:ascii="宋体" w:hAnsi="宋体"/>
        </w:rPr>
        <w:t>陈显常</w:t>
      </w:r>
    </w:p>
    <w:p w14:paraId="08D2B400">
      <w:pPr>
        <w:ind w:firstLine="422"/>
        <w:rPr>
          <w:rFonts w:ascii="宋体" w:hAnsi="宋体"/>
        </w:rPr>
      </w:pPr>
      <w:r>
        <w:rPr>
          <w:rFonts w:ascii="宋体" w:hAnsi="宋体"/>
          <w:b/>
          <w:bCs/>
        </w:rPr>
        <w:t>副主任：</w:t>
      </w:r>
      <w:r>
        <w:rPr>
          <w:rFonts w:ascii="宋体" w:hAnsi="宋体"/>
        </w:rPr>
        <w:t>屈远华</w:t>
      </w:r>
    </w:p>
    <w:p w14:paraId="11838F99">
      <w:pPr>
        <w:pStyle w:val="2"/>
      </w:pPr>
      <w:r>
        <w:t>工业</w:t>
      </w:r>
    </w:p>
    <w:p w14:paraId="7D46C1C0">
      <w:pPr>
        <w:pStyle w:val="3"/>
      </w:pPr>
      <w:r>
        <w:t>电力工业</w:t>
      </w:r>
    </w:p>
    <w:p w14:paraId="0B7882C0">
      <w:pPr>
        <w:pStyle w:val="4"/>
      </w:pPr>
      <w:r>
        <w:t>【概况】</w:t>
      </w:r>
    </w:p>
    <w:p w14:paraId="12CA3644">
      <w:pPr>
        <w:ind w:firstLine="420"/>
        <w:rPr>
          <w:rFonts w:ascii="宋体" w:hAnsi="宋体"/>
        </w:rPr>
      </w:pPr>
      <w:r>
        <w:rPr>
          <w:rFonts w:ascii="宋体" w:hAnsi="宋体"/>
        </w:rPr>
        <w:t>南雄供电局共有在册员工438人，有12个部门，其中有行政职能部门7个、党群部门2个、二级执行部门3个。2003年12月供电局进行企业人事、劳动、分配三项制度改革，设立人力资源部、财务部、办公室、政工部、工会、市场及客户服务部、调度中心、生技部、安监部、输电部、变电部、总公司、路灯所等13个新的组织机构。南雄供电局完成电网建设与改造投资5.7亿元；完成售电量2.72亿千瓦时，同比增长25.3%；供电可靠率99.62%，同比提高0.252个百分点，用户平均停电时间33.281小时，同比减少22.057小时；线损率4.35%。辖变电站共10座，其中220千伏站1座，110千伏站5座，35千伏站4座，主变容量50.375万千伏安。35千伏及以上输电线路总长357.904千米。</w:t>
      </w:r>
    </w:p>
    <w:p w14:paraId="18566514">
      <w:pPr>
        <w:pStyle w:val="4"/>
      </w:pPr>
      <w:r>
        <w:t>【安全管理】</w:t>
      </w:r>
    </w:p>
    <w:p w14:paraId="3BAC49B4">
      <w:pPr>
        <w:ind w:firstLine="420"/>
        <w:rPr>
          <w:rFonts w:ascii="宋体" w:hAnsi="宋体"/>
        </w:rPr>
      </w:pPr>
      <w:r>
        <w:rPr>
          <w:rFonts w:ascii="宋体" w:hAnsi="宋体"/>
        </w:rPr>
        <w:t>全面推进安全生产风险管理体系建设，对已成熟的110千伏、35千伏变电站进行整合实行无人值守，加强对新建配网的安全管理工作，严格执行第三方监督制度，全年没有发生上级对新建配网工程人身伤亡考核事故。至2010年底，实现连续安全运行2904天。</w:t>
      </w:r>
    </w:p>
    <w:p w14:paraId="35092CBC">
      <w:pPr>
        <w:pStyle w:val="4"/>
      </w:pPr>
      <w:r>
        <w:t>【电网建设】</w:t>
      </w:r>
    </w:p>
    <w:p w14:paraId="2EA72AD4">
      <w:pPr>
        <w:ind w:firstLine="420"/>
        <w:rPr>
          <w:rFonts w:ascii="宋体" w:hAnsi="宋体"/>
        </w:rPr>
      </w:pPr>
      <w:r>
        <w:rPr>
          <w:rFonts w:ascii="宋体" w:hAnsi="宋体"/>
        </w:rPr>
        <w:t>确立客户至上的电网规划指导思想，将电网规划的出发点和落脚点放在满足用户需求上；编制完成《南雄“十二五”电网规划》和《南雄“十二五”配网规划》；整合电网建设资源，推行属地化管理；开展“安全、优质、文明”样板工地建设；完成电网建设与改造投资5.7亿元，为历史之最；建成并投产220千伏珠玑输变电工程，新增变电容量18万千伏安，新增输电线路169千米，该工程荣获广东电网公司“安全、优质、文明”样板工程称号，并在南方电网公司110千伏—220千伏变电工程专项质量评比中获得第二名的好成绩。</w:t>
      </w:r>
    </w:p>
    <w:p w14:paraId="35A9268B">
      <w:pPr>
        <w:pStyle w:val="4"/>
      </w:pPr>
      <w:r>
        <w:t>【供用电管理】</w:t>
      </w:r>
    </w:p>
    <w:p w14:paraId="46A21AE4">
      <w:pPr>
        <w:ind w:firstLine="420"/>
        <w:rPr>
          <w:rFonts w:ascii="宋体" w:hAnsi="宋体"/>
        </w:rPr>
      </w:pPr>
      <w:r>
        <w:rPr>
          <w:rFonts w:ascii="宋体" w:hAnsi="宋体"/>
        </w:rPr>
        <w:t>推进营配一体化信息系统建设，完善配网基础数据和客户信息档案，明确“站—线—变—户”的一一对应工作；通过计量自动化系统实现对低压客户停电时间的精确化、自动化统计；坚持停电平衡分析会议，严格审核停电计划，重点狠抓重复停电、临时停电和延时停、送电管理，根据年度可靠性指标合理安排停电计划，切实做到“先算后用，边用边算，用后复算”；对10千伏馈线临时停电全部实行主管生产局领导“一支笔”审批；严格执行快速抢修复电机制，加强故障抢修到达现场时限管理考核，提高抢修服务效率，实现故障后快速复电，向客户提高更加可靠、优质的电力供应。</w:t>
      </w:r>
    </w:p>
    <w:p w14:paraId="29C8A423">
      <w:pPr>
        <w:pStyle w:val="4"/>
      </w:pPr>
      <w:r>
        <w:t>【客户服务】</w:t>
      </w:r>
    </w:p>
    <w:p w14:paraId="05BF53F5">
      <w:pPr>
        <w:ind w:firstLine="420"/>
        <w:rPr>
          <w:rFonts w:ascii="宋体" w:hAnsi="宋体"/>
        </w:rPr>
      </w:pPr>
      <w:r>
        <w:rPr>
          <w:rFonts w:ascii="宋体" w:hAnsi="宋体"/>
        </w:rPr>
        <w:t>聘请180个村委会干部为行风监督员兼供电服务信息联络员，进一步完善供电企业与基层组织、客户代表为主体的沟通桥梁；在城区所有小区、乡镇各村委会安装供电服务意见箱和供电服务信息公告栏，对计划停电通知和安全用电知识等进行装贴宣传；对客户发放供电服务便民卡，在该卡上公布供电所办公电话和所长及相关人员的联系电话，方便客户在用电业务咨询和故障报修等工作上直接、及时与当地供电所取得联系，提高供电服务质量和效率。</w:t>
      </w:r>
    </w:p>
    <w:p w14:paraId="1D4696DB">
      <w:pPr>
        <w:ind w:firstLine="420"/>
        <w:jc w:val="right"/>
        <w:rPr>
          <w:rFonts w:ascii="宋体" w:hAnsi="宋体"/>
        </w:rPr>
      </w:pPr>
      <w:r>
        <w:rPr>
          <w:rFonts w:ascii="宋体" w:hAnsi="宋体"/>
        </w:rPr>
        <w:t>（刘志明）</w:t>
      </w:r>
    </w:p>
    <w:p w14:paraId="6A8CE515">
      <w:pPr>
        <w:ind w:firstLine="422"/>
        <w:rPr>
          <w:rFonts w:ascii="宋体" w:hAnsi="宋体"/>
          <w:b/>
          <w:bCs/>
        </w:rPr>
      </w:pPr>
      <w:r>
        <w:rPr>
          <w:rFonts w:ascii="宋体" w:hAnsi="宋体"/>
          <w:b/>
          <w:bCs/>
        </w:rPr>
        <w:t>附：2010年供电局领导班子成员名单</w:t>
      </w:r>
    </w:p>
    <w:p w14:paraId="52DD6C2E">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曾子南</w:t>
      </w:r>
    </w:p>
    <w:p w14:paraId="617CC664">
      <w:pPr>
        <w:ind w:firstLine="422"/>
        <w:rPr>
          <w:rFonts w:ascii="宋体" w:hAnsi="宋体"/>
        </w:rPr>
      </w:pPr>
      <w:r>
        <w:rPr>
          <w:rFonts w:ascii="宋体" w:hAnsi="宋体"/>
          <w:b/>
          <w:bCs/>
        </w:rPr>
        <w:t>工会主席、纪委书记：</w:t>
      </w:r>
      <w:r>
        <w:rPr>
          <w:rFonts w:ascii="宋体" w:hAnsi="宋体"/>
        </w:rPr>
        <w:t>黄立华</w:t>
      </w:r>
    </w:p>
    <w:p w14:paraId="4D46333D">
      <w:pPr>
        <w:ind w:firstLine="422"/>
        <w:rPr>
          <w:rFonts w:ascii="宋体" w:hAnsi="宋体"/>
        </w:rPr>
      </w:pPr>
      <w:r>
        <w:rPr>
          <w:rFonts w:ascii="宋体" w:hAnsi="宋体"/>
          <w:b/>
          <w:bCs/>
        </w:rPr>
        <w:t>副局长：</w:t>
      </w:r>
      <w:r>
        <w:rPr>
          <w:rFonts w:ascii="宋体" w:hAnsi="宋体"/>
        </w:rPr>
        <w:t>杨中柱</w:t>
      </w:r>
      <w:r>
        <w:rPr>
          <w:rFonts w:hint="eastAsia" w:ascii="宋体" w:hAnsi="宋体"/>
        </w:rPr>
        <w:t xml:space="preserve">  </w:t>
      </w:r>
      <w:r>
        <w:rPr>
          <w:rFonts w:ascii="宋体" w:hAnsi="宋体"/>
        </w:rPr>
        <w:t>叶向红</w:t>
      </w:r>
    </w:p>
    <w:p w14:paraId="334CCF18">
      <w:pPr>
        <w:pStyle w:val="3"/>
      </w:pPr>
      <w:r>
        <w:t>二轻工业</w:t>
      </w:r>
    </w:p>
    <w:p w14:paraId="28A4C189">
      <w:pPr>
        <w:pStyle w:val="4"/>
      </w:pPr>
      <w:r>
        <w:t>【概况】</w:t>
      </w:r>
    </w:p>
    <w:p w14:paraId="53FC3EAB">
      <w:pPr>
        <w:ind w:firstLine="420"/>
        <w:rPr>
          <w:rFonts w:ascii="宋体" w:hAnsi="宋体"/>
        </w:rPr>
      </w:pPr>
      <w:r>
        <w:rPr>
          <w:rFonts w:ascii="宋体" w:hAnsi="宋体"/>
        </w:rPr>
        <w:t>南雄市二轻工业总公司（城镇集体企业联社）是政府授权管理二轻系统行政和集体资产的市直机关单位，2008年9月“南雄市二轻集体企业联社”更名为“南雄市城镇集体企业联社”与南雄市二轻工业总公司合署办公。实行一套人员二块牌子办公，块块与条条共管体制，现有在职干部、职工9人。南雄市二轻工业总公司为市政府直辖正科级行政性管理机关；南雄市城镇集体企业联社为“广东省城镇集体企业联社章程”规范的集体资产管理法人单位。南雄市二轻工业总公司（简称二轻总）本部编制设：党政办公室、政保股、企管股、社保办公室、工会工作委员会和二轻系统转制办公室；南雄市城镇集体企业联社（简称城镇联社）为法人单位，按照广东省城镇集体企业联社《章程》，行使对所属成员企业的“指导、维护、监督、协调、服务”等工作职能。</w:t>
      </w:r>
    </w:p>
    <w:p w14:paraId="676F7809">
      <w:pPr>
        <w:pStyle w:val="4"/>
      </w:pPr>
      <w:r>
        <w:t>【主要工作】</w:t>
      </w:r>
    </w:p>
    <w:p w14:paraId="4D0470FC">
      <w:pPr>
        <w:ind w:firstLine="420"/>
        <w:rPr>
          <w:rFonts w:ascii="宋体" w:hAnsi="宋体"/>
        </w:rPr>
      </w:pPr>
      <w:r>
        <w:rPr>
          <w:rFonts w:ascii="宋体" w:hAnsi="宋体"/>
        </w:rPr>
        <w:t>2003年6月，启动化工厂、二轻工艺厂、木制品厂、铝制品厂、机械厂、木器厂、棉织厂、制衣厂、竹制工艺厂、副食品厂、制鞋厂、民间工艺厂、二轻供销公司、二轻幼儿园共14个成员单位转制分流工作。全系统下属企业干部、职工共572人（其中合同制职工241人）分期、分批领取经济补偿金，与用人单位解除劳动合同关系。至2006年9月，南雄市二轻工业总公司（联社）所有企业转制工作按照企业转制的相关规定全面完成。2010年，为全面安置好二轻工业总公司（联社）人员和处理好资产，同年11月30日，市府常务会议通过“关于解决二轻工业总公司及其下属企业的历史遗留问题”的决议，确定南雄市二轻工业总公司“人员安置和资产移交”的基本原则。</w:t>
      </w:r>
    </w:p>
    <w:p w14:paraId="59258FBE">
      <w:pPr>
        <w:ind w:firstLine="420"/>
        <w:jc w:val="right"/>
        <w:rPr>
          <w:rFonts w:ascii="宋体" w:hAnsi="宋体"/>
        </w:rPr>
      </w:pPr>
      <w:r>
        <w:rPr>
          <w:rFonts w:ascii="宋体" w:hAnsi="宋体"/>
        </w:rPr>
        <w:t>（廖宣玲）</w:t>
      </w:r>
    </w:p>
    <w:p w14:paraId="6A33451C">
      <w:pPr>
        <w:ind w:firstLine="422"/>
        <w:rPr>
          <w:rFonts w:ascii="宋体" w:hAnsi="宋体"/>
          <w:b/>
          <w:bCs/>
        </w:rPr>
      </w:pPr>
      <w:r>
        <w:rPr>
          <w:rFonts w:ascii="宋体" w:hAnsi="宋体"/>
          <w:b/>
          <w:bCs/>
        </w:rPr>
        <w:t>附：2010年二轻工业总公司领导班子成员名单</w:t>
      </w:r>
    </w:p>
    <w:p w14:paraId="52EF4360">
      <w:pPr>
        <w:ind w:firstLine="422"/>
        <w:rPr>
          <w:rFonts w:ascii="宋体" w:hAnsi="宋体"/>
        </w:rPr>
      </w:pPr>
      <w:r>
        <w:rPr>
          <w:rFonts w:ascii="宋体" w:hAnsi="宋体"/>
          <w:b/>
          <w:bCs/>
        </w:rPr>
        <w:t>总经理（主任）：</w:t>
      </w:r>
      <w:r>
        <w:rPr>
          <w:rFonts w:ascii="宋体" w:hAnsi="宋体"/>
        </w:rPr>
        <w:t>刘传金</w:t>
      </w:r>
    </w:p>
    <w:p w14:paraId="6BB9100C">
      <w:pPr>
        <w:ind w:firstLine="422"/>
        <w:rPr>
          <w:rFonts w:ascii="宋体" w:hAnsi="宋体"/>
        </w:rPr>
      </w:pPr>
      <w:r>
        <w:rPr>
          <w:rFonts w:ascii="宋体" w:hAnsi="宋体"/>
          <w:b/>
          <w:bCs/>
        </w:rPr>
        <w:t>工会主席：</w:t>
      </w:r>
      <w:r>
        <w:rPr>
          <w:rFonts w:ascii="宋体" w:hAnsi="宋体"/>
        </w:rPr>
        <w:t>董世雄</w:t>
      </w:r>
    </w:p>
    <w:p w14:paraId="0422D2A2">
      <w:pPr>
        <w:pStyle w:val="3"/>
      </w:pPr>
      <w:r>
        <w:t>东莞大岭山（南雄）产业转移工业园</w:t>
      </w:r>
    </w:p>
    <w:p w14:paraId="0658E396">
      <w:pPr>
        <w:pStyle w:val="4"/>
      </w:pPr>
      <w:r>
        <w:t>【机构与人员】</w:t>
      </w:r>
    </w:p>
    <w:p w14:paraId="2D3D93FD">
      <w:pPr>
        <w:ind w:firstLine="420"/>
        <w:rPr>
          <w:rFonts w:ascii="宋体" w:hAnsi="宋体"/>
        </w:rPr>
      </w:pPr>
      <w:r>
        <w:rPr>
          <w:rFonts w:ascii="宋体" w:hAnsi="宋体"/>
        </w:rPr>
        <w:t>管理处作为南雄市政府的直属事业单位，核实编制人员18人，班子成员一正、三副，中层职数5人，设办公室、基建股、企业股、招商服务股、融资股5个股室。各部门职责：①办公室：负责协调内部工作关系，制订工作制度；负责重要会议组织和会议决定事项的落实；负责文秘、保密、接待、信访、信息、宣传教育工作；负责机关的行政事务、后勤服务；负责管理处的组织、人事、劳动工资、党务、计划生育工作等；②招商服务股：负责招商引资、投资洽谈、项目策划、包装、储备等和产业政策、企业布局、网络信息、跟踪在谈企业；协助落实招商引资优惠及奖励政策；③基建股；负责编制园区中长期发展规划和年度计划，并组织实施；土地征地拆迁、基础设施建设工作；工程项目的勘察设计、建设、质量监督、计量审核工作；④企业股：配合环保、安全生产监督、消防部门按照有关环境保护、化学危险物品安全管理的法律法规，在园区内落实封闭管理的具体措施；负责对园区内企业进行跟踪服务，协调解决相关纠纷；已设立的南雄精细化工园区安全生产管理站在企业股挂牌；⑤融资服务股：根据园区的建设规划需要，筹措建设管理资金，配合入园企业建设经营的需求，搭建融资服务平台。</w:t>
      </w:r>
    </w:p>
    <w:p w14:paraId="5459EF4E">
      <w:pPr>
        <w:pStyle w:val="4"/>
      </w:pPr>
      <w:r>
        <w:t>【园区规划与建设】</w:t>
      </w:r>
    </w:p>
    <w:p w14:paraId="7AEF9497">
      <w:pPr>
        <w:ind w:firstLine="420"/>
        <w:rPr>
          <w:rFonts w:ascii="宋体" w:hAnsi="宋体"/>
        </w:rPr>
      </w:pPr>
      <w:r>
        <w:rPr>
          <w:rFonts w:ascii="宋体" w:hAnsi="宋体"/>
        </w:rPr>
        <w:t>东莞大岭山（南雄）产业转移工业园规划总面积约11782亩，分两期进行开发。其中，园区一期地处南雄市西南部，新国道323线贯穿整个园区，与韶赣高速公路出入口、韶赣铁路规划南雄火车站相邻，50分钟车程可抵达赣州机场。地理位置优越，有对接“长三角”，承接“珠三角”产业转移的良好区位优势。一期规划面积约6070亩，以精细化工为主导产业，截至2010年底，引进精细化工及配套企业91家，总投资37.45亿元，企业大部分来自我省珠三角产业转移地区，产品涉及树脂、涂料、油墨等精细化工产品，产业集聚功能凸显。</w:t>
      </w:r>
    </w:p>
    <w:p w14:paraId="3B64A037">
      <w:pPr>
        <w:ind w:firstLine="420"/>
        <w:rPr>
          <w:rFonts w:ascii="宋体" w:hAnsi="宋体"/>
        </w:rPr>
      </w:pPr>
      <w:r>
        <w:rPr>
          <w:rFonts w:ascii="宋体" w:hAnsi="宋体"/>
        </w:rPr>
        <w:t>园区二期位于南雄市区北郊，距市区约3.5公里，与园区一期相距4公里，韶赣高速公路、韶赣铁路从园区南面经过。规划总面积约5712亩，以精细化工、电气机械及器材制造为主导产业，计划安排企业110家，力争引进国内外具有重大影响力的龙头企业，提升园区档次，推进产业聚集。</w:t>
      </w:r>
    </w:p>
    <w:p w14:paraId="45C8C6DB">
      <w:pPr>
        <w:ind w:firstLine="420"/>
        <w:rPr>
          <w:rFonts w:ascii="宋体" w:hAnsi="宋体"/>
        </w:rPr>
      </w:pPr>
      <w:r>
        <w:rPr>
          <w:rFonts w:ascii="宋体" w:hAnsi="宋体"/>
        </w:rPr>
        <w:t>该工业园的开发建设，已成为当地工业经济快速发展的强力推手，对南雄经济发展和劳动力就业起着积极的拉动作用。2010年园区各项经济指标均高于全市平均水平，21家投试产企业累计完成工业总产值11.66亿元，同比增长239.5%，占全市的30.6%；实现工业增加值2亿元，同比增长192.31%，占全市工业增加值的34.1%；完成工业税收5330.8万元，同比增长1348.39%，占全市工业税收13.0%；创造工业税收增量为4962.75万元，占全市工业税收增量的70.9%；主导产业工业总产值为9.8亿元，占园区工业总产值的84.01%；产出密度（万元工业增加值）为50.57万元/亩，万元工业增加值能耗0.55吨标准煤，低于全市万元工业增加值能耗1.24吨标准煤。</w:t>
      </w:r>
    </w:p>
    <w:p w14:paraId="39B2CEB3">
      <w:pPr>
        <w:ind w:firstLine="420"/>
        <w:rPr>
          <w:rFonts w:ascii="宋体" w:hAnsi="宋体"/>
        </w:rPr>
      </w:pPr>
      <w:r>
        <w:rPr>
          <w:rFonts w:ascii="宋体" w:hAnsi="宋体"/>
        </w:rPr>
        <w:t>2010年，园区开发建设和招商引资工作取得丰硕成果，得到各级领导的高度赞扬。1月14日，省“双转移”粤北地区现场会在韶关召开，与会各级领导视察市园区，对南雄破除“等、靠、要”思想，以招商引资促产业集聚的发展思路留下深刻印象。汪洋书记、黄华华省长等领导认为南雄的干部闯出“南雄思路”，干出“南雄速度”，体现了“南雄干劲”，打造“南雄服务”，成为欠发达地区县市探索产业集聚的一张名片；3月份，经省人民政府同意认定为省产业转移工业园，南雄市园区成为全省产业转移工业园中产业集聚度较高、较专业的化工园区；5月13日，全省产业转移工作经验交流会在园区召开，园区建设经验在大会上做了介绍；11月25日，在竞争省专业性产业转移工业园建设扶持资金中，南雄市园区从参与竞标的省级产业转移工业园中脱颖而出，以综合得分第一名顺利竞得1亿元扶持资金。</w:t>
      </w:r>
    </w:p>
    <w:p w14:paraId="6C161079">
      <w:pPr>
        <w:pStyle w:val="4"/>
      </w:pPr>
      <w:r>
        <w:t>【招商引资工作】</w:t>
      </w:r>
    </w:p>
    <w:p w14:paraId="175672D7">
      <w:pPr>
        <w:ind w:firstLine="420"/>
        <w:rPr>
          <w:rFonts w:ascii="宋体" w:hAnsi="宋体"/>
        </w:rPr>
      </w:pPr>
      <w:r>
        <w:rPr>
          <w:rFonts w:ascii="宋体" w:hAnsi="宋体"/>
        </w:rPr>
        <w:t>园区招商导向以培育精细化工特色产业、形成产业集群为重点，加大招商引资力度，掀起招商引资高潮，取得前所未有的佳绩。2010年新引入项目33个，投资总额20.25亿元，同比增长26.17%，其中实际利用外资1803万美元，同比增长10.21%。在产业规划上注重产业集聚度，促进用地集约发展，拉长产业链条，培育优势产业，提高园区整体效益。招商实现了“三个新突破”：一是特色产业招商实现新突破，2010年引进的项目中，大部分为精细化工项目；二是配套企业引进实现新突破，引进华电国际集团，为园区企业提供热电冷三联供配套服务，节约企业投资成本，为企业发展壮大打下良好的基础；三是项目引入质量实现新突破，严格执行《东莞大岭山（南雄）产业转移工业园项目准入标准实施暂行办法》的规定，严把项目引进质量关，突出项目投资强度和土地产出率，要求每亩投资强度达到100万元以上，每亩产生的税收达到5万元以上，对于有污染或产出率底的项目，坚决拒之门外，入园项目质量明显提高。</w:t>
      </w:r>
    </w:p>
    <w:p w14:paraId="204AB5F7">
      <w:pPr>
        <w:pStyle w:val="4"/>
      </w:pPr>
      <w:r>
        <w:t>【重点项目】</w:t>
      </w:r>
    </w:p>
    <w:p w14:paraId="329DC7F5">
      <w:pPr>
        <w:ind w:firstLine="420"/>
        <w:rPr>
          <w:rFonts w:ascii="宋体" w:hAnsi="宋体"/>
        </w:rPr>
      </w:pPr>
      <w:r>
        <w:rPr>
          <w:rFonts w:ascii="宋体" w:hAnsi="宋体"/>
        </w:rPr>
        <w:t>园区基础设施日益完善，累计投入约5亿元，截至2010年底，基本完成土地平整、水泥道路硬化、供水管道铺设、供电线路架设、路灯安装、排水渠道建设、道路绿化等设施，信息互动平台、应急救援中心、警务室、污水处理厂等相关配套相继投入使用；中科院广州化学研究院南雄分院和省级技术质量监督服务站正在建设之中。园区基础设施，由园区管理处和广东南雄金泰源投资有限公司共建，管理处负责落实基础设施建设进度，加强对金泰源投资有限公司建设情况的监督，督促该公司按照共建合同加大投资力度，完善各项基础配套工程建设，全力满足企业建设需要。污水处理厂，投资总额为900万元，占地面积11.3亩，其中建筑面积约1300平方米。该厂由中山市环保实业有限公司设计，由南雄市政建设有限公司、广东新大禹环境工程有限公司承建。2009年8月5日动工建设，2010年底全面完工。污水处理厂污水处理采用“物化+生化”先进处理工艺，综合废水日处理2000吨，能够处理园区所有企业排放的生活、工业污水，污水处理后可达到广东省规定的一级排放标准。消防应急救援中心，成立于2010年11月，位于老国道323线旁，距园区最远企业不超过1000米。配备合同制消防队员18名，人员全部来自退伍军人，经过专业的消防训练，并配有消防车3辆及其他消防设施设备一批。目前，消防应急救援中心已与园区各企业联网，一旦发生紧急情况，队员可在3分钟内赶到事故现场。省质量监督精细化工产品检验中心，总投资400万元，位于老国道323线旁，与园区应急救援中心相邻，占地面积20亩，其中建筑面积2122平方米，为四层框架结构。为确保工程质量，该项目建设进行公开招投标，由南雄市市政工程建设有限公司承建，预计2011年投入使用。</w:t>
      </w:r>
    </w:p>
    <w:p w14:paraId="38AF7F92">
      <w:pPr>
        <w:pStyle w:val="4"/>
      </w:pPr>
      <w:r>
        <w:t>【园区管理】</w:t>
      </w:r>
    </w:p>
    <w:p w14:paraId="3CABFC1D">
      <w:pPr>
        <w:ind w:firstLine="420"/>
        <w:rPr>
          <w:rFonts w:ascii="宋体" w:hAnsi="宋体"/>
        </w:rPr>
      </w:pPr>
      <w:r>
        <w:rPr>
          <w:rFonts w:ascii="宋体" w:hAnsi="宋体"/>
        </w:rPr>
        <w:t>为贯彻落实省“双转移”战略，推动市产业转移工业园建设工作的领导和管理，2009年4月，南雄市委、市政府决定成立南雄市精细化工基地管理处。2011年6月，经市机构编制委员会批准，更名为东莞大岭山（南雄）产业转移工业园管理处。管理处主要职责：①负责制定产业转移工业园发展规划，行政管理措施并组织实施；②负责产业转移工业园招商引资工作，为投资者和企业提供咨询服务；③负责落户产业转移工业园企业或项目的用地以及基础设施建设用地（包括用地位置与面积）的安排；④负责产业转移工业园资金的筹集、管理和使用；⑤负责产业转移工业园的环境保护工作，防治污染；⑥负责产业转移工业园的社会治安管理工作；⑦负责产业转移工业园开发的管理与监督；⑧完成市委、市政府交办的其他工作。</w:t>
      </w:r>
    </w:p>
    <w:p w14:paraId="7C5773D5">
      <w:pPr>
        <w:ind w:firstLine="420"/>
        <w:jc w:val="right"/>
        <w:rPr>
          <w:rFonts w:ascii="宋体" w:hAnsi="宋体"/>
        </w:rPr>
      </w:pPr>
      <w:r>
        <w:rPr>
          <w:rFonts w:ascii="宋体" w:hAnsi="宋体"/>
        </w:rPr>
        <w:t>（叶红大）</w:t>
      </w:r>
    </w:p>
    <w:p w14:paraId="7985E342">
      <w:pPr>
        <w:ind w:firstLine="422"/>
        <w:rPr>
          <w:rFonts w:ascii="宋体" w:hAnsi="宋体"/>
          <w:b/>
          <w:bCs/>
        </w:rPr>
      </w:pPr>
      <w:r>
        <w:rPr>
          <w:rFonts w:ascii="宋体" w:hAnsi="宋体"/>
          <w:b/>
          <w:bCs/>
        </w:rPr>
        <w:t>附：2010年东莞大岭山（南雄）产业转移工业园管理处领导班子成员名单</w:t>
      </w:r>
    </w:p>
    <w:p w14:paraId="4FDA2DB3">
      <w:pPr>
        <w:ind w:firstLine="422"/>
        <w:rPr>
          <w:rFonts w:ascii="宋体" w:hAnsi="宋体"/>
        </w:rPr>
      </w:pPr>
      <w:r>
        <w:rPr>
          <w:rFonts w:ascii="宋体" w:hAnsi="宋体"/>
          <w:b/>
          <w:bCs/>
        </w:rPr>
        <w:t>主</w:t>
      </w:r>
      <w:r>
        <w:rPr>
          <w:rFonts w:hint="eastAsia" w:ascii="宋体" w:hAnsi="宋体"/>
          <w:b/>
          <w:bCs/>
        </w:rPr>
        <w:t xml:space="preserve">  </w:t>
      </w:r>
      <w:r>
        <w:rPr>
          <w:rFonts w:ascii="宋体" w:hAnsi="宋体"/>
          <w:b/>
          <w:bCs/>
        </w:rPr>
        <w:t>任：</w:t>
      </w:r>
      <w:r>
        <w:rPr>
          <w:rFonts w:ascii="宋体" w:hAnsi="宋体"/>
        </w:rPr>
        <w:t>何天山</w:t>
      </w:r>
    </w:p>
    <w:p w14:paraId="06A73CD8">
      <w:pPr>
        <w:ind w:firstLine="422"/>
        <w:rPr>
          <w:rFonts w:ascii="宋体" w:hAnsi="宋体"/>
        </w:rPr>
      </w:pPr>
      <w:r>
        <w:rPr>
          <w:rFonts w:ascii="宋体" w:hAnsi="宋体"/>
          <w:b/>
          <w:bCs/>
        </w:rPr>
        <w:t>副主任：</w:t>
      </w:r>
      <w:r>
        <w:rPr>
          <w:rFonts w:ascii="宋体" w:hAnsi="宋体"/>
        </w:rPr>
        <w:t>李</w:t>
      </w:r>
      <w:r>
        <w:rPr>
          <w:rFonts w:hint="eastAsia" w:ascii="宋体" w:hAnsi="宋体"/>
        </w:rPr>
        <w:t xml:space="preserve">  </w:t>
      </w:r>
      <w:r>
        <w:rPr>
          <w:rFonts w:ascii="宋体" w:hAnsi="宋体"/>
        </w:rPr>
        <w:t>进</w:t>
      </w:r>
    </w:p>
    <w:p w14:paraId="55FC50A8">
      <w:pPr>
        <w:pStyle w:val="2"/>
      </w:pPr>
      <w:r>
        <w:t>企业选介</w:t>
      </w:r>
    </w:p>
    <w:p w14:paraId="74520762">
      <w:pPr>
        <w:pStyle w:val="3"/>
      </w:pPr>
      <w:r>
        <w:t>韶能集团南雄珠玑纸业有限公司</w:t>
      </w:r>
    </w:p>
    <w:p w14:paraId="5093704B">
      <w:pPr>
        <w:pStyle w:val="4"/>
      </w:pPr>
      <w:r>
        <w:t>【概况】</w:t>
      </w:r>
    </w:p>
    <w:p w14:paraId="56544A6B">
      <w:pPr>
        <w:ind w:firstLine="420"/>
        <w:rPr>
          <w:rFonts w:ascii="宋体" w:hAnsi="宋体"/>
        </w:rPr>
      </w:pPr>
      <w:r>
        <w:rPr>
          <w:rFonts w:ascii="宋体" w:hAnsi="宋体"/>
        </w:rPr>
        <w:t>韶能集团韶关南雄珠玑纸业有限公司由原南雄造纸总厂而组建，筹建于1988年，2005年7月，由广东韶能集团股份有限公司收购重组。2010年3月韶能集团注资1亿元，成立韶能集团韶关南雄珠玑纸业有限公司，是国有控股法人单位，现有员工605人。公司利用粤北山区丰富的竹类资源为纤维原料进行制浆造纸，拥有年生产漂白硫酸盐竹浆6.5万吨、印刷书写纸3.5万吨、漂白硫酸盐竹浆板5万吨的生产能力，主要产品为“珠玑牌”优质胶版纸、浆板，产品产销两旺，年销售收入可达2.5亿元，税收2000万元，是南雄市工业经济的骨干企业和纳税大户之一，韶关市农业龙头企业、广东省农业龙头企业和广东省林业龙头企业。2010年通过持续清洁生产审核验收。废水、废气排放均达到国家规定的标准，是广东省环保诚信企业（绿牌）。2010年，完成制浆漂白系统节能减排技改升级项目并投入生产，产能规模由小型制浆造纸企业转型为中型企业</w:t>
      </w:r>
    </w:p>
    <w:p w14:paraId="7DC5D479">
      <w:pPr>
        <w:pStyle w:val="4"/>
      </w:pPr>
      <w:r>
        <w:t>【主要产品】</w:t>
      </w:r>
    </w:p>
    <w:p w14:paraId="0FCC3C45">
      <w:pPr>
        <w:ind w:firstLine="420"/>
        <w:rPr>
          <w:rFonts w:ascii="宋体" w:hAnsi="宋体"/>
        </w:rPr>
      </w:pPr>
      <w:r>
        <w:rPr>
          <w:rFonts w:ascii="宋体" w:hAnsi="宋体"/>
        </w:rPr>
        <w:t>2010年1月制浆漂白系统节能减排新线投入生产，改变原有产品单一结构，新增漂白硫酸盐竹浆板产品。截至2010年底，珠玑纸业利用竹子自制浆生产双面胶版纸、道林纸、卷筒纸（限100g/m2以上）、湿浆板（规格96×76cm，250kg风干量/件）等产品。产品规格：双面胶版纸、道林纸规格有正度、大度平板纸；卷筒纸根据客户的尺寸要求进行加工。用途：纸产品主要应用于书刊印刷、静电复印、笔记本书写、电子说明书等方面；浆板则用于生产普通印刷纸张与生活用纸等方面。</w:t>
      </w:r>
    </w:p>
    <w:p w14:paraId="40CE5763">
      <w:pPr>
        <w:pStyle w:val="4"/>
      </w:pPr>
      <w:r>
        <w:t>【企业效益】</w:t>
      </w:r>
    </w:p>
    <w:p w14:paraId="69BCE69E">
      <w:pPr>
        <w:ind w:firstLine="420"/>
        <w:rPr>
          <w:rFonts w:ascii="宋体" w:hAnsi="宋体"/>
        </w:rPr>
      </w:pPr>
      <w:r>
        <w:rPr>
          <w:rFonts w:ascii="宋体" w:hAnsi="宋体"/>
        </w:rPr>
        <w:t>2010年生产印刷书写纸10164.1吨，漂白硫酸盐竹浆板21743.5吨，销售胶版纸10823吨，纸浆板20266吨，实现销售收入13423.8万元，工业总产值14050.3万元，工业增加值2710万元。节能总量累计超额完成“十一五”政府下达节能目标量5413吨标准煤任务，实现节能增效。</w:t>
      </w:r>
    </w:p>
    <w:p w14:paraId="325380DF">
      <w:pPr>
        <w:pStyle w:val="4"/>
      </w:pPr>
      <w:r>
        <w:t>【企业管理】</w:t>
      </w:r>
    </w:p>
    <w:p w14:paraId="5CCE7DEA">
      <w:pPr>
        <w:ind w:firstLine="420"/>
        <w:rPr>
          <w:rFonts w:ascii="宋体" w:hAnsi="宋体"/>
        </w:rPr>
      </w:pPr>
      <w:r>
        <w:rPr>
          <w:rFonts w:ascii="宋体" w:hAnsi="宋体"/>
        </w:rPr>
        <w:t>公司完善劳动规章制度、安全生产管理制度、环保管理制度、物资采购制度、财务开支审批制度、质量管理制度、薪酬等制度，企业管理逐步形成制度化、规范化，实施有效经营。同时高度重视安全环保管理，落实安全环保责任，及时预防和排查安全环保隐患，杜绝重大事故，减少一般事故发生，环保达到常态达标排放，各项指标符合国家和省环保标准，CODcr排放总量控制在政府下达的控制指标以内。</w:t>
      </w:r>
    </w:p>
    <w:p w14:paraId="5B14AA66">
      <w:pPr>
        <w:pStyle w:val="4"/>
      </w:pPr>
      <w:r>
        <w:t>【技术创新】</w:t>
      </w:r>
    </w:p>
    <w:p w14:paraId="476F7F15">
      <w:pPr>
        <w:ind w:firstLine="420"/>
        <w:rPr>
          <w:rFonts w:ascii="宋体" w:hAnsi="宋体"/>
        </w:rPr>
      </w:pPr>
      <w:r>
        <w:rPr>
          <w:rFonts w:ascii="宋体" w:hAnsi="宋体"/>
        </w:rPr>
        <w:t>2010年底，拥有63人的专业技术人员队伍，11项科技成果和论文专著获得国家专利及市、县科技进步奖，其中一项获得国家专利证书，企业综合实力明显增强。依靠科技进步调整优化产品结构、转变经营发展方式，把生产文化用纸为主，调整为文化用纸、工业用纸、生活用纸、特种纸相结合的产品结构，开发淋膜纸、游戏卡纸、染色原纸、湿浆板等新产品。2010年1月制浆、漂白系统技改项目全面完成投入调试生产，完全淘汰原制浆车间使用的落后耗能工艺与设备，6.5万吨制浆漂白技改项目应用先进的新技术、新设备、新工艺，在同行业中产品质量、产品科技含量均达到先进水平。</w:t>
      </w:r>
    </w:p>
    <w:p w14:paraId="08D0250F">
      <w:pPr>
        <w:pStyle w:val="4"/>
      </w:pPr>
      <w:r>
        <w:t>【企业文化】</w:t>
      </w:r>
    </w:p>
    <w:p w14:paraId="47BBE924">
      <w:pPr>
        <w:ind w:firstLine="420"/>
        <w:rPr>
          <w:rFonts w:ascii="宋体" w:hAnsi="宋体"/>
        </w:rPr>
      </w:pPr>
      <w:r>
        <w:rPr>
          <w:rFonts w:ascii="宋体" w:hAnsi="宋体"/>
        </w:rPr>
        <w:t>公司始终坚持“一切以公司利益为核心”、“诚信经营，质量第一，客户至上”的经营宗旨和“有困难、有办法、有希望”精神，实实在在践行“以人为本，与人为善”理念，激励先进，鼓励后进，深化责任，增强员工凝聚力，发挥员工的积极性和创造性，群智群力，学习提高，开拓创新。“十一五”以来，公司领导班子从科学发展观出发，把节能减排、建设资源节约型、环境友好型企业作为生产经营的主要任务来抓，坚持科技创新，推动节能减排工作，努力构建和谐、环保、平安企业的良好社会形象。</w:t>
      </w:r>
    </w:p>
    <w:p w14:paraId="6DEBE28F">
      <w:pPr>
        <w:ind w:firstLine="420"/>
        <w:jc w:val="right"/>
        <w:rPr>
          <w:rFonts w:ascii="宋体" w:hAnsi="宋体"/>
        </w:rPr>
      </w:pPr>
      <w:r>
        <w:rPr>
          <w:rFonts w:ascii="宋体" w:hAnsi="宋体"/>
        </w:rPr>
        <w:t>（敖英兰）</w:t>
      </w:r>
    </w:p>
    <w:p w14:paraId="34FE408A">
      <w:pPr>
        <w:ind w:firstLine="422"/>
        <w:rPr>
          <w:rFonts w:ascii="宋体" w:hAnsi="宋体"/>
          <w:b/>
          <w:bCs/>
        </w:rPr>
      </w:pPr>
      <w:r>
        <w:rPr>
          <w:rFonts w:ascii="宋体" w:hAnsi="宋体"/>
          <w:b/>
          <w:bCs/>
        </w:rPr>
        <w:t>附：2010年南雄珠玑纸业有限公司领导班子成员名单</w:t>
      </w:r>
    </w:p>
    <w:p w14:paraId="62C4FA61">
      <w:pPr>
        <w:ind w:firstLine="422"/>
        <w:rPr>
          <w:rFonts w:ascii="宋体" w:hAnsi="宋体"/>
        </w:rPr>
      </w:pPr>
      <w:r>
        <w:rPr>
          <w:rFonts w:ascii="宋体" w:hAnsi="宋体"/>
          <w:b/>
          <w:bCs/>
        </w:rPr>
        <w:t>总经理：</w:t>
      </w:r>
      <w:r>
        <w:rPr>
          <w:rFonts w:ascii="宋体" w:hAnsi="宋体"/>
        </w:rPr>
        <w:t>刘烈善</w:t>
      </w:r>
    </w:p>
    <w:p w14:paraId="7AB37F89">
      <w:pPr>
        <w:ind w:firstLine="422"/>
        <w:rPr>
          <w:rFonts w:ascii="宋体" w:hAnsi="宋体"/>
        </w:rPr>
      </w:pPr>
      <w:r>
        <w:rPr>
          <w:rFonts w:ascii="宋体" w:hAnsi="宋体"/>
          <w:b/>
          <w:bCs/>
        </w:rPr>
        <w:t>副总经理：</w:t>
      </w:r>
      <w:r>
        <w:rPr>
          <w:rFonts w:ascii="宋体" w:hAnsi="宋体"/>
        </w:rPr>
        <w:t>陈盛全</w:t>
      </w:r>
      <w:r>
        <w:rPr>
          <w:rFonts w:hint="eastAsia" w:ascii="宋体" w:hAnsi="宋体"/>
        </w:rPr>
        <w:t xml:space="preserve">  </w:t>
      </w:r>
      <w:r>
        <w:rPr>
          <w:rFonts w:ascii="宋体" w:hAnsi="宋体"/>
        </w:rPr>
        <w:t>谢军生</w:t>
      </w:r>
    </w:p>
    <w:p w14:paraId="5BD248C8">
      <w:pPr>
        <w:ind w:firstLine="422"/>
        <w:rPr>
          <w:rFonts w:ascii="宋体" w:hAnsi="宋体"/>
        </w:rPr>
      </w:pPr>
      <w:r>
        <w:rPr>
          <w:rFonts w:ascii="宋体" w:hAnsi="宋体"/>
          <w:b/>
          <w:bCs/>
        </w:rPr>
        <w:t>总经理助理：</w:t>
      </w:r>
      <w:r>
        <w:rPr>
          <w:rFonts w:ascii="宋体" w:hAnsi="宋体"/>
        </w:rPr>
        <w:t>何水泉</w:t>
      </w:r>
      <w:r>
        <w:rPr>
          <w:rFonts w:hint="eastAsia" w:ascii="宋体" w:hAnsi="宋体"/>
        </w:rPr>
        <w:t xml:space="preserve">  </w:t>
      </w:r>
      <w:r>
        <w:rPr>
          <w:rFonts w:ascii="宋体" w:hAnsi="宋体"/>
        </w:rPr>
        <w:t>舒后先</w:t>
      </w:r>
    </w:p>
    <w:p w14:paraId="72BD6BC8">
      <w:pPr>
        <w:pStyle w:val="3"/>
      </w:pPr>
      <w:r>
        <w:t>南雄市浈江电业有限责任公司</w:t>
      </w:r>
    </w:p>
    <w:p w14:paraId="6895C3AC">
      <w:pPr>
        <w:pStyle w:val="4"/>
      </w:pPr>
      <w:r>
        <w:t>【概况】</w:t>
      </w:r>
    </w:p>
    <w:p w14:paraId="41C1A156">
      <w:pPr>
        <w:ind w:firstLine="420"/>
        <w:rPr>
          <w:rFonts w:ascii="宋体" w:hAnsi="宋体"/>
        </w:rPr>
      </w:pPr>
      <w:r>
        <w:rPr>
          <w:rFonts w:ascii="宋体" w:hAnsi="宋体"/>
        </w:rPr>
        <w:t>南雄市浈江电业有限责任公司于2000年12月30日成立，是以国有股份为主的水力发电企业。截至2010年12月31日公司下属有水力发电站24座，总装机14315KW，分布在南雄市境内江头、全安、帽子峰、百顺、澜河、主田、邓坊、珠玑、南亩等镇，另在全安镇建有日供水能力为5000吨的自来水公司。</w:t>
      </w:r>
    </w:p>
    <w:p w14:paraId="65C890B7">
      <w:pPr>
        <w:ind w:firstLine="420"/>
        <w:rPr>
          <w:rFonts w:ascii="宋体" w:hAnsi="宋体"/>
        </w:rPr>
      </w:pPr>
      <w:r>
        <w:rPr>
          <w:rFonts w:ascii="宋体" w:hAnsi="宋体"/>
        </w:rPr>
        <w:t>公司现有总股本5671万元。股东单位有：市水务局、江头镇政府、全安镇政府、帽子峰镇政府、百顺镇政府、市政府公共资产管理中心、澜河镇政府、市扶贫办。公司的组织机构设有股东代表大会、董事会、监事会。设三个管理部门：行政部、财务部、生产技术部。</w:t>
      </w:r>
    </w:p>
    <w:p w14:paraId="02850D85">
      <w:pPr>
        <w:ind w:firstLine="420"/>
        <w:rPr>
          <w:rFonts w:ascii="宋体" w:hAnsi="宋体"/>
        </w:rPr>
      </w:pPr>
      <w:r>
        <w:rPr>
          <w:rFonts w:ascii="宋体" w:hAnsi="宋体"/>
        </w:rPr>
        <w:t>2008年9月，按照市委市政府指示精神，公司承担全安镇农村安全饮水工程项目的投资建设，投资1000多万元，成立了南雄市全安自来水有限责任公司，2009年9月完成建设任务，正式向全安镇和乐华陶瓷公司供水，列入不安全饮水人口5377人已经按照城市自来水供水标准实行供水。</w:t>
      </w:r>
    </w:p>
    <w:p w14:paraId="614D1ED4">
      <w:pPr>
        <w:ind w:firstLine="420"/>
        <w:rPr>
          <w:rFonts w:ascii="宋体" w:hAnsi="宋体"/>
        </w:rPr>
      </w:pPr>
      <w:r>
        <w:rPr>
          <w:rFonts w:ascii="宋体" w:hAnsi="宋体"/>
        </w:rPr>
        <w:t>公司各电站所发电量全部上网南方电网南雄市供电局电网。公司近年来上网电量及收入情况为：2007年起上网销售电价为0.4191元/千瓦时，2010年起上网销售电价为0.4626元/千瓦时。2008年实现上网电量4303万千瓦时，发电销售收入1798.99万元；2009年实现上网电量3013万千瓦时，发电销售收入1244.74万元；2010年实现上网电量4754万千瓦时，发电销售收入2204.47万元。</w:t>
      </w:r>
    </w:p>
    <w:p w14:paraId="5F5755F2">
      <w:pPr>
        <w:ind w:firstLine="420"/>
        <w:jc w:val="right"/>
        <w:rPr>
          <w:rFonts w:ascii="宋体" w:hAnsi="宋体"/>
        </w:rPr>
      </w:pPr>
      <w:r>
        <w:rPr>
          <w:rFonts w:ascii="宋体" w:hAnsi="宋体"/>
        </w:rPr>
        <w:t>（王冠华）</w:t>
      </w:r>
    </w:p>
    <w:p w14:paraId="148462CC">
      <w:pPr>
        <w:ind w:firstLine="422"/>
        <w:rPr>
          <w:rFonts w:ascii="宋体" w:hAnsi="宋体"/>
          <w:b/>
          <w:bCs/>
        </w:rPr>
      </w:pPr>
      <w:r>
        <w:rPr>
          <w:rFonts w:ascii="宋体" w:hAnsi="宋体"/>
          <w:b/>
          <w:bCs/>
        </w:rPr>
        <w:t>附：2010年浈江电业有限责任公司领导班子成员名单</w:t>
      </w:r>
    </w:p>
    <w:p w14:paraId="670DA0CF">
      <w:pPr>
        <w:ind w:firstLine="422"/>
        <w:rPr>
          <w:rFonts w:ascii="宋体" w:hAnsi="宋体"/>
        </w:rPr>
      </w:pPr>
      <w:r>
        <w:rPr>
          <w:rFonts w:ascii="宋体" w:hAnsi="宋体"/>
          <w:b/>
          <w:bCs/>
        </w:rPr>
        <w:t>董事长、总经理：</w:t>
      </w:r>
      <w:r>
        <w:rPr>
          <w:rFonts w:ascii="宋体" w:hAnsi="宋体"/>
        </w:rPr>
        <w:t>陈泽明</w:t>
      </w:r>
    </w:p>
    <w:p w14:paraId="07F72B6C">
      <w:pPr>
        <w:ind w:firstLine="422"/>
        <w:rPr>
          <w:rFonts w:ascii="宋体" w:hAnsi="宋体"/>
        </w:rPr>
      </w:pPr>
      <w:r>
        <w:rPr>
          <w:rFonts w:ascii="宋体" w:hAnsi="宋体"/>
          <w:b/>
          <w:bCs/>
        </w:rPr>
        <w:t>副总经理、工会主席：</w:t>
      </w:r>
      <w:r>
        <w:rPr>
          <w:rFonts w:ascii="宋体" w:hAnsi="宋体"/>
        </w:rPr>
        <w:t>彭志坚</w:t>
      </w:r>
    </w:p>
    <w:p w14:paraId="1AFE2B08">
      <w:pPr>
        <w:ind w:firstLine="422"/>
        <w:rPr>
          <w:rFonts w:ascii="宋体" w:hAnsi="宋体"/>
        </w:rPr>
      </w:pPr>
      <w:r>
        <w:rPr>
          <w:rFonts w:ascii="宋体" w:hAnsi="宋体"/>
          <w:b/>
          <w:bCs/>
        </w:rPr>
        <w:t>副总经理：</w:t>
      </w:r>
      <w:r>
        <w:rPr>
          <w:rFonts w:ascii="宋体" w:hAnsi="宋体"/>
        </w:rPr>
        <w:t>龙绍淦</w:t>
      </w:r>
    </w:p>
    <w:p w14:paraId="17590629">
      <w:pPr>
        <w:pStyle w:val="3"/>
      </w:pPr>
      <w:r>
        <w:t>韶能集团广东绿洲纸膜包装制品有限公司</w:t>
      </w:r>
    </w:p>
    <w:p w14:paraId="78AB8BC5">
      <w:pPr>
        <w:pStyle w:val="4"/>
      </w:pPr>
      <w:r>
        <w:t>【概况】</w:t>
      </w:r>
    </w:p>
    <w:p w14:paraId="555335DB">
      <w:pPr>
        <w:ind w:firstLine="420"/>
        <w:rPr>
          <w:rFonts w:ascii="宋体" w:hAnsi="宋体"/>
        </w:rPr>
      </w:pPr>
      <w:r>
        <w:rPr>
          <w:rFonts w:ascii="宋体" w:hAnsi="宋体"/>
        </w:rPr>
        <w:t>韶能集团广东绿洲纸模包装制品有限公司成立于2001年4月，目前股东分别为广东韶能集团股份有限公司（股票代码：000601）和南雄市国有资产投资有限公司。公司注册资本4605万元（其中韶能集团占87.90%，南雄市国有资产投资公司占12.10%），总资产9200万元。厂区占地约146亩，地处广东省南雄市辖区，距市区6.5公里的全安镇营堡前324县道旁，周边为自然村及农田。</w:t>
      </w:r>
    </w:p>
    <w:p w14:paraId="2A0D2144">
      <w:pPr>
        <w:pStyle w:val="4"/>
      </w:pPr>
      <w:r>
        <w:t>【主要产品】</w:t>
      </w:r>
    </w:p>
    <w:p w14:paraId="2DA5461B">
      <w:pPr>
        <w:ind w:firstLine="420"/>
        <w:rPr>
          <w:rFonts w:ascii="宋体" w:hAnsi="宋体"/>
        </w:rPr>
      </w:pPr>
      <w:r>
        <w:rPr>
          <w:rFonts w:ascii="宋体" w:hAnsi="宋体"/>
        </w:rPr>
        <w:t>公司主要产品（一次性可降解环保纸餐具）以天然植物（毛竹、茅草、麦秆、甘蔗渣等）原材料及引至7公里外的无污染山泉水通过纸浆模塑压制而成，具有环保、造型美观、强度够、耐热、防水、防油、无毒、无味、可降解等优点。公司质量监控、卫生检验设备齐全。</w:t>
      </w:r>
    </w:p>
    <w:p w14:paraId="08EEFFFC">
      <w:pPr>
        <w:pStyle w:val="4"/>
      </w:pPr>
      <w:r>
        <w:t>【质量认证】</w:t>
      </w:r>
    </w:p>
    <w:p w14:paraId="4A0CD32F">
      <w:pPr>
        <w:ind w:firstLine="420"/>
        <w:rPr>
          <w:rFonts w:ascii="宋体" w:hAnsi="宋体"/>
        </w:rPr>
      </w:pPr>
      <w:r>
        <w:rPr>
          <w:rFonts w:ascii="宋体" w:hAnsi="宋体"/>
        </w:rPr>
        <w:t>公司严格执行GB-1996食品卫生行业标准，设置有专业微生物理化（细菌）培养检验室，实施产品条码可追索管理，确保产品质量。公司产品已取得国际权威认证机构——“SGS”的“FDA标准认证”、“德国绿色实验室堆肥全降解认证”、“IS09001：2008质量管理体系认证”、“ISO14001：2004环境管理体系认证”、“BRC英国零售商全球标准——食品包装材料认证”、“NSF美国卫生基金会认证”、“北美食品包装材供应商标准认证”，及“全国工业产品生产许可证（QS）认证”是广东环保科技会员单位。</w:t>
      </w:r>
    </w:p>
    <w:p w14:paraId="4D601952">
      <w:pPr>
        <w:pStyle w:val="4"/>
      </w:pPr>
      <w:r>
        <w:t>【企业效益】</w:t>
      </w:r>
    </w:p>
    <w:p w14:paraId="2E0905CA">
      <w:pPr>
        <w:ind w:firstLine="420"/>
        <w:rPr>
          <w:rFonts w:ascii="宋体" w:hAnsi="宋体"/>
        </w:rPr>
      </w:pPr>
      <w:r>
        <w:rPr>
          <w:rFonts w:ascii="宋体" w:hAnsi="宋体"/>
        </w:rPr>
        <w:t>公司拥有10条半自动纸餐具生产线、两条全自动生产线和两条国内先进水平工业包装生产线，年产量可达3.5亿件纸餐具、7000吨纸浆模塑制品。经过多年来的市场开拓，产品畅销欧美等多个发达国家和地区，深受市场客户信赖。公司在2009年完成出口总值为960万美元；2010年出口总值为1233万美元。</w:t>
      </w:r>
    </w:p>
    <w:p w14:paraId="1534D3C7">
      <w:pPr>
        <w:pStyle w:val="4"/>
      </w:pPr>
      <w:r>
        <w:t>【技术创新】</w:t>
      </w:r>
    </w:p>
    <w:p w14:paraId="40EB71CC">
      <w:pPr>
        <w:ind w:firstLine="420"/>
        <w:rPr>
          <w:rFonts w:ascii="宋体" w:hAnsi="宋体"/>
        </w:rPr>
      </w:pPr>
      <w:r>
        <w:rPr>
          <w:rFonts w:ascii="宋体" w:hAnsi="宋体"/>
        </w:rPr>
        <w:t>公司拥有雄厚的技术力量，研发部门功能强大，具备产品开发、加工能力，可根据客户独特需求设计制造出各类纸模制品。公司通过不断采取节能减排措施及技术创新、改造，技术力量、生产成本已达到国际先进水平，采用的导热油加热热压技术冲床模具切边技术等在国内均处领先优势地位。公司工艺水平成熟稳定，理化微生物检验技术及质量标准检验标准处于国内同行的前列。公司无论生产规模、技术力量、工艺水平、检验方法在国内同行企业中均处于领先地位。</w:t>
      </w:r>
    </w:p>
    <w:p w14:paraId="78744313">
      <w:pPr>
        <w:pStyle w:val="4"/>
      </w:pPr>
      <w:r>
        <w:t>【企业前景】</w:t>
      </w:r>
    </w:p>
    <w:p w14:paraId="50A840B6">
      <w:pPr>
        <w:ind w:firstLine="420"/>
        <w:rPr>
          <w:rFonts w:ascii="宋体" w:hAnsi="宋体"/>
        </w:rPr>
      </w:pPr>
      <w:r>
        <w:rPr>
          <w:rFonts w:ascii="宋体" w:hAnsi="宋体"/>
        </w:rPr>
        <w:t>公司制定了“五年发展规划（2011年至2015年）”，2010年开始分五年引进先进全自动生产设备进行扩产升级，将年产值提升至8亿元人民币，并争取用三年时间实现公司进入资本市场目标。届时公司将成为以纸餐具为主的系列环保制品生产基地。</w:t>
      </w:r>
    </w:p>
    <w:p w14:paraId="656CF17A">
      <w:pPr>
        <w:ind w:firstLine="420"/>
        <w:jc w:val="right"/>
        <w:rPr>
          <w:rFonts w:ascii="宋体" w:hAnsi="宋体"/>
        </w:rPr>
      </w:pPr>
      <w:r>
        <w:rPr>
          <w:rFonts w:ascii="宋体" w:hAnsi="宋体"/>
        </w:rPr>
        <w:t>（陈雪梅）</w:t>
      </w:r>
    </w:p>
    <w:p w14:paraId="2FE165DC">
      <w:pPr>
        <w:ind w:firstLine="422"/>
        <w:rPr>
          <w:rFonts w:ascii="宋体" w:hAnsi="宋体"/>
          <w:b/>
          <w:bCs/>
        </w:rPr>
      </w:pPr>
      <w:r>
        <w:rPr>
          <w:rFonts w:ascii="宋体" w:hAnsi="宋体"/>
          <w:b/>
          <w:bCs/>
        </w:rPr>
        <w:t>附：广东绿洲纸模包装制品有限公司领导班子成员名单</w:t>
      </w:r>
    </w:p>
    <w:p w14:paraId="71134537">
      <w:pPr>
        <w:ind w:firstLine="422"/>
        <w:rPr>
          <w:rFonts w:ascii="宋体" w:hAnsi="宋体"/>
        </w:rPr>
      </w:pPr>
      <w:r>
        <w:rPr>
          <w:rFonts w:ascii="宋体" w:hAnsi="宋体"/>
          <w:b/>
          <w:bCs/>
        </w:rPr>
        <w:t>董事长：</w:t>
      </w:r>
      <w:r>
        <w:rPr>
          <w:rFonts w:ascii="宋体" w:hAnsi="宋体"/>
        </w:rPr>
        <w:t>邓玉柱</w:t>
      </w:r>
    </w:p>
    <w:p w14:paraId="48194C19">
      <w:pPr>
        <w:ind w:firstLine="422"/>
        <w:rPr>
          <w:rFonts w:ascii="宋体" w:hAnsi="宋体"/>
        </w:rPr>
      </w:pPr>
      <w:r>
        <w:rPr>
          <w:rFonts w:ascii="宋体" w:hAnsi="宋体"/>
          <w:b/>
          <w:bCs/>
        </w:rPr>
        <w:t>总经理：</w:t>
      </w:r>
      <w:r>
        <w:rPr>
          <w:rFonts w:ascii="宋体" w:hAnsi="宋体"/>
        </w:rPr>
        <w:t>刘保林</w:t>
      </w:r>
    </w:p>
    <w:p w14:paraId="7EBCB7AB">
      <w:pPr>
        <w:ind w:firstLine="422"/>
        <w:rPr>
          <w:rFonts w:ascii="宋体" w:hAnsi="宋体"/>
        </w:rPr>
      </w:pPr>
      <w:r>
        <w:rPr>
          <w:rFonts w:ascii="宋体" w:hAnsi="宋体"/>
          <w:b/>
          <w:bCs/>
        </w:rPr>
        <w:t>副总经理：</w:t>
      </w:r>
      <w:r>
        <w:rPr>
          <w:rFonts w:ascii="宋体" w:hAnsi="宋体"/>
        </w:rPr>
        <w:t>王苑坤</w:t>
      </w:r>
      <w:r>
        <w:rPr>
          <w:rFonts w:hint="eastAsia" w:ascii="宋体" w:hAnsi="宋体"/>
        </w:rPr>
        <w:t xml:space="preserve">  </w:t>
      </w:r>
      <w:r>
        <w:rPr>
          <w:rFonts w:ascii="宋体" w:hAnsi="宋体"/>
        </w:rPr>
        <w:t>林俊峰</w:t>
      </w:r>
      <w:r>
        <w:rPr>
          <w:rFonts w:hint="eastAsia" w:ascii="宋体" w:hAnsi="宋体"/>
        </w:rPr>
        <w:t xml:space="preserve">  </w:t>
      </w:r>
      <w:r>
        <w:rPr>
          <w:rFonts w:ascii="宋体" w:hAnsi="宋体"/>
        </w:rPr>
        <w:t>邱平平</w:t>
      </w:r>
    </w:p>
    <w:p w14:paraId="5347A01E">
      <w:pPr>
        <w:pStyle w:val="3"/>
      </w:pPr>
      <w:r>
        <w:t>南雄市志—精细化工有限公司</w:t>
      </w:r>
    </w:p>
    <w:p w14:paraId="77D49EF8">
      <w:pPr>
        <w:ind w:firstLine="420"/>
        <w:rPr>
          <w:rFonts w:ascii="宋体" w:hAnsi="宋体"/>
        </w:rPr>
      </w:pPr>
      <w:r>
        <w:rPr>
          <w:rFonts w:ascii="宋体" w:hAnsi="宋体"/>
        </w:rPr>
        <w:t>南雄市志一精细化工有限公司是一家专业生产高性能抗氧剂的企业，产品广泛运用于涂料、塑料、橡胶、合成树脂等高分子材料，产品远销长、珠三角。公司坚持以技术为先、客户至上、质量第一、互惠互利、共同发展的原则，立足新起点，开创新局面，立志在竞争激烈的特殊化学品行业中，成为国内最具专业水准和实力的抗氧剂生产企业。公司占地面积32.6亩，计划分两期投资8000万元人民币，全部建成后，预计可形成年产值2.8亿元的生产规模，年创税利5600万元。公司广纳贤才，汇集了一批一流的专业技术人才，现有员工42人，其中研究生学历3人，本科学历10人。公司二期正在规划建设，将于2010年年底建成试产。</w:t>
      </w:r>
    </w:p>
    <w:p w14:paraId="4936D72A">
      <w:pPr>
        <w:ind w:firstLine="420"/>
        <w:jc w:val="right"/>
        <w:rPr>
          <w:rFonts w:ascii="宋体" w:hAnsi="宋体"/>
        </w:rPr>
      </w:pPr>
      <w:r>
        <w:rPr>
          <w:rFonts w:ascii="宋体" w:hAnsi="宋体"/>
        </w:rPr>
        <w:t>（叶红大）</w:t>
      </w:r>
    </w:p>
    <w:p w14:paraId="20D3C646">
      <w:pPr>
        <w:pStyle w:val="3"/>
      </w:pPr>
      <w:r>
        <w:t>南雄市松林树脂有限公司</w:t>
      </w:r>
    </w:p>
    <w:p w14:paraId="71EFFA34">
      <w:pPr>
        <w:ind w:firstLine="420"/>
        <w:rPr>
          <w:rFonts w:ascii="宋体" w:hAnsi="宋体"/>
        </w:rPr>
      </w:pPr>
      <w:r>
        <w:rPr>
          <w:rFonts w:ascii="宋体" w:hAnsi="宋体"/>
        </w:rPr>
        <w:t>南雄市松林树脂有限公司是一家专业生产松香、松节油和树脂系列化工产品的大型企业。公司利用市丰富的松香资源，分两期兴建天然树脂初级加工、深度加工、深度再加工和热溶胶粘合剂生产线。该公司占地面积63.99亩，投资总额7500万元，可形成年产值达2.5亿元，创税利4500万元人民币的生产规模。一期工程总投资5000万元，建成天然树脂初级加工和深度加工生产线，现已顺利投产，可年产天然树脂15000吨，年产值1.3亿元的规模。二期将再投加工和热剂生产线。公司产品广泛应用于橡胶、造纸、日用品、油墨涂料、胶粘剂、食品、纺织、包装、汽车、矿产、印刷印染和电器等数十个工业领域。公司将充分发挥树脂产业龙头作用，吸引上下游产品的项目进驻园区，打造一个崭新的树脂产业集群。</w:t>
      </w:r>
    </w:p>
    <w:p w14:paraId="0D55667D">
      <w:pPr>
        <w:ind w:firstLine="420"/>
        <w:jc w:val="right"/>
        <w:rPr>
          <w:rFonts w:ascii="宋体" w:hAnsi="宋体"/>
        </w:rPr>
      </w:pPr>
      <w:r>
        <w:rPr>
          <w:rFonts w:ascii="宋体" w:hAnsi="宋体"/>
        </w:rPr>
        <w:t>（叶红大）</w:t>
      </w:r>
    </w:p>
    <w:p w14:paraId="1B83B3A9">
      <w:pPr>
        <w:pStyle w:val="3"/>
      </w:pPr>
      <w:r>
        <w:t>韶关德瑞化学工业有限公司</w:t>
      </w:r>
    </w:p>
    <w:p w14:paraId="54D9F887">
      <w:pPr>
        <w:ind w:firstLine="420"/>
        <w:rPr>
          <w:rFonts w:ascii="宋体" w:hAnsi="宋体"/>
        </w:rPr>
      </w:pPr>
      <w:r>
        <w:rPr>
          <w:rFonts w:ascii="宋体" w:hAnsi="宋体"/>
        </w:rPr>
        <w:t>韶关德瑞化学工业有限公司是一家专业生产树脂类产品的企业。公司位于南雄市精细化工园内平安大道，西门入口处，用地面积23.39亩，投资总额3000万元人民币，预计投产后可形成年产值1亿元人民币的生产规模，可创税利2000万元。公司生产的环保油墨产品，成为王老吉、露露、红牛等全国知名品牌饮料的包装供应商。</w:t>
      </w:r>
    </w:p>
    <w:p w14:paraId="1001B17B">
      <w:pPr>
        <w:ind w:firstLine="420"/>
        <w:jc w:val="right"/>
        <w:rPr>
          <w:rFonts w:ascii="宋体" w:hAnsi="宋体"/>
        </w:rPr>
      </w:pPr>
      <w:r>
        <w:rPr>
          <w:rFonts w:ascii="宋体" w:hAnsi="宋体"/>
        </w:rPr>
        <w:t>（叶红大）</w:t>
      </w:r>
    </w:p>
    <w:p w14:paraId="7B2F4930">
      <w:pPr>
        <w:pStyle w:val="3"/>
      </w:pPr>
      <w:r>
        <w:t>韶关棉土窝矿业有限公司</w:t>
      </w:r>
    </w:p>
    <w:p w14:paraId="12D9D817">
      <w:pPr>
        <w:ind w:firstLine="420"/>
        <w:rPr>
          <w:rFonts w:ascii="宋体" w:hAnsi="宋体"/>
        </w:rPr>
      </w:pPr>
      <w:r>
        <w:rPr>
          <w:rFonts w:ascii="宋体" w:hAnsi="宋体"/>
        </w:rPr>
        <w:t>2010年末，矿业公司从业人员211人，其中固定合同制员工107人，农民工和家属工104人。属国营企业，全年实现工业总产值（当年价）2440.24万元，产品销售收入2553.7万元，工业增加值（当年价）1735万元，资产总额5813万元，实现利税总额946.1万元，其中：利润总额552.5万元。</w:t>
      </w:r>
    </w:p>
    <w:p w14:paraId="23A946B3">
      <w:pPr>
        <w:ind w:firstLine="420"/>
        <w:jc w:val="right"/>
        <w:rPr>
          <w:rFonts w:ascii="宋体" w:hAnsi="宋体"/>
        </w:rPr>
      </w:pPr>
      <w:r>
        <w:rPr>
          <w:rFonts w:ascii="宋体" w:hAnsi="宋体"/>
        </w:rPr>
        <w:t>（邓炳坤）</w:t>
      </w:r>
    </w:p>
    <w:p w14:paraId="49A5B5F4">
      <w:pPr>
        <w:pStyle w:val="2"/>
      </w:pPr>
      <w:r>
        <w:t>农业</w:t>
      </w:r>
    </w:p>
    <w:p w14:paraId="25DF3CC8">
      <w:pPr>
        <w:pStyle w:val="3"/>
      </w:pPr>
      <w:r>
        <w:t>综述</w:t>
      </w:r>
    </w:p>
    <w:p w14:paraId="09B48EC9">
      <w:pPr>
        <w:pStyle w:val="4"/>
      </w:pPr>
      <w:r>
        <w:t>【概况】</w:t>
      </w:r>
    </w:p>
    <w:p w14:paraId="6DAC5C6B">
      <w:pPr>
        <w:ind w:firstLine="420"/>
        <w:rPr>
          <w:rFonts w:ascii="宋体" w:hAnsi="宋体"/>
        </w:rPr>
      </w:pPr>
      <w:r>
        <w:rPr>
          <w:rFonts w:ascii="宋体" w:hAnsi="宋体"/>
        </w:rPr>
        <w:t>2010年，农业部门认真贯彻中央1号文件和中央、省、市农业农村工作会议以及市“抓作风促发展比贡献”动员大会精神，紧紧围绕市委、市政府提出的农业农村工作任务目标，坚持解放思想，锐意改革，转变作风，开拓创新，克服了异常天气的影响，战胜了低温寡照、倒春寒和洪涝灾害等恶劣天气的影响，确保了各项农业农村工作的顺利推进。2010年全市农业农村经济总收入达47.646亿元，比上年同期增加2.939亿元，增长6.58%，农村人平收入达5525元，同比增加503元，增长10.02%。</w:t>
      </w:r>
    </w:p>
    <w:p w14:paraId="728005B9">
      <w:pPr>
        <w:pStyle w:val="4"/>
      </w:pPr>
      <w:r>
        <w:t>【强农惠农政策】</w:t>
      </w:r>
    </w:p>
    <w:p w14:paraId="04051A3D">
      <w:pPr>
        <w:ind w:firstLine="420"/>
        <w:rPr>
          <w:rFonts w:ascii="宋体" w:hAnsi="宋体"/>
        </w:rPr>
      </w:pPr>
      <w:r>
        <w:rPr>
          <w:rFonts w:ascii="宋体" w:hAnsi="宋体"/>
        </w:rPr>
        <w:t>一是加强农业法律法规的宣传教育和贯彻落实工作，《农业法》、《种子法》、《农产品质量安全法》等农业法规得到很好的贯彻执行，党在农村的各项政策特别二是土地延长承包三十年政策得到很好的落实；是落实各种惠民政策，特别是切实抓好种粮补贴政策的落实，充分调动农民种粮积极性，切实保护好农民的合法利益；三是加强农业生产资料的检查督促，农资经营管理规范，没有出现较大坑农害农的现象；四是加强农村财务管理和涉农收费的监督、检查，杜绝“三乱”现象。</w:t>
      </w:r>
    </w:p>
    <w:p w14:paraId="69A16CCC">
      <w:pPr>
        <w:pStyle w:val="4"/>
      </w:pPr>
      <w:r>
        <w:t>【农业产业结构】</w:t>
      </w:r>
    </w:p>
    <w:p w14:paraId="553EFD6B">
      <w:pPr>
        <w:ind w:firstLine="420"/>
        <w:rPr>
          <w:rFonts w:ascii="宋体" w:hAnsi="宋体"/>
        </w:rPr>
      </w:pPr>
      <w:r>
        <w:rPr>
          <w:rFonts w:ascii="宋体" w:hAnsi="宋体"/>
        </w:rPr>
        <w:t>为使农业生产不断适应市场经济的需要，农业部门把调整产业结构作为实践“三个代表”重要思想、发展农村经济、增加农民收入的头等大事来抓，并把调整的重点落实在优化产业布局和品种布局上。一是发展经济作物。2010年，农业部门在稳定粮食面积的基础上，发展黄烟、花生、蔬菜、甜玉米等经济作物。二是发展养殖业。把发展养殖业作为调整产业结构的重点，下决心在规模、品种、效益上作文章，引进温氏集团公司，实行“公司+基地+农民”的一条龙养殖模式，对三元杂交猪的发展起到极大的促进作用，同时引进发展五黑鸡等优质畜禽品种，为提高养殖业生产效益奠定了良好基础，养殖业生产取得了明显的成效。三是优化品种结构。在水稻方面重点发展优质稻、有机稻，花生面积推广高产品种，养殖方面大力发展优良品种，良种率达到85%以上。</w:t>
      </w:r>
    </w:p>
    <w:p w14:paraId="21174801">
      <w:pPr>
        <w:pStyle w:val="4"/>
      </w:pPr>
      <w:r>
        <w:t>【农业基地建设】</w:t>
      </w:r>
    </w:p>
    <w:p w14:paraId="38989424">
      <w:pPr>
        <w:ind w:firstLine="420"/>
        <w:rPr>
          <w:rFonts w:ascii="宋体" w:hAnsi="宋体"/>
        </w:rPr>
      </w:pPr>
      <w:r>
        <w:rPr>
          <w:rFonts w:ascii="宋体" w:hAnsi="宋体"/>
        </w:rPr>
        <w:t>市农业部门围绕区域优势产业和特色农产品，按照“巩固、扩大、延伸、提高”的思路，抓好八大基地的建设。一是完成总投资1188万元，治理土地面积1.22万亩的黄坑镇农业综合开发土地治理项目任务；二是组织实施总投资1150万元，治理土地面积0.97万亩的水口镇农业综合开发土地治理项目；三是完成古市修仁的人大议案项目，共投资95万元，整治农田面积800亩；四是完成总投资80万元，整治农田面积800亩的水口赤岭基本农田整治工程；五是完成投资35万元，整治农田面积350亩的水口群星改造中低产田项目；六是完成“大禹杯”在全安、澜河的工程项目，总投资40万元，整治农田面积600亩。</w:t>
      </w:r>
    </w:p>
    <w:p w14:paraId="1E22A34A">
      <w:pPr>
        <w:pStyle w:val="4"/>
      </w:pPr>
      <w:r>
        <w:t>【农业增效农民增收亮点】</w:t>
      </w:r>
    </w:p>
    <w:p w14:paraId="5A0BF63C">
      <w:pPr>
        <w:ind w:firstLine="420"/>
        <w:rPr>
          <w:rFonts w:ascii="宋体" w:hAnsi="宋体"/>
        </w:rPr>
      </w:pPr>
      <w:r>
        <w:rPr>
          <w:rFonts w:ascii="宋体" w:hAnsi="宋体"/>
        </w:rPr>
        <w:t>开展特色农业项目建设，不断加快农业产业化发展步伐，农业部门按照“因地制宜，突出特色，品牌经营”的发展思路，坚持以市场为导向、效益为中心，以生产无公害、绿色、有机农产品为重点，促进特色农业上规模、上档次、上效益。根据气候、土壤、水质等自然环境特点以及种植养殖技术情况，重点抓好六大特色农业产业发展：一是优质烤烟。重点规划在古市、主田、雄州、湖口、珠玑、油山、水口、江头等12个镇（街道）含紫色土平原区域种植黄烟11.87万亩，收购烟叶30.62万担，收购资金2.34亿元。二是优质稻。选择在烟田和粮产区种植杂交优质稻和美香占、象牙占等大力推广优质稻25万亩，平均亩产值可达1200元，总产值在3亿元以上。三是有机稻。选择空气清新、水土洁净的山区和丘陵山区，在晚造种植有机稻5000亩，比去年增加3000亩，平均亩产值（含加工增值）可达6000元，总产值在3000万元以上。四是罗汉果。在百顺镇种植罗汉果600多亩，种植农户60户，平均亩产值7000元左右，总产值420万元。五是优质旱粮。以南雄永骏食品厂为依托，在非烟区种植甜玉米2万亩，总产达2.2万吨，产值可达4400万元。以南雄市惠丰农业发展有限公司为龙头，种植紫罗兰番薯2000亩，产值达200万元。六是朝天椒。种植朝天椒2万亩，亩产值4500元，总产值9000万元。</w:t>
      </w:r>
    </w:p>
    <w:p w14:paraId="49079D7D">
      <w:pPr>
        <w:pStyle w:val="4"/>
      </w:pPr>
      <w:r>
        <w:t>【农业龙头企业】</w:t>
      </w:r>
    </w:p>
    <w:p w14:paraId="19BE1398">
      <w:pPr>
        <w:ind w:firstLine="420"/>
        <w:rPr>
          <w:rFonts w:ascii="宋体" w:hAnsi="宋体"/>
        </w:rPr>
      </w:pPr>
      <w:r>
        <w:rPr>
          <w:rFonts w:ascii="宋体" w:hAnsi="宋体"/>
        </w:rPr>
        <w:t>龙头企业上连市场，下连广大农户，是牵动农业产业化发展的火车头。农业部门加大龙头企业的培育发展力度，2010年，有农业龙头企业20多家，其中省级龙头企业2家，市级龙头企业3家，农业专业合作组织40多家。</w:t>
      </w:r>
    </w:p>
    <w:p w14:paraId="5ED8475D">
      <w:pPr>
        <w:pStyle w:val="4"/>
      </w:pPr>
      <w:r>
        <w:t>【农业安全生产】</w:t>
      </w:r>
    </w:p>
    <w:p w14:paraId="2BA9D2D1">
      <w:pPr>
        <w:ind w:firstLine="420"/>
        <w:rPr>
          <w:rFonts w:ascii="宋体" w:hAnsi="宋体"/>
        </w:rPr>
      </w:pPr>
      <w:r>
        <w:rPr>
          <w:rFonts w:ascii="宋体" w:hAnsi="宋体"/>
        </w:rPr>
        <w:t>加强行业管理，强化投入品监管，确保农业安全生产。一是加强种子、农药、肥料等农资的管理，加大监督抽查力度，及时查处不合格产品，打击制售假冒伪劣农资的违法行为，维护农民利益，保障农业安全生产。二是抓好了减轻农民负担工作，加大对涉农收费的监督，签订减负工作责任书，保护农民的利益；三是积极开展农业行政执法工作，全年组织开展5次农业执法联合大检查活动，会同工商、公安、技监等部门深入全市各地，全年出动执法110人次，检查种子门店220间，查处违法经营种子案件1案，没收未审定种子26公斤。</w:t>
      </w:r>
    </w:p>
    <w:p w14:paraId="20AE5710">
      <w:pPr>
        <w:pStyle w:val="4"/>
      </w:pPr>
      <w:r>
        <w:t>【农产品质量认证】</w:t>
      </w:r>
    </w:p>
    <w:p w14:paraId="531BF987">
      <w:pPr>
        <w:ind w:firstLine="420"/>
        <w:rPr>
          <w:rFonts w:ascii="宋体" w:hAnsi="宋体"/>
        </w:rPr>
      </w:pPr>
      <w:r>
        <w:rPr>
          <w:rFonts w:ascii="宋体" w:hAnsi="宋体"/>
        </w:rPr>
        <w:t>加强农产品“三品”认证的组织协调，动员农业龙头企业和专业合作社开展“三品”认证的组织实施，全市已通过“三品”认证农产品有10个，认证企业或专业合作社10家，目前仍有5家企业或专业合作社正在进行有机农产品的认证申报。今年金友公司种植有机稻面积增长幅度大，比去年增加3000亩；种植的5万亩优质稻已向中绿华夏认证公司申请绿色食品认证。</w:t>
      </w:r>
    </w:p>
    <w:p w14:paraId="1402D998">
      <w:pPr>
        <w:pStyle w:val="4"/>
      </w:pPr>
      <w:r>
        <w:t>【农业技术推广】</w:t>
      </w:r>
    </w:p>
    <w:p w14:paraId="310B15C9">
      <w:pPr>
        <w:ind w:firstLine="420"/>
        <w:rPr>
          <w:rFonts w:ascii="宋体" w:hAnsi="宋体"/>
        </w:rPr>
      </w:pPr>
      <w:r>
        <w:rPr>
          <w:rFonts w:ascii="宋体" w:hAnsi="宋体"/>
        </w:rPr>
        <w:t>2010年，推广黄烟飘浮育苗、热风循环堆积式烤烟技术，水稻病虫综合防治技术，测土配方施肥技术，地膜覆盖技术等。开展多种形式的送农业科技下乡活动，举办各类培训班6期，培训种养能手300人次；举办各种农业技术咨询活动8次，为群众提供4000多人次的咨询服务。种植业</w:t>
      </w:r>
    </w:p>
    <w:p w14:paraId="16131A00">
      <w:pPr>
        <w:pStyle w:val="4"/>
      </w:pPr>
      <w:r>
        <w:t>【粮食生产】</w:t>
      </w:r>
    </w:p>
    <w:p w14:paraId="256682C8">
      <w:pPr>
        <w:ind w:firstLine="420"/>
        <w:rPr>
          <w:rFonts w:ascii="宋体" w:hAnsi="宋体"/>
        </w:rPr>
      </w:pPr>
      <w:r>
        <w:rPr>
          <w:rFonts w:ascii="宋体" w:hAnsi="宋体"/>
        </w:rPr>
        <w:t>1、水稻生产情况。整合各方资源，以实施产粮大县、优质稻产业化工程项目、测土配方施肥技术，落实种粮补贴政策、推广高产优质水稻品种、水稻病虫害统防统治试点工作，开展粮食创高产活动，分别在全安镇古塘村至雄州街道铺背村以及在珠玑里仁村至湖口镇湖口村建立两个水稻创高产示范片，每个示范片1万多亩，早晚稻共计3万多亩，示范品种主要是杂交水稻D优162、两优2186、天优122、培杂泰丰、华优86、丰两优1号等主导品种，良种覆盖率100%；据省市专家组田间测产统计，示范片平均亩产达640公斤，突显了良好示范效果，粮食高产创建工作得到了省、市主管部门的一致好评；加上今年晚造天气较好，温度较正常，降雨均匀，寒露风来得较迟，对晚稻灌浆结实非常有利，特别是迟熟品种和迟插的花生田，结实率较去年有明显提高。全年全市粮食播种面积56.69万亩，亩产407公斤，总产达23.05万吨，比2009年分别增加1.95万亩、20公斤、1.84万吨。2、花生生产情况。全市种植花生10万亩，由于今年推广仲恺花1号、粤油7号等花生优良品种，以及大面积推广地膜覆盖技术，全市地膜花生面积达到6.2万亩，加上今年洪涝灾害较少，对花生生产非常有利，单产比去年增加5公斤以上。</w:t>
      </w:r>
    </w:p>
    <w:p w14:paraId="6577C381">
      <w:pPr>
        <w:pStyle w:val="4"/>
      </w:pPr>
      <w:r>
        <w:t>【种粮直补】</w:t>
      </w:r>
    </w:p>
    <w:p w14:paraId="5AE640A4">
      <w:pPr>
        <w:ind w:firstLine="420"/>
        <w:rPr>
          <w:rFonts w:ascii="宋体" w:hAnsi="宋体"/>
        </w:rPr>
      </w:pPr>
      <w:r>
        <w:rPr>
          <w:rFonts w:ascii="宋体" w:hAnsi="宋体"/>
        </w:rPr>
        <w:t>2010年全市种粮补贴面积400240.17亩，其中早稻81756.72亩，中晚稻318483.45亩，补贴农户8.32万户，补贴资金2261万元，良种补贴资金559.5万元。</w:t>
      </w:r>
    </w:p>
    <w:p w14:paraId="56CCBAD9">
      <w:pPr>
        <w:pStyle w:val="4"/>
      </w:pPr>
      <w:r>
        <w:t>【农作物病虫害防治】</w:t>
      </w:r>
    </w:p>
    <w:p w14:paraId="655D4FAB">
      <w:pPr>
        <w:ind w:firstLine="420"/>
        <w:rPr>
          <w:rFonts w:ascii="宋体" w:hAnsi="宋体"/>
        </w:rPr>
      </w:pPr>
      <w:r>
        <w:rPr>
          <w:rFonts w:ascii="宋体" w:hAnsi="宋体"/>
        </w:rPr>
        <w:t>全市2010年病虫草鼠总发生面积388.21万亩次，防治面积495.22万亩次。造成作物实际损失1051.58吨，挽回作物损失2311.79吨，挽回经济产值损失折合人民币670万元。1、建立汇报制度。全年共向省市汇报监测次数共62期；其中：螟虫4期，稻飞虱42期，卷叶虫16期。印发病虫情报12期，播出电视预报26期，印发《除虫警报》18万份，预报准确率达到95%以上。2、大力推广综合防治技术和适用技术。通过示范和推广技术活动，提高技术入户率和转化率，促进病虫综合防治技术活动，推广水稻病虫综合防治40万亩次，农田鼠害综合防治近20万亩次，化学除草100万亩次。3、拓宽病虫情报传递渠道，提高信息时效性。继续播出《南雄农业病虫测报》电视预报节目，遇到重大病虫发生时期，则当天直接插入当晚新闻频道进行播出。全年播出农作物电视预报栏目26期。4、加大高效低毒农药的推广力度，促进高毒农药替代工作的进程。植保站高度重视高毒农药的替代工作，通过举办安全用药培训班，开展送科技下乡、发放宣传资料等群众喜闻乐见的形式，推广高效低毒农药。推广40%福戈水分散粒剂、垄歌等高效、低毒农药，推广电子灭蛾灯等先进的防治技术。5、加强培训工作。为加强广大农民对南方黑条矮缩病的认识，在农业局的组织下，举办12个培训班，培训1300人次，向农民讲授南方黑条矮缩病的基本知识及防治方法等防治技术知识。6、开展农产品质量安全检测，到目前共抽样检测2139个；加快全市农产品质量安全检测体系建设，逐步推进南雄市农产品向绿色、集约化、规模化发展。7、抓好外来生物普查，为全市农作物安全树立一道保护屏障。抓好农作物种子苗木的调运检验检疫，2010年检验检疫蔬菜种子2000公斤，水稻种子170吨；全年开展桔小实蝇红火蚁等有害生物的监测和防控工作，组织培训一批果农，发放培训资料2000份。</w:t>
      </w:r>
    </w:p>
    <w:p w14:paraId="27417B34">
      <w:pPr>
        <w:pStyle w:val="4"/>
      </w:pPr>
      <w:r>
        <w:t>【良种推广试验】</w:t>
      </w:r>
    </w:p>
    <w:p w14:paraId="225485FD">
      <w:pPr>
        <w:ind w:firstLine="420"/>
        <w:rPr>
          <w:rFonts w:ascii="宋体" w:hAnsi="宋体"/>
        </w:rPr>
      </w:pPr>
      <w:r>
        <w:rPr>
          <w:rFonts w:ascii="宋体" w:hAnsi="宋体"/>
        </w:rPr>
        <w:t>全年早、晚造完成国家和省、市试验新品种230个，其中：①国家大豆新品种18个，通过各品种适应性、丰产性、抗病性、营养特性以及栽培技术要求的分析总结，筛选适合本地区种植的高产、优质、成熟期适当的大豆新品种，进行大面积推广种植。表现较好的品种有华夏3号、南农902、贡5104、莆豆11、吉00-18、华春6号等品种；②省、市试验水稻品种212个，其中省杂交优质稻品种136个、省常规优质稻品种45个和市杂交稻优质稻品种31个，在当地气候环境条件下种植，应用高产栽培技术管理，经过田间观察，调查记录抽样室内考种及产量结果的分析，对各参试品种的适应性、抗逆性、丰产性、抗病性及米质优劣性等特征特性进行全面、科学、合理的正确评价，从中筛选出适合本地区种植的高产优良品种，为水稻品种审定及生产推广提供科学依据。2010年筛选出适宜南雄种植的水稻主要品种有：丰两优一号、培杂泰丰、丰优998、Y两优1号、中佰优1号等。水稻杂优区试中表现较好的品种主要有：五丰优329、天优84、粤两优805、两优991、全丰优2155、裕优132、天优华占、星优791等；省常规优质稻区试表现好的有齐华占、粤泰早占、合美丝苗、新源占、特籼丝苗、华小红2号等品种。还加大力度对已审定的品种并表现较优势的品种进行种植展示示范，为良种推广提供好的示范现场。同时，以农科所为阵地，在各镇建立农村推广服务网络，做好品种咨询推广服务工作，加速新品种推广力度使新品种早日服务千家万户。</w:t>
      </w:r>
    </w:p>
    <w:p w14:paraId="49E66BDC">
      <w:pPr>
        <w:pStyle w:val="4"/>
      </w:pPr>
      <w:r>
        <w:t>【植保站】</w:t>
      </w:r>
    </w:p>
    <w:p w14:paraId="49DEF074">
      <w:pPr>
        <w:ind w:firstLine="420"/>
        <w:rPr>
          <w:rFonts w:ascii="宋体" w:hAnsi="宋体"/>
        </w:rPr>
      </w:pPr>
      <w:r>
        <w:rPr>
          <w:rFonts w:ascii="宋体" w:hAnsi="宋体"/>
        </w:rPr>
        <w:t>2009年12月，自筹流动资金30万元来启动冬储市场，冬储各种常规农药约35万元，2010年销售总额为893.46万元（去年为500.22万元），总营业成本763.08万元，实现毛利130.38万元（去年为53.34万元），毛利率14.59%，全年营业总开支102.07万元，其中营业费用48.11万元，管理费用45.79万元，财务费用8.17万元，实现净利润28.31万元（去年为2.5万元）。</w:t>
      </w:r>
    </w:p>
    <w:p w14:paraId="6122B451">
      <w:pPr>
        <w:ind w:firstLine="420"/>
        <w:jc w:val="right"/>
        <w:rPr>
          <w:rFonts w:ascii="宋体" w:hAnsi="宋体"/>
        </w:rPr>
      </w:pPr>
      <w:r>
        <w:rPr>
          <w:rFonts w:ascii="宋体" w:hAnsi="宋体"/>
        </w:rPr>
        <w:t>（林小燕）</w:t>
      </w:r>
    </w:p>
    <w:p w14:paraId="11815352">
      <w:pPr>
        <w:ind w:firstLine="422"/>
        <w:rPr>
          <w:rFonts w:ascii="宋体" w:hAnsi="宋体"/>
          <w:b/>
          <w:bCs/>
        </w:rPr>
      </w:pPr>
      <w:r>
        <w:rPr>
          <w:rFonts w:ascii="宋体" w:hAnsi="宋体"/>
          <w:b/>
          <w:bCs/>
        </w:rPr>
        <w:t>附：2010年农业局领导班子成员名单</w:t>
      </w:r>
    </w:p>
    <w:p w14:paraId="26CAF27E">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刘光团</w:t>
      </w:r>
    </w:p>
    <w:p w14:paraId="3628D0ED">
      <w:pPr>
        <w:ind w:firstLine="422"/>
        <w:rPr>
          <w:rFonts w:ascii="宋体" w:hAnsi="宋体"/>
        </w:rPr>
      </w:pPr>
      <w:r>
        <w:rPr>
          <w:rFonts w:ascii="宋体" w:hAnsi="宋体"/>
          <w:b/>
          <w:bCs/>
        </w:rPr>
        <w:t>副局长：</w:t>
      </w:r>
      <w:r>
        <w:rPr>
          <w:rFonts w:ascii="宋体" w:hAnsi="宋体"/>
        </w:rPr>
        <w:t>徐学腾</w:t>
      </w:r>
      <w:r>
        <w:rPr>
          <w:rFonts w:hint="eastAsia" w:ascii="宋体" w:hAnsi="宋体"/>
        </w:rPr>
        <w:t xml:space="preserve">  </w:t>
      </w:r>
      <w:r>
        <w:rPr>
          <w:rFonts w:ascii="宋体" w:hAnsi="宋体"/>
        </w:rPr>
        <w:t>吴英德</w:t>
      </w:r>
      <w:r>
        <w:rPr>
          <w:rFonts w:hint="eastAsia" w:ascii="宋体" w:hAnsi="宋体"/>
        </w:rPr>
        <w:t xml:space="preserve">  </w:t>
      </w:r>
      <w:r>
        <w:rPr>
          <w:rFonts w:ascii="宋体" w:hAnsi="宋体"/>
        </w:rPr>
        <w:t>邓荣球</w:t>
      </w:r>
      <w:r>
        <w:rPr>
          <w:rFonts w:hint="eastAsia" w:ascii="宋体" w:hAnsi="宋体"/>
        </w:rPr>
        <w:t xml:space="preserve">  </w:t>
      </w:r>
      <w:r>
        <w:rPr>
          <w:rFonts w:ascii="宋体" w:hAnsi="宋体"/>
        </w:rPr>
        <w:t>谢斌锋</w:t>
      </w:r>
    </w:p>
    <w:p w14:paraId="26BA228D">
      <w:pPr>
        <w:ind w:firstLine="422"/>
        <w:rPr>
          <w:rFonts w:ascii="宋体" w:hAnsi="宋体"/>
        </w:rPr>
      </w:pPr>
      <w:r>
        <w:rPr>
          <w:rFonts w:ascii="宋体" w:hAnsi="宋体"/>
          <w:b/>
          <w:bCs/>
        </w:rPr>
        <w:t>纪检组长：</w:t>
      </w:r>
      <w:r>
        <w:rPr>
          <w:rFonts w:ascii="宋体" w:hAnsi="宋体"/>
        </w:rPr>
        <w:t>林泉</w:t>
      </w:r>
    </w:p>
    <w:p w14:paraId="57411BB2">
      <w:pPr>
        <w:ind w:firstLine="422"/>
        <w:rPr>
          <w:rFonts w:ascii="宋体" w:hAnsi="宋体"/>
        </w:rPr>
      </w:pPr>
      <w:r>
        <w:rPr>
          <w:rFonts w:ascii="宋体" w:hAnsi="宋体"/>
          <w:b/>
          <w:bCs/>
        </w:rPr>
        <w:t>工会主席：</w:t>
      </w:r>
      <w:r>
        <w:rPr>
          <w:rFonts w:ascii="宋体" w:hAnsi="宋体"/>
        </w:rPr>
        <w:t>朱天冀</w:t>
      </w:r>
    </w:p>
    <w:p w14:paraId="63E61C9E">
      <w:pPr>
        <w:ind w:firstLine="422"/>
        <w:rPr>
          <w:rFonts w:ascii="宋体" w:hAnsi="宋体"/>
        </w:rPr>
      </w:pPr>
      <w:r>
        <w:rPr>
          <w:rFonts w:ascii="宋体" w:hAnsi="宋体"/>
          <w:b/>
          <w:bCs/>
        </w:rPr>
        <w:t>扶贫办主任：</w:t>
      </w:r>
      <w:r>
        <w:rPr>
          <w:rFonts w:ascii="宋体" w:hAnsi="宋体"/>
        </w:rPr>
        <w:t>刘运仁</w:t>
      </w:r>
    </w:p>
    <w:p w14:paraId="2397CF23">
      <w:pPr>
        <w:pStyle w:val="3"/>
      </w:pPr>
      <w:r>
        <w:t>畜牧业</w:t>
      </w:r>
    </w:p>
    <w:p w14:paraId="07409437">
      <w:pPr>
        <w:pStyle w:val="4"/>
      </w:pPr>
      <w:r>
        <w:t>【概况】</w:t>
      </w:r>
    </w:p>
    <w:p w14:paraId="5F6DF049">
      <w:pPr>
        <w:ind w:firstLine="420"/>
        <w:rPr>
          <w:rFonts w:ascii="宋体" w:hAnsi="宋体"/>
        </w:rPr>
      </w:pPr>
      <w:r>
        <w:rPr>
          <w:rFonts w:ascii="宋体" w:hAnsi="宋体"/>
        </w:rPr>
        <w:t>南雄市畜牧兽医水产局，2003年名称是畜牧水产技术推广中心，正科级单位，编制19人（参公人员17人，后勤2人）。2009年8月机构改革为畜牧兽医水产局，副科级单位，直属农业局，编制19人，（参公人员17人，后勤2人）。</w:t>
      </w:r>
    </w:p>
    <w:p w14:paraId="181C5D4D">
      <w:pPr>
        <w:pStyle w:val="4"/>
      </w:pPr>
      <w:r>
        <w:t>【主要职能】</w:t>
      </w:r>
    </w:p>
    <w:p w14:paraId="056D9A56">
      <w:pPr>
        <w:ind w:firstLine="420"/>
        <w:rPr>
          <w:rFonts w:ascii="宋体" w:hAnsi="宋体"/>
        </w:rPr>
      </w:pPr>
      <w:r>
        <w:rPr>
          <w:rFonts w:ascii="宋体" w:hAnsi="宋体"/>
        </w:rPr>
        <w:t>贯彻执行国家和省有关畜牧兽医水产管理的法律、法规和方针、政策，研究拟订地方畜牧业、渔业的管理有关规定，依法实施畜牧业、渔业行业监督管理；拟订全市畜牧兽医行业、渔业发展战略、中长期发展规划并组织实施；拟订全市动物疫病防治规划，组织动物疫病监测、控制和扑杀；负责动物防疫、防疫监督、动物及动物产品检疫、兽药残留监督、饲料质量安全监督的管理工作；负责兽医医政、兽药药政工作；负责国家、行业、地方相关标准的监督实施；指导畜禽养殖、水生野生动物的开发利用；指导和推进畜牧业产业结构调整；负责畜牧养殖业、渔业环境监测管理工作；负责种畜禽、牧草、饲料、饲料添加剂管理工作；负责全市畜禽及其产品和水产品质量安全管理和监控工作；组织实施畜产资源和牧草地资源保护工作；负责水生动物防疫检疫管理工作，负责组织实施水生动物的疫病控制和扑灭，负责水产养殖病害防治工作；承办市人民政府和上级主管部门交办的其他事项。</w:t>
      </w:r>
    </w:p>
    <w:p w14:paraId="3E3887AE">
      <w:pPr>
        <w:pStyle w:val="4"/>
      </w:pPr>
      <w:r>
        <w:t>【畜牧业生产情况】</w:t>
      </w:r>
    </w:p>
    <w:p w14:paraId="1D143578">
      <w:pPr>
        <w:ind w:firstLine="420"/>
        <w:rPr>
          <w:rFonts w:ascii="宋体" w:hAnsi="宋体"/>
        </w:rPr>
      </w:pPr>
      <w:r>
        <w:rPr>
          <w:rFonts w:ascii="宋体" w:hAnsi="宋体"/>
        </w:rPr>
        <w:t>2010年全市畜牧业总产值达9.6亿元，2010年耕牛饲养量3.23万头，生猪饲养量达78.36万头，山羊饲养量0.74万头，出栏0.27万头，三鸟饲养量达631.83万只，出栏量471.31万只，肉类总产量46195吨。</w:t>
      </w:r>
    </w:p>
    <w:p w14:paraId="224E9B48">
      <w:pPr>
        <w:pStyle w:val="4"/>
      </w:pPr>
      <w:r>
        <w:t>【畜牧业生产结构】</w:t>
      </w:r>
    </w:p>
    <w:p w14:paraId="786518C3">
      <w:pPr>
        <w:ind w:firstLine="420"/>
        <w:rPr>
          <w:rFonts w:ascii="宋体" w:hAnsi="宋体"/>
        </w:rPr>
      </w:pPr>
      <w:r>
        <w:rPr>
          <w:rFonts w:ascii="宋体" w:hAnsi="宋体"/>
        </w:rPr>
        <w:t>在平原地区以农户饲养为主体的养殖方式已转变为集约化、规模化、基地化、产业化的养殖模式。目前正掀起“公司+基地+农户”为主的畜牧业产业化经营模式，逐步形成龙头企业带动千家万户发展畜牧业的格局。至2010年全市有养猪场（50头以上）556个。养鸡、养鸭、养鹅场（500只以上）426个。综合开发场38个。在山区半山区以草食动物为主体的有养羊户32户，养牛5户、养蜜蜂专业户有93户2902箱等。全市也出现了一批稀有珍贵畜禽养殖户，如养赛马、鸵鸟、有养鸽子、养五黑鸡、养珍珠鸡、竹丝鸡、养蛇、养兔、养竹鼠等。温氏集团南亩种猪场、翠屏公司种猪场，现有种猪8000头。古市太和农牧存栏蛋鸡23000多只等大型养殖场。2010年养猪专业户有556户，出栏肉猪25万头，养禽专业户养426户，出栏三鸟471.32万只。畜禽养殖基本上是以猪粪养塘，以猪粪种田、菜，以猪粪种果、种烟，猪粪发酵一沼气等综合模式。基本达到环保要求。</w:t>
      </w:r>
    </w:p>
    <w:p w14:paraId="5948B6FA">
      <w:pPr>
        <w:pStyle w:val="4"/>
      </w:pPr>
      <w:r>
        <w:t>【良种繁育】</w:t>
      </w:r>
    </w:p>
    <w:p w14:paraId="26EBC580">
      <w:pPr>
        <w:ind w:firstLine="420"/>
        <w:rPr>
          <w:rFonts w:ascii="宋体" w:hAnsi="宋体"/>
        </w:rPr>
      </w:pPr>
      <w:r>
        <w:rPr>
          <w:rFonts w:ascii="宋体" w:hAnsi="宋体"/>
        </w:rPr>
        <w:t>以良种公猪为先导，利用杂交优势，确立以长白公猪为主体的“三大”外来猪种（长白、约克、杜洛克）作为杂交父本在全市已经全面推广。以长白公猪为父本，地方猪为母本的两元杂交猪也开始淘汰，2008年全面推广人工授精，改良品种结构。提高畜禽产品质量。大力饲养“二元杂”母猪，与优良公猪交配繁殖“三元杂”猪苗，为养殖“三元杂”商品猪提供种苗翠屏公司主田种猪场1996年投产后每年供应三元杂交瘦肉型猪苗达1.6万~3万头。温氏集团南亩种猪场每年供应三元杂交瘦肉型猪苗也达10万多头。全市几乎淘汰了本地母猪。山羊养殖。自2003年，开始推广黑山羊养殖，由于黑山羊个头小，耗饲料大，品种较差，2007年4月在山东省引进优质波尔种山羊50多只，进行品种改良和推广试养。五黑鸡养殖。五黑鸡是我国罕见的珍禽极品，其特征是“五黑一绿”，是天然绿色食品。2008年从湖北、江西引进试养，获得成功。五黑鸡的养殖深受养殖户的欢迎，产品深受消费者的青睐，目前饲养量已达100万羽。</w:t>
      </w:r>
    </w:p>
    <w:p w14:paraId="26FEBB62">
      <w:pPr>
        <w:pStyle w:val="4"/>
      </w:pPr>
      <w:r>
        <w:t>【畜牧业生产水平】</w:t>
      </w:r>
    </w:p>
    <w:p w14:paraId="4063B9B2">
      <w:pPr>
        <w:ind w:firstLine="420"/>
        <w:rPr>
          <w:rFonts w:ascii="宋体" w:hAnsi="宋体"/>
        </w:rPr>
      </w:pPr>
      <w:r>
        <w:rPr>
          <w:rFonts w:ascii="宋体" w:hAnsi="宋体"/>
        </w:rPr>
        <w:t>科学养殖畜、养禽在南雄已得到广泛推广应用，农户利用混合饲料喂畜禽，彻底改变了年头养猪、年尾出栏的状况，五个月就可达180斤以上出栏，缩短饲养期七个月。专业户利用全价饲料，生猪饲养四个月就达180斤出栏。快大鸡40-50天也可出栏，本地鸡80-90天出栏，从而加速南雄畜牧业的发展。</w:t>
      </w:r>
    </w:p>
    <w:p w14:paraId="5C60C82F">
      <w:pPr>
        <w:pStyle w:val="4"/>
      </w:pPr>
      <w:r>
        <w:t>【动物防疫工作】</w:t>
      </w:r>
    </w:p>
    <w:p w14:paraId="7B8CF8F4">
      <w:pPr>
        <w:ind w:firstLine="420"/>
        <w:rPr>
          <w:rFonts w:ascii="宋体" w:hAnsi="宋体"/>
        </w:rPr>
      </w:pPr>
      <w:r>
        <w:rPr>
          <w:rFonts w:ascii="宋体" w:hAnsi="宋体"/>
        </w:rPr>
        <w:t>把动物防疫当作重中之重的工作来抓，在搞好调查摸底的基础上，结合实际围绕实现“三个100%”的目标。一是加强组织领导，局和各镇都相应成立领导机构，进一步加强领导，落实责任；二是千方百计加大投入，市政府在财政相当困难的情况下，安排专项防控经费，每年安排130万元防疫专项经费并列入财政预算，各镇（街道）也根据自己的财力情况拨出专项资金作为补贴免疫和注射不足；三是精心组织，周密部署。每次防疫行动高潮都做到有计划、有组织、有措施、有效果。据统计至2010年止，全市畜禽口蹄疫、猪瘟、猪蓝耳、鸡禽流感、鸡新城疫免疫率达到95%以上，猪、牛耳标佩带率达95%以上，省市检查抽检各项指标中在韶关市名列前茅。</w:t>
      </w:r>
    </w:p>
    <w:p w14:paraId="246A3B87">
      <w:pPr>
        <w:pStyle w:val="3"/>
      </w:pPr>
      <w:r>
        <w:t>水产业</w:t>
      </w:r>
    </w:p>
    <w:p w14:paraId="4CFA8F2C">
      <w:pPr>
        <w:pStyle w:val="4"/>
      </w:pPr>
      <w:r>
        <w:t>【鱼苗场建设】</w:t>
      </w:r>
    </w:p>
    <w:p w14:paraId="5BF97E01">
      <w:pPr>
        <w:ind w:firstLine="420"/>
        <w:rPr>
          <w:rFonts w:ascii="宋体" w:hAnsi="宋体"/>
        </w:rPr>
      </w:pPr>
      <w:r>
        <w:rPr>
          <w:rFonts w:ascii="宋体" w:hAnsi="宋体"/>
        </w:rPr>
        <w:t>南雄鱼苗场成立于1951年12月，当时有鱼塘86亩。1971年鱼塘面积最多时达到187亩。由于鱼苗场鱼塘位于县城周边，而城市人口又不断增长，从1981年开始县城鱼塘被单位征用，从2003年开始至2008年南雄老城改造，先后将老虎塘、马路口鱼塘几十亩全部给开发商经用作商品房开发，2008年后鱼苗场鱼塘只有43亩，而且受到不同程度污染，周边鱼塘成为排污沟。水质下降，鱼塘的产量和效益也明显下降。因此，从2006年鱼苗场开始就向市政府提出搬迁新建鱼苗场。其他专业合作社和私人鱼苗场发展缓慢，有部分鱼苗孵化，但主要是以鱼苗标粗为主。</w:t>
      </w:r>
    </w:p>
    <w:p w14:paraId="4A6E9A8D">
      <w:pPr>
        <w:pStyle w:val="4"/>
      </w:pPr>
      <w:r>
        <w:t>【鱼苗繁育】</w:t>
      </w:r>
    </w:p>
    <w:p w14:paraId="452C247A">
      <w:pPr>
        <w:ind w:firstLine="420"/>
        <w:rPr>
          <w:rFonts w:ascii="宋体" w:hAnsi="宋体"/>
        </w:rPr>
      </w:pPr>
      <w:r>
        <w:rPr>
          <w:rFonts w:ascii="宋体" w:hAnsi="宋体"/>
        </w:rPr>
        <w:t>南雄的鱼苗繁育主要以鱼苗标粗为主，鱼苗孵化量较少，主要在市鱼苗场孵化量较大，约占全市的三分之一以上。全市鱼苗孵化统计数如表8-1：</w:t>
      </w:r>
    </w:p>
    <w:p w14:paraId="13275CB5">
      <w:pPr>
        <w:ind w:firstLine="0" w:firstLineChars="0"/>
        <w:jc w:val="center"/>
        <w:rPr>
          <w:rFonts w:hint="eastAsia" w:ascii="宋体" w:hAnsi="宋体"/>
          <w:b/>
        </w:rPr>
      </w:pPr>
      <w:commentRangeStart w:id="13"/>
      <w:r>
        <w:rPr>
          <w:rFonts w:ascii="宋体" w:hAnsi="宋体"/>
          <w:b/>
        </w:rPr>
        <w:t>表</w:t>
      </w:r>
      <w:r>
        <w:rPr>
          <w:rFonts w:hint="eastAsia" w:ascii="宋体" w:hAnsi="宋体"/>
          <w:b/>
        </w:rPr>
        <w:t>15-1  南雄市2003年至2010年鱼苗孵化统计数</w:t>
      </w:r>
      <w:commentRangeEnd w:id="13"/>
      <w:r>
        <w:rPr>
          <w:rStyle w:val="12"/>
        </w:rPr>
        <w:commentReference w:id="13"/>
      </w:r>
    </w:p>
    <w:p w14:paraId="2150DB28">
      <w:pPr>
        <w:ind w:firstLine="0" w:firstLineChars="0"/>
        <w:jc w:val="right"/>
        <w:rPr>
          <w:rFonts w:hint="eastAsia" w:ascii="宋体" w:hAnsi="宋体"/>
          <w:b/>
        </w:rPr>
      </w:pPr>
      <w:r>
        <w:rPr>
          <w:rFonts w:hint="eastAsia" w:ascii="宋体" w:hAnsi="宋体"/>
          <w:b/>
        </w:rPr>
        <w:t>单位：万尾</w:t>
      </w: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92"/>
        <w:gridCol w:w="1992"/>
        <w:gridCol w:w="1992"/>
        <w:gridCol w:w="1993"/>
        <w:gridCol w:w="1993"/>
      </w:tblGrid>
      <w:tr w14:paraId="21A81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0" w:type="pct"/>
            <w:vAlign w:val="center"/>
          </w:tcPr>
          <w:p w14:paraId="539DD4F0">
            <w:pPr>
              <w:pStyle w:val="13"/>
              <w:jc w:val="center"/>
              <w:rPr>
                <w:rFonts w:hint="eastAsia"/>
                <w:b/>
              </w:rPr>
            </w:pPr>
            <w:r>
              <w:rPr>
                <w:rFonts w:hint="eastAsia"/>
                <w:b/>
              </w:rPr>
              <w:t>年度</w:t>
            </w:r>
          </w:p>
        </w:tc>
        <w:tc>
          <w:tcPr>
            <w:tcW w:w="1000" w:type="pct"/>
            <w:vAlign w:val="center"/>
          </w:tcPr>
          <w:p w14:paraId="673EC29E">
            <w:pPr>
              <w:pStyle w:val="13"/>
              <w:jc w:val="center"/>
              <w:rPr>
                <w:rFonts w:hint="eastAsia"/>
                <w:b/>
              </w:rPr>
            </w:pPr>
            <w:r>
              <w:rPr>
                <w:rFonts w:hint="eastAsia"/>
                <w:b/>
              </w:rPr>
              <w:t>合计</w:t>
            </w:r>
          </w:p>
        </w:tc>
        <w:tc>
          <w:tcPr>
            <w:tcW w:w="1000" w:type="pct"/>
            <w:vAlign w:val="center"/>
          </w:tcPr>
          <w:p w14:paraId="5DA27ACF">
            <w:pPr>
              <w:pStyle w:val="13"/>
              <w:jc w:val="center"/>
              <w:rPr>
                <w:rFonts w:hint="eastAsia"/>
                <w:b/>
              </w:rPr>
            </w:pPr>
            <w:r>
              <w:rPr>
                <w:rFonts w:hint="eastAsia"/>
                <w:b/>
              </w:rPr>
              <w:t>鳙</w:t>
            </w:r>
          </w:p>
        </w:tc>
        <w:tc>
          <w:tcPr>
            <w:tcW w:w="1000" w:type="pct"/>
            <w:vAlign w:val="center"/>
          </w:tcPr>
          <w:p w14:paraId="37493D81">
            <w:pPr>
              <w:pStyle w:val="13"/>
              <w:jc w:val="center"/>
              <w:rPr>
                <w:rFonts w:hint="eastAsia"/>
                <w:b/>
              </w:rPr>
            </w:pPr>
            <w:r>
              <w:rPr>
                <w:rFonts w:hint="eastAsia"/>
                <w:b/>
              </w:rPr>
              <w:t>鲢</w:t>
            </w:r>
          </w:p>
        </w:tc>
        <w:tc>
          <w:tcPr>
            <w:tcW w:w="1000" w:type="pct"/>
            <w:vAlign w:val="center"/>
          </w:tcPr>
          <w:p w14:paraId="788A9B28">
            <w:pPr>
              <w:pStyle w:val="13"/>
              <w:jc w:val="center"/>
              <w:rPr>
                <w:rFonts w:hint="eastAsia"/>
                <w:b/>
              </w:rPr>
            </w:pPr>
            <w:r>
              <w:rPr>
                <w:rFonts w:hint="eastAsia"/>
                <w:b/>
              </w:rPr>
              <w:t>鲩</w:t>
            </w:r>
          </w:p>
        </w:tc>
      </w:tr>
      <w:tr w14:paraId="79573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0" w:type="pct"/>
            <w:vAlign w:val="center"/>
          </w:tcPr>
          <w:p w14:paraId="598ABBE3">
            <w:pPr>
              <w:pStyle w:val="13"/>
              <w:jc w:val="center"/>
            </w:pPr>
            <w:r>
              <w:t>2003</w:t>
            </w:r>
          </w:p>
        </w:tc>
        <w:tc>
          <w:tcPr>
            <w:tcW w:w="1000" w:type="pct"/>
            <w:vAlign w:val="center"/>
          </w:tcPr>
          <w:p w14:paraId="723D9A7C">
            <w:pPr>
              <w:pStyle w:val="13"/>
              <w:jc w:val="center"/>
            </w:pPr>
            <w:r>
              <w:t>10573</w:t>
            </w:r>
          </w:p>
        </w:tc>
        <w:tc>
          <w:tcPr>
            <w:tcW w:w="1000" w:type="pct"/>
            <w:vAlign w:val="center"/>
          </w:tcPr>
          <w:p w14:paraId="2CE388C5">
            <w:pPr>
              <w:pStyle w:val="13"/>
              <w:jc w:val="center"/>
            </w:pPr>
            <w:r>
              <w:t>4259</w:t>
            </w:r>
          </w:p>
        </w:tc>
        <w:tc>
          <w:tcPr>
            <w:tcW w:w="1000" w:type="pct"/>
            <w:vAlign w:val="center"/>
          </w:tcPr>
          <w:p w14:paraId="78A5F69B">
            <w:pPr>
              <w:pStyle w:val="13"/>
              <w:jc w:val="center"/>
            </w:pPr>
            <w:r>
              <w:t>3810</w:t>
            </w:r>
          </w:p>
        </w:tc>
        <w:tc>
          <w:tcPr>
            <w:tcW w:w="1000" w:type="pct"/>
            <w:vAlign w:val="center"/>
          </w:tcPr>
          <w:p w14:paraId="37F291E0">
            <w:pPr>
              <w:pStyle w:val="13"/>
              <w:jc w:val="center"/>
            </w:pPr>
            <w:r>
              <w:t>1340</w:t>
            </w:r>
          </w:p>
        </w:tc>
      </w:tr>
      <w:tr w14:paraId="59D56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0" w:type="pct"/>
            <w:vAlign w:val="center"/>
          </w:tcPr>
          <w:p w14:paraId="0D577389">
            <w:pPr>
              <w:pStyle w:val="13"/>
              <w:jc w:val="center"/>
            </w:pPr>
            <w:r>
              <w:t>2004</w:t>
            </w:r>
          </w:p>
        </w:tc>
        <w:tc>
          <w:tcPr>
            <w:tcW w:w="1000" w:type="pct"/>
            <w:vAlign w:val="center"/>
          </w:tcPr>
          <w:p w14:paraId="6695F508">
            <w:pPr>
              <w:pStyle w:val="13"/>
              <w:jc w:val="center"/>
            </w:pPr>
            <w:r>
              <w:t>11130</w:t>
            </w:r>
          </w:p>
        </w:tc>
        <w:tc>
          <w:tcPr>
            <w:tcW w:w="1000" w:type="pct"/>
            <w:vAlign w:val="center"/>
          </w:tcPr>
          <w:p w14:paraId="1D277931">
            <w:pPr>
              <w:pStyle w:val="13"/>
              <w:jc w:val="center"/>
            </w:pPr>
            <w:r>
              <w:t>4036</w:t>
            </w:r>
          </w:p>
        </w:tc>
        <w:tc>
          <w:tcPr>
            <w:tcW w:w="1000" w:type="pct"/>
            <w:vAlign w:val="center"/>
          </w:tcPr>
          <w:p w14:paraId="6E5874A6">
            <w:pPr>
              <w:pStyle w:val="13"/>
              <w:jc w:val="center"/>
            </w:pPr>
            <w:r>
              <w:t>3720</w:t>
            </w:r>
          </w:p>
        </w:tc>
        <w:tc>
          <w:tcPr>
            <w:tcW w:w="1000" w:type="pct"/>
            <w:vAlign w:val="center"/>
          </w:tcPr>
          <w:p w14:paraId="135A8EB5">
            <w:pPr>
              <w:pStyle w:val="13"/>
              <w:jc w:val="center"/>
            </w:pPr>
            <w:r>
              <w:t>2150</w:t>
            </w:r>
          </w:p>
        </w:tc>
      </w:tr>
      <w:tr w14:paraId="0A85C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0" w:type="pct"/>
            <w:vAlign w:val="center"/>
          </w:tcPr>
          <w:p w14:paraId="07202B87">
            <w:pPr>
              <w:pStyle w:val="13"/>
              <w:jc w:val="center"/>
            </w:pPr>
            <w:r>
              <w:t>2005</w:t>
            </w:r>
          </w:p>
        </w:tc>
        <w:tc>
          <w:tcPr>
            <w:tcW w:w="1000" w:type="pct"/>
            <w:vAlign w:val="center"/>
          </w:tcPr>
          <w:p w14:paraId="74DF4301">
            <w:pPr>
              <w:pStyle w:val="13"/>
              <w:jc w:val="center"/>
            </w:pPr>
            <w:r>
              <w:t>11576</w:t>
            </w:r>
          </w:p>
        </w:tc>
        <w:tc>
          <w:tcPr>
            <w:tcW w:w="1000" w:type="pct"/>
            <w:vAlign w:val="center"/>
          </w:tcPr>
          <w:p w14:paraId="6B10A92F">
            <w:pPr>
              <w:pStyle w:val="13"/>
              <w:jc w:val="center"/>
            </w:pPr>
            <w:r>
              <w:t>4120</w:t>
            </w:r>
          </w:p>
        </w:tc>
        <w:tc>
          <w:tcPr>
            <w:tcW w:w="1000" w:type="pct"/>
            <w:vAlign w:val="center"/>
          </w:tcPr>
          <w:p w14:paraId="236A629D">
            <w:pPr>
              <w:pStyle w:val="13"/>
              <w:jc w:val="center"/>
            </w:pPr>
            <w:r>
              <w:t>3950</w:t>
            </w:r>
          </w:p>
        </w:tc>
        <w:tc>
          <w:tcPr>
            <w:tcW w:w="1000" w:type="pct"/>
            <w:vAlign w:val="center"/>
          </w:tcPr>
          <w:p w14:paraId="6D247BC9">
            <w:pPr>
              <w:pStyle w:val="13"/>
              <w:jc w:val="center"/>
            </w:pPr>
            <w:r>
              <w:t>2230</w:t>
            </w:r>
          </w:p>
        </w:tc>
      </w:tr>
      <w:tr w14:paraId="711C3F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0" w:type="pct"/>
            <w:vAlign w:val="center"/>
          </w:tcPr>
          <w:p w14:paraId="6D8C712C">
            <w:pPr>
              <w:pStyle w:val="13"/>
              <w:jc w:val="center"/>
            </w:pPr>
            <w:r>
              <w:t>2006</w:t>
            </w:r>
          </w:p>
        </w:tc>
        <w:tc>
          <w:tcPr>
            <w:tcW w:w="1000" w:type="pct"/>
            <w:vAlign w:val="center"/>
          </w:tcPr>
          <w:p w14:paraId="137EC364">
            <w:pPr>
              <w:pStyle w:val="13"/>
              <w:jc w:val="center"/>
            </w:pPr>
            <w:r>
              <w:t>11930</w:t>
            </w:r>
          </w:p>
        </w:tc>
        <w:tc>
          <w:tcPr>
            <w:tcW w:w="1000" w:type="pct"/>
            <w:vAlign w:val="center"/>
          </w:tcPr>
          <w:p w14:paraId="130BAEA8">
            <w:pPr>
              <w:pStyle w:val="13"/>
              <w:jc w:val="center"/>
            </w:pPr>
            <w:r>
              <w:t>4200</w:t>
            </w:r>
          </w:p>
        </w:tc>
        <w:tc>
          <w:tcPr>
            <w:tcW w:w="1000" w:type="pct"/>
            <w:vAlign w:val="center"/>
          </w:tcPr>
          <w:p w14:paraId="1D7A66EF">
            <w:pPr>
              <w:pStyle w:val="13"/>
              <w:jc w:val="center"/>
            </w:pPr>
            <w:r>
              <w:t>4110</w:t>
            </w:r>
          </w:p>
        </w:tc>
        <w:tc>
          <w:tcPr>
            <w:tcW w:w="1000" w:type="pct"/>
            <w:vAlign w:val="center"/>
          </w:tcPr>
          <w:p w14:paraId="20C8611C">
            <w:pPr>
              <w:pStyle w:val="13"/>
              <w:jc w:val="center"/>
            </w:pPr>
            <w:r>
              <w:t>2310</w:t>
            </w:r>
          </w:p>
        </w:tc>
      </w:tr>
      <w:tr w14:paraId="4A146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0" w:type="pct"/>
            <w:vAlign w:val="center"/>
          </w:tcPr>
          <w:p w14:paraId="06AC1063">
            <w:pPr>
              <w:pStyle w:val="13"/>
              <w:jc w:val="center"/>
            </w:pPr>
            <w:r>
              <w:t>2007</w:t>
            </w:r>
          </w:p>
        </w:tc>
        <w:tc>
          <w:tcPr>
            <w:tcW w:w="1000" w:type="pct"/>
            <w:vAlign w:val="center"/>
          </w:tcPr>
          <w:p w14:paraId="3BF9B0D0">
            <w:pPr>
              <w:pStyle w:val="13"/>
              <w:jc w:val="center"/>
            </w:pPr>
            <w:r>
              <w:t>12228</w:t>
            </w:r>
          </w:p>
        </w:tc>
        <w:tc>
          <w:tcPr>
            <w:tcW w:w="1000" w:type="pct"/>
            <w:vAlign w:val="center"/>
          </w:tcPr>
          <w:p w14:paraId="771A52D3">
            <w:pPr>
              <w:pStyle w:val="13"/>
              <w:jc w:val="center"/>
            </w:pPr>
            <w:r>
              <w:t>4270</w:t>
            </w:r>
          </w:p>
        </w:tc>
        <w:tc>
          <w:tcPr>
            <w:tcW w:w="1000" w:type="pct"/>
            <w:vAlign w:val="center"/>
          </w:tcPr>
          <w:p w14:paraId="71D532D6">
            <w:pPr>
              <w:pStyle w:val="13"/>
              <w:jc w:val="center"/>
            </w:pPr>
            <w:r>
              <w:t>4080</w:t>
            </w:r>
          </w:p>
        </w:tc>
        <w:tc>
          <w:tcPr>
            <w:tcW w:w="1000" w:type="pct"/>
            <w:vAlign w:val="center"/>
          </w:tcPr>
          <w:p w14:paraId="25FF711A">
            <w:pPr>
              <w:pStyle w:val="13"/>
              <w:jc w:val="center"/>
            </w:pPr>
            <w:r>
              <w:t>2530</w:t>
            </w:r>
          </w:p>
        </w:tc>
      </w:tr>
      <w:tr w14:paraId="55699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0" w:type="pct"/>
            <w:vAlign w:val="center"/>
          </w:tcPr>
          <w:p w14:paraId="749288E9">
            <w:pPr>
              <w:pStyle w:val="13"/>
              <w:jc w:val="center"/>
            </w:pPr>
            <w:r>
              <w:t>2008</w:t>
            </w:r>
          </w:p>
        </w:tc>
        <w:tc>
          <w:tcPr>
            <w:tcW w:w="1000" w:type="pct"/>
            <w:vAlign w:val="center"/>
          </w:tcPr>
          <w:p w14:paraId="10E4DF52">
            <w:pPr>
              <w:pStyle w:val="13"/>
              <w:jc w:val="center"/>
            </w:pPr>
            <w:r>
              <w:t>12700</w:t>
            </w:r>
          </w:p>
        </w:tc>
        <w:tc>
          <w:tcPr>
            <w:tcW w:w="1000" w:type="pct"/>
            <w:vAlign w:val="center"/>
          </w:tcPr>
          <w:p w14:paraId="3599C66A">
            <w:pPr>
              <w:pStyle w:val="13"/>
              <w:jc w:val="center"/>
            </w:pPr>
            <w:r>
              <w:t>4310</w:t>
            </w:r>
          </w:p>
        </w:tc>
        <w:tc>
          <w:tcPr>
            <w:tcW w:w="1000" w:type="pct"/>
            <w:vAlign w:val="center"/>
          </w:tcPr>
          <w:p w14:paraId="50C5BCCC">
            <w:pPr>
              <w:pStyle w:val="13"/>
              <w:jc w:val="center"/>
            </w:pPr>
            <w:r>
              <w:t>4170</w:t>
            </w:r>
          </w:p>
        </w:tc>
        <w:tc>
          <w:tcPr>
            <w:tcW w:w="1000" w:type="pct"/>
            <w:vAlign w:val="center"/>
          </w:tcPr>
          <w:p w14:paraId="1D84E41E">
            <w:pPr>
              <w:pStyle w:val="13"/>
              <w:jc w:val="center"/>
            </w:pPr>
            <w:r>
              <w:t>2820</w:t>
            </w:r>
          </w:p>
        </w:tc>
      </w:tr>
      <w:tr w14:paraId="0E55A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0" w:type="pct"/>
            <w:vAlign w:val="center"/>
          </w:tcPr>
          <w:p w14:paraId="5C1B6142">
            <w:pPr>
              <w:pStyle w:val="13"/>
              <w:jc w:val="center"/>
            </w:pPr>
            <w:r>
              <w:t>2009</w:t>
            </w:r>
          </w:p>
        </w:tc>
        <w:tc>
          <w:tcPr>
            <w:tcW w:w="1000" w:type="pct"/>
            <w:vAlign w:val="center"/>
          </w:tcPr>
          <w:p w14:paraId="7E3671EC">
            <w:pPr>
              <w:pStyle w:val="13"/>
              <w:jc w:val="center"/>
            </w:pPr>
            <w:r>
              <w:t>12800</w:t>
            </w:r>
          </w:p>
        </w:tc>
        <w:tc>
          <w:tcPr>
            <w:tcW w:w="1000" w:type="pct"/>
            <w:vAlign w:val="center"/>
          </w:tcPr>
          <w:p w14:paraId="794DD390">
            <w:pPr>
              <w:pStyle w:val="13"/>
              <w:jc w:val="center"/>
            </w:pPr>
            <w:r>
              <w:t>4190</w:t>
            </w:r>
          </w:p>
        </w:tc>
        <w:tc>
          <w:tcPr>
            <w:tcW w:w="1000" w:type="pct"/>
            <w:vAlign w:val="center"/>
          </w:tcPr>
          <w:p w14:paraId="50D2537D">
            <w:pPr>
              <w:pStyle w:val="13"/>
              <w:jc w:val="center"/>
            </w:pPr>
            <w:r>
              <w:t>4050</w:t>
            </w:r>
          </w:p>
        </w:tc>
        <w:tc>
          <w:tcPr>
            <w:tcW w:w="1000" w:type="pct"/>
            <w:vAlign w:val="center"/>
          </w:tcPr>
          <w:p w14:paraId="55DD5AFB">
            <w:pPr>
              <w:pStyle w:val="13"/>
              <w:jc w:val="center"/>
            </w:pPr>
            <w:r>
              <w:t>2900</w:t>
            </w:r>
          </w:p>
        </w:tc>
      </w:tr>
      <w:tr w14:paraId="31258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0" w:type="pct"/>
            <w:vAlign w:val="center"/>
          </w:tcPr>
          <w:p w14:paraId="66C44912">
            <w:pPr>
              <w:pStyle w:val="13"/>
              <w:jc w:val="center"/>
            </w:pPr>
            <w:r>
              <w:t>2010</w:t>
            </w:r>
          </w:p>
        </w:tc>
        <w:tc>
          <w:tcPr>
            <w:tcW w:w="1000" w:type="pct"/>
            <w:vAlign w:val="center"/>
          </w:tcPr>
          <w:p w14:paraId="0FB23CBF">
            <w:pPr>
              <w:pStyle w:val="13"/>
              <w:jc w:val="center"/>
            </w:pPr>
            <w:r>
              <w:t>12954</w:t>
            </w:r>
          </w:p>
        </w:tc>
        <w:tc>
          <w:tcPr>
            <w:tcW w:w="1000" w:type="pct"/>
            <w:vAlign w:val="center"/>
          </w:tcPr>
          <w:p w14:paraId="1CB0B197">
            <w:pPr>
              <w:pStyle w:val="13"/>
              <w:jc w:val="center"/>
            </w:pPr>
            <w:r>
              <w:t>4410</w:t>
            </w:r>
          </w:p>
        </w:tc>
        <w:tc>
          <w:tcPr>
            <w:tcW w:w="1000" w:type="pct"/>
            <w:vAlign w:val="center"/>
          </w:tcPr>
          <w:p w14:paraId="7753D4C7">
            <w:pPr>
              <w:pStyle w:val="13"/>
              <w:jc w:val="center"/>
            </w:pPr>
            <w:r>
              <w:t>4290</w:t>
            </w:r>
          </w:p>
        </w:tc>
        <w:tc>
          <w:tcPr>
            <w:tcW w:w="1000" w:type="pct"/>
            <w:vAlign w:val="center"/>
          </w:tcPr>
          <w:p w14:paraId="09158657">
            <w:pPr>
              <w:pStyle w:val="13"/>
              <w:jc w:val="center"/>
              <w:rPr>
                <w:rFonts w:hint="eastAsia"/>
              </w:rPr>
            </w:pPr>
            <w:r>
              <w:t>3270</w:t>
            </w:r>
          </w:p>
        </w:tc>
      </w:tr>
    </w:tbl>
    <w:p w14:paraId="08014DBA">
      <w:pPr>
        <w:ind w:firstLine="0" w:firstLineChars="0"/>
      </w:pPr>
      <w:r>
        <w:t>说明</w:t>
      </w:r>
      <w:r>
        <w:rPr>
          <w:rFonts w:hint="eastAsia"/>
        </w:rPr>
        <w:t>：</w:t>
      </w:r>
      <w:r>
        <w:t>每年还需要到韶关</w:t>
      </w:r>
      <w:r>
        <w:rPr>
          <w:rFonts w:hint="eastAsia"/>
        </w:rPr>
        <w:t>、</w:t>
      </w:r>
      <w:r>
        <w:t>始兴等地调入三分之一鱼花才能满足要求</w:t>
      </w:r>
    </w:p>
    <w:p w14:paraId="7DDAD790">
      <w:pPr>
        <w:pStyle w:val="4"/>
      </w:pPr>
      <w:r>
        <w:t>【成鱼养殖】</w:t>
      </w:r>
    </w:p>
    <w:p w14:paraId="1F68671A">
      <w:pPr>
        <w:ind w:firstLine="420"/>
        <w:rPr>
          <w:rFonts w:ascii="宋体" w:hAnsi="宋体"/>
        </w:rPr>
      </w:pPr>
      <w:r>
        <w:rPr>
          <w:rFonts w:ascii="宋体" w:hAnsi="宋体"/>
        </w:rPr>
        <w:t>水产养殖主要以传统的“四大家鱼”为主，近十年来调整水产品养殖结构，彻底改变养殖“四大家鱼”的传统习惯，增加优质鱼的养殖面积，保障广大消费者日益增长的物质多元化、多品种需要。同时向广大渔民提供和传授科学养鱼技术、市场供求信息等，使全市水产养殖品种得到较大调整，鱼塘主要推广普及彭泽鲫、湘云鲫、本地塘虱、罗氏沼虾、三角鲂、淡水白鲳、生鱼、本地鲶鱼等品种，山塘水库以推广三角鲂、银鱼、池沼公鱼等优质品种养殖为主。优质鱼放养面积3000多亩，优质鱼放养量占总放养量的20%左右，优质鱼的总产量达到3600多吨，占总产量的26.7%，全市渔业生产情况见下表8-2：</w:t>
      </w:r>
    </w:p>
    <w:p w14:paraId="72E2202A">
      <w:pPr>
        <w:ind w:firstLine="0" w:firstLineChars="0"/>
        <w:jc w:val="center"/>
        <w:rPr>
          <w:rFonts w:hint="eastAsia" w:ascii="宋体" w:hAnsi="宋体"/>
          <w:b/>
        </w:rPr>
      </w:pPr>
      <w:commentRangeStart w:id="14"/>
      <w:r>
        <w:rPr>
          <w:rFonts w:ascii="宋体" w:hAnsi="宋体"/>
          <w:b/>
        </w:rPr>
        <w:t>表</w:t>
      </w:r>
      <w:r>
        <w:rPr>
          <w:rFonts w:hint="eastAsia" w:ascii="宋体" w:hAnsi="宋体"/>
          <w:b/>
        </w:rPr>
        <w:t>15-2  2003年至2010年渔业生产情况表</w:t>
      </w:r>
      <w:commentRangeEnd w:id="14"/>
      <w:r>
        <w:rPr>
          <w:rStyle w:val="12"/>
        </w:rPr>
        <w:commentReference w:id="14"/>
      </w:r>
    </w:p>
    <w:p w14:paraId="23370482">
      <w:pPr>
        <w:ind w:firstLine="0" w:firstLineChars="0"/>
        <w:jc w:val="right"/>
        <w:rPr>
          <w:rFonts w:hint="eastAsia" w:ascii="宋体" w:hAnsi="宋体"/>
          <w:b/>
        </w:rPr>
      </w:pPr>
      <w:r>
        <w:rPr>
          <w:rFonts w:hint="eastAsia" w:ascii="宋体" w:hAnsi="宋体"/>
          <w:b/>
        </w:rPr>
        <w:t>单位：亩、吨、万元</w:t>
      </w: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6"/>
        <w:gridCol w:w="892"/>
        <w:gridCol w:w="890"/>
        <w:gridCol w:w="891"/>
        <w:gridCol w:w="895"/>
        <w:gridCol w:w="891"/>
        <w:gridCol w:w="867"/>
        <w:gridCol w:w="867"/>
        <w:gridCol w:w="867"/>
        <w:gridCol w:w="847"/>
        <w:gridCol w:w="1189"/>
      </w:tblGrid>
      <w:tr w14:paraId="58DDD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5" w:type="pct"/>
            <w:vMerge w:val="restart"/>
            <w:vAlign w:val="center"/>
          </w:tcPr>
          <w:p w14:paraId="42C07EAB">
            <w:pPr>
              <w:pStyle w:val="13"/>
              <w:jc w:val="center"/>
              <w:rPr>
                <w:rFonts w:hint="eastAsia"/>
              </w:rPr>
            </w:pPr>
            <w:r>
              <w:rPr>
                <w:rFonts w:hint="eastAsia"/>
              </w:rPr>
              <w:t>年份</w:t>
            </w:r>
          </w:p>
        </w:tc>
        <w:tc>
          <w:tcPr>
            <w:tcW w:w="1791" w:type="pct"/>
            <w:gridSpan w:val="4"/>
            <w:vAlign w:val="center"/>
          </w:tcPr>
          <w:p w14:paraId="69C2DF0F">
            <w:pPr>
              <w:pStyle w:val="13"/>
              <w:jc w:val="center"/>
              <w:rPr>
                <w:rFonts w:hint="eastAsia"/>
              </w:rPr>
            </w:pPr>
            <w:r>
              <w:rPr>
                <w:rFonts w:hint="eastAsia"/>
              </w:rPr>
              <w:t>养殖面积</w:t>
            </w:r>
          </w:p>
        </w:tc>
        <w:tc>
          <w:tcPr>
            <w:tcW w:w="2177" w:type="pct"/>
            <w:gridSpan w:val="5"/>
            <w:vAlign w:val="center"/>
          </w:tcPr>
          <w:p w14:paraId="306F3FB4">
            <w:pPr>
              <w:pStyle w:val="13"/>
              <w:jc w:val="center"/>
              <w:rPr>
                <w:rFonts w:hint="eastAsia"/>
              </w:rPr>
            </w:pPr>
            <w:r>
              <w:rPr>
                <w:rFonts w:hint="eastAsia"/>
              </w:rPr>
              <w:t>起水产量</w:t>
            </w:r>
          </w:p>
        </w:tc>
        <w:tc>
          <w:tcPr>
            <w:tcW w:w="598" w:type="pct"/>
            <w:vMerge w:val="restart"/>
            <w:vAlign w:val="center"/>
          </w:tcPr>
          <w:p w14:paraId="52586C58">
            <w:pPr>
              <w:pStyle w:val="13"/>
              <w:jc w:val="center"/>
              <w:rPr>
                <w:rFonts w:hint="eastAsia"/>
              </w:rPr>
            </w:pPr>
            <w:r>
              <w:rPr>
                <w:rFonts w:hint="eastAsia"/>
              </w:rPr>
              <w:t>渔业总</w:t>
            </w:r>
          </w:p>
          <w:p w14:paraId="796CFF00">
            <w:pPr>
              <w:pStyle w:val="13"/>
              <w:jc w:val="center"/>
              <w:rPr>
                <w:rFonts w:hint="eastAsia"/>
              </w:rPr>
            </w:pPr>
            <w:r>
              <w:rPr>
                <w:rFonts w:hint="eastAsia"/>
              </w:rPr>
              <w:t>产值</w:t>
            </w:r>
          </w:p>
        </w:tc>
      </w:tr>
      <w:tr w14:paraId="2955A5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5" w:type="pct"/>
            <w:vMerge w:val="continue"/>
            <w:vAlign w:val="center"/>
          </w:tcPr>
          <w:p w14:paraId="39C5415D">
            <w:pPr>
              <w:pStyle w:val="13"/>
              <w:jc w:val="center"/>
              <w:rPr>
                <w:rFonts w:hint="eastAsia"/>
              </w:rPr>
            </w:pPr>
          </w:p>
        </w:tc>
        <w:tc>
          <w:tcPr>
            <w:tcW w:w="448" w:type="pct"/>
            <w:vAlign w:val="center"/>
          </w:tcPr>
          <w:p w14:paraId="32FB418F">
            <w:pPr>
              <w:pStyle w:val="13"/>
              <w:jc w:val="center"/>
              <w:rPr>
                <w:rFonts w:hint="eastAsia"/>
              </w:rPr>
            </w:pPr>
            <w:r>
              <w:rPr>
                <w:rFonts w:hint="eastAsia"/>
              </w:rPr>
              <w:t>合计</w:t>
            </w:r>
          </w:p>
        </w:tc>
        <w:tc>
          <w:tcPr>
            <w:tcW w:w="447" w:type="pct"/>
            <w:vAlign w:val="center"/>
          </w:tcPr>
          <w:p w14:paraId="00B95D20">
            <w:pPr>
              <w:pStyle w:val="13"/>
              <w:jc w:val="center"/>
              <w:rPr>
                <w:rFonts w:hint="eastAsia"/>
              </w:rPr>
            </w:pPr>
            <w:r>
              <w:rPr>
                <w:rFonts w:hint="eastAsia"/>
              </w:rPr>
              <w:t>鱼塘</w:t>
            </w:r>
          </w:p>
        </w:tc>
        <w:tc>
          <w:tcPr>
            <w:tcW w:w="447" w:type="pct"/>
            <w:vAlign w:val="center"/>
          </w:tcPr>
          <w:p w14:paraId="5BB4A790">
            <w:pPr>
              <w:pStyle w:val="13"/>
              <w:jc w:val="center"/>
              <w:rPr>
                <w:rFonts w:hint="eastAsia"/>
              </w:rPr>
            </w:pPr>
            <w:r>
              <w:rPr>
                <w:rFonts w:hint="eastAsia"/>
              </w:rPr>
              <w:t>山塘</w:t>
            </w:r>
          </w:p>
        </w:tc>
        <w:tc>
          <w:tcPr>
            <w:tcW w:w="449" w:type="pct"/>
            <w:vAlign w:val="center"/>
          </w:tcPr>
          <w:p w14:paraId="437E0D31">
            <w:pPr>
              <w:pStyle w:val="13"/>
              <w:jc w:val="center"/>
              <w:rPr>
                <w:rFonts w:hint="eastAsia"/>
              </w:rPr>
            </w:pPr>
            <w:r>
              <w:rPr>
                <w:rFonts w:hint="eastAsia"/>
              </w:rPr>
              <w:t>水库</w:t>
            </w:r>
          </w:p>
        </w:tc>
        <w:tc>
          <w:tcPr>
            <w:tcW w:w="447" w:type="pct"/>
            <w:vAlign w:val="center"/>
          </w:tcPr>
          <w:p w14:paraId="2EC36CBA">
            <w:pPr>
              <w:pStyle w:val="13"/>
              <w:jc w:val="center"/>
              <w:rPr>
                <w:rFonts w:hint="eastAsia"/>
              </w:rPr>
            </w:pPr>
            <w:r>
              <w:rPr>
                <w:rFonts w:hint="eastAsia"/>
              </w:rPr>
              <w:t>合计</w:t>
            </w:r>
          </w:p>
        </w:tc>
        <w:tc>
          <w:tcPr>
            <w:tcW w:w="435" w:type="pct"/>
            <w:vAlign w:val="center"/>
          </w:tcPr>
          <w:p w14:paraId="64F35A29">
            <w:pPr>
              <w:pStyle w:val="13"/>
              <w:jc w:val="center"/>
              <w:rPr>
                <w:rFonts w:hint="eastAsia"/>
              </w:rPr>
            </w:pPr>
            <w:r>
              <w:rPr>
                <w:rFonts w:hint="eastAsia"/>
              </w:rPr>
              <w:t>鱼塘</w:t>
            </w:r>
          </w:p>
        </w:tc>
        <w:tc>
          <w:tcPr>
            <w:tcW w:w="435" w:type="pct"/>
            <w:vAlign w:val="center"/>
          </w:tcPr>
          <w:p w14:paraId="7B7CBEB1">
            <w:pPr>
              <w:pStyle w:val="13"/>
              <w:jc w:val="center"/>
              <w:rPr>
                <w:rFonts w:hint="eastAsia"/>
              </w:rPr>
            </w:pPr>
            <w:r>
              <w:rPr>
                <w:rFonts w:hint="eastAsia"/>
              </w:rPr>
              <w:t>山塘</w:t>
            </w:r>
          </w:p>
        </w:tc>
        <w:tc>
          <w:tcPr>
            <w:tcW w:w="435" w:type="pct"/>
            <w:vAlign w:val="center"/>
          </w:tcPr>
          <w:p w14:paraId="74313FE8">
            <w:pPr>
              <w:pStyle w:val="13"/>
              <w:jc w:val="center"/>
              <w:rPr>
                <w:rFonts w:hint="eastAsia"/>
              </w:rPr>
            </w:pPr>
            <w:r>
              <w:rPr>
                <w:rFonts w:hint="eastAsia"/>
              </w:rPr>
              <w:t>水库</w:t>
            </w:r>
          </w:p>
        </w:tc>
        <w:tc>
          <w:tcPr>
            <w:tcW w:w="424" w:type="pct"/>
            <w:vAlign w:val="center"/>
          </w:tcPr>
          <w:p w14:paraId="26D5B015">
            <w:pPr>
              <w:pStyle w:val="13"/>
              <w:jc w:val="center"/>
              <w:rPr>
                <w:rFonts w:hint="eastAsia"/>
              </w:rPr>
            </w:pPr>
            <w:r>
              <w:rPr>
                <w:rFonts w:hint="eastAsia"/>
              </w:rPr>
              <w:t>社捕</w:t>
            </w:r>
          </w:p>
        </w:tc>
        <w:tc>
          <w:tcPr>
            <w:tcW w:w="598" w:type="pct"/>
            <w:vMerge w:val="continue"/>
            <w:vAlign w:val="center"/>
          </w:tcPr>
          <w:p w14:paraId="524DBE3A">
            <w:pPr>
              <w:pStyle w:val="13"/>
              <w:jc w:val="center"/>
              <w:rPr>
                <w:rFonts w:hint="eastAsia"/>
              </w:rPr>
            </w:pPr>
          </w:p>
        </w:tc>
      </w:tr>
      <w:tr w14:paraId="360292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5" w:type="pct"/>
            <w:vAlign w:val="center"/>
          </w:tcPr>
          <w:p w14:paraId="6F88BDD6">
            <w:pPr>
              <w:pStyle w:val="13"/>
              <w:jc w:val="center"/>
            </w:pPr>
            <w:r>
              <w:t>2003</w:t>
            </w:r>
          </w:p>
        </w:tc>
        <w:tc>
          <w:tcPr>
            <w:tcW w:w="448" w:type="pct"/>
            <w:vAlign w:val="center"/>
          </w:tcPr>
          <w:p w14:paraId="7DE6D249">
            <w:pPr>
              <w:pStyle w:val="13"/>
              <w:jc w:val="center"/>
            </w:pPr>
            <w:r>
              <w:t>39570</w:t>
            </w:r>
          </w:p>
        </w:tc>
        <w:tc>
          <w:tcPr>
            <w:tcW w:w="447" w:type="pct"/>
            <w:vAlign w:val="center"/>
          </w:tcPr>
          <w:p w14:paraId="7114C3D8">
            <w:pPr>
              <w:pStyle w:val="13"/>
              <w:jc w:val="center"/>
            </w:pPr>
            <w:r>
              <w:t>15540</w:t>
            </w:r>
          </w:p>
        </w:tc>
        <w:tc>
          <w:tcPr>
            <w:tcW w:w="447" w:type="pct"/>
            <w:vAlign w:val="center"/>
          </w:tcPr>
          <w:p w14:paraId="12937434">
            <w:pPr>
              <w:pStyle w:val="13"/>
              <w:jc w:val="center"/>
            </w:pPr>
            <w:r>
              <w:t>9045</w:t>
            </w:r>
          </w:p>
        </w:tc>
        <w:tc>
          <w:tcPr>
            <w:tcW w:w="449" w:type="pct"/>
            <w:vAlign w:val="center"/>
          </w:tcPr>
          <w:p w14:paraId="46B3E415">
            <w:pPr>
              <w:pStyle w:val="13"/>
              <w:jc w:val="center"/>
            </w:pPr>
            <w:r>
              <w:t>14985</w:t>
            </w:r>
          </w:p>
        </w:tc>
        <w:tc>
          <w:tcPr>
            <w:tcW w:w="447" w:type="pct"/>
            <w:vAlign w:val="center"/>
          </w:tcPr>
          <w:p w14:paraId="3893F7D0">
            <w:pPr>
              <w:pStyle w:val="13"/>
              <w:jc w:val="center"/>
            </w:pPr>
            <w:r>
              <w:t>10723</w:t>
            </w:r>
          </w:p>
        </w:tc>
        <w:tc>
          <w:tcPr>
            <w:tcW w:w="435" w:type="pct"/>
            <w:vAlign w:val="center"/>
          </w:tcPr>
          <w:p w14:paraId="3E8F86FB">
            <w:pPr>
              <w:pStyle w:val="13"/>
              <w:jc w:val="center"/>
            </w:pPr>
            <w:r>
              <w:t>6242</w:t>
            </w:r>
          </w:p>
        </w:tc>
        <w:tc>
          <w:tcPr>
            <w:tcW w:w="435" w:type="pct"/>
            <w:vAlign w:val="center"/>
          </w:tcPr>
          <w:p w14:paraId="7B213084">
            <w:pPr>
              <w:pStyle w:val="13"/>
              <w:jc w:val="center"/>
            </w:pPr>
            <w:r>
              <w:t>2819</w:t>
            </w:r>
          </w:p>
        </w:tc>
        <w:tc>
          <w:tcPr>
            <w:tcW w:w="435" w:type="pct"/>
            <w:vAlign w:val="center"/>
          </w:tcPr>
          <w:p w14:paraId="1F44D673">
            <w:pPr>
              <w:pStyle w:val="13"/>
              <w:jc w:val="center"/>
            </w:pPr>
            <w:r>
              <w:t>1406</w:t>
            </w:r>
          </w:p>
        </w:tc>
        <w:tc>
          <w:tcPr>
            <w:tcW w:w="424" w:type="pct"/>
            <w:vAlign w:val="center"/>
          </w:tcPr>
          <w:p w14:paraId="3C426C51">
            <w:pPr>
              <w:pStyle w:val="13"/>
              <w:jc w:val="center"/>
            </w:pPr>
            <w:r>
              <w:t>256</w:t>
            </w:r>
          </w:p>
        </w:tc>
        <w:tc>
          <w:tcPr>
            <w:tcW w:w="598" w:type="pct"/>
            <w:vAlign w:val="center"/>
          </w:tcPr>
          <w:p w14:paraId="05C95BC8">
            <w:pPr>
              <w:pStyle w:val="13"/>
              <w:jc w:val="center"/>
            </w:pPr>
            <w:r>
              <w:t>7292</w:t>
            </w:r>
          </w:p>
        </w:tc>
      </w:tr>
      <w:tr w14:paraId="66D66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5" w:type="pct"/>
            <w:vAlign w:val="center"/>
          </w:tcPr>
          <w:p w14:paraId="069F564D">
            <w:pPr>
              <w:pStyle w:val="13"/>
              <w:jc w:val="center"/>
            </w:pPr>
            <w:r>
              <w:t>2004</w:t>
            </w:r>
          </w:p>
        </w:tc>
        <w:tc>
          <w:tcPr>
            <w:tcW w:w="448" w:type="pct"/>
            <w:vAlign w:val="center"/>
          </w:tcPr>
          <w:p w14:paraId="182DAEF2">
            <w:pPr>
              <w:pStyle w:val="13"/>
              <w:jc w:val="center"/>
            </w:pPr>
            <w:r>
              <w:t>39570</w:t>
            </w:r>
          </w:p>
        </w:tc>
        <w:tc>
          <w:tcPr>
            <w:tcW w:w="447" w:type="pct"/>
            <w:vAlign w:val="center"/>
          </w:tcPr>
          <w:p w14:paraId="7B563DE2">
            <w:pPr>
              <w:pStyle w:val="13"/>
              <w:jc w:val="center"/>
            </w:pPr>
            <w:r>
              <w:t>15540</w:t>
            </w:r>
          </w:p>
        </w:tc>
        <w:tc>
          <w:tcPr>
            <w:tcW w:w="447" w:type="pct"/>
            <w:vAlign w:val="center"/>
          </w:tcPr>
          <w:p w14:paraId="066146E0">
            <w:pPr>
              <w:pStyle w:val="13"/>
              <w:jc w:val="center"/>
            </w:pPr>
            <w:r>
              <w:t>9045</w:t>
            </w:r>
          </w:p>
        </w:tc>
        <w:tc>
          <w:tcPr>
            <w:tcW w:w="449" w:type="pct"/>
            <w:vAlign w:val="center"/>
          </w:tcPr>
          <w:p w14:paraId="1C648BAC">
            <w:pPr>
              <w:pStyle w:val="13"/>
              <w:jc w:val="center"/>
            </w:pPr>
            <w:r>
              <w:t>14985</w:t>
            </w:r>
          </w:p>
        </w:tc>
        <w:tc>
          <w:tcPr>
            <w:tcW w:w="447" w:type="pct"/>
            <w:vAlign w:val="center"/>
          </w:tcPr>
          <w:p w14:paraId="2D378F2C">
            <w:pPr>
              <w:pStyle w:val="13"/>
              <w:jc w:val="center"/>
            </w:pPr>
            <w:r>
              <w:t>10845</w:t>
            </w:r>
          </w:p>
        </w:tc>
        <w:tc>
          <w:tcPr>
            <w:tcW w:w="435" w:type="pct"/>
            <w:vAlign w:val="center"/>
          </w:tcPr>
          <w:p w14:paraId="4E034163">
            <w:pPr>
              <w:pStyle w:val="13"/>
              <w:jc w:val="center"/>
            </w:pPr>
            <w:r>
              <w:t>6314</w:t>
            </w:r>
          </w:p>
        </w:tc>
        <w:tc>
          <w:tcPr>
            <w:tcW w:w="435" w:type="pct"/>
            <w:vAlign w:val="center"/>
          </w:tcPr>
          <w:p w14:paraId="6E25B04F">
            <w:pPr>
              <w:pStyle w:val="13"/>
              <w:jc w:val="center"/>
            </w:pPr>
            <w:r>
              <w:t>2830</w:t>
            </w:r>
          </w:p>
        </w:tc>
        <w:tc>
          <w:tcPr>
            <w:tcW w:w="435" w:type="pct"/>
            <w:vAlign w:val="center"/>
          </w:tcPr>
          <w:p w14:paraId="70BE3B67">
            <w:pPr>
              <w:pStyle w:val="13"/>
              <w:jc w:val="center"/>
            </w:pPr>
            <w:r>
              <w:t>1432</w:t>
            </w:r>
          </w:p>
        </w:tc>
        <w:tc>
          <w:tcPr>
            <w:tcW w:w="424" w:type="pct"/>
            <w:vAlign w:val="center"/>
          </w:tcPr>
          <w:p w14:paraId="34B77FEE">
            <w:pPr>
              <w:pStyle w:val="13"/>
              <w:jc w:val="center"/>
            </w:pPr>
            <w:r>
              <w:t>269</w:t>
            </w:r>
          </w:p>
        </w:tc>
        <w:tc>
          <w:tcPr>
            <w:tcW w:w="598" w:type="pct"/>
            <w:vAlign w:val="center"/>
          </w:tcPr>
          <w:p w14:paraId="582D1587">
            <w:pPr>
              <w:pStyle w:val="13"/>
              <w:jc w:val="center"/>
            </w:pPr>
            <w:r>
              <w:t>7375</w:t>
            </w:r>
          </w:p>
        </w:tc>
      </w:tr>
      <w:tr w14:paraId="7FB04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5" w:type="pct"/>
            <w:vAlign w:val="center"/>
          </w:tcPr>
          <w:p w14:paraId="4D91774D">
            <w:pPr>
              <w:pStyle w:val="13"/>
              <w:jc w:val="center"/>
            </w:pPr>
            <w:r>
              <w:t>2005</w:t>
            </w:r>
          </w:p>
        </w:tc>
        <w:tc>
          <w:tcPr>
            <w:tcW w:w="448" w:type="pct"/>
            <w:vAlign w:val="center"/>
          </w:tcPr>
          <w:p w14:paraId="48058B54">
            <w:pPr>
              <w:pStyle w:val="13"/>
              <w:jc w:val="center"/>
            </w:pPr>
            <w:r>
              <w:t>39570</w:t>
            </w:r>
          </w:p>
        </w:tc>
        <w:tc>
          <w:tcPr>
            <w:tcW w:w="447" w:type="pct"/>
            <w:vAlign w:val="center"/>
          </w:tcPr>
          <w:p w14:paraId="191A3467">
            <w:pPr>
              <w:pStyle w:val="13"/>
              <w:jc w:val="center"/>
            </w:pPr>
            <w:r>
              <w:t>15540</w:t>
            </w:r>
          </w:p>
        </w:tc>
        <w:tc>
          <w:tcPr>
            <w:tcW w:w="447" w:type="pct"/>
            <w:vAlign w:val="center"/>
          </w:tcPr>
          <w:p w14:paraId="26D6BF99">
            <w:pPr>
              <w:pStyle w:val="13"/>
              <w:jc w:val="center"/>
            </w:pPr>
            <w:r>
              <w:t>9045</w:t>
            </w:r>
          </w:p>
        </w:tc>
        <w:tc>
          <w:tcPr>
            <w:tcW w:w="449" w:type="pct"/>
            <w:vAlign w:val="center"/>
          </w:tcPr>
          <w:p w14:paraId="64C6584C">
            <w:pPr>
              <w:pStyle w:val="13"/>
              <w:jc w:val="center"/>
            </w:pPr>
            <w:r>
              <w:t>14985</w:t>
            </w:r>
          </w:p>
        </w:tc>
        <w:tc>
          <w:tcPr>
            <w:tcW w:w="447" w:type="pct"/>
            <w:vAlign w:val="center"/>
          </w:tcPr>
          <w:p w14:paraId="4EF8FF10">
            <w:pPr>
              <w:pStyle w:val="13"/>
              <w:jc w:val="center"/>
            </w:pPr>
            <w:r>
              <w:t>10924</w:t>
            </w:r>
          </w:p>
        </w:tc>
        <w:tc>
          <w:tcPr>
            <w:tcW w:w="435" w:type="pct"/>
            <w:vAlign w:val="center"/>
          </w:tcPr>
          <w:p w14:paraId="67A225C2">
            <w:pPr>
              <w:pStyle w:val="13"/>
              <w:jc w:val="center"/>
            </w:pPr>
            <w:r>
              <w:t>6387</w:t>
            </w:r>
          </w:p>
        </w:tc>
        <w:tc>
          <w:tcPr>
            <w:tcW w:w="435" w:type="pct"/>
            <w:vAlign w:val="center"/>
          </w:tcPr>
          <w:p w14:paraId="3379EBAD">
            <w:pPr>
              <w:pStyle w:val="13"/>
              <w:jc w:val="center"/>
            </w:pPr>
            <w:r>
              <w:t>2852</w:t>
            </w:r>
          </w:p>
        </w:tc>
        <w:tc>
          <w:tcPr>
            <w:tcW w:w="435" w:type="pct"/>
            <w:vAlign w:val="center"/>
          </w:tcPr>
          <w:p w14:paraId="7BBD1B11">
            <w:pPr>
              <w:pStyle w:val="13"/>
              <w:jc w:val="center"/>
            </w:pPr>
            <w:r>
              <w:t>1411</w:t>
            </w:r>
          </w:p>
        </w:tc>
        <w:tc>
          <w:tcPr>
            <w:tcW w:w="424" w:type="pct"/>
            <w:vAlign w:val="center"/>
          </w:tcPr>
          <w:p w14:paraId="2A4A19B8">
            <w:pPr>
              <w:pStyle w:val="13"/>
              <w:jc w:val="center"/>
            </w:pPr>
            <w:r>
              <w:t>274</w:t>
            </w:r>
          </w:p>
        </w:tc>
        <w:tc>
          <w:tcPr>
            <w:tcW w:w="598" w:type="pct"/>
            <w:vAlign w:val="center"/>
          </w:tcPr>
          <w:p w14:paraId="2C87AE07">
            <w:pPr>
              <w:pStyle w:val="13"/>
              <w:jc w:val="center"/>
            </w:pPr>
            <w:r>
              <w:t>7428</w:t>
            </w:r>
          </w:p>
        </w:tc>
      </w:tr>
      <w:tr w14:paraId="4F26B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5" w:type="pct"/>
            <w:vAlign w:val="center"/>
          </w:tcPr>
          <w:p w14:paraId="16072E0A">
            <w:pPr>
              <w:pStyle w:val="13"/>
              <w:jc w:val="center"/>
            </w:pPr>
            <w:r>
              <w:t>2006</w:t>
            </w:r>
          </w:p>
        </w:tc>
        <w:tc>
          <w:tcPr>
            <w:tcW w:w="448" w:type="pct"/>
            <w:vAlign w:val="center"/>
          </w:tcPr>
          <w:p w14:paraId="44E4E1FE">
            <w:pPr>
              <w:pStyle w:val="13"/>
              <w:jc w:val="center"/>
            </w:pPr>
            <w:r>
              <w:t>39570</w:t>
            </w:r>
          </w:p>
        </w:tc>
        <w:tc>
          <w:tcPr>
            <w:tcW w:w="447" w:type="pct"/>
            <w:vAlign w:val="center"/>
          </w:tcPr>
          <w:p w14:paraId="380B0C71">
            <w:pPr>
              <w:pStyle w:val="13"/>
              <w:jc w:val="center"/>
            </w:pPr>
            <w:r>
              <w:t>15540</w:t>
            </w:r>
          </w:p>
        </w:tc>
        <w:tc>
          <w:tcPr>
            <w:tcW w:w="447" w:type="pct"/>
            <w:vAlign w:val="center"/>
          </w:tcPr>
          <w:p w14:paraId="3630822E">
            <w:pPr>
              <w:pStyle w:val="13"/>
              <w:jc w:val="center"/>
            </w:pPr>
            <w:r>
              <w:t>9045</w:t>
            </w:r>
          </w:p>
        </w:tc>
        <w:tc>
          <w:tcPr>
            <w:tcW w:w="449" w:type="pct"/>
            <w:vAlign w:val="center"/>
          </w:tcPr>
          <w:p w14:paraId="6300040E">
            <w:pPr>
              <w:pStyle w:val="13"/>
              <w:jc w:val="center"/>
            </w:pPr>
            <w:r>
              <w:t>14985</w:t>
            </w:r>
          </w:p>
        </w:tc>
        <w:tc>
          <w:tcPr>
            <w:tcW w:w="447" w:type="pct"/>
            <w:vAlign w:val="center"/>
          </w:tcPr>
          <w:p w14:paraId="28DAEB26">
            <w:pPr>
              <w:pStyle w:val="13"/>
              <w:jc w:val="center"/>
            </w:pPr>
            <w:r>
              <w:t>11061</w:t>
            </w:r>
          </w:p>
        </w:tc>
        <w:tc>
          <w:tcPr>
            <w:tcW w:w="435" w:type="pct"/>
            <w:vAlign w:val="center"/>
          </w:tcPr>
          <w:p w14:paraId="18A62C9E">
            <w:pPr>
              <w:pStyle w:val="13"/>
              <w:jc w:val="center"/>
            </w:pPr>
            <w:r>
              <w:t>6489</w:t>
            </w:r>
          </w:p>
        </w:tc>
        <w:tc>
          <w:tcPr>
            <w:tcW w:w="435" w:type="pct"/>
            <w:vAlign w:val="center"/>
          </w:tcPr>
          <w:p w14:paraId="0F35332C">
            <w:pPr>
              <w:pStyle w:val="13"/>
              <w:jc w:val="center"/>
            </w:pPr>
            <w:r>
              <w:t>2863</w:t>
            </w:r>
          </w:p>
        </w:tc>
        <w:tc>
          <w:tcPr>
            <w:tcW w:w="435" w:type="pct"/>
            <w:vAlign w:val="center"/>
          </w:tcPr>
          <w:p w14:paraId="08C67D99">
            <w:pPr>
              <w:pStyle w:val="13"/>
              <w:jc w:val="center"/>
            </w:pPr>
            <w:r>
              <w:t>1424</w:t>
            </w:r>
          </w:p>
        </w:tc>
        <w:tc>
          <w:tcPr>
            <w:tcW w:w="424" w:type="pct"/>
            <w:vAlign w:val="center"/>
          </w:tcPr>
          <w:p w14:paraId="017B6A4A">
            <w:pPr>
              <w:pStyle w:val="13"/>
              <w:jc w:val="center"/>
            </w:pPr>
            <w:r>
              <w:t>285</w:t>
            </w:r>
          </w:p>
        </w:tc>
        <w:tc>
          <w:tcPr>
            <w:tcW w:w="598" w:type="pct"/>
            <w:vAlign w:val="center"/>
          </w:tcPr>
          <w:p w14:paraId="48DC660C">
            <w:pPr>
              <w:pStyle w:val="13"/>
              <w:jc w:val="center"/>
            </w:pPr>
            <w:r>
              <w:t>7521</w:t>
            </w:r>
          </w:p>
        </w:tc>
      </w:tr>
      <w:tr w14:paraId="1CE25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5" w:type="pct"/>
            <w:vAlign w:val="center"/>
          </w:tcPr>
          <w:p w14:paraId="172455F0">
            <w:pPr>
              <w:pStyle w:val="13"/>
              <w:jc w:val="center"/>
            </w:pPr>
            <w:r>
              <w:t>2007</w:t>
            </w:r>
          </w:p>
        </w:tc>
        <w:tc>
          <w:tcPr>
            <w:tcW w:w="448" w:type="pct"/>
            <w:vAlign w:val="center"/>
          </w:tcPr>
          <w:p w14:paraId="3E44812C">
            <w:pPr>
              <w:pStyle w:val="13"/>
              <w:jc w:val="center"/>
            </w:pPr>
            <w:r>
              <w:t>39570</w:t>
            </w:r>
          </w:p>
        </w:tc>
        <w:tc>
          <w:tcPr>
            <w:tcW w:w="447" w:type="pct"/>
            <w:vAlign w:val="center"/>
          </w:tcPr>
          <w:p w14:paraId="4956BA4D">
            <w:pPr>
              <w:pStyle w:val="13"/>
              <w:jc w:val="center"/>
            </w:pPr>
            <w:r>
              <w:t>15540</w:t>
            </w:r>
          </w:p>
        </w:tc>
        <w:tc>
          <w:tcPr>
            <w:tcW w:w="447" w:type="pct"/>
            <w:vAlign w:val="center"/>
          </w:tcPr>
          <w:p w14:paraId="521354CC">
            <w:pPr>
              <w:pStyle w:val="13"/>
              <w:jc w:val="center"/>
            </w:pPr>
            <w:r>
              <w:t>9045</w:t>
            </w:r>
          </w:p>
        </w:tc>
        <w:tc>
          <w:tcPr>
            <w:tcW w:w="449" w:type="pct"/>
            <w:vAlign w:val="center"/>
          </w:tcPr>
          <w:p w14:paraId="1B4C64A7">
            <w:pPr>
              <w:pStyle w:val="13"/>
              <w:jc w:val="center"/>
            </w:pPr>
            <w:r>
              <w:t>14985</w:t>
            </w:r>
          </w:p>
        </w:tc>
        <w:tc>
          <w:tcPr>
            <w:tcW w:w="447" w:type="pct"/>
            <w:vAlign w:val="center"/>
          </w:tcPr>
          <w:p w14:paraId="3EAD7C39">
            <w:pPr>
              <w:pStyle w:val="13"/>
              <w:jc w:val="center"/>
            </w:pPr>
            <w:r>
              <w:t>11377</w:t>
            </w:r>
          </w:p>
        </w:tc>
        <w:tc>
          <w:tcPr>
            <w:tcW w:w="435" w:type="pct"/>
            <w:vAlign w:val="center"/>
          </w:tcPr>
          <w:p w14:paraId="5BC9DDC1">
            <w:pPr>
              <w:pStyle w:val="13"/>
              <w:jc w:val="center"/>
            </w:pPr>
            <w:r>
              <w:t>6782</w:t>
            </w:r>
          </w:p>
        </w:tc>
        <w:tc>
          <w:tcPr>
            <w:tcW w:w="435" w:type="pct"/>
            <w:vAlign w:val="center"/>
          </w:tcPr>
          <w:p w14:paraId="2A4CF03B">
            <w:pPr>
              <w:pStyle w:val="13"/>
              <w:jc w:val="center"/>
            </w:pPr>
            <w:r>
              <w:t>3025</w:t>
            </w:r>
          </w:p>
        </w:tc>
        <w:tc>
          <w:tcPr>
            <w:tcW w:w="435" w:type="pct"/>
            <w:vAlign w:val="center"/>
          </w:tcPr>
          <w:p w14:paraId="3D0A8AD0">
            <w:pPr>
              <w:pStyle w:val="13"/>
              <w:jc w:val="center"/>
            </w:pPr>
            <w:r>
              <w:t>1514</w:t>
            </w:r>
          </w:p>
        </w:tc>
        <w:tc>
          <w:tcPr>
            <w:tcW w:w="424" w:type="pct"/>
            <w:vAlign w:val="center"/>
          </w:tcPr>
          <w:p w14:paraId="29A71526">
            <w:pPr>
              <w:pStyle w:val="13"/>
              <w:jc w:val="center"/>
            </w:pPr>
            <w:r>
              <w:t>296</w:t>
            </w:r>
          </w:p>
        </w:tc>
        <w:tc>
          <w:tcPr>
            <w:tcW w:w="598" w:type="pct"/>
            <w:vAlign w:val="center"/>
          </w:tcPr>
          <w:p w14:paraId="636A87D8">
            <w:pPr>
              <w:pStyle w:val="13"/>
              <w:jc w:val="center"/>
            </w:pPr>
            <w:r>
              <w:t>7896.86</w:t>
            </w:r>
          </w:p>
        </w:tc>
      </w:tr>
      <w:tr w14:paraId="13084B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5" w:type="pct"/>
            <w:vAlign w:val="center"/>
          </w:tcPr>
          <w:p w14:paraId="07710399">
            <w:pPr>
              <w:pStyle w:val="13"/>
              <w:jc w:val="center"/>
            </w:pPr>
            <w:r>
              <w:t>2008</w:t>
            </w:r>
          </w:p>
        </w:tc>
        <w:tc>
          <w:tcPr>
            <w:tcW w:w="448" w:type="pct"/>
            <w:vAlign w:val="center"/>
          </w:tcPr>
          <w:p w14:paraId="0014B2E8">
            <w:pPr>
              <w:pStyle w:val="13"/>
              <w:jc w:val="center"/>
            </w:pPr>
            <w:r>
              <w:t>50190</w:t>
            </w:r>
          </w:p>
        </w:tc>
        <w:tc>
          <w:tcPr>
            <w:tcW w:w="447" w:type="pct"/>
            <w:vAlign w:val="center"/>
          </w:tcPr>
          <w:p w14:paraId="66833C92">
            <w:pPr>
              <w:pStyle w:val="13"/>
              <w:jc w:val="center"/>
            </w:pPr>
            <w:r>
              <w:t>15990</w:t>
            </w:r>
          </w:p>
        </w:tc>
        <w:tc>
          <w:tcPr>
            <w:tcW w:w="896" w:type="pct"/>
            <w:gridSpan w:val="2"/>
            <w:vAlign w:val="center"/>
          </w:tcPr>
          <w:p w14:paraId="4A2C8D04">
            <w:pPr>
              <w:pStyle w:val="13"/>
              <w:jc w:val="center"/>
            </w:pPr>
            <w:r>
              <w:t>34200</w:t>
            </w:r>
          </w:p>
        </w:tc>
        <w:tc>
          <w:tcPr>
            <w:tcW w:w="447" w:type="pct"/>
            <w:vAlign w:val="center"/>
          </w:tcPr>
          <w:p w14:paraId="16FFCAAE">
            <w:pPr>
              <w:pStyle w:val="13"/>
              <w:jc w:val="center"/>
            </w:pPr>
            <w:r>
              <w:t>12321</w:t>
            </w:r>
          </w:p>
        </w:tc>
        <w:tc>
          <w:tcPr>
            <w:tcW w:w="435" w:type="pct"/>
            <w:vAlign w:val="center"/>
          </w:tcPr>
          <w:p w14:paraId="4764BE62">
            <w:pPr>
              <w:pStyle w:val="13"/>
              <w:jc w:val="center"/>
            </w:pPr>
            <w:r>
              <w:t>7204</w:t>
            </w:r>
          </w:p>
        </w:tc>
        <w:tc>
          <w:tcPr>
            <w:tcW w:w="870" w:type="pct"/>
            <w:gridSpan w:val="2"/>
            <w:vAlign w:val="center"/>
          </w:tcPr>
          <w:p w14:paraId="41253DD1">
            <w:pPr>
              <w:pStyle w:val="13"/>
              <w:jc w:val="center"/>
            </w:pPr>
            <w:r>
              <w:t>4792</w:t>
            </w:r>
          </w:p>
        </w:tc>
        <w:tc>
          <w:tcPr>
            <w:tcW w:w="424" w:type="pct"/>
            <w:vAlign w:val="center"/>
          </w:tcPr>
          <w:p w14:paraId="212A33BB">
            <w:pPr>
              <w:pStyle w:val="13"/>
              <w:jc w:val="center"/>
            </w:pPr>
            <w:r>
              <w:t>325</w:t>
            </w:r>
          </w:p>
        </w:tc>
        <w:tc>
          <w:tcPr>
            <w:tcW w:w="598" w:type="pct"/>
            <w:vAlign w:val="center"/>
          </w:tcPr>
          <w:p w14:paraId="7B07C18C">
            <w:pPr>
              <w:pStyle w:val="13"/>
              <w:jc w:val="center"/>
            </w:pPr>
            <w:r>
              <w:t>9719.07</w:t>
            </w:r>
          </w:p>
        </w:tc>
      </w:tr>
      <w:tr w14:paraId="44D828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5" w:type="pct"/>
            <w:vAlign w:val="center"/>
          </w:tcPr>
          <w:p w14:paraId="7C7E345F">
            <w:pPr>
              <w:pStyle w:val="13"/>
              <w:jc w:val="center"/>
            </w:pPr>
            <w:r>
              <w:t>2009</w:t>
            </w:r>
          </w:p>
        </w:tc>
        <w:tc>
          <w:tcPr>
            <w:tcW w:w="448" w:type="pct"/>
            <w:vAlign w:val="center"/>
          </w:tcPr>
          <w:p w14:paraId="79724A56">
            <w:pPr>
              <w:pStyle w:val="13"/>
              <w:jc w:val="center"/>
            </w:pPr>
            <w:r>
              <w:t>50190</w:t>
            </w:r>
          </w:p>
        </w:tc>
        <w:tc>
          <w:tcPr>
            <w:tcW w:w="447" w:type="pct"/>
            <w:vAlign w:val="center"/>
          </w:tcPr>
          <w:p w14:paraId="004BCD58">
            <w:pPr>
              <w:pStyle w:val="13"/>
              <w:jc w:val="center"/>
            </w:pPr>
            <w:r>
              <w:t>15990</w:t>
            </w:r>
          </w:p>
        </w:tc>
        <w:tc>
          <w:tcPr>
            <w:tcW w:w="896" w:type="pct"/>
            <w:gridSpan w:val="2"/>
            <w:vAlign w:val="center"/>
          </w:tcPr>
          <w:p w14:paraId="35C4F221">
            <w:pPr>
              <w:pStyle w:val="13"/>
              <w:jc w:val="center"/>
            </w:pPr>
            <w:r>
              <w:t>34200</w:t>
            </w:r>
          </w:p>
        </w:tc>
        <w:tc>
          <w:tcPr>
            <w:tcW w:w="447" w:type="pct"/>
            <w:vAlign w:val="center"/>
          </w:tcPr>
          <w:p w14:paraId="058A4C27">
            <w:pPr>
              <w:pStyle w:val="13"/>
              <w:jc w:val="center"/>
            </w:pPr>
            <w:r>
              <w:t>13212</w:t>
            </w:r>
          </w:p>
        </w:tc>
        <w:tc>
          <w:tcPr>
            <w:tcW w:w="435" w:type="pct"/>
            <w:vAlign w:val="center"/>
          </w:tcPr>
          <w:p w14:paraId="16515925">
            <w:pPr>
              <w:pStyle w:val="13"/>
              <w:jc w:val="center"/>
            </w:pPr>
            <w:r>
              <w:t>7538</w:t>
            </w:r>
          </w:p>
        </w:tc>
        <w:tc>
          <w:tcPr>
            <w:tcW w:w="870" w:type="pct"/>
            <w:gridSpan w:val="2"/>
            <w:vAlign w:val="center"/>
          </w:tcPr>
          <w:p w14:paraId="56D2532D">
            <w:pPr>
              <w:pStyle w:val="13"/>
              <w:jc w:val="center"/>
            </w:pPr>
            <w:r>
              <w:t>5196</w:t>
            </w:r>
          </w:p>
        </w:tc>
        <w:tc>
          <w:tcPr>
            <w:tcW w:w="424" w:type="pct"/>
            <w:vAlign w:val="center"/>
          </w:tcPr>
          <w:p w14:paraId="08DDAB32">
            <w:pPr>
              <w:pStyle w:val="13"/>
              <w:jc w:val="center"/>
            </w:pPr>
            <w:r>
              <w:t>478</w:t>
            </w:r>
          </w:p>
        </w:tc>
        <w:tc>
          <w:tcPr>
            <w:tcW w:w="598" w:type="pct"/>
            <w:vAlign w:val="center"/>
          </w:tcPr>
          <w:p w14:paraId="298F12F3">
            <w:pPr>
              <w:pStyle w:val="13"/>
              <w:jc w:val="center"/>
            </w:pPr>
            <w:r>
              <w:t>9744.9</w:t>
            </w:r>
          </w:p>
        </w:tc>
      </w:tr>
      <w:tr w14:paraId="1194F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5" w:type="pct"/>
            <w:vAlign w:val="center"/>
          </w:tcPr>
          <w:p w14:paraId="1022513D">
            <w:pPr>
              <w:pStyle w:val="13"/>
              <w:jc w:val="center"/>
            </w:pPr>
            <w:r>
              <w:t>2010</w:t>
            </w:r>
          </w:p>
        </w:tc>
        <w:tc>
          <w:tcPr>
            <w:tcW w:w="448" w:type="pct"/>
            <w:vAlign w:val="center"/>
          </w:tcPr>
          <w:p w14:paraId="4F084F76">
            <w:pPr>
              <w:pStyle w:val="13"/>
              <w:jc w:val="center"/>
            </w:pPr>
            <w:r>
              <w:t>50190</w:t>
            </w:r>
          </w:p>
        </w:tc>
        <w:tc>
          <w:tcPr>
            <w:tcW w:w="447" w:type="pct"/>
            <w:vAlign w:val="center"/>
          </w:tcPr>
          <w:p w14:paraId="690BEF71">
            <w:pPr>
              <w:pStyle w:val="13"/>
              <w:jc w:val="center"/>
            </w:pPr>
            <w:r>
              <w:t>15990</w:t>
            </w:r>
          </w:p>
        </w:tc>
        <w:tc>
          <w:tcPr>
            <w:tcW w:w="896" w:type="pct"/>
            <w:gridSpan w:val="2"/>
            <w:vAlign w:val="center"/>
          </w:tcPr>
          <w:p w14:paraId="764FA98C">
            <w:pPr>
              <w:pStyle w:val="13"/>
              <w:jc w:val="center"/>
            </w:pPr>
            <w:r>
              <w:t>34200</w:t>
            </w:r>
          </w:p>
        </w:tc>
        <w:tc>
          <w:tcPr>
            <w:tcW w:w="447" w:type="pct"/>
            <w:vAlign w:val="center"/>
          </w:tcPr>
          <w:p w14:paraId="657335BD">
            <w:pPr>
              <w:pStyle w:val="13"/>
              <w:jc w:val="center"/>
            </w:pPr>
            <w:r>
              <w:t>13783</w:t>
            </w:r>
          </w:p>
        </w:tc>
        <w:tc>
          <w:tcPr>
            <w:tcW w:w="435" w:type="pct"/>
            <w:vAlign w:val="center"/>
          </w:tcPr>
          <w:p w14:paraId="20C96E55">
            <w:pPr>
              <w:pStyle w:val="13"/>
              <w:jc w:val="center"/>
            </w:pPr>
            <w:r>
              <w:t>7711</w:t>
            </w:r>
          </w:p>
        </w:tc>
        <w:tc>
          <w:tcPr>
            <w:tcW w:w="870" w:type="pct"/>
            <w:gridSpan w:val="2"/>
            <w:vAlign w:val="center"/>
          </w:tcPr>
          <w:p w14:paraId="0DFF2082">
            <w:pPr>
              <w:pStyle w:val="13"/>
              <w:jc w:val="center"/>
            </w:pPr>
            <w:r>
              <w:t>5546</w:t>
            </w:r>
          </w:p>
        </w:tc>
        <w:tc>
          <w:tcPr>
            <w:tcW w:w="424" w:type="pct"/>
            <w:vAlign w:val="center"/>
          </w:tcPr>
          <w:p w14:paraId="10204A89">
            <w:pPr>
              <w:pStyle w:val="13"/>
              <w:jc w:val="center"/>
            </w:pPr>
            <w:r>
              <w:t>526</w:t>
            </w:r>
          </w:p>
        </w:tc>
        <w:tc>
          <w:tcPr>
            <w:tcW w:w="598" w:type="pct"/>
            <w:vAlign w:val="center"/>
          </w:tcPr>
          <w:p w14:paraId="49DDEACA">
            <w:pPr>
              <w:pStyle w:val="13"/>
              <w:jc w:val="center"/>
            </w:pPr>
            <w:r>
              <w:t>10610.49</w:t>
            </w:r>
          </w:p>
        </w:tc>
      </w:tr>
    </w:tbl>
    <w:p w14:paraId="73486EB5">
      <w:pPr>
        <w:pStyle w:val="4"/>
      </w:pPr>
      <w:r>
        <w:t>【鱼病防治】</w:t>
      </w:r>
    </w:p>
    <w:p w14:paraId="5B355C8D">
      <w:pPr>
        <w:ind w:firstLine="420"/>
        <w:rPr>
          <w:rFonts w:ascii="宋体" w:hAnsi="宋体"/>
        </w:rPr>
      </w:pPr>
      <w:r>
        <w:rPr>
          <w:rFonts w:ascii="宋体" w:hAnsi="宋体"/>
        </w:rPr>
        <w:t>池塘养殖迅猛发展，渔业生产的精养水平随着颗粒饲料的推广应用、增氧设备的配置、池塘等基础设施的改造而不断提高，并向规模化发展。随之出现鱼类病害日趋严重，部分养殖户因此受损，挫伤养殖积极性。</w:t>
      </w:r>
    </w:p>
    <w:p w14:paraId="5E90C2E8">
      <w:pPr>
        <w:ind w:firstLine="420"/>
        <w:rPr>
          <w:rFonts w:ascii="宋体" w:hAnsi="宋体"/>
        </w:rPr>
      </w:pPr>
      <w:r>
        <w:rPr>
          <w:rFonts w:ascii="宋体" w:hAnsi="宋体"/>
        </w:rPr>
        <w:t>2003年主要病害有鱼类烂鳃病、细菌性败血症、肠炎病、水霉病、纤毛虫病、指环虫病、车轮虫病、小瓜虫病，危害品种多。为减少病害损失，市畜牧水产推广中心尽量做到下场诊治。办培训班3期。由于防治及时，控制鱼病蔓延。</w:t>
      </w:r>
    </w:p>
    <w:p w14:paraId="374D1133">
      <w:pPr>
        <w:ind w:firstLine="420"/>
        <w:rPr>
          <w:rFonts w:ascii="宋体" w:hAnsi="宋体"/>
        </w:rPr>
      </w:pPr>
      <w:r>
        <w:rPr>
          <w:rFonts w:ascii="宋体" w:hAnsi="宋体"/>
        </w:rPr>
        <w:t>2004年7月至9月淡水渔业生产旺季，均受到高温和暴雨侵袭，鱼病来势凶，涉及面广，死亡大，危害品种多。市畜牧水产技术推广中心及时组织科技人员赴生产第一线指导鱼病的防治。累计下到养殖户140次。由于防病及时，基本上控制鱼病蔓延。</w:t>
      </w:r>
    </w:p>
    <w:p w14:paraId="440F50F1">
      <w:pPr>
        <w:ind w:firstLine="420"/>
        <w:rPr>
          <w:rFonts w:ascii="宋体" w:hAnsi="宋体"/>
        </w:rPr>
      </w:pPr>
      <w:r>
        <w:rPr>
          <w:rFonts w:ascii="宋体" w:hAnsi="宋体"/>
        </w:rPr>
        <w:t>2005年市畜牧兽医水产局根据季节、天气的变化，对全市鱼病防治实施全面指导，为减少鱼病的危害起到积极的作用，年内全市基本没有大的鱼病发生。</w:t>
      </w:r>
    </w:p>
    <w:p w14:paraId="467145A9">
      <w:pPr>
        <w:ind w:firstLine="420"/>
        <w:rPr>
          <w:rFonts w:ascii="宋体" w:hAnsi="宋体"/>
        </w:rPr>
      </w:pPr>
      <w:r>
        <w:rPr>
          <w:rFonts w:ascii="宋体" w:hAnsi="宋体"/>
        </w:rPr>
        <w:t>2006年为全市广大养殖户服务，局逐步规范鱼药市场，抵制假药劣质药泛滥，加强鱼病防治力度，市畜牧兽医水产局不定期为广大水产养殖户提供义诊服务，宣传推广普及鱼病防治知识和水产养殖新技术，销售正规药厂生产的鱼药，为广大养殖户解决生产实际问题，减少因鱼病所造成的损失，深受广大养殖户的欢迎。</w:t>
      </w:r>
    </w:p>
    <w:p w14:paraId="2D546FFB">
      <w:pPr>
        <w:ind w:firstLine="420"/>
        <w:rPr>
          <w:rFonts w:ascii="宋体" w:hAnsi="宋体"/>
        </w:rPr>
      </w:pPr>
      <w:r>
        <w:rPr>
          <w:rFonts w:ascii="宋体" w:hAnsi="宋体"/>
        </w:rPr>
        <w:t>2008年鱼类的细菌性败血症严重危害鱼类的生产，该病发病快、来势凶、涉及面广、死亡量大、危害品种多。2008年发病面积为300多亩，死亡鱼类5吨多。畜牧兽医水产局全年印发病害防治资料1000多份，接受咨询次238次。</w:t>
      </w:r>
    </w:p>
    <w:p w14:paraId="42FAF519">
      <w:pPr>
        <w:ind w:firstLine="420"/>
        <w:rPr>
          <w:rFonts w:ascii="宋体" w:hAnsi="宋体"/>
        </w:rPr>
      </w:pPr>
      <w:r>
        <w:rPr>
          <w:rFonts w:ascii="宋体" w:hAnsi="宋体"/>
        </w:rPr>
        <w:t>2009年局成立水生动物防检疫站，争取到省海洋与渔业局的支持配备显微镜、水质检测仪等仪器设备，开通鱼病会诊网，以便更好的提高南雄市鱼病的诊断水平及鱼病的监测预报为市水产养殖提供防病信息，全年通过会诊网诊断22份，水质检测30份。</w:t>
      </w:r>
    </w:p>
    <w:p w14:paraId="2ADE9E7E">
      <w:pPr>
        <w:ind w:firstLine="420"/>
        <w:rPr>
          <w:rFonts w:ascii="宋体" w:hAnsi="宋体"/>
        </w:rPr>
      </w:pPr>
      <w:r>
        <w:rPr>
          <w:rFonts w:ascii="宋体" w:hAnsi="宋体"/>
        </w:rPr>
        <w:t>2010年邀请韶关水产研究专家协助做好鱼苗场搬迁选址工作，选定瀑布灌区和梅花水库两地鱼塘130多亩，为鱼苗场新址。拯救保护和科学开发利用珍稀濒危的野生黑颈乌龟，先后6次邀请省、韶关市水产专家到南雄调研论证。编写《建立市级自然保护区申报书》，11月农业部批准建立《凌江特有鱼类国家级水产种质资源保护区》。</w:t>
      </w:r>
    </w:p>
    <w:p w14:paraId="5771EC10">
      <w:pPr>
        <w:pStyle w:val="4"/>
      </w:pPr>
      <w:r>
        <w:t>【江河捕捞】</w:t>
      </w:r>
    </w:p>
    <w:p w14:paraId="12A0AD53">
      <w:pPr>
        <w:ind w:firstLine="420"/>
        <w:rPr>
          <w:rFonts w:ascii="宋体" w:hAnsi="宋体"/>
        </w:rPr>
      </w:pPr>
      <w:r>
        <w:rPr>
          <w:rFonts w:ascii="宋体" w:hAnsi="宋体"/>
        </w:rPr>
        <w:t>南雄的江河捕捞多以浈凌二江为主，浈江全长77公里，凌江全长63公里。捕捞人员主要以上岸船民和少数城市居民、农户所为，捕捞工具有抛网、捞海、栏刺网等，近些年又增加较多休闲垂钓捕鱼。主要鱼类有鲤、鲫、鲩、鲶、鳝、鳅、黄颡鱼、马口、赤眼鳟、虾等20多种。每年捕捞在250~450吨左右。</w:t>
      </w:r>
    </w:p>
    <w:p w14:paraId="3DF49E1D">
      <w:pPr>
        <w:ind w:firstLine="420"/>
        <w:jc w:val="right"/>
        <w:rPr>
          <w:rFonts w:ascii="宋体" w:hAnsi="宋体"/>
        </w:rPr>
      </w:pPr>
      <w:r>
        <w:rPr>
          <w:rFonts w:ascii="宋体" w:hAnsi="宋体"/>
        </w:rPr>
        <w:t>（李芳红）</w:t>
      </w:r>
    </w:p>
    <w:p w14:paraId="56C63486">
      <w:pPr>
        <w:ind w:firstLine="422"/>
        <w:rPr>
          <w:rFonts w:ascii="宋体" w:hAnsi="宋体"/>
          <w:b/>
          <w:bCs/>
        </w:rPr>
      </w:pPr>
      <w:r>
        <w:rPr>
          <w:rFonts w:ascii="宋体" w:hAnsi="宋体"/>
          <w:b/>
          <w:bCs/>
        </w:rPr>
        <w:t>附：2010年畜牧水产局领导班子成员名单</w:t>
      </w:r>
    </w:p>
    <w:p w14:paraId="702E2279">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曾启斌</w:t>
      </w:r>
    </w:p>
    <w:p w14:paraId="0282A280">
      <w:pPr>
        <w:ind w:firstLine="422"/>
        <w:rPr>
          <w:rFonts w:ascii="宋体" w:hAnsi="宋体"/>
        </w:rPr>
      </w:pPr>
      <w:r>
        <w:rPr>
          <w:rFonts w:ascii="宋体" w:hAnsi="宋体"/>
          <w:b/>
          <w:bCs/>
        </w:rPr>
        <w:t>副局长：</w:t>
      </w:r>
      <w:r>
        <w:rPr>
          <w:rFonts w:ascii="宋体" w:hAnsi="宋体"/>
        </w:rPr>
        <w:t>张帮生</w:t>
      </w:r>
      <w:r>
        <w:rPr>
          <w:rFonts w:hint="eastAsia" w:ascii="宋体" w:hAnsi="宋体"/>
        </w:rPr>
        <w:t xml:space="preserve">  </w:t>
      </w:r>
      <w:r>
        <w:rPr>
          <w:rFonts w:ascii="宋体" w:hAnsi="宋体"/>
        </w:rPr>
        <w:t>张燕宏</w:t>
      </w:r>
    </w:p>
    <w:p w14:paraId="2C6EBB60">
      <w:pPr>
        <w:ind w:firstLine="422"/>
        <w:rPr>
          <w:rFonts w:ascii="宋体" w:hAnsi="宋体"/>
        </w:rPr>
      </w:pPr>
      <w:r>
        <w:rPr>
          <w:rFonts w:ascii="宋体" w:hAnsi="宋体"/>
          <w:b/>
          <w:bCs/>
        </w:rPr>
        <w:t>工会主席：</w:t>
      </w:r>
      <w:r>
        <w:rPr>
          <w:rFonts w:ascii="宋体" w:hAnsi="宋体"/>
        </w:rPr>
        <w:t>龚金凤</w:t>
      </w:r>
    </w:p>
    <w:p w14:paraId="41A5A1F4">
      <w:pPr>
        <w:pStyle w:val="3"/>
      </w:pPr>
      <w:r>
        <w:t>农业机械化</w:t>
      </w:r>
    </w:p>
    <w:p w14:paraId="5EADF5DC">
      <w:pPr>
        <w:pStyle w:val="4"/>
      </w:pPr>
      <w:r>
        <w:t>【概况】</w:t>
      </w:r>
    </w:p>
    <w:p w14:paraId="67847E59">
      <w:pPr>
        <w:ind w:firstLine="420"/>
        <w:rPr>
          <w:rFonts w:ascii="宋体" w:hAnsi="宋体"/>
        </w:rPr>
      </w:pPr>
      <w:r>
        <w:rPr>
          <w:rFonts w:ascii="宋体" w:hAnsi="宋体"/>
        </w:rPr>
        <w:t>市农机管理总站原市农机局，1997年4月体制改革时更名为农机集团总公司，2004年1月经市编委批复再次更名为市农机管理总站，副科级事业单位，隶属农业局管理，编制5人，现有在职人员5人，内设办公室、业务股。下属单位有市农机学校（另挂市农机推广站牌子）在职职工9人，18个镇级农机管理服务站（业务由农机管理总站负责）管理人员32人。农机部门主要工作职责是贯彻执行国家和省、市农机化法律法规方针、政策，参与制订全市农机化发展方向，中长期规划和技术推广计划；组织落实农业机械新机具、新技术的引进、试验、示范和推广应用及农业机械科普宣传与技术培训；负责农业机械安全监管；协助相关部门做好农业机械行政执法和农机生产、经营、维修、作业服务市场、农机专业合作组织的监督管理；负责农机具购置补贴和农机作业燃油补贴工作及国家农机各项惠农政策的落实。</w:t>
      </w:r>
    </w:p>
    <w:p w14:paraId="184504ED">
      <w:pPr>
        <w:pStyle w:val="4"/>
      </w:pPr>
      <w:r>
        <w:t>【农业机械运用与推广】</w:t>
      </w:r>
    </w:p>
    <w:p w14:paraId="17F69E1C">
      <w:pPr>
        <w:ind w:firstLine="420"/>
        <w:rPr>
          <w:rFonts w:ascii="宋体" w:hAnsi="宋体"/>
        </w:rPr>
      </w:pPr>
      <w:r>
        <w:rPr>
          <w:rFonts w:ascii="宋体" w:hAnsi="宋体"/>
        </w:rPr>
        <w:t>近几年，农机化持续、快速、健康发展，农机拥有量不断增加，作业水平不断提高，农业生产中耕整、排灌、植保、收获、农副产品初加工和农村运输基本实现了机械化，水稻机械化育插秧，烟草起垄上行、黄烟采摘、畜牧、水产养殖机械化等技术、新机械正在逐步推广应用与普及。</w:t>
      </w:r>
    </w:p>
    <w:p w14:paraId="723A666D">
      <w:pPr>
        <w:pStyle w:val="4"/>
      </w:pPr>
      <w:r>
        <w:t>【农业机械和农机作业】</w:t>
      </w:r>
    </w:p>
    <w:p w14:paraId="79655E60">
      <w:pPr>
        <w:ind w:firstLine="420"/>
        <w:rPr>
          <w:rFonts w:ascii="宋体" w:hAnsi="宋体"/>
        </w:rPr>
      </w:pPr>
      <w:r>
        <w:rPr>
          <w:rFonts w:ascii="宋体" w:hAnsi="宋体"/>
        </w:rPr>
        <w:t>2010年农业机械和农机作业水平继续保持快速发展态势，至12月底止，全市拥有各类农业机械58300台（套），农机总动力27.94万千瓦，比上年增加1.2万千瓦，增长4.4%；完成机耕面积82.75万亩，收机面积14.44万亩，机插面积0.54万亩，全市水稻生产耕种收综合机械化水平达48.9%，各项指标全面实现甚至超过年初制定的指标。</w:t>
      </w:r>
    </w:p>
    <w:p w14:paraId="2BEFE4DF">
      <w:pPr>
        <w:pStyle w:val="4"/>
      </w:pPr>
      <w:r>
        <w:t>【推广、试用机械】</w:t>
      </w:r>
    </w:p>
    <w:p w14:paraId="124C91E2">
      <w:pPr>
        <w:ind w:firstLine="420"/>
        <w:rPr>
          <w:rFonts w:ascii="宋体" w:hAnsi="宋体"/>
        </w:rPr>
      </w:pPr>
      <w:r>
        <w:rPr>
          <w:rFonts w:ascii="宋体" w:hAnsi="宋体"/>
        </w:rPr>
        <w:t>2006年至2010年推广新式农机具、农机新技术，5年来推广各类农业机械5000多台（套）。2006年，引进新型烟草起垄机，开展黄烟生产机耕起垄推广服务，作业质量好，经济效益高，引起烟草公司关注，从2007年开始，南雄烟草公司每年出资60万元补贴农户购买烟草起垄机。农民购买烟草起垄机在中央财政每台起垄机购置补贴3000元的基础上，烟草公司再出资补贴2000元，2008年至2010年全市享受双重补贴受益农户1025户，开创了企业出资补贴农户购机的先河。同时推广其它先进、适用机械，2006年至2010年，市推广各类型联合收割机378台，微耕机355台，机动插秧机22台，丹霞拖拉机1500台，植保机械1580台。</w:t>
      </w:r>
    </w:p>
    <w:p w14:paraId="21816E12">
      <w:pPr>
        <w:pStyle w:val="4"/>
      </w:pPr>
      <w:r>
        <w:t>【落实农机购置补贴政策】</w:t>
      </w:r>
    </w:p>
    <w:p w14:paraId="5B8D117C">
      <w:pPr>
        <w:ind w:firstLine="420"/>
        <w:rPr>
          <w:rFonts w:ascii="宋体" w:hAnsi="宋体"/>
        </w:rPr>
      </w:pPr>
      <w:r>
        <w:rPr>
          <w:rFonts w:ascii="宋体" w:hAnsi="宋体"/>
        </w:rPr>
        <w:t>2006年至2010年争取中央农机购置补贴资金1250万元，省农机购置补贴资金122万元，补贴各类农业机械6853台（套），带动农民资金投入4355万元，受益农户7500多户。其中2010年争取中央资金415万元，省补贴资金24万元，农民利用补贴资金购置各类收割机95台，插秧机18台，各类型拖拉机1655台，植保机械987台，其他各类机械315台，直接受益农户3070户。</w:t>
      </w:r>
    </w:p>
    <w:p w14:paraId="04CE03EB">
      <w:pPr>
        <w:pStyle w:val="4"/>
      </w:pPr>
      <w:r>
        <w:t>【农机服务与经营】</w:t>
      </w:r>
    </w:p>
    <w:p w14:paraId="7464AEA5">
      <w:pPr>
        <w:ind w:firstLine="420"/>
        <w:rPr>
          <w:rFonts w:ascii="宋体" w:hAnsi="宋体"/>
        </w:rPr>
      </w:pPr>
      <w:r>
        <w:rPr>
          <w:rFonts w:ascii="宋体" w:hAnsi="宋体"/>
        </w:rPr>
        <w:t>2010年全市农机户24162户，农机从业人员4668人，其中专业户1255户，专业户占农机户5.19%；农机维修网点176个，农机修理人员339人，农机配件供应网点22个，乡镇农机供油站13个，农民开展农机作业，农机维修、农业运输获得农机经营总收入9152万元，减去农机使用成本8925万元，农机利润为227万元，基本形成以市场为导向，政府宏观调控，复盖全市的农机化服务体系。</w:t>
      </w:r>
    </w:p>
    <w:p w14:paraId="53622A3C">
      <w:pPr>
        <w:pStyle w:val="4"/>
      </w:pPr>
      <w:r>
        <w:t>【农机管理与效益】</w:t>
      </w:r>
    </w:p>
    <w:p w14:paraId="06C30A65">
      <w:pPr>
        <w:ind w:firstLine="420"/>
        <w:rPr>
          <w:rFonts w:ascii="宋体" w:hAnsi="宋体"/>
        </w:rPr>
      </w:pPr>
      <w:r>
        <w:rPr>
          <w:rFonts w:ascii="宋体" w:hAnsi="宋体"/>
        </w:rPr>
        <w:t>2007年至2008年争取省政府资金80万元，组建南雄市水稻机械化示范区域推广站，购置久保田插秧机4台、广联珠江1.5、金联0.7A、丹霞1.0、丹霞0.5各类型收割机24台在黄坑、全安开展示范推广服务。2010年农用拖拉机上户挂牌179台，联合收割机上户挂牌96台，年度检验195台，办理拖拉机驾驶证241人，收割机驾驶证60人。培训拖拉机驾驶员145人，收割机驾驶员60人，农机维修、插秧机操作学习195人，阳光工程农民劳动力转移培训100人；下乡宣教5次，散发农机科技宣传图册，新型机具资料3000多份；同时召开插秧机、烟草起垄机、联合收割机示范推广现场会5次，每次参会人数均达到200人以上。开展多种专项行动，确保农机安全作业，2010年无农机重、特大安全事故，无死人事故，为农机安全生产营造良好的环境。</w:t>
      </w:r>
    </w:p>
    <w:p w14:paraId="466154BF">
      <w:pPr>
        <w:ind w:firstLine="420"/>
        <w:jc w:val="right"/>
        <w:rPr>
          <w:rFonts w:ascii="宋体" w:hAnsi="宋体"/>
        </w:rPr>
      </w:pPr>
      <w:r>
        <w:rPr>
          <w:rFonts w:ascii="宋体" w:hAnsi="宋体"/>
        </w:rPr>
        <w:t>（梁健灵）</w:t>
      </w:r>
    </w:p>
    <w:p w14:paraId="6A61689E">
      <w:pPr>
        <w:ind w:firstLine="422"/>
        <w:rPr>
          <w:rFonts w:ascii="宋体" w:hAnsi="宋体"/>
          <w:b/>
          <w:bCs/>
        </w:rPr>
      </w:pPr>
      <w:r>
        <w:rPr>
          <w:rFonts w:ascii="宋体" w:hAnsi="宋体"/>
          <w:b/>
          <w:bCs/>
        </w:rPr>
        <w:t>附：2010年农机总站领导班子成员名单</w:t>
      </w:r>
    </w:p>
    <w:p w14:paraId="593387A8">
      <w:pPr>
        <w:ind w:firstLine="422"/>
        <w:rPr>
          <w:rFonts w:ascii="宋体" w:hAnsi="宋体"/>
        </w:rPr>
      </w:pPr>
      <w:r>
        <w:rPr>
          <w:rFonts w:ascii="宋体" w:hAnsi="宋体"/>
          <w:b/>
          <w:bCs/>
        </w:rPr>
        <w:t>站长：</w:t>
      </w:r>
      <w:r>
        <w:rPr>
          <w:rFonts w:ascii="宋体" w:hAnsi="宋体"/>
        </w:rPr>
        <w:t>叶东霞</w:t>
      </w:r>
    </w:p>
    <w:p w14:paraId="1E685DEF">
      <w:pPr>
        <w:pStyle w:val="2"/>
      </w:pPr>
      <w:r>
        <w:t>林业</w:t>
      </w:r>
    </w:p>
    <w:p w14:paraId="738ACC51">
      <w:pPr>
        <w:pStyle w:val="3"/>
      </w:pPr>
      <w:r>
        <w:t>综述</w:t>
      </w:r>
    </w:p>
    <w:p w14:paraId="46F6081B">
      <w:pPr>
        <w:pStyle w:val="4"/>
      </w:pPr>
      <w:r>
        <w:t>【概况】</w:t>
      </w:r>
    </w:p>
    <w:p w14:paraId="388E7F2F">
      <w:pPr>
        <w:ind w:firstLine="420"/>
        <w:rPr>
          <w:rFonts w:ascii="宋体" w:hAnsi="宋体"/>
        </w:rPr>
      </w:pPr>
      <w:r>
        <w:rPr>
          <w:rFonts w:ascii="宋体" w:hAnsi="宋体"/>
        </w:rPr>
        <w:t>南雄林业以“生态建设、生态安全、生态文明”为核心，以增资源、增效益和建设绿色南雄、生态南雄为目标，抓住机遇，改革创新，大力推进生态、产业、文化三大林业体系建设，全市林业工作呈现持续稳定发展趋势。至2010年底，全市林业用地面积239万亩，占总面积68%，现有林地面积216万亩，森林覆盖率62.4%，活立木蓄积量708.8万立方米，林木年生长量在28-30万立方米之间，森林资源年消耗量在10万立方米左右，年净增长率保持在3.4%-5%之间。</w:t>
      </w:r>
    </w:p>
    <w:p w14:paraId="7A947748">
      <w:pPr>
        <w:pStyle w:val="4"/>
      </w:pPr>
      <w:r>
        <w:t>【林业产业】</w:t>
      </w:r>
    </w:p>
    <w:p w14:paraId="10E0DF26">
      <w:pPr>
        <w:ind w:firstLine="420"/>
        <w:rPr>
          <w:rFonts w:ascii="宋体" w:hAnsi="宋体"/>
        </w:rPr>
      </w:pPr>
      <w:r>
        <w:rPr>
          <w:rFonts w:ascii="宋体" w:hAnsi="宋体"/>
        </w:rPr>
        <w:t>坚持生态优先，狠抓产业结构调整，促进产业转型升级，通过扶持发展非公有制林业，吸引社会资金投资造林等措施的落实，推动林业产业发展。2003年，全市生产销售木材5.3万立方米，生产销售毛竹138万条，全市林业年产值15016万元。2003年至2010年在抓好木材生产为主林业基础产业的同时，做强以浆纸制造、林业精细化工、家具、板材为重点的林业第二产业，大培植壮大松林树脂、珠玑纸业、绿洲纸模餐具等一批原料有保障、规模适度、辐射面广、竞争力强的竹木加工龙头企业，开拓以森林旅游为主的林业第三产业，新增规模林业企业2家，新增投资2000万元，新增产值160万元；至2010年，全市林业总产值达2.16亿元。</w:t>
      </w:r>
    </w:p>
    <w:p w14:paraId="34DEF277">
      <w:pPr>
        <w:pStyle w:val="4"/>
      </w:pPr>
      <w:r>
        <w:t>【林业基地】</w:t>
      </w:r>
    </w:p>
    <w:p w14:paraId="36208B60">
      <w:pPr>
        <w:ind w:firstLine="420"/>
        <w:rPr>
          <w:rFonts w:ascii="宋体" w:hAnsi="宋体"/>
        </w:rPr>
      </w:pPr>
      <w:r>
        <w:rPr>
          <w:rFonts w:ascii="宋体" w:hAnsi="宋体"/>
        </w:rPr>
        <w:t>2003年至2010年，根据“十一·五”林业发展规划，着力抓好包括商品林基地、速生丰产林基地、短轮伐期工业原料林基地、经济林基地、松脂基地、毛竹林和丛生竹基地在内的林业产业体系建设工程，建立银杏基地10万亩，毛竹基地36万亩，丛生竹基地10万亩，松脂基地30万亩，油茶基地5万亩。以“公司+基地+农户+林产品加工”为产业链，做大做强林业龙头企业，带动山区群众脱贫致富，推动区域经济的发展。生态林业建设</w:t>
      </w:r>
    </w:p>
    <w:p w14:paraId="616ADFFB">
      <w:pPr>
        <w:pStyle w:val="4"/>
      </w:pPr>
      <w:r>
        <w:t>【生态林业建设】</w:t>
      </w:r>
    </w:p>
    <w:p w14:paraId="1377C0B9">
      <w:pPr>
        <w:ind w:firstLine="420"/>
        <w:rPr>
          <w:rFonts w:ascii="宋体" w:hAnsi="宋体"/>
        </w:rPr>
      </w:pPr>
      <w:r>
        <w:rPr>
          <w:rFonts w:ascii="宋体" w:hAnsi="宋体"/>
        </w:rPr>
        <w:t>为落实科学发展观，加快建设林业生态市，促进经济社会发展，从全市可持续发展和维护区域生态安全出发，在巩固、完善和优化现有的生态公益林的基础上，以建设自然保护区、湿地公园、森林公园为核心，加大生态林业建设力度。2003年以来，根据韶关市创森林生态市的规划，结合南雄实际，完成全市64万亩省级生态公益林的调整界定工作，生态公益林补偿资金的管理与发放，推动生态公益林管护措施的落实；采取出动宣传车、悬挂横幅、张贴标语等形式，并与南雄电台联合创办《为了绿色家园》、《绿色家园》等专题节目，在全市范围内继续开展创建林业生态市宣传；抓好珠防林、北江水源涵养林、梅花长廊、绿色通道等营林造林工作，推进创建森林生态市工作，做好创建森林生态示范镇的建设工作，主田、江头、帽子峰等镇通过韶关市创建森林生态示范镇验收；2006年，着重抓好小流坑-青嶂山市级自然保护区申报省级工作。采取各项措施积极推进自然保护区升级工作通过近一年来的努力，这个自然保护区申报省级工作已顺利通过省政府专家组的评审，成为第一个以保护森林资源为内容的省级保护区。2003年，制定《南雄市创建林业生态市总体规划》，从2003年开始，在韶关市和南雄市委、市政府的领导下，采取抓森林资源培育、保护和发展同步进行的办法，抓好营林造林、自然保护、森林公园、绿色通道建设以及城镇村庄绿色等创建林业生态市工作，2010年底，省政府派出林业验收组根据《广东省林业生态市检查验收办法》，顺利地通过省检查验收，成为省林业生态市。</w:t>
      </w:r>
    </w:p>
    <w:p w14:paraId="70F3B750">
      <w:pPr>
        <w:pStyle w:val="4"/>
      </w:pPr>
      <w:r>
        <w:t>【造林绿化】</w:t>
      </w:r>
    </w:p>
    <w:p w14:paraId="43EB273E">
      <w:pPr>
        <w:ind w:firstLine="420"/>
        <w:rPr>
          <w:rFonts w:ascii="宋体" w:hAnsi="宋体"/>
        </w:rPr>
      </w:pPr>
      <w:r>
        <w:rPr>
          <w:rFonts w:ascii="宋体" w:hAnsi="宋体"/>
        </w:rPr>
        <w:t>林业是绿色生态的主体，不仅在防灾减灾中发挥着重要作用，在防治污染、改善环境中也功不可没。2003年至2006年，在全市组织完成造林面积达55771亩，义务植树和四旁植物64.5万株，抚育中幼林59万亩，完成26.9公里的梅花长廊建设任务，种植12个品种的梅花1.2万株，完成竹博园建设工程，并使市竹博园成为中国林科院亚热带林业研究所的研究基地；2007年全市共完成各类造林面积12600亩，其中更新造林10600亩，低效林改造2000亩，营造生物防火林带40公里，义务植树40万株；2008年迹地更新造林1.37万亩，林分改造5000亩，灾后造林3000亩，营造生物防火林带900亩；义务植树38万株；完成中幼林和毛竹林抚育面积41万亩；2009年争取上级财政专项资金885.9万元，自筹资金100余万元，完成各类新造林面积36933亩，义务植树30余万株，建立“万村绿”示范点5个，在3.12植树节开展“南雄市市直机关干部义务植树活动”，推动全民义务植树；2010年春季，市争取上级资金、林业部门和造林单位800多万元，完成各类新造林面积31068亩，完成义务植树60多万株，建立“万村绿”示范点37个。</w:t>
      </w:r>
    </w:p>
    <w:p w14:paraId="76E090B4">
      <w:pPr>
        <w:pStyle w:val="3"/>
      </w:pPr>
      <w:r>
        <w:t>林业管护</w:t>
      </w:r>
    </w:p>
    <w:p w14:paraId="59302F4B">
      <w:pPr>
        <w:pStyle w:val="4"/>
      </w:pPr>
      <w:r>
        <w:t>【依法治林】</w:t>
      </w:r>
    </w:p>
    <w:p w14:paraId="0E0860CE">
      <w:pPr>
        <w:ind w:firstLine="420"/>
        <w:rPr>
          <w:rFonts w:ascii="宋体" w:hAnsi="宋体"/>
        </w:rPr>
      </w:pPr>
      <w:r>
        <w:rPr>
          <w:rFonts w:ascii="宋体" w:hAnsi="宋体"/>
        </w:rPr>
        <w:t>坚持依法治林工作方针，切实抓好森林资源保护管理工作，2007年收缴木材721立方米、毛竹2万多条和野生动物一批，为国家挽回损失830多万元；2008年连续开展“百日”、“破冰打击”、“护绿”、“飞鹰”、“秋季旋风”等一系列专项行动，严厉打击各种涉林犯罪行为，取得突出成效；2009年依法查处各类林业案件1100多宗，依法打击处理各类林业违法人员1200多人次，全市林业秩序有明显好转；2010年，共出动执法人员1400多人次，依法查处各类林业违法案件616宗，依法处理各类林业违法人员792人次，缴获木材1000多立方米，使全市林业违法案件出现逐年下降的趋势。</w:t>
      </w:r>
    </w:p>
    <w:p w14:paraId="5F60E241">
      <w:pPr>
        <w:pStyle w:val="4"/>
      </w:pPr>
      <w:r>
        <w:t>【森林资源管护】</w:t>
      </w:r>
    </w:p>
    <w:p w14:paraId="32CCB166">
      <w:pPr>
        <w:ind w:firstLine="420"/>
        <w:rPr>
          <w:rFonts w:ascii="宋体" w:hAnsi="宋体"/>
        </w:rPr>
      </w:pPr>
      <w:r>
        <w:rPr>
          <w:rFonts w:ascii="宋体" w:hAnsi="宋体"/>
        </w:rPr>
        <w:t>坚持依法治林和森林资源生产量大于消耗量的工作方针，加强森林资源保护管理工作。2003年至2010年未突破过省市下达的森林采伐限额计划，森林资源净增长量达65.9万立方米，年净增长率超过3.1%。2003年至2010年，先后组织开展“铁拳”、“绿盾”、“绿箭”、“护林”、“春雷”、“秋季旋风”等专项行动，打击林业违法犯罪活动，森林资源保护管理工作得到全面加强。2006年，为减少森林资源消耗，采取组织“铁拳”行动等办法，对全市竹木加工行业进行全面清理整顿；对全市199家竹木加工企业进行资源整合，关闭规模小、资源消耗率高的加工企业149家，至2010年，一直坚持将全市竹木加工企业总数控制在50家以内，2010年底，全市竹木加工企业43家。2008年，南雄森林资源遭遇百年一遇冰灾，以韶关市林业灾后复产现场会到南雄召开为契机，结合实际，制定《南雄市林业灾后复产和森林资源保护工作实施方案》，采取生态修复和工程造林、补植套种等措施，抓好森林资源保护与培育工作，受灾森林资源得到迅速发展。因受冰灾影响，2008年，森林覆盖率从65.2%下降到58%，通过修复，至2010年，森林覆盖率已恢复到62.4%。</w:t>
      </w:r>
    </w:p>
    <w:p w14:paraId="63722C5F">
      <w:pPr>
        <w:pStyle w:val="4"/>
      </w:pPr>
      <w:r>
        <w:t>【森林防灾】</w:t>
      </w:r>
    </w:p>
    <w:p w14:paraId="69895098">
      <w:pPr>
        <w:ind w:firstLine="420"/>
        <w:rPr>
          <w:rFonts w:ascii="宋体" w:hAnsi="宋体"/>
        </w:rPr>
      </w:pPr>
      <w:r>
        <w:rPr>
          <w:rFonts w:ascii="宋体" w:hAnsi="宋体"/>
        </w:rPr>
        <w:t>贯彻“预防为主，科学防控”的森防工作方针，坚持早预测、早预报、早防治，抓好全市林业有害生物的监测、预报、防治，林木种苗及林产品的检疫工作，防止病虫害的暴发蔓延和有害生物入侵，全市森林病虫害发生率不到1‰，防治率则达100%。贯彻执行国家和省森林防火法规，落实森林防火工作各级行政首长负责制，加大森林防火宣传力度，野外用火管理，抓好各项森林防火工作。2003年至2010年，每年投入200余万元资金，建设森林消防队伍，永久性森林防火标语牌，生物防火林带和森林防火信息网络。全市均未发生大的森林火灾，森林防火工作每年均受到省和韶关市的表彰与奖励。</w:t>
      </w:r>
    </w:p>
    <w:p w14:paraId="58F9BA83">
      <w:pPr>
        <w:pStyle w:val="4"/>
      </w:pPr>
      <w:r>
        <w:t>【集体林权制度改革】</w:t>
      </w:r>
    </w:p>
    <w:p w14:paraId="1E8B54F4">
      <w:pPr>
        <w:ind w:firstLine="420"/>
        <w:rPr>
          <w:rFonts w:ascii="宋体" w:hAnsi="宋体"/>
        </w:rPr>
      </w:pPr>
      <w:r>
        <w:rPr>
          <w:rFonts w:ascii="宋体" w:hAnsi="宋体"/>
        </w:rPr>
        <w:t>集体林权制度改革工作是2010年市委、市政府重点工作。南雄市出台《南雄市推进集体林权制度改革实施方案》，在全市18个镇（街道）208个村委会中，有林改工作任务的有18（街道）个镇207个村2534个村小组，涉及88708户农户373812人，全市林改工作覆盖林业用地面积2393571亩。至2010年底，基本完成外业勘界任务，勘界面积达228.9万亩，占全市林改面积的98.9%，2011年将全面完成林改工作任务。</w:t>
      </w:r>
    </w:p>
    <w:p w14:paraId="78FF815A">
      <w:pPr>
        <w:pStyle w:val="4"/>
      </w:pPr>
      <w:r>
        <w:t>【林科所】</w:t>
      </w:r>
    </w:p>
    <w:p w14:paraId="276D6450">
      <w:pPr>
        <w:ind w:firstLine="420"/>
        <w:rPr>
          <w:rFonts w:ascii="宋体" w:hAnsi="宋体"/>
        </w:rPr>
      </w:pPr>
      <w:r>
        <w:rPr>
          <w:rFonts w:ascii="宋体" w:hAnsi="宋体"/>
        </w:rPr>
        <w:t>南雄市林科所是一所长期从事林业新技术引进、试验、示范和推广的全面所有制科研单位，有近50年的苗木繁育历史，技术力量较强，干部职工文化素质和专业技术水平较高，现有林业高级工程师2人，工程师3人，助理工程师5人，在职技工30人。多年来始终以市场为导向，不断改正育苗技术和进行相关种源试验，不断“挖掘”培育当地野生优良乡土树种，引进推广大批速生优质树种，在绿化苗木和林业种苗方面进行大量探索，积累丰富经验，为当地、本省和外省提供大量的城市绿化用苗。至2010年林科所共育苗约300亩，其中新培育苗木100多亩，合格苗木出圃量约250万株，提供杉苗、荷木、枫香、杜英等造林苗木，为全市18个乡镇提供“万村绿”苗木近10万株，确保生态林业建设的苗木需求。</w:t>
      </w:r>
    </w:p>
    <w:p w14:paraId="49ECB7A0">
      <w:pPr>
        <w:ind w:firstLine="420"/>
        <w:jc w:val="right"/>
        <w:rPr>
          <w:rFonts w:ascii="宋体" w:hAnsi="宋体"/>
        </w:rPr>
      </w:pPr>
      <w:r>
        <w:rPr>
          <w:rFonts w:ascii="宋体" w:hAnsi="宋体"/>
        </w:rPr>
        <w:t>（陈帆）</w:t>
      </w:r>
    </w:p>
    <w:p w14:paraId="010510AF">
      <w:pPr>
        <w:ind w:firstLine="422"/>
        <w:rPr>
          <w:rFonts w:ascii="宋体" w:hAnsi="宋体"/>
          <w:b/>
          <w:bCs/>
        </w:rPr>
      </w:pPr>
      <w:r>
        <w:rPr>
          <w:rFonts w:ascii="宋体" w:hAnsi="宋体"/>
          <w:b/>
          <w:bCs/>
        </w:rPr>
        <w:t>附：2010年林业局领导班子成员名单</w:t>
      </w:r>
    </w:p>
    <w:p w14:paraId="3035DE96">
      <w:pPr>
        <w:ind w:firstLine="422"/>
        <w:rPr>
          <w:rFonts w:ascii="宋体" w:hAnsi="宋体"/>
        </w:rPr>
      </w:pPr>
      <w:r>
        <w:rPr>
          <w:rFonts w:ascii="宋体" w:hAnsi="宋体"/>
          <w:b/>
          <w:bCs/>
        </w:rPr>
        <w:t>局长：</w:t>
      </w:r>
      <w:r>
        <w:rPr>
          <w:rFonts w:ascii="宋体" w:hAnsi="宋体"/>
        </w:rPr>
        <w:t>张英宏</w:t>
      </w:r>
    </w:p>
    <w:p w14:paraId="6DCD2D0C">
      <w:pPr>
        <w:ind w:firstLine="422"/>
        <w:rPr>
          <w:rFonts w:ascii="宋体" w:hAnsi="宋体"/>
        </w:rPr>
      </w:pPr>
      <w:r>
        <w:rPr>
          <w:rFonts w:ascii="宋体" w:hAnsi="宋体"/>
          <w:b/>
          <w:bCs/>
        </w:rPr>
        <w:t>副局长：</w:t>
      </w:r>
      <w:r>
        <w:rPr>
          <w:rFonts w:ascii="宋体" w:hAnsi="宋体"/>
        </w:rPr>
        <w:t>李天勤王绪育</w:t>
      </w:r>
    </w:p>
    <w:p w14:paraId="61EECF22">
      <w:pPr>
        <w:ind w:firstLine="422"/>
        <w:rPr>
          <w:rFonts w:ascii="宋体" w:hAnsi="宋体"/>
        </w:rPr>
      </w:pPr>
      <w:r>
        <w:rPr>
          <w:rFonts w:ascii="宋体" w:hAnsi="宋体"/>
          <w:b/>
          <w:bCs/>
        </w:rPr>
        <w:t>纪检组长：</w:t>
      </w:r>
      <w:r>
        <w:rPr>
          <w:rFonts w:ascii="宋体" w:hAnsi="宋体"/>
        </w:rPr>
        <w:t>高韶金</w:t>
      </w:r>
    </w:p>
    <w:p w14:paraId="05B10298">
      <w:pPr>
        <w:ind w:firstLine="422"/>
        <w:rPr>
          <w:rFonts w:ascii="宋体" w:hAnsi="宋体"/>
        </w:rPr>
      </w:pPr>
      <w:r>
        <w:rPr>
          <w:rFonts w:ascii="宋体" w:hAnsi="宋体"/>
          <w:b/>
          <w:bCs/>
        </w:rPr>
        <w:t>工会主席：</w:t>
      </w:r>
      <w:r>
        <w:rPr>
          <w:rFonts w:ascii="宋体" w:hAnsi="宋体"/>
        </w:rPr>
        <w:t>郭忠</w:t>
      </w:r>
    </w:p>
    <w:p w14:paraId="20D7DAFA">
      <w:pPr>
        <w:ind w:firstLine="422"/>
        <w:rPr>
          <w:rFonts w:ascii="宋体" w:hAnsi="宋体"/>
        </w:rPr>
      </w:pPr>
      <w:r>
        <w:rPr>
          <w:rFonts w:ascii="宋体" w:hAnsi="宋体"/>
          <w:b/>
          <w:bCs/>
        </w:rPr>
        <w:t>森林公安分局局长：</w:t>
      </w:r>
      <w:r>
        <w:rPr>
          <w:rFonts w:ascii="宋体" w:hAnsi="宋体"/>
        </w:rPr>
        <w:t>王全生</w:t>
      </w:r>
    </w:p>
    <w:p w14:paraId="6AE90A66">
      <w:pPr>
        <w:pStyle w:val="3"/>
      </w:pPr>
      <w:r>
        <w:t>林场</w:t>
      </w:r>
    </w:p>
    <w:p w14:paraId="092111E8">
      <w:pPr>
        <w:pStyle w:val="4"/>
      </w:pPr>
      <w:r>
        <w:t>【山门林场】</w:t>
      </w:r>
    </w:p>
    <w:p w14:paraId="753CC33F">
      <w:pPr>
        <w:ind w:firstLine="420"/>
        <w:rPr>
          <w:rFonts w:ascii="宋体" w:hAnsi="宋体"/>
        </w:rPr>
      </w:pPr>
      <w:r>
        <w:rPr>
          <w:rFonts w:ascii="宋体" w:hAnsi="宋体"/>
        </w:rPr>
        <w:t>南雄市山门林场位于古市镇境内，创办于1972年，是市林业局下属的国有企业，有职工103人。林场经营总面积26370亩，其中林业用地26270亩，非林地100亩。森林蓄积量约14万立方米，林场按照森林生长量大于消耗量的原则，平均年生产木材3500立方米，2010年总收入达280万元。2003年以来林场加大营林生产的力度，培育后备森林资源，实行采伐一片、送林一片、管护一片，年均造林500亩以上，林场的资源状况得到改善，林场的生产经营情况逐渐走上良性发展的轨道。</w:t>
      </w:r>
    </w:p>
    <w:p w14:paraId="3B60C45B">
      <w:pPr>
        <w:pStyle w:val="4"/>
      </w:pPr>
      <w:r>
        <w:t>【泷头林场】</w:t>
      </w:r>
    </w:p>
    <w:p w14:paraId="4B1F8B86">
      <w:pPr>
        <w:ind w:firstLine="420"/>
        <w:rPr>
          <w:rFonts w:ascii="宋体" w:hAnsi="宋体"/>
        </w:rPr>
      </w:pPr>
      <w:r>
        <w:rPr>
          <w:rFonts w:ascii="宋体" w:hAnsi="宋体"/>
        </w:rPr>
        <w:t>南雄市泷头林场位于水口镇境内，系林业局下属国有林场，在册职工61人，林地面积14113亩，活立木蓄积量3.9万立方米，森林覆盖率98%以上，从2003年至2010年，共生产木材10800立方米，新造林3350亩（含残次林改造），抚育15400亩次。</w:t>
      </w:r>
    </w:p>
    <w:p w14:paraId="499411F5">
      <w:pPr>
        <w:ind w:firstLine="420"/>
        <w:jc w:val="right"/>
        <w:rPr>
          <w:rFonts w:ascii="宋体" w:hAnsi="宋体"/>
        </w:rPr>
      </w:pPr>
      <w:r>
        <w:rPr>
          <w:rFonts w:ascii="宋体" w:hAnsi="宋体"/>
        </w:rPr>
        <w:t>（陈帆）</w:t>
      </w:r>
    </w:p>
    <w:p w14:paraId="462A7F95">
      <w:pPr>
        <w:pStyle w:val="4"/>
      </w:pPr>
      <w:r>
        <w:t>【帽子峰林场（翠屏公司）】</w:t>
      </w:r>
    </w:p>
    <w:p w14:paraId="7D7D332C">
      <w:pPr>
        <w:ind w:firstLine="420"/>
        <w:rPr>
          <w:rFonts w:ascii="宋体" w:hAnsi="宋体"/>
        </w:rPr>
      </w:pPr>
      <w:r>
        <w:rPr>
          <w:rFonts w:ascii="宋体" w:hAnsi="宋体"/>
        </w:rPr>
        <w:t>广东翠屏实业股份有限公司是1994年6月经原广东省体改委批准设立，由原南雄国营帽子峰林场（一九五七年建场）全资改造而成，经营范围为木材生产、加工、销售、水利发电、汽车大修、总成大修、畜禽养殖、货运、良种猪养殖等。</w:t>
      </w:r>
    </w:p>
    <w:p w14:paraId="3BC2C4FA">
      <w:pPr>
        <w:ind w:firstLine="420"/>
        <w:rPr>
          <w:rFonts w:ascii="宋体" w:hAnsi="宋体"/>
        </w:rPr>
      </w:pPr>
      <w:r>
        <w:rPr>
          <w:rFonts w:ascii="宋体" w:hAnsi="宋体"/>
        </w:rPr>
        <w:t>公司历届经营班子着重强化林业和电业的管理。2010年，完成造林面积1096亩，抚育中幼林5386亩次，抚育银杏7895株，完成防火线维修59830米，完成杉木主伐面积1158亩。</w:t>
      </w:r>
    </w:p>
    <w:p w14:paraId="40C22E60">
      <w:pPr>
        <w:ind w:firstLine="420"/>
        <w:rPr>
          <w:rFonts w:ascii="宋体" w:hAnsi="宋体"/>
        </w:rPr>
      </w:pPr>
      <w:r>
        <w:rPr>
          <w:rFonts w:ascii="宋体" w:hAnsi="宋体"/>
        </w:rPr>
        <w:t>在木材销售方面，公司继续推行并逐步完善“活立杉木包砍包销”。采取公平、公正、公开的竞争招标方式，确定销售。2010年公司完成对网顶山811亩，田排347亩等主伐山场的招标销售工作，共完成11149立方米的木材销售，实现销售收入800.7万元。</w:t>
      </w:r>
    </w:p>
    <w:p w14:paraId="5CEECA53">
      <w:pPr>
        <w:ind w:firstLine="420"/>
        <w:rPr>
          <w:rFonts w:ascii="宋体" w:hAnsi="宋体"/>
        </w:rPr>
      </w:pPr>
      <w:r>
        <w:rPr>
          <w:rFonts w:ascii="宋体" w:hAnsi="宋体"/>
        </w:rPr>
        <w:t>2010年雨水相对均匀丰富，小水电收入较好，实现销售收入386万元。</w:t>
      </w:r>
    </w:p>
    <w:p w14:paraId="56A8B65A">
      <w:pPr>
        <w:ind w:firstLine="420"/>
        <w:rPr>
          <w:rFonts w:ascii="宋体" w:hAnsi="宋体"/>
        </w:rPr>
      </w:pPr>
      <w:r>
        <w:rPr>
          <w:rFonts w:ascii="宋体" w:hAnsi="宋体"/>
        </w:rPr>
        <w:t>申报省级森林公园为响应南雄市发展生态强市的号召，帽子峰林场与省林业局联系，申报省级森林公园。</w:t>
      </w:r>
    </w:p>
    <w:p w14:paraId="11E3962B">
      <w:pPr>
        <w:ind w:firstLine="420"/>
        <w:jc w:val="right"/>
        <w:rPr>
          <w:rFonts w:ascii="宋体" w:hAnsi="宋体"/>
        </w:rPr>
      </w:pPr>
      <w:r>
        <w:rPr>
          <w:rFonts w:ascii="宋体" w:hAnsi="宋体"/>
        </w:rPr>
        <w:t>（龚赛红）</w:t>
      </w:r>
    </w:p>
    <w:p w14:paraId="7BA221F6">
      <w:pPr>
        <w:ind w:firstLine="422"/>
        <w:rPr>
          <w:rFonts w:ascii="宋体" w:hAnsi="宋体"/>
          <w:b/>
          <w:bCs/>
        </w:rPr>
      </w:pPr>
      <w:r>
        <w:rPr>
          <w:rFonts w:ascii="宋体" w:hAnsi="宋体"/>
          <w:b/>
          <w:bCs/>
        </w:rPr>
        <w:t>附：2010年帽子峰林场领导班子成员名单</w:t>
      </w:r>
    </w:p>
    <w:p w14:paraId="44D17515">
      <w:pPr>
        <w:ind w:firstLine="422"/>
        <w:rPr>
          <w:rFonts w:ascii="宋体" w:hAnsi="宋体"/>
        </w:rPr>
      </w:pPr>
      <w:r>
        <w:rPr>
          <w:rFonts w:ascii="宋体" w:hAnsi="宋体"/>
          <w:b/>
          <w:bCs/>
        </w:rPr>
        <w:t>董事长：</w:t>
      </w:r>
      <w:r>
        <w:rPr>
          <w:rFonts w:ascii="宋体" w:hAnsi="宋体"/>
        </w:rPr>
        <w:t>李时有</w:t>
      </w:r>
    </w:p>
    <w:p w14:paraId="43A4D047">
      <w:pPr>
        <w:ind w:firstLine="422"/>
        <w:rPr>
          <w:rFonts w:ascii="宋体" w:hAnsi="宋体"/>
        </w:rPr>
      </w:pPr>
      <w:r>
        <w:rPr>
          <w:rFonts w:ascii="宋体" w:hAnsi="宋体"/>
          <w:b/>
          <w:bCs/>
        </w:rPr>
        <w:t>党委书记：王</w:t>
      </w:r>
      <w:r>
        <w:rPr>
          <w:rFonts w:ascii="宋体" w:hAnsi="宋体"/>
        </w:rPr>
        <w:t>弟勤</w:t>
      </w:r>
    </w:p>
    <w:p w14:paraId="47F6C6EF">
      <w:pPr>
        <w:ind w:firstLine="422"/>
        <w:rPr>
          <w:rFonts w:ascii="宋体" w:hAnsi="宋体"/>
        </w:rPr>
      </w:pPr>
      <w:r>
        <w:rPr>
          <w:rFonts w:ascii="宋体" w:hAnsi="宋体"/>
          <w:b/>
          <w:bCs/>
        </w:rPr>
        <w:t>总经理：</w:t>
      </w:r>
      <w:r>
        <w:rPr>
          <w:rFonts w:ascii="宋体" w:hAnsi="宋体"/>
        </w:rPr>
        <w:t>张春辉</w:t>
      </w:r>
    </w:p>
    <w:p w14:paraId="1943C90E">
      <w:pPr>
        <w:ind w:firstLine="422"/>
        <w:rPr>
          <w:rFonts w:ascii="宋体" w:hAnsi="宋体"/>
        </w:rPr>
      </w:pPr>
      <w:r>
        <w:rPr>
          <w:rFonts w:ascii="宋体" w:hAnsi="宋体"/>
          <w:b/>
          <w:bCs/>
        </w:rPr>
        <w:t>副总经理：</w:t>
      </w:r>
      <w:r>
        <w:rPr>
          <w:rFonts w:ascii="宋体" w:hAnsi="宋体"/>
        </w:rPr>
        <w:t>黄志荣</w:t>
      </w:r>
      <w:r>
        <w:rPr>
          <w:rFonts w:hint="eastAsia" w:ascii="宋体" w:hAnsi="宋体"/>
        </w:rPr>
        <w:t xml:space="preserve">  </w:t>
      </w:r>
      <w:r>
        <w:rPr>
          <w:rFonts w:ascii="宋体" w:hAnsi="宋体"/>
        </w:rPr>
        <w:t>钟达辉</w:t>
      </w:r>
    </w:p>
    <w:p w14:paraId="20558A39">
      <w:pPr>
        <w:pStyle w:val="3"/>
      </w:pPr>
      <w:r>
        <w:t>自然保护区</w:t>
      </w:r>
    </w:p>
    <w:p w14:paraId="7DDA0594">
      <w:pPr>
        <w:pStyle w:val="4"/>
      </w:pPr>
      <w:r>
        <w:t>【基本情况】</w:t>
      </w:r>
    </w:p>
    <w:p w14:paraId="507F411E">
      <w:pPr>
        <w:ind w:firstLine="420"/>
        <w:rPr>
          <w:rFonts w:ascii="宋体" w:hAnsi="宋体"/>
        </w:rPr>
      </w:pPr>
      <w:r>
        <w:rPr>
          <w:rFonts w:ascii="宋体" w:hAnsi="宋体"/>
        </w:rPr>
        <w:t>广东南雄小流坑—青嶂山省级自然保护区于2007年11月经广东省人民政府批准成立，2007年12月经省编委批准设立广东南雄小流坑—青嶂山省级自然保护区管理处。保护区管理处隶属广东省林业主管部门，省、市（县）共管，副处级事业单位，核定事业编12名，人员经费由省财政核拨。保护区管理处职责为依法履行自然保护区规划建设和自然资源保护管理工作，内设机构有综合科、保护管理科、科研宣教科3个科，建有主田、江头、帽子峰3个保护管理站。办公场址位于江头镇。</w:t>
      </w:r>
    </w:p>
    <w:p w14:paraId="4626B718">
      <w:pPr>
        <w:pStyle w:val="4"/>
      </w:pPr>
      <w:r>
        <w:t>【地理位置和面积】</w:t>
      </w:r>
    </w:p>
    <w:p w14:paraId="3060CAAE">
      <w:pPr>
        <w:ind w:firstLine="420"/>
        <w:rPr>
          <w:rFonts w:ascii="宋体" w:hAnsi="宋体"/>
        </w:rPr>
      </w:pPr>
      <w:r>
        <w:rPr>
          <w:rFonts w:ascii="宋体" w:hAnsi="宋体"/>
        </w:rPr>
        <w:t>保护区位于广东南雄市区东南部和西北部，由“青嶂山”和“小流坑”两部分组成。北纬：小流坑25°16′39″-25°19′01"；青嶂山24°59′19″-25°05′12″，东经：小流坑114°07′33″-114°09′48″；青嶂山114°20′05″-114°26′47″。“小流坑”东临帽子峰洞头村、南接澜河镇、西临澜河镇、北与江西为界；“青嶂山”东靠武岭村、南接主田窑合村、西临主田西坪村、北连雄州下坪村。总面积7874公顷，其中“小流坑”873.8公顷，“青嶂山”7000.2公顷。保护区核心区3844.5公顷，缓冲区1699.9颂，实验区2329.6公顷。</w:t>
      </w:r>
    </w:p>
    <w:p w14:paraId="6BD86B58">
      <w:pPr>
        <w:pStyle w:val="4"/>
      </w:pPr>
      <w:r>
        <w:t>【资源状况】</w:t>
      </w:r>
    </w:p>
    <w:p w14:paraId="05B87C1B">
      <w:pPr>
        <w:ind w:firstLine="420"/>
        <w:rPr>
          <w:rFonts w:ascii="宋体" w:hAnsi="宋体"/>
        </w:rPr>
      </w:pPr>
      <w:r>
        <w:rPr>
          <w:rFonts w:ascii="宋体" w:hAnsi="宋体"/>
        </w:rPr>
        <w:t>保护区属森林和野生动物类型自然保护区，重点保护对象为亚热带森林生态系统及珍稀动植物资源。区内共有野生维管植物182科596属1119种，拥有南方红豆杉、半枫荷、闽楠、香樟、金毛狗、喜树、银杏、苏铁、水杉、福建柏等14种野生和栽培的国家级重点保护植物；野生脊椎动物有30目80科170属212种，其中鱼类5目14科41属43种；两栖类2目5科9属20种；爬行类3目11科20属31种；鸟类13目34科73属84种；哺乳类7目16科27属34种。国家重点保护动物有23种：国家一级重点保护动物有黄腹角雉、蟒蛇；国家二级重点保护动物有虎纹蛙、黑冠鹃隼、鸢、松雀鹰、鹊鹞、蛇雕、红隼、穿山甲、水鹿、白鹇、小灵猫、褐翅鸦鹃、水獭、苏门羚等21种珍贵动物。保护区是浈江重要水源林地，有瀑布、水库、温泉、天池、峡谷、丹霞地貌等天然景观。</w:t>
      </w:r>
    </w:p>
    <w:p w14:paraId="5D978BDB">
      <w:pPr>
        <w:pStyle w:val="4"/>
      </w:pPr>
      <w:r>
        <w:t>【管理处工作情况】</w:t>
      </w:r>
    </w:p>
    <w:p w14:paraId="5BB29C3E">
      <w:pPr>
        <w:ind w:firstLine="420"/>
        <w:rPr>
          <w:rFonts w:ascii="宋体" w:hAnsi="宋体"/>
        </w:rPr>
      </w:pPr>
      <w:r>
        <w:rPr>
          <w:rFonts w:ascii="宋体" w:hAnsi="宋体"/>
        </w:rPr>
        <w:t>2009年8月，招录第一批工作人员5名。10月，开始实施广东省人大自然保护区议案项目规定的建设任务。11月，南雄市人民政府发布《南雄小流坑-青嶂山省级自然保护区通告》。2010年1月，南雄市人民政府发布《广东南雄小流坑—青嶂山省级自然保护区管理办法》。10月，基本完成建综合楼、界桩、宣传碑及完善办公设施等广东省人大自然保护区议案项目规定的建设任务。该年处理林业6宗。</w:t>
      </w:r>
    </w:p>
    <w:p w14:paraId="2A7A74BF">
      <w:pPr>
        <w:ind w:firstLine="420"/>
        <w:jc w:val="right"/>
        <w:rPr>
          <w:rFonts w:ascii="宋体" w:hAnsi="宋体"/>
        </w:rPr>
      </w:pPr>
      <w:r>
        <w:rPr>
          <w:rFonts w:ascii="宋体" w:hAnsi="宋体"/>
        </w:rPr>
        <w:t>（陈志红）</w:t>
      </w:r>
    </w:p>
    <w:p w14:paraId="7318FBA4">
      <w:pPr>
        <w:ind w:firstLine="422"/>
        <w:rPr>
          <w:rFonts w:ascii="宋体" w:hAnsi="宋体"/>
          <w:b/>
          <w:bCs/>
        </w:rPr>
      </w:pPr>
      <w:r>
        <w:rPr>
          <w:rFonts w:ascii="宋体" w:hAnsi="宋体"/>
          <w:b/>
          <w:bCs/>
        </w:rPr>
        <w:t>附：2010年广东南雄小流坑—青嶂山省级自然保护区管理处领导班子成员名单</w:t>
      </w:r>
    </w:p>
    <w:p w14:paraId="064E5F90">
      <w:pPr>
        <w:ind w:firstLine="422"/>
        <w:rPr>
          <w:rFonts w:ascii="宋体" w:hAnsi="宋体"/>
        </w:rPr>
      </w:pPr>
      <w:r>
        <w:rPr>
          <w:rFonts w:ascii="宋体" w:hAnsi="宋体"/>
          <w:b/>
          <w:bCs/>
        </w:rPr>
        <w:t>主任：</w:t>
      </w:r>
      <w:r>
        <w:rPr>
          <w:rFonts w:ascii="宋体" w:hAnsi="宋体"/>
        </w:rPr>
        <w:t>董绳跃</w:t>
      </w:r>
    </w:p>
    <w:p w14:paraId="165356F1">
      <w:pPr>
        <w:ind w:firstLine="422"/>
        <w:rPr>
          <w:rFonts w:ascii="宋体" w:hAnsi="宋体"/>
        </w:rPr>
      </w:pPr>
      <w:r>
        <w:rPr>
          <w:rFonts w:ascii="宋体" w:hAnsi="宋体"/>
          <w:b/>
          <w:bCs/>
        </w:rPr>
        <w:t>副主任：</w:t>
      </w:r>
      <w:r>
        <w:rPr>
          <w:rFonts w:ascii="宋体" w:hAnsi="宋体"/>
        </w:rPr>
        <w:t>胡辉</w:t>
      </w:r>
    </w:p>
    <w:p w14:paraId="571B3FAA">
      <w:pPr>
        <w:pStyle w:val="3"/>
      </w:pPr>
      <w:r>
        <w:t>水利·气象水利</w:t>
      </w:r>
    </w:p>
    <w:p w14:paraId="032ADE92">
      <w:pPr>
        <w:pStyle w:val="4"/>
      </w:pPr>
      <w:r>
        <w:t>【概况】</w:t>
      </w:r>
    </w:p>
    <w:p w14:paraId="53788F1D">
      <w:pPr>
        <w:ind w:firstLine="420"/>
        <w:rPr>
          <w:rFonts w:ascii="宋体" w:hAnsi="宋体"/>
        </w:rPr>
      </w:pPr>
      <w:r>
        <w:rPr>
          <w:rFonts w:ascii="宋体" w:hAnsi="宋体"/>
        </w:rPr>
        <w:t>2003年至2010年，南雄市抓住水利大发展的机遇，争取中央和省在水利水电项目和资金上的支持。根据南雄水利发展面临的机遇和挑战，分析全市社会经济发展和实施可持续发展战略对水利建设与管理的要求，明确水利建设目标。一是开展中型水库除险加固与城市防洪堤建设城乡防灾减灾工程；二是落实小型水库除险加固建设议案和病险小型水库除险加固工程；三是抓好农村机电排灌技改扩容工作；四是解决农村饮水安全问题；五是推进水利移民工作；六是有序推进依法治水；七是突破水利体制改革和管理工作。</w:t>
      </w:r>
    </w:p>
    <w:p w14:paraId="3721D689">
      <w:pPr>
        <w:ind w:firstLine="420"/>
        <w:rPr>
          <w:rFonts w:ascii="宋体" w:hAnsi="宋体"/>
        </w:rPr>
      </w:pPr>
      <w:r>
        <w:rPr>
          <w:rFonts w:ascii="宋体" w:hAnsi="宋体"/>
        </w:rPr>
        <w:t>2003年至2010年，全市完成水利总投资3.46亿元，其中重点工程投资3.34亿元，创历史新高，且呈现逐年递增的良好势头，完成5宗城乡防灾减灾工程、69宗小型水库出险加固工程、25宗农村饮水安全工程建设和验收任务，随着这批工程的建成运用，市水利防灾减灾工程体系基本建成。新增蓄水库容560万立方米，水电总装机88690千瓦，完成农村机电排灌议案工程19宗，建成城区防洪堤27.8公里，新增、改善和恢复农田灌溉3.2万亩，新增节水灌溉面积0.63万亩，解决农村饮水不安全人口5.4万人，实施完成17个移民村，全面完成2009年度水库移民后期扶持直补资金的发放，并做好2010年度直补资金发放的准备工作。</w:t>
      </w:r>
    </w:p>
    <w:p w14:paraId="5F9A40E4">
      <w:pPr>
        <w:pStyle w:val="4"/>
      </w:pPr>
      <w:r>
        <w:t>【机构设置】</w:t>
      </w:r>
    </w:p>
    <w:p w14:paraId="662FCD62">
      <w:pPr>
        <w:ind w:firstLine="420"/>
        <w:rPr>
          <w:rFonts w:ascii="宋体" w:hAnsi="宋体"/>
        </w:rPr>
      </w:pPr>
      <w:r>
        <w:rPr>
          <w:rFonts w:ascii="宋体" w:hAnsi="宋体"/>
        </w:rPr>
        <w:t>2003年，水利局设6股1室。即：人事股、办公室、计财股、工管股、水利股、机电股和水政股，有行政编制20名，后勤编制2名，市三防办公室、市水库移民办公室仍设在水利局。局保留设计室，不占用行政编制人员名额。成立“南雄市河堤管理处”（股级），负责市区城区防洪堤的管理工作。局下属单位有：小水电公司（副科级）、瀑布、苍石、瀑布、中坪和帽子峰电站，孔江、横江、宝江、大源、乌坭、蛇岭等水库，瀑布灌区、中坪灌区、机电排灌总站、水电车队、物资技术服务公司、水利综合服务公司、水电安装服务公司等20基层单位。2008年7月，韶关市人事局批准局下属事业单位南雄市水政监察大队为第三批参照公务员法管理的事业单位。</w:t>
      </w:r>
    </w:p>
    <w:p w14:paraId="7597D469">
      <w:pPr>
        <w:ind w:firstLine="420"/>
        <w:rPr>
          <w:rFonts w:ascii="宋体" w:hAnsi="宋体"/>
        </w:rPr>
      </w:pPr>
      <w:r>
        <w:rPr>
          <w:rFonts w:ascii="宋体" w:hAnsi="宋体"/>
        </w:rPr>
        <w:t>2008年11月，市编委同意将市防汛防旱防风指挥部办公室、市移民办公室分别作为局内设机构。收回市防汛防旱防风指挥部办公室原有事业编制3名，收回市移民办公室原事业编制2名，增加市水利局行政编制4名（三防办2名，移民办2名），增编制后市水利局行政编制共24名，后勤编制2名。</w:t>
      </w:r>
    </w:p>
    <w:p w14:paraId="1CAC1257">
      <w:pPr>
        <w:ind w:firstLine="420"/>
        <w:rPr>
          <w:rFonts w:ascii="宋体" w:hAnsi="宋体"/>
        </w:rPr>
      </w:pPr>
      <w:r>
        <w:rPr>
          <w:rFonts w:ascii="宋体" w:hAnsi="宋体"/>
        </w:rPr>
        <w:t>2010年8月，市政府办根据市编委关于政府机构改革文件精神同意“南雄市水利局”更名为“南雄市水务局”，设立10个股（室）。即：办公室、人事监察股、水政股、规划计划股、建设与管理股、农水和水资源管理股、财务审计股、农电管理股、防汛防旱防风指挥部办公室、水库移民办公室。</w:t>
      </w:r>
    </w:p>
    <w:p w14:paraId="1654593A">
      <w:pPr>
        <w:pStyle w:val="4"/>
      </w:pPr>
      <w:r>
        <w:t>【水利工程】</w:t>
      </w:r>
    </w:p>
    <w:p w14:paraId="33768CC2">
      <w:pPr>
        <w:ind w:firstLine="420"/>
        <w:rPr>
          <w:rFonts w:ascii="宋体" w:hAnsi="宋体"/>
        </w:rPr>
      </w:pPr>
      <w:r>
        <w:rPr>
          <w:rFonts w:ascii="宋体" w:hAnsi="宋体"/>
        </w:rPr>
        <w:t>2003年至2010年，全市5宗城乡防灾减灾工程，包括1宗防洪工程、4宗中型水库除险加固工程，总投资1.885亿元，72宗小型水库除险加固工程，总投资8618万元。</w:t>
      </w:r>
    </w:p>
    <w:p w14:paraId="2CE49454">
      <w:pPr>
        <w:ind w:firstLine="420"/>
        <w:rPr>
          <w:rFonts w:ascii="宋体" w:hAnsi="宋体"/>
        </w:rPr>
      </w:pPr>
      <w:r>
        <w:rPr>
          <w:rFonts w:ascii="宋体" w:hAnsi="宋体"/>
        </w:rPr>
        <w:t>南雄市浈江防洪堤工程项目经省计委粤计农（1999）095号文批复同意立项，省水利厅粤水基（1999）115号文批复工程初步设计，核定概算8544.56万元。工程1998年开工建设，2003年被列入省城乡水利防灾减灾工程建设项目，2009年10月竣工。</w:t>
      </w:r>
    </w:p>
    <w:p w14:paraId="10029247">
      <w:pPr>
        <w:ind w:firstLine="420"/>
        <w:rPr>
          <w:rFonts w:ascii="宋体" w:hAnsi="宋体"/>
        </w:rPr>
      </w:pPr>
      <w:r>
        <w:rPr>
          <w:rFonts w:ascii="宋体" w:hAnsi="宋体"/>
        </w:rPr>
        <w:t>中坪水库除险加固工程项目经省水利厅粤水基〔1998〕114号文批复《关于南雄市中坪水库除险加固工程补充初步设计的批复》，工程总投资1566.42万元。工程2005年6月1日开工，2006年12月10日完成水库主体工程，现整个工程项目完工。</w:t>
      </w:r>
    </w:p>
    <w:p w14:paraId="733C88C1">
      <w:pPr>
        <w:ind w:firstLine="420"/>
        <w:rPr>
          <w:rFonts w:ascii="宋体" w:hAnsi="宋体"/>
        </w:rPr>
      </w:pPr>
      <w:r>
        <w:rPr>
          <w:rFonts w:ascii="宋体" w:hAnsi="宋体"/>
        </w:rPr>
        <w:t>孔江水库除险加固工程项目经省水利厅粤水基〔2004〕45号文批复工程初步设计报告，工程总投资2007.88万元。经省水利厅粤水基〔2005〕57号文同意，工程2005年10月10日开工，2008年12月6日完工。</w:t>
      </w:r>
    </w:p>
    <w:p w14:paraId="1B5784C8">
      <w:pPr>
        <w:ind w:firstLine="420"/>
        <w:rPr>
          <w:rFonts w:ascii="宋体" w:hAnsi="宋体"/>
        </w:rPr>
      </w:pPr>
      <w:r>
        <w:rPr>
          <w:rFonts w:ascii="宋体" w:hAnsi="宋体"/>
        </w:rPr>
        <w:t>瀑布水库除险加固工程项目经省水利厅粤水基〔2006〕72号文批复《南雄市瀑布水库除险加固工程补充初步设计报告》，工程总投资4308.43万元。经省水利厅粤水基〔2006〕85号文同意，工程2006年12月20日开工，2010年8月完工。</w:t>
      </w:r>
    </w:p>
    <w:p w14:paraId="30242E30">
      <w:pPr>
        <w:ind w:firstLine="420"/>
        <w:rPr>
          <w:rFonts w:ascii="宋体" w:hAnsi="宋体"/>
        </w:rPr>
      </w:pPr>
      <w:r>
        <w:rPr>
          <w:rFonts w:ascii="宋体" w:hAnsi="宋体"/>
        </w:rPr>
        <w:t>宝江水库除险加固工程总投资2428.32万元，省级水利投资补助1935万元，工程2009年3月17日开工，2010年12月15日完工。</w:t>
      </w:r>
    </w:p>
    <w:p w14:paraId="73C28DCE">
      <w:pPr>
        <w:ind w:firstLine="422"/>
        <w:jc w:val="center"/>
        <w:rPr>
          <w:rFonts w:ascii="宋体" w:hAnsi="宋体"/>
          <w:b/>
        </w:rPr>
      </w:pPr>
      <w:commentRangeStart w:id="15"/>
      <w:r>
        <w:rPr>
          <w:rFonts w:hint="eastAsia" w:ascii="宋体" w:hAnsi="宋体"/>
          <w:b/>
        </w:rPr>
        <w:t>表17-1  南雄市大中型水库特性表</w:t>
      </w:r>
      <w:commentRangeEnd w:id="15"/>
      <w:r>
        <w:rPr>
          <w:rStyle w:val="12"/>
        </w:rPr>
        <w:commentReference w:id="15"/>
      </w: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1"/>
        <w:gridCol w:w="643"/>
        <w:gridCol w:w="878"/>
        <w:gridCol w:w="916"/>
        <w:gridCol w:w="917"/>
        <w:gridCol w:w="1040"/>
        <w:gridCol w:w="917"/>
        <w:gridCol w:w="875"/>
        <w:gridCol w:w="879"/>
        <w:gridCol w:w="917"/>
        <w:gridCol w:w="879"/>
      </w:tblGrid>
      <w:tr w14:paraId="589B9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553" w:type="pct"/>
            <w:vMerge w:val="restart"/>
            <w:vAlign w:val="center"/>
          </w:tcPr>
          <w:p w14:paraId="3D0108FD">
            <w:pPr>
              <w:pStyle w:val="13"/>
              <w:jc w:val="center"/>
              <w:rPr>
                <w:rFonts w:hint="eastAsia"/>
                <w:b/>
              </w:rPr>
            </w:pPr>
            <w:r>
              <w:rPr>
                <w:rFonts w:hint="eastAsia"/>
                <w:b/>
              </w:rPr>
              <w:t>水库</w:t>
            </w:r>
          </w:p>
          <w:p w14:paraId="24767EF1">
            <w:pPr>
              <w:pStyle w:val="13"/>
              <w:jc w:val="center"/>
              <w:rPr>
                <w:rFonts w:hint="eastAsia"/>
                <w:b/>
              </w:rPr>
            </w:pPr>
            <w:r>
              <w:rPr>
                <w:rFonts w:hint="eastAsia"/>
                <w:b/>
              </w:rPr>
              <w:t>名称</w:t>
            </w:r>
          </w:p>
        </w:tc>
        <w:tc>
          <w:tcPr>
            <w:tcW w:w="323" w:type="pct"/>
            <w:vMerge w:val="restart"/>
            <w:vAlign w:val="center"/>
          </w:tcPr>
          <w:p w14:paraId="14293249">
            <w:pPr>
              <w:pStyle w:val="13"/>
              <w:jc w:val="center"/>
              <w:rPr>
                <w:rFonts w:hint="eastAsia"/>
                <w:b/>
              </w:rPr>
            </w:pPr>
            <w:r>
              <w:rPr>
                <w:rFonts w:hint="eastAsia"/>
                <w:b/>
              </w:rPr>
              <w:t>所在</w:t>
            </w:r>
          </w:p>
          <w:p w14:paraId="06552E8C">
            <w:pPr>
              <w:pStyle w:val="13"/>
              <w:jc w:val="center"/>
              <w:rPr>
                <w:rFonts w:hint="eastAsia"/>
                <w:b/>
              </w:rPr>
            </w:pPr>
            <w:r>
              <w:rPr>
                <w:rFonts w:hint="eastAsia"/>
                <w:b/>
              </w:rPr>
              <w:t>河流</w:t>
            </w:r>
          </w:p>
        </w:tc>
        <w:tc>
          <w:tcPr>
            <w:tcW w:w="441" w:type="pct"/>
            <w:vMerge w:val="restart"/>
            <w:vAlign w:val="center"/>
          </w:tcPr>
          <w:p w14:paraId="077CAD89">
            <w:pPr>
              <w:pStyle w:val="13"/>
              <w:jc w:val="center"/>
              <w:rPr>
                <w:rFonts w:hint="eastAsia"/>
                <w:b/>
              </w:rPr>
            </w:pPr>
            <w:r>
              <w:rPr>
                <w:rFonts w:hint="eastAsia"/>
                <w:b/>
              </w:rPr>
              <w:t>集雨</w:t>
            </w:r>
          </w:p>
          <w:p w14:paraId="1FFC9F38">
            <w:pPr>
              <w:pStyle w:val="13"/>
              <w:jc w:val="center"/>
              <w:rPr>
                <w:rFonts w:hint="eastAsia"/>
                <w:b/>
              </w:rPr>
            </w:pPr>
            <w:r>
              <w:rPr>
                <w:rFonts w:hint="eastAsia"/>
                <w:b/>
              </w:rPr>
              <w:t>面积(km</w:t>
            </w:r>
            <w:r>
              <w:rPr>
                <w:rFonts w:hint="eastAsia"/>
                <w:b/>
                <w:vertAlign w:val="superscript"/>
              </w:rPr>
              <w:t>3</w:t>
            </w:r>
            <w:r>
              <w:rPr>
                <w:rFonts w:hint="eastAsia"/>
                <w:b/>
              </w:rPr>
              <w:t>)</w:t>
            </w:r>
          </w:p>
        </w:tc>
        <w:tc>
          <w:tcPr>
            <w:tcW w:w="460" w:type="pct"/>
            <w:vMerge w:val="restart"/>
            <w:vAlign w:val="center"/>
          </w:tcPr>
          <w:p w14:paraId="6C995813">
            <w:pPr>
              <w:pStyle w:val="13"/>
              <w:jc w:val="center"/>
              <w:rPr>
                <w:rFonts w:hint="eastAsia"/>
                <w:b/>
              </w:rPr>
            </w:pPr>
            <w:r>
              <w:rPr>
                <w:rFonts w:hint="eastAsia"/>
                <w:b/>
              </w:rPr>
              <w:t>总库容(亿m</w:t>
            </w:r>
            <w:r>
              <w:rPr>
                <w:rFonts w:hint="eastAsia"/>
                <w:b/>
                <w:vertAlign w:val="superscript"/>
              </w:rPr>
              <w:t>3</w:t>
            </w:r>
            <w:r>
              <w:rPr>
                <w:rFonts w:hint="eastAsia"/>
                <w:b/>
              </w:rPr>
              <w:t>)</w:t>
            </w:r>
          </w:p>
        </w:tc>
        <w:tc>
          <w:tcPr>
            <w:tcW w:w="460" w:type="pct"/>
            <w:vMerge w:val="restart"/>
            <w:vAlign w:val="center"/>
          </w:tcPr>
          <w:p w14:paraId="38B914EB">
            <w:pPr>
              <w:pStyle w:val="13"/>
              <w:jc w:val="center"/>
              <w:rPr>
                <w:rFonts w:hint="eastAsia"/>
                <w:b/>
              </w:rPr>
            </w:pPr>
            <w:r>
              <w:rPr>
                <w:rFonts w:hint="eastAsia"/>
                <w:b/>
              </w:rPr>
              <w:t>防洪</w:t>
            </w:r>
          </w:p>
          <w:p w14:paraId="51BAC62B">
            <w:pPr>
              <w:pStyle w:val="13"/>
              <w:jc w:val="center"/>
              <w:rPr>
                <w:rFonts w:hint="eastAsia"/>
                <w:b/>
              </w:rPr>
            </w:pPr>
            <w:r>
              <w:rPr>
                <w:rFonts w:hint="eastAsia"/>
                <w:b/>
              </w:rPr>
              <w:t>库容</w:t>
            </w:r>
          </w:p>
          <w:p w14:paraId="23889299">
            <w:pPr>
              <w:pStyle w:val="13"/>
              <w:jc w:val="center"/>
              <w:rPr>
                <w:rFonts w:hint="eastAsia"/>
                <w:b/>
              </w:rPr>
            </w:pPr>
            <w:r>
              <w:rPr>
                <w:rFonts w:hint="eastAsia"/>
                <w:b/>
              </w:rPr>
              <w:t>(亿m</w:t>
            </w:r>
            <w:r>
              <w:rPr>
                <w:rFonts w:hint="eastAsia"/>
                <w:b/>
                <w:vertAlign w:val="superscript"/>
              </w:rPr>
              <w:t>3</w:t>
            </w:r>
            <w:r>
              <w:rPr>
                <w:rFonts w:hint="eastAsia"/>
                <w:b/>
              </w:rPr>
              <w:t>)</w:t>
            </w:r>
          </w:p>
        </w:tc>
        <w:tc>
          <w:tcPr>
            <w:tcW w:w="522" w:type="pct"/>
            <w:vMerge w:val="restart"/>
            <w:vAlign w:val="center"/>
          </w:tcPr>
          <w:p w14:paraId="72C0478B">
            <w:pPr>
              <w:pStyle w:val="13"/>
              <w:jc w:val="center"/>
              <w:rPr>
                <w:rFonts w:hint="eastAsia"/>
                <w:b/>
              </w:rPr>
            </w:pPr>
            <w:r>
              <w:rPr>
                <w:rFonts w:hint="eastAsia"/>
                <w:b/>
              </w:rPr>
              <w:t>死水位(万m</w:t>
            </w:r>
            <w:r>
              <w:rPr>
                <w:rFonts w:hint="eastAsia"/>
                <w:b/>
                <w:vertAlign w:val="superscript"/>
              </w:rPr>
              <w:t>3</w:t>
            </w:r>
            <w:r>
              <w:rPr>
                <w:rFonts w:hint="eastAsia"/>
                <w:b/>
              </w:rPr>
              <w:t>)</w:t>
            </w:r>
          </w:p>
        </w:tc>
        <w:tc>
          <w:tcPr>
            <w:tcW w:w="899" w:type="pct"/>
            <w:gridSpan w:val="2"/>
            <w:vAlign w:val="center"/>
          </w:tcPr>
          <w:p w14:paraId="45C8F550">
            <w:pPr>
              <w:pStyle w:val="13"/>
              <w:jc w:val="center"/>
              <w:rPr>
                <w:rFonts w:hint="eastAsia"/>
                <w:b/>
              </w:rPr>
            </w:pPr>
            <w:r>
              <w:rPr>
                <w:rFonts w:hint="eastAsia"/>
                <w:b/>
              </w:rPr>
              <w:t>特征水位</w:t>
            </w:r>
          </w:p>
        </w:tc>
        <w:tc>
          <w:tcPr>
            <w:tcW w:w="1342" w:type="pct"/>
            <w:gridSpan w:val="3"/>
            <w:vAlign w:val="center"/>
          </w:tcPr>
          <w:p w14:paraId="6301AC5D">
            <w:pPr>
              <w:pStyle w:val="13"/>
              <w:jc w:val="center"/>
              <w:rPr>
                <w:rFonts w:hint="eastAsia"/>
                <w:b/>
              </w:rPr>
            </w:pPr>
            <w:r>
              <w:rPr>
                <w:rFonts w:hint="eastAsia"/>
                <w:b/>
              </w:rPr>
              <w:t>主  坝</w:t>
            </w:r>
          </w:p>
        </w:tc>
      </w:tr>
      <w:tr w14:paraId="7FC120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553" w:type="pct"/>
            <w:vMerge w:val="continue"/>
            <w:vAlign w:val="center"/>
          </w:tcPr>
          <w:p w14:paraId="7F13092B">
            <w:pPr>
              <w:pStyle w:val="13"/>
              <w:jc w:val="center"/>
              <w:rPr>
                <w:rFonts w:hint="eastAsia"/>
                <w:b/>
              </w:rPr>
            </w:pPr>
          </w:p>
        </w:tc>
        <w:tc>
          <w:tcPr>
            <w:tcW w:w="323" w:type="pct"/>
            <w:vMerge w:val="continue"/>
            <w:vAlign w:val="center"/>
          </w:tcPr>
          <w:p w14:paraId="33DA3775">
            <w:pPr>
              <w:pStyle w:val="13"/>
              <w:jc w:val="center"/>
              <w:rPr>
                <w:rFonts w:hint="eastAsia"/>
                <w:b/>
              </w:rPr>
            </w:pPr>
          </w:p>
        </w:tc>
        <w:tc>
          <w:tcPr>
            <w:tcW w:w="441" w:type="pct"/>
            <w:vMerge w:val="continue"/>
            <w:vAlign w:val="center"/>
          </w:tcPr>
          <w:p w14:paraId="3EA33791">
            <w:pPr>
              <w:pStyle w:val="13"/>
              <w:jc w:val="center"/>
              <w:rPr>
                <w:rFonts w:hint="eastAsia"/>
                <w:b/>
              </w:rPr>
            </w:pPr>
          </w:p>
        </w:tc>
        <w:tc>
          <w:tcPr>
            <w:tcW w:w="460" w:type="pct"/>
            <w:vMerge w:val="continue"/>
            <w:vAlign w:val="center"/>
          </w:tcPr>
          <w:p w14:paraId="1BBC92A0">
            <w:pPr>
              <w:pStyle w:val="13"/>
              <w:jc w:val="center"/>
              <w:rPr>
                <w:rFonts w:hint="eastAsia"/>
                <w:b/>
              </w:rPr>
            </w:pPr>
          </w:p>
        </w:tc>
        <w:tc>
          <w:tcPr>
            <w:tcW w:w="460" w:type="pct"/>
            <w:vMerge w:val="continue"/>
            <w:vAlign w:val="center"/>
          </w:tcPr>
          <w:p w14:paraId="0EBD1FAF">
            <w:pPr>
              <w:pStyle w:val="13"/>
              <w:jc w:val="center"/>
              <w:rPr>
                <w:rFonts w:hint="eastAsia"/>
                <w:b/>
              </w:rPr>
            </w:pPr>
          </w:p>
        </w:tc>
        <w:tc>
          <w:tcPr>
            <w:tcW w:w="522" w:type="pct"/>
            <w:vMerge w:val="continue"/>
            <w:vAlign w:val="center"/>
          </w:tcPr>
          <w:p w14:paraId="15A59A45">
            <w:pPr>
              <w:pStyle w:val="13"/>
              <w:jc w:val="center"/>
              <w:rPr>
                <w:rFonts w:hint="eastAsia"/>
                <w:b/>
              </w:rPr>
            </w:pPr>
          </w:p>
        </w:tc>
        <w:tc>
          <w:tcPr>
            <w:tcW w:w="460" w:type="pct"/>
            <w:vAlign w:val="center"/>
          </w:tcPr>
          <w:p w14:paraId="0E2020A2">
            <w:pPr>
              <w:pStyle w:val="13"/>
              <w:jc w:val="center"/>
              <w:rPr>
                <w:rFonts w:hint="eastAsia"/>
                <w:b/>
              </w:rPr>
            </w:pPr>
            <w:r>
              <w:rPr>
                <w:rFonts w:hint="eastAsia"/>
                <w:b/>
              </w:rPr>
              <w:t>死库容(万m</w:t>
            </w:r>
            <w:r>
              <w:rPr>
                <w:rFonts w:hint="eastAsia"/>
                <w:b/>
                <w:vertAlign w:val="superscript"/>
              </w:rPr>
              <w:t>3</w:t>
            </w:r>
            <w:r>
              <w:rPr>
                <w:rFonts w:hint="eastAsia"/>
                <w:b/>
              </w:rPr>
              <w:t>)</w:t>
            </w:r>
          </w:p>
        </w:tc>
        <w:tc>
          <w:tcPr>
            <w:tcW w:w="439" w:type="pct"/>
            <w:vAlign w:val="center"/>
          </w:tcPr>
          <w:p w14:paraId="13FE7CA3">
            <w:pPr>
              <w:pStyle w:val="13"/>
              <w:jc w:val="center"/>
              <w:rPr>
                <w:rFonts w:hint="eastAsia"/>
                <w:b/>
              </w:rPr>
            </w:pPr>
            <w:r>
              <w:rPr>
                <w:rFonts w:hint="eastAsia"/>
                <w:b/>
              </w:rPr>
              <w:t>坝型</w:t>
            </w:r>
          </w:p>
        </w:tc>
        <w:tc>
          <w:tcPr>
            <w:tcW w:w="441" w:type="pct"/>
            <w:vAlign w:val="center"/>
          </w:tcPr>
          <w:p w14:paraId="48C867B4">
            <w:pPr>
              <w:pStyle w:val="13"/>
              <w:jc w:val="center"/>
              <w:rPr>
                <w:rFonts w:hint="eastAsia"/>
                <w:b/>
              </w:rPr>
            </w:pPr>
            <w:r>
              <w:rPr>
                <w:rFonts w:hint="eastAsia"/>
                <w:b/>
              </w:rPr>
              <w:t>最大坝高(m)</w:t>
            </w:r>
          </w:p>
        </w:tc>
        <w:tc>
          <w:tcPr>
            <w:tcW w:w="460" w:type="pct"/>
            <w:vAlign w:val="center"/>
          </w:tcPr>
          <w:p w14:paraId="23E4BD73">
            <w:pPr>
              <w:pStyle w:val="13"/>
              <w:jc w:val="center"/>
              <w:rPr>
                <w:rFonts w:hint="eastAsia"/>
                <w:b/>
              </w:rPr>
            </w:pPr>
            <w:r>
              <w:rPr>
                <w:rFonts w:hint="eastAsia"/>
                <w:b/>
              </w:rPr>
              <w:t>坝顶高程(m)</w:t>
            </w:r>
          </w:p>
        </w:tc>
        <w:tc>
          <w:tcPr>
            <w:tcW w:w="440" w:type="pct"/>
            <w:vAlign w:val="center"/>
          </w:tcPr>
          <w:p w14:paraId="1C85DB25">
            <w:pPr>
              <w:pStyle w:val="13"/>
              <w:jc w:val="center"/>
              <w:rPr>
                <w:rFonts w:hint="eastAsia"/>
                <w:b/>
              </w:rPr>
            </w:pPr>
            <w:r>
              <w:rPr>
                <w:rFonts w:hint="eastAsia"/>
                <w:b/>
              </w:rPr>
              <w:t>坝顶长度(m)</w:t>
            </w:r>
          </w:p>
        </w:tc>
      </w:tr>
      <w:tr w14:paraId="0F3BA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3" w:type="pct"/>
            <w:vAlign w:val="center"/>
          </w:tcPr>
          <w:p w14:paraId="2B2680FE">
            <w:pPr>
              <w:pStyle w:val="13"/>
              <w:jc w:val="center"/>
              <w:rPr>
                <w:rFonts w:hint="eastAsia"/>
              </w:rPr>
            </w:pPr>
            <w:r>
              <w:rPr>
                <w:rFonts w:hint="eastAsia"/>
              </w:rPr>
              <w:t>孔江水库</w:t>
            </w:r>
          </w:p>
        </w:tc>
        <w:tc>
          <w:tcPr>
            <w:tcW w:w="323" w:type="pct"/>
            <w:vAlign w:val="center"/>
          </w:tcPr>
          <w:p w14:paraId="02A9A1DE">
            <w:pPr>
              <w:pStyle w:val="13"/>
              <w:jc w:val="center"/>
              <w:rPr>
                <w:rFonts w:hint="eastAsia"/>
              </w:rPr>
            </w:pPr>
            <w:r>
              <w:rPr>
                <w:rFonts w:hint="eastAsia"/>
              </w:rPr>
              <w:t>北江</w:t>
            </w:r>
          </w:p>
        </w:tc>
        <w:tc>
          <w:tcPr>
            <w:tcW w:w="441" w:type="pct"/>
            <w:vAlign w:val="center"/>
          </w:tcPr>
          <w:p w14:paraId="69A7CF1C">
            <w:pPr>
              <w:pStyle w:val="13"/>
              <w:jc w:val="center"/>
              <w:rPr>
                <w:rFonts w:hint="eastAsia"/>
              </w:rPr>
            </w:pPr>
            <w:r>
              <w:rPr>
                <w:rFonts w:hint="eastAsia"/>
              </w:rPr>
              <w:t>79.4</w:t>
            </w:r>
          </w:p>
        </w:tc>
        <w:tc>
          <w:tcPr>
            <w:tcW w:w="460" w:type="pct"/>
            <w:vAlign w:val="center"/>
          </w:tcPr>
          <w:p w14:paraId="35787C76">
            <w:pPr>
              <w:pStyle w:val="13"/>
              <w:jc w:val="center"/>
              <w:rPr>
                <w:rFonts w:hint="eastAsia"/>
              </w:rPr>
            </w:pPr>
            <w:r>
              <w:rPr>
                <w:rFonts w:hint="eastAsia"/>
              </w:rPr>
              <w:t>0.6522</w:t>
            </w:r>
          </w:p>
        </w:tc>
        <w:tc>
          <w:tcPr>
            <w:tcW w:w="460" w:type="pct"/>
            <w:vAlign w:val="center"/>
          </w:tcPr>
          <w:p w14:paraId="2BE4C9D9">
            <w:pPr>
              <w:pStyle w:val="13"/>
              <w:jc w:val="center"/>
              <w:rPr>
                <w:rFonts w:hint="eastAsia"/>
              </w:rPr>
            </w:pPr>
            <w:r>
              <w:rPr>
                <w:rFonts w:hint="eastAsia"/>
              </w:rPr>
              <w:t>0.166</w:t>
            </w:r>
          </w:p>
        </w:tc>
        <w:tc>
          <w:tcPr>
            <w:tcW w:w="522" w:type="pct"/>
            <w:vAlign w:val="center"/>
          </w:tcPr>
          <w:p w14:paraId="0C1579FE">
            <w:pPr>
              <w:pStyle w:val="13"/>
              <w:jc w:val="center"/>
              <w:rPr>
                <w:rFonts w:hint="eastAsia"/>
              </w:rPr>
            </w:pPr>
            <w:r>
              <w:rPr>
                <w:rFonts w:hint="eastAsia"/>
              </w:rPr>
              <w:t>186.5</w:t>
            </w:r>
          </w:p>
        </w:tc>
        <w:tc>
          <w:tcPr>
            <w:tcW w:w="460" w:type="pct"/>
            <w:vAlign w:val="center"/>
          </w:tcPr>
          <w:p w14:paraId="267BCB3F">
            <w:pPr>
              <w:pStyle w:val="13"/>
              <w:jc w:val="center"/>
              <w:rPr>
                <w:rFonts w:hint="eastAsia"/>
              </w:rPr>
            </w:pPr>
            <w:r>
              <w:rPr>
                <w:rFonts w:hint="eastAsia"/>
              </w:rPr>
              <w:t>0.183</w:t>
            </w:r>
          </w:p>
        </w:tc>
        <w:tc>
          <w:tcPr>
            <w:tcW w:w="439" w:type="pct"/>
            <w:vAlign w:val="center"/>
          </w:tcPr>
          <w:p w14:paraId="1B986E36">
            <w:pPr>
              <w:pStyle w:val="13"/>
              <w:jc w:val="center"/>
              <w:rPr>
                <w:rFonts w:hint="eastAsia"/>
              </w:rPr>
            </w:pPr>
            <w:r>
              <w:rPr>
                <w:rFonts w:hint="eastAsia"/>
              </w:rPr>
              <w:t>土石坝</w:t>
            </w:r>
          </w:p>
        </w:tc>
        <w:tc>
          <w:tcPr>
            <w:tcW w:w="441" w:type="pct"/>
            <w:vAlign w:val="center"/>
          </w:tcPr>
          <w:p w14:paraId="3AF56390">
            <w:pPr>
              <w:pStyle w:val="13"/>
              <w:jc w:val="center"/>
              <w:rPr>
                <w:rFonts w:hint="eastAsia"/>
              </w:rPr>
            </w:pPr>
            <w:r>
              <w:rPr>
                <w:rFonts w:hint="eastAsia"/>
              </w:rPr>
              <w:t>27.94</w:t>
            </w:r>
          </w:p>
        </w:tc>
        <w:tc>
          <w:tcPr>
            <w:tcW w:w="460" w:type="pct"/>
            <w:vAlign w:val="center"/>
          </w:tcPr>
          <w:p w14:paraId="7257F5EB">
            <w:pPr>
              <w:pStyle w:val="13"/>
              <w:jc w:val="center"/>
              <w:rPr>
                <w:rFonts w:hint="eastAsia"/>
              </w:rPr>
            </w:pPr>
            <w:r>
              <w:rPr>
                <w:rFonts w:hint="eastAsia"/>
              </w:rPr>
              <w:t>197.4</w:t>
            </w:r>
          </w:p>
        </w:tc>
        <w:tc>
          <w:tcPr>
            <w:tcW w:w="440" w:type="pct"/>
            <w:vAlign w:val="center"/>
          </w:tcPr>
          <w:p w14:paraId="4E5DA989">
            <w:pPr>
              <w:pStyle w:val="13"/>
              <w:jc w:val="center"/>
              <w:rPr>
                <w:rFonts w:hint="eastAsia"/>
              </w:rPr>
            </w:pPr>
            <w:r>
              <w:rPr>
                <w:rFonts w:hint="eastAsia"/>
              </w:rPr>
              <w:t>260</w:t>
            </w:r>
          </w:p>
        </w:tc>
      </w:tr>
      <w:tr w14:paraId="6911D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3" w:type="pct"/>
            <w:vAlign w:val="center"/>
          </w:tcPr>
          <w:p w14:paraId="6782107C">
            <w:pPr>
              <w:pStyle w:val="13"/>
              <w:jc w:val="center"/>
              <w:rPr>
                <w:rFonts w:hint="eastAsia"/>
              </w:rPr>
            </w:pPr>
            <w:r>
              <w:rPr>
                <w:rFonts w:hint="eastAsia"/>
              </w:rPr>
              <w:t>瀑布水库</w:t>
            </w:r>
          </w:p>
        </w:tc>
        <w:tc>
          <w:tcPr>
            <w:tcW w:w="323" w:type="pct"/>
            <w:vAlign w:val="center"/>
          </w:tcPr>
          <w:p w14:paraId="21D1CEE3">
            <w:pPr>
              <w:pStyle w:val="13"/>
              <w:jc w:val="center"/>
              <w:rPr>
                <w:rFonts w:hint="eastAsia"/>
              </w:rPr>
            </w:pPr>
            <w:r>
              <w:rPr>
                <w:rFonts w:hint="eastAsia"/>
              </w:rPr>
              <w:t>北江</w:t>
            </w:r>
          </w:p>
        </w:tc>
        <w:tc>
          <w:tcPr>
            <w:tcW w:w="441" w:type="pct"/>
            <w:vAlign w:val="center"/>
          </w:tcPr>
          <w:p w14:paraId="424ECFE9">
            <w:pPr>
              <w:pStyle w:val="13"/>
              <w:jc w:val="center"/>
              <w:rPr>
                <w:rFonts w:hint="eastAsia"/>
              </w:rPr>
            </w:pPr>
            <w:r>
              <w:rPr>
                <w:rFonts w:hint="eastAsia"/>
              </w:rPr>
              <w:t>76</w:t>
            </w:r>
          </w:p>
        </w:tc>
        <w:tc>
          <w:tcPr>
            <w:tcW w:w="460" w:type="pct"/>
            <w:vAlign w:val="center"/>
          </w:tcPr>
          <w:p w14:paraId="0F6526A3">
            <w:pPr>
              <w:pStyle w:val="13"/>
              <w:jc w:val="center"/>
              <w:rPr>
                <w:rFonts w:hint="eastAsia"/>
              </w:rPr>
            </w:pPr>
            <w:r>
              <w:rPr>
                <w:rFonts w:hint="eastAsia"/>
              </w:rPr>
              <w:t>0.3317</w:t>
            </w:r>
          </w:p>
        </w:tc>
        <w:tc>
          <w:tcPr>
            <w:tcW w:w="460" w:type="pct"/>
            <w:vAlign w:val="center"/>
          </w:tcPr>
          <w:p w14:paraId="6BD589D5">
            <w:pPr>
              <w:pStyle w:val="13"/>
              <w:jc w:val="center"/>
              <w:rPr>
                <w:rFonts w:hint="eastAsia"/>
              </w:rPr>
            </w:pPr>
            <w:r>
              <w:rPr>
                <w:rFonts w:hint="eastAsia"/>
              </w:rPr>
              <w:t>0.0747</w:t>
            </w:r>
          </w:p>
        </w:tc>
        <w:tc>
          <w:tcPr>
            <w:tcW w:w="522" w:type="pct"/>
            <w:vAlign w:val="center"/>
          </w:tcPr>
          <w:p w14:paraId="278E52AA">
            <w:pPr>
              <w:pStyle w:val="13"/>
              <w:jc w:val="center"/>
              <w:rPr>
                <w:rFonts w:hint="eastAsia"/>
              </w:rPr>
            </w:pPr>
            <w:r>
              <w:rPr>
                <w:rFonts w:hint="eastAsia"/>
              </w:rPr>
              <w:t>323</w:t>
            </w:r>
          </w:p>
        </w:tc>
        <w:tc>
          <w:tcPr>
            <w:tcW w:w="460" w:type="pct"/>
            <w:vAlign w:val="center"/>
          </w:tcPr>
          <w:p w14:paraId="0126923D">
            <w:pPr>
              <w:pStyle w:val="13"/>
              <w:jc w:val="center"/>
              <w:rPr>
                <w:rFonts w:hint="eastAsia"/>
              </w:rPr>
            </w:pPr>
            <w:r>
              <w:rPr>
                <w:rFonts w:hint="eastAsia"/>
              </w:rPr>
              <w:t>0.0256</w:t>
            </w:r>
          </w:p>
        </w:tc>
        <w:tc>
          <w:tcPr>
            <w:tcW w:w="439" w:type="pct"/>
            <w:vAlign w:val="center"/>
          </w:tcPr>
          <w:p w14:paraId="7E046B06">
            <w:pPr>
              <w:pStyle w:val="13"/>
              <w:jc w:val="center"/>
              <w:rPr>
                <w:rFonts w:hint="eastAsia"/>
              </w:rPr>
            </w:pPr>
            <w:r>
              <w:rPr>
                <w:rFonts w:hint="eastAsia"/>
              </w:rPr>
              <w:t>土石坝</w:t>
            </w:r>
          </w:p>
        </w:tc>
        <w:tc>
          <w:tcPr>
            <w:tcW w:w="441" w:type="pct"/>
            <w:vAlign w:val="center"/>
          </w:tcPr>
          <w:p w14:paraId="0CA97748">
            <w:pPr>
              <w:pStyle w:val="13"/>
              <w:jc w:val="center"/>
              <w:rPr>
                <w:rFonts w:hint="eastAsia"/>
              </w:rPr>
            </w:pPr>
            <w:r>
              <w:rPr>
                <w:rFonts w:hint="eastAsia"/>
              </w:rPr>
              <w:t>51</w:t>
            </w:r>
          </w:p>
        </w:tc>
        <w:tc>
          <w:tcPr>
            <w:tcW w:w="460" w:type="pct"/>
            <w:vAlign w:val="center"/>
          </w:tcPr>
          <w:p w14:paraId="36B39A45">
            <w:pPr>
              <w:pStyle w:val="13"/>
              <w:jc w:val="center"/>
              <w:rPr>
                <w:rFonts w:hint="eastAsia"/>
              </w:rPr>
            </w:pPr>
            <w:r>
              <w:rPr>
                <w:rFonts w:hint="eastAsia"/>
              </w:rPr>
              <w:t>351</w:t>
            </w:r>
          </w:p>
        </w:tc>
        <w:tc>
          <w:tcPr>
            <w:tcW w:w="440" w:type="pct"/>
            <w:vAlign w:val="center"/>
          </w:tcPr>
          <w:p w14:paraId="2FCBDF1F">
            <w:pPr>
              <w:pStyle w:val="13"/>
              <w:jc w:val="center"/>
              <w:rPr>
                <w:rFonts w:hint="eastAsia"/>
              </w:rPr>
            </w:pPr>
            <w:r>
              <w:rPr>
                <w:rFonts w:hint="eastAsia"/>
              </w:rPr>
              <w:t>160</w:t>
            </w:r>
          </w:p>
        </w:tc>
      </w:tr>
      <w:tr w14:paraId="6EF4E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3" w:type="pct"/>
            <w:vAlign w:val="center"/>
          </w:tcPr>
          <w:p w14:paraId="0C8D862A">
            <w:pPr>
              <w:pStyle w:val="13"/>
              <w:jc w:val="center"/>
              <w:rPr>
                <w:rFonts w:hint="eastAsia"/>
              </w:rPr>
            </w:pPr>
            <w:r>
              <w:rPr>
                <w:rFonts w:hint="eastAsia"/>
              </w:rPr>
              <w:t>宝江水库</w:t>
            </w:r>
          </w:p>
        </w:tc>
        <w:tc>
          <w:tcPr>
            <w:tcW w:w="323" w:type="pct"/>
            <w:vAlign w:val="center"/>
          </w:tcPr>
          <w:p w14:paraId="1CFAD3E7">
            <w:pPr>
              <w:pStyle w:val="13"/>
              <w:jc w:val="center"/>
              <w:rPr>
                <w:rFonts w:hint="eastAsia"/>
              </w:rPr>
            </w:pPr>
            <w:r>
              <w:rPr>
                <w:rFonts w:hint="eastAsia"/>
              </w:rPr>
              <w:t>北江</w:t>
            </w:r>
          </w:p>
        </w:tc>
        <w:tc>
          <w:tcPr>
            <w:tcW w:w="441" w:type="pct"/>
            <w:vAlign w:val="center"/>
          </w:tcPr>
          <w:p w14:paraId="3CC200DA">
            <w:pPr>
              <w:pStyle w:val="13"/>
              <w:jc w:val="center"/>
              <w:rPr>
                <w:rFonts w:hint="eastAsia"/>
              </w:rPr>
            </w:pPr>
            <w:r>
              <w:rPr>
                <w:rFonts w:hint="eastAsia"/>
              </w:rPr>
              <w:t>48.1</w:t>
            </w:r>
          </w:p>
        </w:tc>
        <w:tc>
          <w:tcPr>
            <w:tcW w:w="460" w:type="pct"/>
            <w:vAlign w:val="center"/>
          </w:tcPr>
          <w:p w14:paraId="77AFDC31">
            <w:pPr>
              <w:pStyle w:val="13"/>
              <w:jc w:val="center"/>
              <w:rPr>
                <w:rFonts w:hint="eastAsia"/>
              </w:rPr>
            </w:pPr>
            <w:r>
              <w:rPr>
                <w:rFonts w:hint="eastAsia"/>
              </w:rPr>
              <w:t>0.2375</w:t>
            </w:r>
          </w:p>
        </w:tc>
        <w:tc>
          <w:tcPr>
            <w:tcW w:w="460" w:type="pct"/>
            <w:vAlign w:val="center"/>
          </w:tcPr>
          <w:p w14:paraId="55621F2B">
            <w:pPr>
              <w:pStyle w:val="13"/>
              <w:jc w:val="center"/>
              <w:rPr>
                <w:rFonts w:hint="eastAsia"/>
              </w:rPr>
            </w:pPr>
            <w:r>
              <w:rPr>
                <w:rFonts w:hint="eastAsia"/>
              </w:rPr>
              <w:t>0.0707</w:t>
            </w:r>
          </w:p>
        </w:tc>
        <w:tc>
          <w:tcPr>
            <w:tcW w:w="522" w:type="pct"/>
            <w:vAlign w:val="center"/>
          </w:tcPr>
          <w:p w14:paraId="5E88EDB9">
            <w:pPr>
              <w:pStyle w:val="13"/>
              <w:jc w:val="center"/>
              <w:rPr>
                <w:rFonts w:hint="eastAsia"/>
              </w:rPr>
            </w:pPr>
            <w:r>
              <w:rPr>
                <w:rFonts w:hint="eastAsia"/>
              </w:rPr>
              <w:t>169.386</w:t>
            </w:r>
          </w:p>
        </w:tc>
        <w:tc>
          <w:tcPr>
            <w:tcW w:w="460" w:type="pct"/>
            <w:vAlign w:val="center"/>
          </w:tcPr>
          <w:p w14:paraId="1BC302C2">
            <w:pPr>
              <w:pStyle w:val="13"/>
              <w:jc w:val="center"/>
              <w:rPr>
                <w:rFonts w:hint="eastAsia"/>
              </w:rPr>
            </w:pPr>
            <w:r>
              <w:rPr>
                <w:rFonts w:hint="eastAsia"/>
              </w:rPr>
              <w:t>0.0043</w:t>
            </w:r>
          </w:p>
        </w:tc>
        <w:tc>
          <w:tcPr>
            <w:tcW w:w="439" w:type="pct"/>
            <w:vAlign w:val="center"/>
          </w:tcPr>
          <w:p w14:paraId="718801F6">
            <w:pPr>
              <w:pStyle w:val="13"/>
              <w:jc w:val="center"/>
              <w:rPr>
                <w:rFonts w:hint="eastAsia"/>
              </w:rPr>
            </w:pPr>
            <w:r>
              <w:rPr>
                <w:rFonts w:hint="eastAsia"/>
              </w:rPr>
              <w:t>土石坝</w:t>
            </w:r>
          </w:p>
        </w:tc>
        <w:tc>
          <w:tcPr>
            <w:tcW w:w="441" w:type="pct"/>
            <w:vAlign w:val="center"/>
          </w:tcPr>
          <w:p w14:paraId="45EFD821">
            <w:pPr>
              <w:pStyle w:val="13"/>
              <w:jc w:val="center"/>
              <w:rPr>
                <w:rFonts w:hint="eastAsia"/>
              </w:rPr>
            </w:pPr>
            <w:r>
              <w:rPr>
                <w:rFonts w:hint="eastAsia"/>
              </w:rPr>
              <w:t>42</w:t>
            </w:r>
          </w:p>
        </w:tc>
        <w:tc>
          <w:tcPr>
            <w:tcW w:w="460" w:type="pct"/>
            <w:vAlign w:val="center"/>
          </w:tcPr>
          <w:p w14:paraId="2C02BA08">
            <w:pPr>
              <w:pStyle w:val="13"/>
              <w:jc w:val="center"/>
              <w:rPr>
                <w:rFonts w:hint="eastAsia"/>
              </w:rPr>
            </w:pPr>
            <w:r>
              <w:rPr>
                <w:rFonts w:hint="eastAsia"/>
              </w:rPr>
              <w:t>202.88</w:t>
            </w:r>
          </w:p>
        </w:tc>
        <w:tc>
          <w:tcPr>
            <w:tcW w:w="440" w:type="pct"/>
            <w:vAlign w:val="center"/>
          </w:tcPr>
          <w:p w14:paraId="336D0B9F">
            <w:pPr>
              <w:pStyle w:val="13"/>
              <w:jc w:val="center"/>
              <w:rPr>
                <w:rFonts w:hint="eastAsia"/>
              </w:rPr>
            </w:pPr>
            <w:r>
              <w:rPr>
                <w:rFonts w:hint="eastAsia"/>
              </w:rPr>
              <w:t>180</w:t>
            </w:r>
          </w:p>
        </w:tc>
      </w:tr>
      <w:tr w14:paraId="42CED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3" w:type="pct"/>
            <w:vAlign w:val="center"/>
          </w:tcPr>
          <w:p w14:paraId="08D157C7">
            <w:pPr>
              <w:pStyle w:val="13"/>
              <w:jc w:val="center"/>
              <w:rPr>
                <w:rFonts w:hint="eastAsia"/>
              </w:rPr>
            </w:pPr>
            <w:r>
              <w:rPr>
                <w:rFonts w:hint="eastAsia"/>
              </w:rPr>
              <w:t>中坪水库</w:t>
            </w:r>
          </w:p>
        </w:tc>
        <w:tc>
          <w:tcPr>
            <w:tcW w:w="323" w:type="pct"/>
            <w:vAlign w:val="center"/>
          </w:tcPr>
          <w:p w14:paraId="69BA7F4C">
            <w:pPr>
              <w:pStyle w:val="13"/>
              <w:jc w:val="center"/>
              <w:rPr>
                <w:rFonts w:hint="eastAsia"/>
              </w:rPr>
            </w:pPr>
            <w:r>
              <w:rPr>
                <w:rFonts w:hint="eastAsia"/>
              </w:rPr>
              <w:t>北江</w:t>
            </w:r>
          </w:p>
        </w:tc>
        <w:tc>
          <w:tcPr>
            <w:tcW w:w="441" w:type="pct"/>
            <w:vAlign w:val="center"/>
          </w:tcPr>
          <w:p w14:paraId="2C2E4E88">
            <w:pPr>
              <w:pStyle w:val="13"/>
              <w:jc w:val="center"/>
              <w:rPr>
                <w:rFonts w:hint="eastAsia"/>
              </w:rPr>
            </w:pPr>
            <w:r>
              <w:rPr>
                <w:rFonts w:hint="eastAsia"/>
              </w:rPr>
              <w:t>26</w:t>
            </w:r>
          </w:p>
        </w:tc>
        <w:tc>
          <w:tcPr>
            <w:tcW w:w="460" w:type="pct"/>
            <w:vAlign w:val="center"/>
          </w:tcPr>
          <w:p w14:paraId="43A2B7AC">
            <w:pPr>
              <w:pStyle w:val="13"/>
              <w:jc w:val="center"/>
              <w:rPr>
                <w:rFonts w:hint="eastAsia"/>
              </w:rPr>
            </w:pPr>
            <w:r>
              <w:rPr>
                <w:rFonts w:hint="eastAsia"/>
              </w:rPr>
              <w:t>0.1709</w:t>
            </w:r>
          </w:p>
        </w:tc>
        <w:tc>
          <w:tcPr>
            <w:tcW w:w="460" w:type="pct"/>
            <w:vAlign w:val="center"/>
          </w:tcPr>
          <w:p w14:paraId="64D49390">
            <w:pPr>
              <w:pStyle w:val="13"/>
              <w:jc w:val="center"/>
              <w:rPr>
                <w:rFonts w:hint="eastAsia"/>
              </w:rPr>
            </w:pPr>
            <w:r>
              <w:rPr>
                <w:rFonts w:hint="eastAsia"/>
              </w:rPr>
              <w:t>0.108</w:t>
            </w:r>
          </w:p>
        </w:tc>
        <w:tc>
          <w:tcPr>
            <w:tcW w:w="522" w:type="pct"/>
            <w:vAlign w:val="center"/>
          </w:tcPr>
          <w:p w14:paraId="7FF5AD84">
            <w:pPr>
              <w:pStyle w:val="13"/>
              <w:jc w:val="center"/>
              <w:rPr>
                <w:rFonts w:hint="eastAsia"/>
              </w:rPr>
            </w:pPr>
            <w:r>
              <w:rPr>
                <w:rFonts w:hint="eastAsia"/>
              </w:rPr>
              <w:t>320.68</w:t>
            </w:r>
          </w:p>
        </w:tc>
        <w:tc>
          <w:tcPr>
            <w:tcW w:w="460" w:type="pct"/>
            <w:vAlign w:val="center"/>
          </w:tcPr>
          <w:p w14:paraId="1B773EFD">
            <w:pPr>
              <w:pStyle w:val="13"/>
              <w:jc w:val="center"/>
              <w:rPr>
                <w:rFonts w:hint="eastAsia"/>
              </w:rPr>
            </w:pPr>
            <w:r>
              <w:rPr>
                <w:rFonts w:hint="eastAsia"/>
              </w:rPr>
              <w:t>0.0012</w:t>
            </w:r>
          </w:p>
        </w:tc>
        <w:tc>
          <w:tcPr>
            <w:tcW w:w="439" w:type="pct"/>
            <w:vAlign w:val="center"/>
          </w:tcPr>
          <w:p w14:paraId="62122092">
            <w:pPr>
              <w:pStyle w:val="13"/>
              <w:jc w:val="center"/>
              <w:rPr>
                <w:rFonts w:hint="eastAsia"/>
              </w:rPr>
            </w:pPr>
            <w:r>
              <w:rPr>
                <w:rFonts w:hint="eastAsia"/>
              </w:rPr>
              <w:t>土石坝</w:t>
            </w:r>
          </w:p>
        </w:tc>
        <w:tc>
          <w:tcPr>
            <w:tcW w:w="441" w:type="pct"/>
            <w:vAlign w:val="center"/>
          </w:tcPr>
          <w:p w14:paraId="5A7B5726">
            <w:pPr>
              <w:pStyle w:val="13"/>
              <w:jc w:val="center"/>
              <w:rPr>
                <w:rFonts w:hint="eastAsia"/>
              </w:rPr>
            </w:pPr>
            <w:r>
              <w:rPr>
                <w:rFonts w:hint="eastAsia"/>
              </w:rPr>
              <w:t>40.84</w:t>
            </w:r>
          </w:p>
        </w:tc>
        <w:tc>
          <w:tcPr>
            <w:tcW w:w="460" w:type="pct"/>
            <w:vAlign w:val="center"/>
          </w:tcPr>
          <w:p w14:paraId="47F66B5A">
            <w:pPr>
              <w:pStyle w:val="13"/>
              <w:jc w:val="center"/>
              <w:rPr>
                <w:rFonts w:hint="eastAsia"/>
              </w:rPr>
            </w:pPr>
            <w:r>
              <w:rPr>
                <w:rFonts w:hint="eastAsia"/>
              </w:rPr>
              <w:t>355.02</w:t>
            </w:r>
          </w:p>
        </w:tc>
        <w:tc>
          <w:tcPr>
            <w:tcW w:w="440" w:type="pct"/>
            <w:vAlign w:val="center"/>
          </w:tcPr>
          <w:p w14:paraId="1090B23B">
            <w:pPr>
              <w:pStyle w:val="13"/>
              <w:jc w:val="center"/>
              <w:rPr>
                <w:rFonts w:hint="eastAsia"/>
              </w:rPr>
            </w:pPr>
            <w:r>
              <w:rPr>
                <w:rFonts w:hint="eastAsia"/>
              </w:rPr>
              <w:t>140</w:t>
            </w:r>
          </w:p>
        </w:tc>
      </w:tr>
      <w:tr w14:paraId="522E7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3" w:type="pct"/>
            <w:vAlign w:val="center"/>
          </w:tcPr>
          <w:p w14:paraId="19EDF484">
            <w:pPr>
              <w:pStyle w:val="13"/>
              <w:jc w:val="center"/>
              <w:rPr>
                <w:rFonts w:hint="eastAsia"/>
              </w:rPr>
            </w:pPr>
            <w:r>
              <w:rPr>
                <w:rFonts w:hint="eastAsia"/>
              </w:rPr>
              <w:t>横江水库</w:t>
            </w:r>
          </w:p>
        </w:tc>
        <w:tc>
          <w:tcPr>
            <w:tcW w:w="323" w:type="pct"/>
            <w:vAlign w:val="center"/>
          </w:tcPr>
          <w:p w14:paraId="312A566F">
            <w:pPr>
              <w:pStyle w:val="13"/>
              <w:jc w:val="center"/>
              <w:rPr>
                <w:rFonts w:hint="eastAsia"/>
              </w:rPr>
            </w:pPr>
            <w:r>
              <w:rPr>
                <w:rFonts w:hint="eastAsia"/>
              </w:rPr>
              <w:t>北江</w:t>
            </w:r>
          </w:p>
        </w:tc>
        <w:tc>
          <w:tcPr>
            <w:tcW w:w="441" w:type="pct"/>
            <w:vAlign w:val="center"/>
          </w:tcPr>
          <w:p w14:paraId="17D48C62">
            <w:pPr>
              <w:pStyle w:val="13"/>
              <w:jc w:val="center"/>
              <w:rPr>
                <w:rFonts w:hint="eastAsia"/>
              </w:rPr>
            </w:pPr>
            <w:r>
              <w:rPr>
                <w:rFonts w:hint="eastAsia"/>
              </w:rPr>
              <w:t>24.25</w:t>
            </w:r>
          </w:p>
        </w:tc>
        <w:tc>
          <w:tcPr>
            <w:tcW w:w="460" w:type="pct"/>
            <w:vAlign w:val="center"/>
          </w:tcPr>
          <w:p w14:paraId="63984994">
            <w:pPr>
              <w:pStyle w:val="13"/>
              <w:jc w:val="center"/>
              <w:rPr>
                <w:rFonts w:hint="eastAsia"/>
              </w:rPr>
            </w:pPr>
            <w:r>
              <w:rPr>
                <w:rFonts w:hint="eastAsia"/>
              </w:rPr>
              <w:t>0.1524</w:t>
            </w:r>
          </w:p>
        </w:tc>
        <w:tc>
          <w:tcPr>
            <w:tcW w:w="460" w:type="pct"/>
            <w:vAlign w:val="center"/>
          </w:tcPr>
          <w:p w14:paraId="6C792869">
            <w:pPr>
              <w:pStyle w:val="13"/>
              <w:jc w:val="center"/>
              <w:rPr>
                <w:rFonts w:hint="eastAsia"/>
              </w:rPr>
            </w:pPr>
            <w:r>
              <w:rPr>
                <w:rFonts w:hint="eastAsia"/>
              </w:rPr>
              <w:t>0.024</w:t>
            </w:r>
          </w:p>
        </w:tc>
        <w:tc>
          <w:tcPr>
            <w:tcW w:w="522" w:type="pct"/>
            <w:vAlign w:val="center"/>
          </w:tcPr>
          <w:p w14:paraId="0196553F">
            <w:pPr>
              <w:pStyle w:val="13"/>
              <w:jc w:val="center"/>
              <w:rPr>
                <w:rFonts w:hint="eastAsia"/>
              </w:rPr>
            </w:pPr>
            <w:r>
              <w:rPr>
                <w:rFonts w:hint="eastAsia"/>
              </w:rPr>
              <w:t>178.01</w:t>
            </w:r>
          </w:p>
        </w:tc>
        <w:tc>
          <w:tcPr>
            <w:tcW w:w="460" w:type="pct"/>
            <w:vAlign w:val="center"/>
          </w:tcPr>
          <w:p w14:paraId="4250793E">
            <w:pPr>
              <w:pStyle w:val="13"/>
              <w:jc w:val="center"/>
              <w:rPr>
                <w:rFonts w:hint="eastAsia"/>
              </w:rPr>
            </w:pPr>
            <w:r>
              <w:rPr>
                <w:rFonts w:hint="eastAsia"/>
              </w:rPr>
              <w:t>0.0027</w:t>
            </w:r>
          </w:p>
        </w:tc>
        <w:tc>
          <w:tcPr>
            <w:tcW w:w="439" w:type="pct"/>
            <w:vAlign w:val="center"/>
          </w:tcPr>
          <w:p w14:paraId="6C2CF114">
            <w:pPr>
              <w:pStyle w:val="13"/>
              <w:jc w:val="center"/>
              <w:rPr>
                <w:rFonts w:hint="eastAsia"/>
              </w:rPr>
            </w:pPr>
            <w:r>
              <w:rPr>
                <w:rFonts w:hint="eastAsia"/>
              </w:rPr>
              <w:t>土石坝</w:t>
            </w:r>
          </w:p>
        </w:tc>
        <w:tc>
          <w:tcPr>
            <w:tcW w:w="441" w:type="pct"/>
            <w:vAlign w:val="center"/>
          </w:tcPr>
          <w:p w14:paraId="30D23A86">
            <w:pPr>
              <w:pStyle w:val="13"/>
              <w:jc w:val="center"/>
              <w:rPr>
                <w:rFonts w:hint="eastAsia"/>
              </w:rPr>
            </w:pPr>
            <w:r>
              <w:rPr>
                <w:rFonts w:hint="eastAsia"/>
              </w:rPr>
              <w:t>37.32</w:t>
            </w:r>
          </w:p>
        </w:tc>
        <w:tc>
          <w:tcPr>
            <w:tcW w:w="460" w:type="pct"/>
            <w:vAlign w:val="center"/>
          </w:tcPr>
          <w:p w14:paraId="0CBF6F30">
            <w:pPr>
              <w:pStyle w:val="13"/>
              <w:jc w:val="center"/>
              <w:rPr>
                <w:rFonts w:hint="eastAsia"/>
              </w:rPr>
            </w:pPr>
            <w:r>
              <w:rPr>
                <w:rFonts w:hint="eastAsia"/>
              </w:rPr>
              <w:t>208.32</w:t>
            </w:r>
          </w:p>
        </w:tc>
        <w:tc>
          <w:tcPr>
            <w:tcW w:w="440" w:type="pct"/>
            <w:vAlign w:val="center"/>
          </w:tcPr>
          <w:p w14:paraId="46350851">
            <w:pPr>
              <w:pStyle w:val="13"/>
              <w:jc w:val="center"/>
              <w:rPr>
                <w:rFonts w:hint="eastAsia"/>
              </w:rPr>
            </w:pPr>
            <w:r>
              <w:rPr>
                <w:rFonts w:hint="eastAsia"/>
              </w:rPr>
              <w:t>210</w:t>
            </w:r>
          </w:p>
        </w:tc>
      </w:tr>
      <w:tr w14:paraId="45725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3" w:type="pct"/>
            <w:vAlign w:val="center"/>
          </w:tcPr>
          <w:p w14:paraId="6E5D52E8">
            <w:pPr>
              <w:pStyle w:val="13"/>
              <w:jc w:val="center"/>
              <w:rPr>
                <w:rFonts w:hint="eastAsia"/>
              </w:rPr>
            </w:pPr>
            <w:r>
              <w:rPr>
                <w:rFonts w:hint="eastAsia"/>
              </w:rPr>
              <w:t>苍石水库</w:t>
            </w:r>
          </w:p>
        </w:tc>
        <w:tc>
          <w:tcPr>
            <w:tcW w:w="323" w:type="pct"/>
            <w:vAlign w:val="center"/>
          </w:tcPr>
          <w:p w14:paraId="6243997D">
            <w:pPr>
              <w:pStyle w:val="13"/>
              <w:jc w:val="center"/>
              <w:rPr>
                <w:rFonts w:hint="eastAsia"/>
              </w:rPr>
            </w:pPr>
            <w:r>
              <w:rPr>
                <w:rFonts w:hint="eastAsia"/>
              </w:rPr>
              <w:t>北江</w:t>
            </w:r>
          </w:p>
        </w:tc>
        <w:tc>
          <w:tcPr>
            <w:tcW w:w="441" w:type="pct"/>
            <w:vAlign w:val="center"/>
          </w:tcPr>
          <w:p w14:paraId="3B501BC0">
            <w:pPr>
              <w:pStyle w:val="13"/>
              <w:jc w:val="center"/>
              <w:rPr>
                <w:rFonts w:hint="eastAsia"/>
              </w:rPr>
            </w:pPr>
            <w:r>
              <w:rPr>
                <w:rFonts w:hint="eastAsia"/>
              </w:rPr>
              <w:t>46.25</w:t>
            </w:r>
          </w:p>
        </w:tc>
        <w:tc>
          <w:tcPr>
            <w:tcW w:w="460" w:type="pct"/>
            <w:vAlign w:val="center"/>
          </w:tcPr>
          <w:p w14:paraId="26180F40">
            <w:pPr>
              <w:pStyle w:val="13"/>
              <w:jc w:val="center"/>
              <w:rPr>
                <w:rFonts w:hint="eastAsia"/>
              </w:rPr>
            </w:pPr>
            <w:r>
              <w:rPr>
                <w:rFonts w:hint="eastAsia"/>
              </w:rPr>
              <w:t>0.1176</w:t>
            </w:r>
          </w:p>
        </w:tc>
        <w:tc>
          <w:tcPr>
            <w:tcW w:w="460" w:type="pct"/>
            <w:vAlign w:val="center"/>
          </w:tcPr>
          <w:p w14:paraId="4AE4AC1D">
            <w:pPr>
              <w:pStyle w:val="13"/>
              <w:jc w:val="center"/>
              <w:rPr>
                <w:rFonts w:hint="eastAsia"/>
              </w:rPr>
            </w:pPr>
            <w:r>
              <w:rPr>
                <w:rFonts w:hint="eastAsia"/>
              </w:rPr>
              <w:t>0.032</w:t>
            </w:r>
          </w:p>
        </w:tc>
        <w:tc>
          <w:tcPr>
            <w:tcW w:w="522" w:type="pct"/>
            <w:vAlign w:val="center"/>
          </w:tcPr>
          <w:p w14:paraId="4A9AE628">
            <w:pPr>
              <w:pStyle w:val="13"/>
              <w:jc w:val="center"/>
              <w:rPr>
                <w:rFonts w:hint="eastAsia"/>
              </w:rPr>
            </w:pPr>
            <w:r>
              <w:rPr>
                <w:rFonts w:hint="eastAsia"/>
              </w:rPr>
              <w:t>403</w:t>
            </w:r>
          </w:p>
        </w:tc>
        <w:tc>
          <w:tcPr>
            <w:tcW w:w="460" w:type="pct"/>
            <w:vAlign w:val="center"/>
          </w:tcPr>
          <w:p w14:paraId="3F5CA057">
            <w:pPr>
              <w:pStyle w:val="13"/>
              <w:jc w:val="center"/>
              <w:rPr>
                <w:rFonts w:hint="eastAsia"/>
              </w:rPr>
            </w:pPr>
            <w:r>
              <w:rPr>
                <w:rFonts w:hint="eastAsia"/>
              </w:rPr>
              <w:t>0.0045</w:t>
            </w:r>
          </w:p>
        </w:tc>
        <w:tc>
          <w:tcPr>
            <w:tcW w:w="439" w:type="pct"/>
            <w:vAlign w:val="center"/>
          </w:tcPr>
          <w:p w14:paraId="30AA9C40">
            <w:pPr>
              <w:pStyle w:val="13"/>
              <w:jc w:val="center"/>
              <w:rPr>
                <w:rFonts w:hint="eastAsia"/>
              </w:rPr>
            </w:pPr>
            <w:r>
              <w:rPr>
                <w:rFonts w:hint="eastAsia"/>
              </w:rPr>
              <w:t>重力坝</w:t>
            </w:r>
          </w:p>
        </w:tc>
        <w:tc>
          <w:tcPr>
            <w:tcW w:w="441" w:type="pct"/>
            <w:vAlign w:val="center"/>
          </w:tcPr>
          <w:p w14:paraId="0D19BB07">
            <w:pPr>
              <w:pStyle w:val="13"/>
              <w:jc w:val="center"/>
              <w:rPr>
                <w:rFonts w:hint="eastAsia"/>
              </w:rPr>
            </w:pPr>
            <w:r>
              <w:rPr>
                <w:rFonts w:hint="eastAsia"/>
              </w:rPr>
              <w:t>63.8</w:t>
            </w:r>
          </w:p>
        </w:tc>
        <w:tc>
          <w:tcPr>
            <w:tcW w:w="460" w:type="pct"/>
            <w:vAlign w:val="center"/>
          </w:tcPr>
          <w:p w14:paraId="21AA42ED">
            <w:pPr>
              <w:pStyle w:val="13"/>
              <w:jc w:val="center"/>
              <w:rPr>
                <w:rFonts w:hint="eastAsia"/>
              </w:rPr>
            </w:pPr>
            <w:r>
              <w:rPr>
                <w:rFonts w:hint="eastAsia"/>
              </w:rPr>
              <w:t>443.8</w:t>
            </w:r>
          </w:p>
        </w:tc>
        <w:tc>
          <w:tcPr>
            <w:tcW w:w="440" w:type="pct"/>
            <w:vAlign w:val="center"/>
          </w:tcPr>
          <w:p w14:paraId="2541A408">
            <w:pPr>
              <w:pStyle w:val="13"/>
              <w:jc w:val="center"/>
              <w:rPr>
                <w:rFonts w:hint="eastAsia"/>
              </w:rPr>
            </w:pPr>
            <w:r>
              <w:rPr>
                <w:rFonts w:hint="eastAsia"/>
              </w:rPr>
              <w:t>210</w:t>
            </w:r>
          </w:p>
        </w:tc>
      </w:tr>
    </w:tbl>
    <w:p w14:paraId="7983D3E7">
      <w:pPr>
        <w:ind w:firstLine="422"/>
        <w:jc w:val="center"/>
        <w:rPr>
          <w:rFonts w:hint="eastAsia" w:ascii="宋体" w:hAnsi="宋体"/>
          <w:b/>
        </w:rPr>
      </w:pPr>
      <w:commentRangeStart w:id="16"/>
      <w:r>
        <w:rPr>
          <w:rFonts w:hint="eastAsia" w:ascii="宋体" w:hAnsi="宋体"/>
          <w:b/>
        </w:rPr>
        <w:t>表17-2  南雄市灌区工程特性表</w:t>
      </w:r>
      <w:commentRangeEnd w:id="16"/>
      <w:r>
        <w:rPr>
          <w:rStyle w:val="12"/>
        </w:rPr>
        <w:commentReference w:id="16"/>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758"/>
        <w:gridCol w:w="574"/>
        <w:gridCol w:w="426"/>
        <w:gridCol w:w="710"/>
        <w:gridCol w:w="426"/>
        <w:gridCol w:w="428"/>
        <w:gridCol w:w="426"/>
        <w:gridCol w:w="424"/>
        <w:gridCol w:w="426"/>
        <w:gridCol w:w="566"/>
        <w:gridCol w:w="568"/>
        <w:gridCol w:w="426"/>
        <w:gridCol w:w="420"/>
        <w:gridCol w:w="566"/>
        <w:gridCol w:w="527"/>
        <w:gridCol w:w="467"/>
        <w:gridCol w:w="406"/>
        <w:gridCol w:w="450"/>
        <w:gridCol w:w="450"/>
        <w:gridCol w:w="416"/>
      </w:tblGrid>
      <w:tr w14:paraId="5E4ED0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384" w:type="pct"/>
            <w:vMerge w:val="restart"/>
            <w:vAlign w:val="center"/>
          </w:tcPr>
          <w:p w14:paraId="5F795415">
            <w:pPr>
              <w:pStyle w:val="13"/>
              <w:jc w:val="center"/>
              <w:rPr>
                <w:rFonts w:hint="eastAsia"/>
                <w:b/>
                <w:w w:val="90"/>
              </w:rPr>
            </w:pPr>
            <w:r>
              <w:rPr>
                <w:rFonts w:hint="eastAsia"/>
                <w:b/>
                <w:w w:val="90"/>
              </w:rPr>
              <w:t>灌区名称</w:t>
            </w:r>
          </w:p>
        </w:tc>
        <w:tc>
          <w:tcPr>
            <w:tcW w:w="291" w:type="pct"/>
            <w:vMerge w:val="restart"/>
            <w:vAlign w:val="center"/>
          </w:tcPr>
          <w:p w14:paraId="56ECA2D8">
            <w:pPr>
              <w:pStyle w:val="13"/>
              <w:jc w:val="center"/>
              <w:rPr>
                <w:rFonts w:hint="eastAsia"/>
                <w:b/>
                <w:w w:val="90"/>
              </w:rPr>
            </w:pPr>
            <w:r>
              <w:rPr>
                <w:rFonts w:hint="eastAsia"/>
                <w:b/>
                <w:w w:val="90"/>
              </w:rPr>
              <w:t>地址</w:t>
            </w:r>
          </w:p>
        </w:tc>
        <w:tc>
          <w:tcPr>
            <w:tcW w:w="216" w:type="pct"/>
            <w:vMerge w:val="restart"/>
            <w:vAlign w:val="center"/>
          </w:tcPr>
          <w:p w14:paraId="25B21D25">
            <w:pPr>
              <w:pStyle w:val="13"/>
              <w:jc w:val="center"/>
              <w:rPr>
                <w:rFonts w:hint="eastAsia"/>
                <w:b/>
                <w:w w:val="90"/>
              </w:rPr>
            </w:pPr>
            <w:r>
              <w:rPr>
                <w:rFonts w:hint="eastAsia"/>
                <w:b/>
                <w:w w:val="90"/>
              </w:rPr>
              <w:t>设计引水流量(m3/S)</w:t>
            </w:r>
          </w:p>
        </w:tc>
        <w:tc>
          <w:tcPr>
            <w:tcW w:w="360" w:type="pct"/>
            <w:vMerge w:val="restart"/>
            <w:vAlign w:val="center"/>
          </w:tcPr>
          <w:p w14:paraId="2FABC230">
            <w:pPr>
              <w:pStyle w:val="13"/>
              <w:jc w:val="center"/>
              <w:rPr>
                <w:b/>
                <w:w w:val="90"/>
              </w:rPr>
            </w:pPr>
            <w:r>
              <w:rPr>
                <w:rFonts w:hint="eastAsia"/>
                <w:b/>
                <w:w w:val="90"/>
              </w:rPr>
              <w:t>工业生活供水(万立方米/年）</w:t>
            </w:r>
          </w:p>
        </w:tc>
        <w:tc>
          <w:tcPr>
            <w:tcW w:w="433" w:type="pct"/>
            <w:gridSpan w:val="2"/>
            <w:vAlign w:val="center"/>
          </w:tcPr>
          <w:p w14:paraId="78D2812F">
            <w:pPr>
              <w:pStyle w:val="13"/>
              <w:jc w:val="center"/>
              <w:rPr>
                <w:rFonts w:hint="eastAsia"/>
                <w:b/>
                <w:w w:val="90"/>
              </w:rPr>
            </w:pPr>
            <w:r>
              <w:rPr>
                <w:rFonts w:hint="eastAsia"/>
                <w:b/>
                <w:w w:val="90"/>
              </w:rPr>
              <w:t>灌溉面积（万亩）</w:t>
            </w:r>
          </w:p>
        </w:tc>
        <w:tc>
          <w:tcPr>
            <w:tcW w:w="431" w:type="pct"/>
            <w:gridSpan w:val="2"/>
            <w:vAlign w:val="center"/>
          </w:tcPr>
          <w:p w14:paraId="1FED1AB2">
            <w:pPr>
              <w:pStyle w:val="13"/>
              <w:jc w:val="center"/>
              <w:rPr>
                <w:b/>
                <w:w w:val="90"/>
              </w:rPr>
            </w:pPr>
            <w:r>
              <w:rPr>
                <w:rFonts w:hint="eastAsia"/>
                <w:b/>
                <w:w w:val="90"/>
              </w:rPr>
              <w:t>灌溉保证率</w:t>
            </w:r>
          </w:p>
        </w:tc>
        <w:tc>
          <w:tcPr>
            <w:tcW w:w="216" w:type="pct"/>
            <w:vMerge w:val="restart"/>
            <w:vAlign w:val="center"/>
          </w:tcPr>
          <w:p w14:paraId="19E3C550">
            <w:pPr>
              <w:pStyle w:val="13"/>
              <w:jc w:val="center"/>
              <w:rPr>
                <w:rFonts w:hint="eastAsia"/>
                <w:b/>
                <w:w w:val="90"/>
              </w:rPr>
            </w:pPr>
            <w:r>
              <w:rPr>
                <w:rFonts w:hint="eastAsia"/>
                <w:b/>
                <w:w w:val="90"/>
              </w:rPr>
              <w:t>现状渠系水利用率</w:t>
            </w:r>
          </w:p>
        </w:tc>
        <w:tc>
          <w:tcPr>
            <w:tcW w:w="1004" w:type="pct"/>
            <w:gridSpan w:val="4"/>
            <w:vAlign w:val="center"/>
          </w:tcPr>
          <w:p w14:paraId="5031A3C5">
            <w:pPr>
              <w:pStyle w:val="13"/>
              <w:jc w:val="center"/>
              <w:rPr>
                <w:rFonts w:hint="eastAsia"/>
                <w:b/>
                <w:w w:val="90"/>
              </w:rPr>
            </w:pPr>
            <w:r>
              <w:rPr>
                <w:rFonts w:hint="eastAsia"/>
                <w:b/>
                <w:w w:val="90"/>
              </w:rPr>
              <w:t>干渠长度（km）</w:t>
            </w:r>
          </w:p>
        </w:tc>
        <w:tc>
          <w:tcPr>
            <w:tcW w:w="997" w:type="pct"/>
            <w:gridSpan w:val="4"/>
            <w:vAlign w:val="center"/>
          </w:tcPr>
          <w:p w14:paraId="0ED69365">
            <w:pPr>
              <w:pStyle w:val="13"/>
              <w:jc w:val="center"/>
              <w:rPr>
                <w:rFonts w:hint="eastAsia"/>
                <w:b/>
                <w:w w:val="90"/>
              </w:rPr>
            </w:pPr>
            <w:r>
              <w:rPr>
                <w:rFonts w:hint="eastAsia"/>
                <w:b/>
                <w:w w:val="90"/>
              </w:rPr>
              <w:t>支渠长度(km)</w:t>
            </w:r>
          </w:p>
        </w:tc>
        <w:tc>
          <w:tcPr>
            <w:tcW w:w="667" w:type="pct"/>
            <w:gridSpan w:val="3"/>
            <w:vAlign w:val="center"/>
          </w:tcPr>
          <w:p w14:paraId="500117B9">
            <w:pPr>
              <w:pStyle w:val="13"/>
              <w:jc w:val="center"/>
              <w:rPr>
                <w:b/>
                <w:w w:val="90"/>
              </w:rPr>
            </w:pPr>
            <w:r>
              <w:rPr>
                <w:rFonts w:hint="eastAsia"/>
                <w:b/>
                <w:w w:val="90"/>
              </w:rPr>
              <w:t>干、支渠系建筑物（座）</w:t>
            </w:r>
          </w:p>
        </w:tc>
      </w:tr>
      <w:tr w14:paraId="23B209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588" w:hRule="atLeast"/>
        </w:trPr>
        <w:tc>
          <w:tcPr>
            <w:tcW w:w="384" w:type="pct"/>
            <w:vMerge w:val="continue"/>
            <w:vAlign w:val="center"/>
          </w:tcPr>
          <w:p w14:paraId="28E25DDF">
            <w:pPr>
              <w:pStyle w:val="13"/>
              <w:jc w:val="center"/>
              <w:rPr>
                <w:rFonts w:hint="eastAsia"/>
                <w:b/>
                <w:w w:val="90"/>
              </w:rPr>
            </w:pPr>
          </w:p>
        </w:tc>
        <w:tc>
          <w:tcPr>
            <w:tcW w:w="291" w:type="pct"/>
            <w:vMerge w:val="continue"/>
            <w:vAlign w:val="center"/>
          </w:tcPr>
          <w:p w14:paraId="4D1861A3">
            <w:pPr>
              <w:pStyle w:val="13"/>
              <w:jc w:val="center"/>
              <w:rPr>
                <w:rFonts w:hint="eastAsia"/>
                <w:b/>
                <w:w w:val="90"/>
              </w:rPr>
            </w:pPr>
          </w:p>
        </w:tc>
        <w:tc>
          <w:tcPr>
            <w:tcW w:w="216" w:type="pct"/>
            <w:vMerge w:val="continue"/>
            <w:vAlign w:val="center"/>
          </w:tcPr>
          <w:p w14:paraId="4463B7CB">
            <w:pPr>
              <w:pStyle w:val="13"/>
              <w:jc w:val="center"/>
              <w:rPr>
                <w:rFonts w:hint="eastAsia"/>
                <w:b/>
                <w:w w:val="90"/>
              </w:rPr>
            </w:pPr>
          </w:p>
        </w:tc>
        <w:tc>
          <w:tcPr>
            <w:tcW w:w="360" w:type="pct"/>
            <w:vMerge w:val="continue"/>
            <w:vAlign w:val="center"/>
          </w:tcPr>
          <w:p w14:paraId="35DD6AB7">
            <w:pPr>
              <w:pStyle w:val="13"/>
              <w:jc w:val="center"/>
              <w:rPr>
                <w:rFonts w:hint="eastAsia"/>
                <w:b/>
                <w:w w:val="90"/>
              </w:rPr>
            </w:pPr>
          </w:p>
        </w:tc>
        <w:tc>
          <w:tcPr>
            <w:tcW w:w="216" w:type="pct"/>
            <w:vAlign w:val="center"/>
          </w:tcPr>
          <w:p w14:paraId="4CE1AE45">
            <w:pPr>
              <w:pStyle w:val="13"/>
              <w:jc w:val="center"/>
              <w:rPr>
                <w:rFonts w:hint="eastAsia"/>
                <w:b/>
                <w:w w:val="90"/>
              </w:rPr>
            </w:pPr>
            <w:r>
              <w:rPr>
                <w:rFonts w:hint="eastAsia"/>
                <w:b/>
                <w:w w:val="90"/>
              </w:rPr>
              <w:t>设计</w:t>
            </w:r>
          </w:p>
        </w:tc>
        <w:tc>
          <w:tcPr>
            <w:tcW w:w="217" w:type="pct"/>
            <w:vAlign w:val="center"/>
          </w:tcPr>
          <w:p w14:paraId="20CFC556">
            <w:pPr>
              <w:pStyle w:val="13"/>
              <w:jc w:val="center"/>
              <w:rPr>
                <w:rFonts w:hint="eastAsia"/>
                <w:b/>
                <w:w w:val="90"/>
              </w:rPr>
            </w:pPr>
            <w:r>
              <w:rPr>
                <w:rFonts w:hint="eastAsia"/>
                <w:b/>
                <w:w w:val="90"/>
              </w:rPr>
              <w:t>实际</w:t>
            </w:r>
          </w:p>
        </w:tc>
        <w:tc>
          <w:tcPr>
            <w:tcW w:w="216" w:type="pct"/>
            <w:vAlign w:val="center"/>
          </w:tcPr>
          <w:p w14:paraId="7BD6B1BE">
            <w:pPr>
              <w:pStyle w:val="13"/>
              <w:jc w:val="center"/>
              <w:rPr>
                <w:rFonts w:hint="eastAsia"/>
                <w:b/>
                <w:w w:val="90"/>
              </w:rPr>
            </w:pPr>
            <w:r>
              <w:rPr>
                <w:rFonts w:hint="eastAsia"/>
                <w:b/>
                <w:w w:val="90"/>
              </w:rPr>
              <w:t>设计</w:t>
            </w:r>
          </w:p>
        </w:tc>
        <w:tc>
          <w:tcPr>
            <w:tcW w:w="215" w:type="pct"/>
            <w:vAlign w:val="center"/>
          </w:tcPr>
          <w:p w14:paraId="591E968B">
            <w:pPr>
              <w:pStyle w:val="13"/>
              <w:jc w:val="center"/>
              <w:rPr>
                <w:b/>
                <w:w w:val="90"/>
              </w:rPr>
            </w:pPr>
            <w:r>
              <w:rPr>
                <w:rFonts w:hint="eastAsia"/>
                <w:b/>
                <w:w w:val="90"/>
              </w:rPr>
              <w:t>实际</w:t>
            </w:r>
          </w:p>
        </w:tc>
        <w:tc>
          <w:tcPr>
            <w:tcW w:w="216" w:type="pct"/>
            <w:vMerge w:val="continue"/>
            <w:vAlign w:val="center"/>
          </w:tcPr>
          <w:p w14:paraId="01C83C47">
            <w:pPr>
              <w:pStyle w:val="13"/>
              <w:jc w:val="center"/>
              <w:rPr>
                <w:rFonts w:hint="eastAsia"/>
                <w:b/>
                <w:w w:val="90"/>
              </w:rPr>
            </w:pPr>
          </w:p>
        </w:tc>
        <w:tc>
          <w:tcPr>
            <w:tcW w:w="287" w:type="pct"/>
            <w:vAlign w:val="center"/>
          </w:tcPr>
          <w:p w14:paraId="53D94FC4">
            <w:pPr>
              <w:pStyle w:val="13"/>
              <w:jc w:val="center"/>
              <w:rPr>
                <w:rFonts w:hint="eastAsia"/>
                <w:b/>
                <w:w w:val="90"/>
              </w:rPr>
            </w:pPr>
            <w:r>
              <w:rPr>
                <w:rFonts w:hint="eastAsia"/>
                <w:b/>
                <w:w w:val="90"/>
              </w:rPr>
              <w:t>设计</w:t>
            </w:r>
          </w:p>
        </w:tc>
        <w:tc>
          <w:tcPr>
            <w:tcW w:w="288" w:type="pct"/>
            <w:vAlign w:val="center"/>
          </w:tcPr>
          <w:p w14:paraId="48BEE2BA">
            <w:pPr>
              <w:pStyle w:val="13"/>
              <w:jc w:val="center"/>
              <w:rPr>
                <w:rFonts w:hint="eastAsia"/>
                <w:b/>
                <w:w w:val="90"/>
              </w:rPr>
            </w:pPr>
            <w:r>
              <w:rPr>
                <w:rFonts w:hint="eastAsia"/>
                <w:b/>
                <w:w w:val="90"/>
              </w:rPr>
              <w:t>现有</w:t>
            </w:r>
          </w:p>
        </w:tc>
        <w:tc>
          <w:tcPr>
            <w:tcW w:w="216" w:type="pct"/>
            <w:vAlign w:val="center"/>
          </w:tcPr>
          <w:p w14:paraId="025221F4">
            <w:pPr>
              <w:pStyle w:val="13"/>
              <w:jc w:val="center"/>
              <w:rPr>
                <w:rFonts w:hint="eastAsia"/>
                <w:b/>
                <w:w w:val="90"/>
              </w:rPr>
            </w:pPr>
            <w:r>
              <w:rPr>
                <w:rFonts w:hint="eastAsia"/>
                <w:b/>
                <w:w w:val="90"/>
              </w:rPr>
              <w:t>已衬砌</w:t>
            </w:r>
          </w:p>
        </w:tc>
        <w:tc>
          <w:tcPr>
            <w:tcW w:w="213" w:type="pct"/>
            <w:vAlign w:val="center"/>
          </w:tcPr>
          <w:p w14:paraId="64F742A7">
            <w:pPr>
              <w:pStyle w:val="13"/>
              <w:jc w:val="center"/>
              <w:rPr>
                <w:rFonts w:hint="eastAsia"/>
                <w:b/>
                <w:w w:val="90"/>
              </w:rPr>
            </w:pPr>
            <w:r>
              <w:rPr>
                <w:rFonts w:hint="eastAsia"/>
                <w:b/>
                <w:w w:val="90"/>
              </w:rPr>
              <w:t>完好率％</w:t>
            </w:r>
          </w:p>
        </w:tc>
        <w:tc>
          <w:tcPr>
            <w:tcW w:w="287" w:type="pct"/>
            <w:vAlign w:val="center"/>
          </w:tcPr>
          <w:p w14:paraId="1CA7EF41">
            <w:pPr>
              <w:pStyle w:val="13"/>
              <w:jc w:val="center"/>
              <w:rPr>
                <w:rFonts w:hint="eastAsia"/>
                <w:b/>
                <w:w w:val="90"/>
              </w:rPr>
            </w:pPr>
            <w:r>
              <w:rPr>
                <w:rFonts w:hint="eastAsia"/>
                <w:b/>
                <w:w w:val="90"/>
              </w:rPr>
              <w:t>设计</w:t>
            </w:r>
          </w:p>
        </w:tc>
        <w:tc>
          <w:tcPr>
            <w:tcW w:w="267" w:type="pct"/>
            <w:vAlign w:val="center"/>
          </w:tcPr>
          <w:p w14:paraId="05C11047">
            <w:pPr>
              <w:pStyle w:val="13"/>
              <w:jc w:val="center"/>
              <w:rPr>
                <w:rFonts w:hint="eastAsia"/>
                <w:b/>
                <w:w w:val="90"/>
              </w:rPr>
            </w:pPr>
            <w:r>
              <w:rPr>
                <w:rFonts w:hint="eastAsia"/>
                <w:b/>
                <w:w w:val="90"/>
              </w:rPr>
              <w:t>现有</w:t>
            </w:r>
          </w:p>
        </w:tc>
        <w:tc>
          <w:tcPr>
            <w:tcW w:w="237" w:type="pct"/>
            <w:vAlign w:val="center"/>
          </w:tcPr>
          <w:p w14:paraId="42C6540E">
            <w:pPr>
              <w:pStyle w:val="13"/>
              <w:jc w:val="center"/>
              <w:rPr>
                <w:rFonts w:hint="eastAsia"/>
                <w:b/>
                <w:w w:val="90"/>
              </w:rPr>
            </w:pPr>
            <w:r>
              <w:rPr>
                <w:rFonts w:hint="eastAsia"/>
                <w:b/>
                <w:w w:val="90"/>
              </w:rPr>
              <w:t>已衬砌</w:t>
            </w:r>
          </w:p>
        </w:tc>
        <w:tc>
          <w:tcPr>
            <w:tcW w:w="206" w:type="pct"/>
            <w:vAlign w:val="center"/>
          </w:tcPr>
          <w:p w14:paraId="1C21D767">
            <w:pPr>
              <w:pStyle w:val="13"/>
              <w:jc w:val="center"/>
              <w:rPr>
                <w:rFonts w:hint="eastAsia"/>
                <w:b/>
                <w:w w:val="90"/>
              </w:rPr>
            </w:pPr>
            <w:r>
              <w:rPr>
                <w:rFonts w:hint="eastAsia"/>
                <w:b/>
                <w:w w:val="90"/>
              </w:rPr>
              <w:t>完好率％</w:t>
            </w:r>
          </w:p>
        </w:tc>
        <w:tc>
          <w:tcPr>
            <w:tcW w:w="228" w:type="pct"/>
            <w:vAlign w:val="center"/>
          </w:tcPr>
          <w:p w14:paraId="56D8C3CA">
            <w:pPr>
              <w:pStyle w:val="13"/>
              <w:jc w:val="center"/>
              <w:rPr>
                <w:rFonts w:hint="eastAsia"/>
                <w:b/>
                <w:w w:val="90"/>
              </w:rPr>
            </w:pPr>
            <w:r>
              <w:rPr>
                <w:rFonts w:hint="eastAsia"/>
                <w:b/>
                <w:w w:val="90"/>
              </w:rPr>
              <w:t>设计</w:t>
            </w:r>
          </w:p>
        </w:tc>
        <w:tc>
          <w:tcPr>
            <w:tcW w:w="228" w:type="pct"/>
            <w:vAlign w:val="center"/>
          </w:tcPr>
          <w:p w14:paraId="4085665A">
            <w:pPr>
              <w:pStyle w:val="13"/>
              <w:jc w:val="center"/>
              <w:rPr>
                <w:rFonts w:hint="eastAsia"/>
                <w:b/>
                <w:w w:val="90"/>
              </w:rPr>
            </w:pPr>
            <w:r>
              <w:rPr>
                <w:rFonts w:hint="eastAsia"/>
                <w:b/>
                <w:w w:val="90"/>
              </w:rPr>
              <w:t>现有</w:t>
            </w:r>
          </w:p>
        </w:tc>
        <w:tc>
          <w:tcPr>
            <w:tcW w:w="211" w:type="pct"/>
            <w:vAlign w:val="center"/>
          </w:tcPr>
          <w:p w14:paraId="2D440D6A">
            <w:pPr>
              <w:pStyle w:val="13"/>
              <w:jc w:val="center"/>
              <w:rPr>
                <w:b/>
                <w:w w:val="90"/>
              </w:rPr>
            </w:pPr>
            <w:r>
              <w:rPr>
                <w:rFonts w:hint="eastAsia"/>
                <w:b/>
                <w:w w:val="90"/>
              </w:rPr>
              <w:t>完好率%</w:t>
            </w:r>
          </w:p>
        </w:tc>
      </w:tr>
      <w:tr w14:paraId="417CFB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384" w:type="pct"/>
            <w:vAlign w:val="center"/>
          </w:tcPr>
          <w:p w14:paraId="165D52E4">
            <w:pPr>
              <w:pStyle w:val="13"/>
              <w:jc w:val="center"/>
              <w:rPr>
                <w:rFonts w:hint="eastAsia"/>
                <w:w w:val="90"/>
              </w:rPr>
            </w:pPr>
            <w:r>
              <w:rPr>
                <w:rFonts w:hint="eastAsia"/>
                <w:w w:val="90"/>
              </w:rPr>
              <w:t>合计</w:t>
            </w:r>
          </w:p>
        </w:tc>
        <w:tc>
          <w:tcPr>
            <w:tcW w:w="291" w:type="pct"/>
            <w:vAlign w:val="center"/>
          </w:tcPr>
          <w:p w14:paraId="55AD4966">
            <w:pPr>
              <w:pStyle w:val="13"/>
              <w:jc w:val="center"/>
              <w:rPr>
                <w:rFonts w:hint="eastAsia"/>
                <w:w w:val="90"/>
              </w:rPr>
            </w:pPr>
          </w:p>
        </w:tc>
        <w:tc>
          <w:tcPr>
            <w:tcW w:w="216" w:type="pct"/>
            <w:vAlign w:val="center"/>
          </w:tcPr>
          <w:p w14:paraId="6FB36101">
            <w:pPr>
              <w:pStyle w:val="13"/>
              <w:jc w:val="center"/>
              <w:rPr>
                <w:rFonts w:hint="eastAsia"/>
                <w:w w:val="90"/>
              </w:rPr>
            </w:pPr>
          </w:p>
        </w:tc>
        <w:tc>
          <w:tcPr>
            <w:tcW w:w="360" w:type="pct"/>
            <w:vAlign w:val="center"/>
          </w:tcPr>
          <w:p w14:paraId="7F6F1096">
            <w:pPr>
              <w:pStyle w:val="13"/>
              <w:jc w:val="center"/>
              <w:rPr>
                <w:rFonts w:hint="eastAsia"/>
                <w:w w:val="90"/>
              </w:rPr>
            </w:pPr>
          </w:p>
        </w:tc>
        <w:tc>
          <w:tcPr>
            <w:tcW w:w="216" w:type="pct"/>
            <w:vAlign w:val="center"/>
          </w:tcPr>
          <w:p w14:paraId="6588416A">
            <w:pPr>
              <w:pStyle w:val="13"/>
              <w:jc w:val="center"/>
              <w:rPr>
                <w:rFonts w:hint="eastAsia"/>
                <w:w w:val="90"/>
              </w:rPr>
            </w:pPr>
            <w:r>
              <w:rPr>
                <w:rFonts w:hint="eastAsia"/>
                <w:w w:val="90"/>
              </w:rPr>
              <w:t>24.9</w:t>
            </w:r>
          </w:p>
        </w:tc>
        <w:tc>
          <w:tcPr>
            <w:tcW w:w="217" w:type="pct"/>
            <w:vAlign w:val="center"/>
          </w:tcPr>
          <w:p w14:paraId="4F050CCE">
            <w:pPr>
              <w:pStyle w:val="13"/>
              <w:jc w:val="center"/>
              <w:rPr>
                <w:rFonts w:hint="eastAsia"/>
                <w:w w:val="90"/>
              </w:rPr>
            </w:pPr>
            <w:r>
              <w:rPr>
                <w:rFonts w:hint="eastAsia"/>
                <w:w w:val="90"/>
              </w:rPr>
              <w:t>16.4</w:t>
            </w:r>
          </w:p>
        </w:tc>
        <w:tc>
          <w:tcPr>
            <w:tcW w:w="216" w:type="pct"/>
            <w:vAlign w:val="center"/>
          </w:tcPr>
          <w:p w14:paraId="240BAAE4">
            <w:pPr>
              <w:pStyle w:val="13"/>
              <w:jc w:val="center"/>
              <w:rPr>
                <w:rFonts w:hint="eastAsia"/>
                <w:w w:val="90"/>
              </w:rPr>
            </w:pPr>
            <w:r>
              <w:rPr>
                <w:rFonts w:hint="eastAsia"/>
                <w:w w:val="90"/>
              </w:rPr>
              <w:t>540</w:t>
            </w:r>
          </w:p>
        </w:tc>
        <w:tc>
          <w:tcPr>
            <w:tcW w:w="215" w:type="pct"/>
            <w:vAlign w:val="center"/>
          </w:tcPr>
          <w:p w14:paraId="0CD2C0B9">
            <w:pPr>
              <w:pStyle w:val="13"/>
              <w:jc w:val="center"/>
              <w:rPr>
                <w:rFonts w:hint="eastAsia"/>
                <w:w w:val="90"/>
              </w:rPr>
            </w:pPr>
            <w:r>
              <w:rPr>
                <w:rFonts w:hint="eastAsia"/>
                <w:w w:val="90"/>
              </w:rPr>
              <w:t>465</w:t>
            </w:r>
          </w:p>
        </w:tc>
        <w:tc>
          <w:tcPr>
            <w:tcW w:w="216" w:type="pct"/>
            <w:vAlign w:val="center"/>
          </w:tcPr>
          <w:p w14:paraId="557F3408">
            <w:pPr>
              <w:pStyle w:val="13"/>
              <w:jc w:val="center"/>
              <w:rPr>
                <w:rFonts w:hint="eastAsia"/>
                <w:w w:val="90"/>
              </w:rPr>
            </w:pPr>
          </w:p>
        </w:tc>
        <w:tc>
          <w:tcPr>
            <w:tcW w:w="287" w:type="pct"/>
            <w:vAlign w:val="center"/>
          </w:tcPr>
          <w:p w14:paraId="35865806">
            <w:pPr>
              <w:pStyle w:val="13"/>
              <w:jc w:val="center"/>
              <w:rPr>
                <w:rFonts w:hint="eastAsia"/>
                <w:w w:val="90"/>
              </w:rPr>
            </w:pPr>
            <w:r>
              <w:rPr>
                <w:rFonts w:hint="eastAsia"/>
                <w:w w:val="90"/>
              </w:rPr>
              <w:t>365.4</w:t>
            </w:r>
          </w:p>
        </w:tc>
        <w:tc>
          <w:tcPr>
            <w:tcW w:w="288" w:type="pct"/>
            <w:vAlign w:val="center"/>
          </w:tcPr>
          <w:p w14:paraId="2282961C">
            <w:pPr>
              <w:pStyle w:val="13"/>
              <w:jc w:val="center"/>
              <w:rPr>
                <w:rFonts w:hint="eastAsia"/>
                <w:w w:val="90"/>
              </w:rPr>
            </w:pPr>
            <w:r>
              <w:rPr>
                <w:rFonts w:hint="eastAsia"/>
                <w:w w:val="90"/>
              </w:rPr>
              <w:t>293.2</w:t>
            </w:r>
          </w:p>
        </w:tc>
        <w:tc>
          <w:tcPr>
            <w:tcW w:w="216" w:type="pct"/>
            <w:vAlign w:val="center"/>
          </w:tcPr>
          <w:p w14:paraId="06214562">
            <w:pPr>
              <w:pStyle w:val="13"/>
              <w:jc w:val="center"/>
              <w:rPr>
                <w:rFonts w:hint="eastAsia"/>
                <w:w w:val="90"/>
              </w:rPr>
            </w:pPr>
            <w:r>
              <w:rPr>
                <w:rFonts w:hint="eastAsia"/>
                <w:w w:val="90"/>
              </w:rPr>
              <w:t>64.3</w:t>
            </w:r>
          </w:p>
        </w:tc>
        <w:tc>
          <w:tcPr>
            <w:tcW w:w="213" w:type="pct"/>
            <w:vAlign w:val="center"/>
          </w:tcPr>
          <w:p w14:paraId="20D16E6D">
            <w:pPr>
              <w:pStyle w:val="13"/>
              <w:jc w:val="center"/>
              <w:rPr>
                <w:rFonts w:hint="eastAsia"/>
                <w:w w:val="90"/>
              </w:rPr>
            </w:pPr>
          </w:p>
        </w:tc>
        <w:tc>
          <w:tcPr>
            <w:tcW w:w="287" w:type="pct"/>
            <w:vAlign w:val="center"/>
          </w:tcPr>
          <w:p w14:paraId="4E67C33D">
            <w:pPr>
              <w:pStyle w:val="13"/>
              <w:jc w:val="center"/>
              <w:rPr>
                <w:rFonts w:hint="eastAsia"/>
                <w:w w:val="90"/>
              </w:rPr>
            </w:pPr>
            <w:r>
              <w:rPr>
                <w:rFonts w:hint="eastAsia"/>
                <w:w w:val="90"/>
              </w:rPr>
              <w:t>249.4</w:t>
            </w:r>
          </w:p>
        </w:tc>
        <w:tc>
          <w:tcPr>
            <w:tcW w:w="267" w:type="pct"/>
            <w:vAlign w:val="center"/>
          </w:tcPr>
          <w:p w14:paraId="17547BB1">
            <w:pPr>
              <w:pStyle w:val="13"/>
              <w:jc w:val="center"/>
              <w:rPr>
                <w:rFonts w:hint="eastAsia"/>
                <w:w w:val="90"/>
              </w:rPr>
            </w:pPr>
            <w:r>
              <w:rPr>
                <w:rFonts w:hint="eastAsia"/>
                <w:w w:val="90"/>
              </w:rPr>
              <w:t>244</w:t>
            </w:r>
          </w:p>
        </w:tc>
        <w:tc>
          <w:tcPr>
            <w:tcW w:w="237" w:type="pct"/>
            <w:vAlign w:val="center"/>
          </w:tcPr>
          <w:p w14:paraId="55344467">
            <w:pPr>
              <w:pStyle w:val="13"/>
              <w:jc w:val="center"/>
              <w:rPr>
                <w:rFonts w:hint="eastAsia"/>
                <w:w w:val="90"/>
              </w:rPr>
            </w:pPr>
            <w:r>
              <w:rPr>
                <w:rFonts w:hint="eastAsia"/>
                <w:w w:val="90"/>
              </w:rPr>
              <w:t>27</w:t>
            </w:r>
          </w:p>
        </w:tc>
        <w:tc>
          <w:tcPr>
            <w:tcW w:w="206" w:type="pct"/>
            <w:vAlign w:val="center"/>
          </w:tcPr>
          <w:p w14:paraId="77E5B7E8">
            <w:pPr>
              <w:pStyle w:val="13"/>
              <w:jc w:val="center"/>
              <w:rPr>
                <w:rFonts w:hint="eastAsia"/>
                <w:w w:val="90"/>
              </w:rPr>
            </w:pPr>
          </w:p>
        </w:tc>
        <w:tc>
          <w:tcPr>
            <w:tcW w:w="228" w:type="pct"/>
            <w:vAlign w:val="center"/>
          </w:tcPr>
          <w:p w14:paraId="5FFBE2A0">
            <w:pPr>
              <w:pStyle w:val="13"/>
              <w:jc w:val="center"/>
              <w:rPr>
                <w:rFonts w:hint="eastAsia"/>
                <w:w w:val="90"/>
              </w:rPr>
            </w:pPr>
            <w:r>
              <w:rPr>
                <w:rFonts w:hint="eastAsia"/>
                <w:w w:val="90"/>
              </w:rPr>
              <w:t>487</w:t>
            </w:r>
          </w:p>
        </w:tc>
        <w:tc>
          <w:tcPr>
            <w:tcW w:w="228" w:type="pct"/>
            <w:vAlign w:val="center"/>
          </w:tcPr>
          <w:p w14:paraId="3628CA6C">
            <w:pPr>
              <w:pStyle w:val="13"/>
              <w:jc w:val="center"/>
              <w:rPr>
                <w:rFonts w:hint="eastAsia"/>
                <w:w w:val="90"/>
              </w:rPr>
            </w:pPr>
            <w:r>
              <w:rPr>
                <w:rFonts w:hint="eastAsia"/>
                <w:w w:val="90"/>
              </w:rPr>
              <w:t>419</w:t>
            </w:r>
          </w:p>
        </w:tc>
        <w:tc>
          <w:tcPr>
            <w:tcW w:w="211" w:type="pct"/>
            <w:vAlign w:val="center"/>
          </w:tcPr>
          <w:p w14:paraId="2317B868">
            <w:pPr>
              <w:pStyle w:val="13"/>
              <w:jc w:val="center"/>
              <w:rPr>
                <w:rFonts w:hint="eastAsia"/>
                <w:w w:val="90"/>
              </w:rPr>
            </w:pPr>
          </w:p>
        </w:tc>
      </w:tr>
      <w:tr w14:paraId="7AC91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384" w:type="pct"/>
            <w:vAlign w:val="center"/>
          </w:tcPr>
          <w:p w14:paraId="0783A321">
            <w:pPr>
              <w:pStyle w:val="13"/>
              <w:jc w:val="center"/>
              <w:rPr>
                <w:rFonts w:hint="eastAsia"/>
                <w:w w:val="90"/>
              </w:rPr>
            </w:pPr>
            <w:r>
              <w:rPr>
                <w:rFonts w:hint="eastAsia"/>
                <w:w w:val="90"/>
              </w:rPr>
              <w:t>孔江</w:t>
            </w:r>
          </w:p>
          <w:p w14:paraId="07CF6C6B">
            <w:pPr>
              <w:pStyle w:val="13"/>
              <w:jc w:val="center"/>
              <w:rPr>
                <w:rFonts w:hint="eastAsia"/>
                <w:w w:val="90"/>
              </w:rPr>
            </w:pPr>
            <w:r>
              <w:rPr>
                <w:rFonts w:hint="eastAsia"/>
                <w:w w:val="90"/>
              </w:rPr>
              <w:t>灌区</w:t>
            </w:r>
          </w:p>
        </w:tc>
        <w:tc>
          <w:tcPr>
            <w:tcW w:w="291" w:type="pct"/>
            <w:vAlign w:val="center"/>
          </w:tcPr>
          <w:p w14:paraId="4D40C2CC">
            <w:pPr>
              <w:pStyle w:val="13"/>
              <w:jc w:val="center"/>
              <w:rPr>
                <w:rFonts w:hint="eastAsia"/>
                <w:w w:val="90"/>
              </w:rPr>
            </w:pPr>
            <w:r>
              <w:rPr>
                <w:rFonts w:hint="eastAsia"/>
                <w:w w:val="90"/>
              </w:rPr>
              <w:t>乌迳</w:t>
            </w:r>
          </w:p>
        </w:tc>
        <w:tc>
          <w:tcPr>
            <w:tcW w:w="216" w:type="pct"/>
            <w:vAlign w:val="center"/>
          </w:tcPr>
          <w:p w14:paraId="47FD0CDF">
            <w:pPr>
              <w:pStyle w:val="13"/>
              <w:jc w:val="center"/>
              <w:rPr>
                <w:rFonts w:hint="eastAsia"/>
                <w:w w:val="90"/>
              </w:rPr>
            </w:pPr>
            <w:r>
              <w:rPr>
                <w:rFonts w:hint="eastAsia"/>
                <w:w w:val="90"/>
              </w:rPr>
              <w:t>6</w:t>
            </w:r>
          </w:p>
        </w:tc>
        <w:tc>
          <w:tcPr>
            <w:tcW w:w="360" w:type="pct"/>
            <w:vAlign w:val="center"/>
          </w:tcPr>
          <w:p w14:paraId="431E8DE3">
            <w:pPr>
              <w:pStyle w:val="13"/>
              <w:jc w:val="center"/>
              <w:rPr>
                <w:rFonts w:hint="eastAsia"/>
                <w:w w:val="90"/>
              </w:rPr>
            </w:pPr>
          </w:p>
        </w:tc>
        <w:tc>
          <w:tcPr>
            <w:tcW w:w="216" w:type="pct"/>
            <w:vAlign w:val="center"/>
          </w:tcPr>
          <w:p w14:paraId="13D7C957">
            <w:pPr>
              <w:pStyle w:val="13"/>
              <w:jc w:val="center"/>
              <w:rPr>
                <w:rFonts w:hint="eastAsia"/>
                <w:w w:val="90"/>
              </w:rPr>
            </w:pPr>
            <w:r>
              <w:rPr>
                <w:rFonts w:hint="eastAsia"/>
                <w:w w:val="90"/>
              </w:rPr>
              <w:t>17.3</w:t>
            </w:r>
          </w:p>
        </w:tc>
        <w:tc>
          <w:tcPr>
            <w:tcW w:w="217" w:type="pct"/>
            <w:vAlign w:val="center"/>
          </w:tcPr>
          <w:p w14:paraId="7A4DE223">
            <w:pPr>
              <w:pStyle w:val="13"/>
              <w:jc w:val="center"/>
              <w:rPr>
                <w:rFonts w:hint="eastAsia"/>
                <w:w w:val="90"/>
              </w:rPr>
            </w:pPr>
            <w:r>
              <w:rPr>
                <w:rFonts w:hint="eastAsia"/>
                <w:w w:val="90"/>
              </w:rPr>
              <w:t>11</w:t>
            </w:r>
          </w:p>
        </w:tc>
        <w:tc>
          <w:tcPr>
            <w:tcW w:w="216" w:type="pct"/>
            <w:vAlign w:val="center"/>
          </w:tcPr>
          <w:p w14:paraId="7DF67329">
            <w:pPr>
              <w:pStyle w:val="13"/>
              <w:jc w:val="center"/>
              <w:rPr>
                <w:rFonts w:hint="eastAsia"/>
                <w:w w:val="90"/>
              </w:rPr>
            </w:pPr>
            <w:r>
              <w:rPr>
                <w:rFonts w:hint="eastAsia"/>
                <w:w w:val="90"/>
              </w:rPr>
              <w:t>90</w:t>
            </w:r>
          </w:p>
        </w:tc>
        <w:tc>
          <w:tcPr>
            <w:tcW w:w="215" w:type="pct"/>
            <w:vAlign w:val="center"/>
          </w:tcPr>
          <w:p w14:paraId="0B534EBE">
            <w:pPr>
              <w:pStyle w:val="13"/>
              <w:jc w:val="center"/>
              <w:rPr>
                <w:rFonts w:hint="eastAsia"/>
                <w:w w:val="90"/>
              </w:rPr>
            </w:pPr>
            <w:r>
              <w:rPr>
                <w:rFonts w:hint="eastAsia"/>
                <w:w w:val="90"/>
              </w:rPr>
              <w:t>75</w:t>
            </w:r>
          </w:p>
        </w:tc>
        <w:tc>
          <w:tcPr>
            <w:tcW w:w="216" w:type="pct"/>
            <w:vAlign w:val="center"/>
          </w:tcPr>
          <w:p w14:paraId="58284E92">
            <w:pPr>
              <w:pStyle w:val="13"/>
              <w:jc w:val="center"/>
              <w:rPr>
                <w:rFonts w:hint="eastAsia"/>
                <w:w w:val="90"/>
              </w:rPr>
            </w:pPr>
            <w:r>
              <w:rPr>
                <w:rFonts w:hint="eastAsia"/>
                <w:w w:val="90"/>
              </w:rPr>
              <w:t>0.7</w:t>
            </w:r>
          </w:p>
        </w:tc>
        <w:tc>
          <w:tcPr>
            <w:tcW w:w="287" w:type="pct"/>
            <w:vAlign w:val="center"/>
          </w:tcPr>
          <w:p w14:paraId="46343D3C">
            <w:pPr>
              <w:pStyle w:val="13"/>
              <w:jc w:val="center"/>
              <w:rPr>
                <w:rFonts w:hint="eastAsia"/>
                <w:w w:val="90"/>
              </w:rPr>
            </w:pPr>
            <w:r>
              <w:rPr>
                <w:rFonts w:hint="eastAsia"/>
                <w:w w:val="90"/>
              </w:rPr>
              <w:t>53.6</w:t>
            </w:r>
          </w:p>
        </w:tc>
        <w:tc>
          <w:tcPr>
            <w:tcW w:w="288" w:type="pct"/>
            <w:vAlign w:val="center"/>
          </w:tcPr>
          <w:p w14:paraId="574724E8">
            <w:pPr>
              <w:pStyle w:val="13"/>
              <w:jc w:val="center"/>
              <w:rPr>
                <w:rFonts w:hint="eastAsia"/>
                <w:w w:val="90"/>
              </w:rPr>
            </w:pPr>
            <w:r>
              <w:rPr>
                <w:rFonts w:hint="eastAsia"/>
                <w:w w:val="90"/>
              </w:rPr>
              <w:t>53.6</w:t>
            </w:r>
          </w:p>
        </w:tc>
        <w:tc>
          <w:tcPr>
            <w:tcW w:w="216" w:type="pct"/>
            <w:vAlign w:val="center"/>
          </w:tcPr>
          <w:p w14:paraId="51D97482">
            <w:pPr>
              <w:pStyle w:val="13"/>
              <w:jc w:val="center"/>
              <w:rPr>
                <w:rFonts w:hint="eastAsia"/>
                <w:w w:val="90"/>
              </w:rPr>
            </w:pPr>
            <w:r>
              <w:rPr>
                <w:rFonts w:hint="eastAsia"/>
                <w:w w:val="90"/>
              </w:rPr>
              <w:t>38</w:t>
            </w:r>
          </w:p>
        </w:tc>
        <w:tc>
          <w:tcPr>
            <w:tcW w:w="213" w:type="pct"/>
            <w:vAlign w:val="center"/>
          </w:tcPr>
          <w:p w14:paraId="7A3FAD26">
            <w:pPr>
              <w:pStyle w:val="13"/>
              <w:jc w:val="center"/>
              <w:rPr>
                <w:rFonts w:hint="eastAsia"/>
                <w:w w:val="90"/>
              </w:rPr>
            </w:pPr>
            <w:r>
              <w:rPr>
                <w:rFonts w:hint="eastAsia"/>
                <w:w w:val="90"/>
              </w:rPr>
              <w:t>71</w:t>
            </w:r>
          </w:p>
        </w:tc>
        <w:tc>
          <w:tcPr>
            <w:tcW w:w="287" w:type="pct"/>
            <w:vAlign w:val="center"/>
          </w:tcPr>
          <w:p w14:paraId="148468E2">
            <w:pPr>
              <w:pStyle w:val="13"/>
              <w:jc w:val="center"/>
              <w:rPr>
                <w:rFonts w:hint="eastAsia"/>
                <w:w w:val="90"/>
              </w:rPr>
            </w:pPr>
            <w:r>
              <w:rPr>
                <w:rFonts w:hint="eastAsia"/>
                <w:w w:val="90"/>
              </w:rPr>
              <w:t>137</w:t>
            </w:r>
          </w:p>
        </w:tc>
        <w:tc>
          <w:tcPr>
            <w:tcW w:w="267" w:type="pct"/>
            <w:vAlign w:val="center"/>
          </w:tcPr>
          <w:p w14:paraId="7B538661">
            <w:pPr>
              <w:pStyle w:val="13"/>
              <w:jc w:val="center"/>
              <w:rPr>
                <w:rFonts w:hint="eastAsia"/>
                <w:w w:val="90"/>
              </w:rPr>
            </w:pPr>
            <w:r>
              <w:rPr>
                <w:rFonts w:hint="eastAsia"/>
                <w:w w:val="90"/>
              </w:rPr>
              <w:t>137</w:t>
            </w:r>
          </w:p>
        </w:tc>
        <w:tc>
          <w:tcPr>
            <w:tcW w:w="237" w:type="pct"/>
            <w:vAlign w:val="center"/>
          </w:tcPr>
          <w:p w14:paraId="502A533E">
            <w:pPr>
              <w:pStyle w:val="13"/>
              <w:jc w:val="center"/>
              <w:rPr>
                <w:rFonts w:hint="eastAsia"/>
                <w:w w:val="90"/>
              </w:rPr>
            </w:pPr>
            <w:r>
              <w:rPr>
                <w:rFonts w:hint="eastAsia"/>
                <w:w w:val="90"/>
              </w:rPr>
              <w:t>15</w:t>
            </w:r>
          </w:p>
        </w:tc>
        <w:tc>
          <w:tcPr>
            <w:tcW w:w="206" w:type="pct"/>
            <w:vAlign w:val="center"/>
          </w:tcPr>
          <w:p w14:paraId="0CB22B94">
            <w:pPr>
              <w:pStyle w:val="13"/>
              <w:jc w:val="center"/>
              <w:rPr>
                <w:rFonts w:hint="eastAsia"/>
                <w:w w:val="90"/>
              </w:rPr>
            </w:pPr>
            <w:r>
              <w:rPr>
                <w:rFonts w:hint="eastAsia"/>
                <w:w w:val="90"/>
              </w:rPr>
              <w:t>35</w:t>
            </w:r>
          </w:p>
        </w:tc>
        <w:tc>
          <w:tcPr>
            <w:tcW w:w="228" w:type="pct"/>
            <w:vAlign w:val="center"/>
          </w:tcPr>
          <w:p w14:paraId="25F059D6">
            <w:pPr>
              <w:pStyle w:val="13"/>
              <w:jc w:val="center"/>
              <w:rPr>
                <w:rFonts w:hint="eastAsia"/>
                <w:w w:val="90"/>
              </w:rPr>
            </w:pPr>
            <w:r>
              <w:rPr>
                <w:rFonts w:hint="eastAsia"/>
                <w:w w:val="90"/>
              </w:rPr>
              <w:t>167</w:t>
            </w:r>
          </w:p>
        </w:tc>
        <w:tc>
          <w:tcPr>
            <w:tcW w:w="228" w:type="pct"/>
            <w:vAlign w:val="center"/>
          </w:tcPr>
          <w:p w14:paraId="583BCDDD">
            <w:pPr>
              <w:pStyle w:val="13"/>
              <w:jc w:val="center"/>
              <w:rPr>
                <w:rFonts w:hint="eastAsia"/>
                <w:w w:val="90"/>
              </w:rPr>
            </w:pPr>
            <w:r>
              <w:rPr>
                <w:rFonts w:hint="eastAsia"/>
                <w:w w:val="90"/>
              </w:rPr>
              <w:t>152</w:t>
            </w:r>
          </w:p>
        </w:tc>
        <w:tc>
          <w:tcPr>
            <w:tcW w:w="211" w:type="pct"/>
            <w:vAlign w:val="center"/>
          </w:tcPr>
          <w:p w14:paraId="28CB1C0A">
            <w:pPr>
              <w:pStyle w:val="13"/>
              <w:jc w:val="center"/>
              <w:rPr>
                <w:rFonts w:hint="eastAsia"/>
                <w:w w:val="90"/>
              </w:rPr>
            </w:pPr>
            <w:r>
              <w:rPr>
                <w:rFonts w:hint="eastAsia"/>
                <w:w w:val="90"/>
              </w:rPr>
              <w:t>36</w:t>
            </w:r>
          </w:p>
        </w:tc>
      </w:tr>
      <w:tr w14:paraId="49B31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384" w:type="pct"/>
            <w:vAlign w:val="center"/>
          </w:tcPr>
          <w:p w14:paraId="6D2DECF7">
            <w:pPr>
              <w:pStyle w:val="13"/>
              <w:jc w:val="center"/>
              <w:rPr>
                <w:rFonts w:hint="eastAsia"/>
                <w:w w:val="90"/>
              </w:rPr>
            </w:pPr>
            <w:r>
              <w:rPr>
                <w:rFonts w:hint="eastAsia"/>
                <w:w w:val="90"/>
              </w:rPr>
              <w:t>横江</w:t>
            </w:r>
          </w:p>
          <w:p w14:paraId="13C618F4">
            <w:pPr>
              <w:pStyle w:val="13"/>
              <w:jc w:val="center"/>
              <w:rPr>
                <w:rFonts w:hint="eastAsia"/>
                <w:w w:val="90"/>
              </w:rPr>
            </w:pPr>
            <w:r>
              <w:rPr>
                <w:rFonts w:hint="eastAsia"/>
                <w:w w:val="90"/>
              </w:rPr>
              <w:t>灌区</w:t>
            </w:r>
          </w:p>
        </w:tc>
        <w:tc>
          <w:tcPr>
            <w:tcW w:w="291" w:type="pct"/>
            <w:vAlign w:val="center"/>
          </w:tcPr>
          <w:p w14:paraId="6711C08C">
            <w:pPr>
              <w:pStyle w:val="13"/>
              <w:jc w:val="center"/>
              <w:rPr>
                <w:rFonts w:hint="eastAsia"/>
                <w:w w:val="90"/>
              </w:rPr>
            </w:pPr>
            <w:r>
              <w:rPr>
                <w:rFonts w:hint="eastAsia"/>
                <w:w w:val="90"/>
              </w:rPr>
              <w:t>珠玑</w:t>
            </w:r>
          </w:p>
        </w:tc>
        <w:tc>
          <w:tcPr>
            <w:tcW w:w="216" w:type="pct"/>
            <w:vAlign w:val="center"/>
          </w:tcPr>
          <w:p w14:paraId="6D873E05">
            <w:pPr>
              <w:pStyle w:val="13"/>
              <w:jc w:val="center"/>
              <w:rPr>
                <w:rFonts w:hint="eastAsia"/>
                <w:w w:val="90"/>
              </w:rPr>
            </w:pPr>
            <w:r>
              <w:rPr>
                <w:rFonts w:hint="eastAsia"/>
                <w:w w:val="90"/>
              </w:rPr>
              <w:t>3</w:t>
            </w:r>
          </w:p>
        </w:tc>
        <w:tc>
          <w:tcPr>
            <w:tcW w:w="360" w:type="pct"/>
            <w:vAlign w:val="center"/>
          </w:tcPr>
          <w:p w14:paraId="5E4B3D54">
            <w:pPr>
              <w:pStyle w:val="13"/>
              <w:jc w:val="center"/>
              <w:rPr>
                <w:rFonts w:hint="eastAsia"/>
                <w:w w:val="90"/>
              </w:rPr>
            </w:pPr>
          </w:p>
        </w:tc>
        <w:tc>
          <w:tcPr>
            <w:tcW w:w="216" w:type="pct"/>
            <w:vAlign w:val="center"/>
          </w:tcPr>
          <w:p w14:paraId="4ED7C85B">
            <w:pPr>
              <w:pStyle w:val="13"/>
              <w:jc w:val="center"/>
              <w:rPr>
                <w:rFonts w:hint="eastAsia"/>
                <w:w w:val="90"/>
              </w:rPr>
            </w:pPr>
            <w:r>
              <w:rPr>
                <w:rFonts w:hint="eastAsia"/>
                <w:w w:val="90"/>
              </w:rPr>
              <w:t>2.5</w:t>
            </w:r>
          </w:p>
        </w:tc>
        <w:tc>
          <w:tcPr>
            <w:tcW w:w="217" w:type="pct"/>
            <w:vAlign w:val="center"/>
          </w:tcPr>
          <w:p w14:paraId="3FAB4E9E">
            <w:pPr>
              <w:pStyle w:val="13"/>
              <w:jc w:val="center"/>
              <w:rPr>
                <w:rFonts w:hint="eastAsia"/>
                <w:w w:val="90"/>
              </w:rPr>
            </w:pPr>
            <w:r>
              <w:rPr>
                <w:rFonts w:hint="eastAsia"/>
                <w:w w:val="90"/>
              </w:rPr>
              <w:t>2.3</w:t>
            </w:r>
          </w:p>
        </w:tc>
        <w:tc>
          <w:tcPr>
            <w:tcW w:w="216" w:type="pct"/>
            <w:vAlign w:val="center"/>
          </w:tcPr>
          <w:p w14:paraId="0496AD70">
            <w:pPr>
              <w:pStyle w:val="13"/>
              <w:jc w:val="center"/>
              <w:rPr>
                <w:rFonts w:hint="eastAsia"/>
                <w:w w:val="90"/>
              </w:rPr>
            </w:pPr>
            <w:r>
              <w:rPr>
                <w:rFonts w:hint="eastAsia"/>
                <w:w w:val="90"/>
              </w:rPr>
              <w:t>90</w:t>
            </w:r>
          </w:p>
        </w:tc>
        <w:tc>
          <w:tcPr>
            <w:tcW w:w="215" w:type="pct"/>
            <w:vAlign w:val="center"/>
          </w:tcPr>
          <w:p w14:paraId="4A6A2942">
            <w:pPr>
              <w:pStyle w:val="13"/>
              <w:jc w:val="center"/>
              <w:rPr>
                <w:rFonts w:hint="eastAsia"/>
                <w:w w:val="90"/>
              </w:rPr>
            </w:pPr>
            <w:r>
              <w:rPr>
                <w:rFonts w:hint="eastAsia"/>
                <w:w w:val="90"/>
              </w:rPr>
              <w:t>75</w:t>
            </w:r>
          </w:p>
        </w:tc>
        <w:tc>
          <w:tcPr>
            <w:tcW w:w="216" w:type="pct"/>
            <w:vAlign w:val="center"/>
          </w:tcPr>
          <w:p w14:paraId="295749C0">
            <w:pPr>
              <w:pStyle w:val="13"/>
              <w:jc w:val="center"/>
              <w:rPr>
                <w:rFonts w:hint="eastAsia"/>
                <w:w w:val="90"/>
              </w:rPr>
            </w:pPr>
            <w:r>
              <w:rPr>
                <w:rFonts w:hint="eastAsia"/>
                <w:w w:val="90"/>
              </w:rPr>
              <w:t>0.4</w:t>
            </w:r>
          </w:p>
        </w:tc>
        <w:tc>
          <w:tcPr>
            <w:tcW w:w="287" w:type="pct"/>
            <w:vAlign w:val="center"/>
          </w:tcPr>
          <w:p w14:paraId="3EFDF8F4">
            <w:pPr>
              <w:pStyle w:val="13"/>
              <w:jc w:val="center"/>
              <w:rPr>
                <w:rFonts w:hint="eastAsia"/>
                <w:w w:val="90"/>
              </w:rPr>
            </w:pPr>
            <w:r>
              <w:rPr>
                <w:rFonts w:hint="eastAsia"/>
                <w:w w:val="90"/>
              </w:rPr>
              <w:t>119.7</w:t>
            </w:r>
          </w:p>
        </w:tc>
        <w:tc>
          <w:tcPr>
            <w:tcW w:w="288" w:type="pct"/>
            <w:vAlign w:val="center"/>
          </w:tcPr>
          <w:p w14:paraId="459AFEE0">
            <w:pPr>
              <w:pStyle w:val="13"/>
              <w:jc w:val="center"/>
              <w:rPr>
                <w:rFonts w:hint="eastAsia"/>
                <w:w w:val="90"/>
              </w:rPr>
            </w:pPr>
            <w:r>
              <w:rPr>
                <w:rFonts w:hint="eastAsia"/>
                <w:w w:val="90"/>
              </w:rPr>
              <w:t>87.5</w:t>
            </w:r>
          </w:p>
        </w:tc>
        <w:tc>
          <w:tcPr>
            <w:tcW w:w="216" w:type="pct"/>
            <w:vAlign w:val="center"/>
          </w:tcPr>
          <w:p w14:paraId="50676FE7">
            <w:pPr>
              <w:pStyle w:val="13"/>
              <w:jc w:val="center"/>
              <w:rPr>
                <w:rFonts w:hint="eastAsia"/>
                <w:w w:val="90"/>
              </w:rPr>
            </w:pPr>
            <w:r>
              <w:rPr>
                <w:rFonts w:hint="eastAsia"/>
                <w:w w:val="90"/>
              </w:rPr>
              <w:t>9</w:t>
            </w:r>
          </w:p>
        </w:tc>
        <w:tc>
          <w:tcPr>
            <w:tcW w:w="213" w:type="pct"/>
            <w:vAlign w:val="center"/>
          </w:tcPr>
          <w:p w14:paraId="174DA3C9">
            <w:pPr>
              <w:pStyle w:val="13"/>
              <w:jc w:val="center"/>
              <w:rPr>
                <w:rFonts w:hint="eastAsia"/>
                <w:w w:val="90"/>
              </w:rPr>
            </w:pPr>
            <w:r>
              <w:rPr>
                <w:rFonts w:hint="eastAsia"/>
                <w:w w:val="90"/>
              </w:rPr>
              <w:t>66</w:t>
            </w:r>
          </w:p>
        </w:tc>
        <w:tc>
          <w:tcPr>
            <w:tcW w:w="287" w:type="pct"/>
            <w:vAlign w:val="center"/>
          </w:tcPr>
          <w:p w14:paraId="2C17D072">
            <w:pPr>
              <w:pStyle w:val="13"/>
              <w:jc w:val="center"/>
              <w:rPr>
                <w:rFonts w:hint="eastAsia"/>
                <w:w w:val="90"/>
              </w:rPr>
            </w:pPr>
            <w:r>
              <w:rPr>
                <w:rFonts w:hint="eastAsia"/>
                <w:w w:val="90"/>
              </w:rPr>
              <w:t>15</w:t>
            </w:r>
          </w:p>
        </w:tc>
        <w:tc>
          <w:tcPr>
            <w:tcW w:w="267" w:type="pct"/>
            <w:vAlign w:val="center"/>
          </w:tcPr>
          <w:p w14:paraId="0A253156">
            <w:pPr>
              <w:pStyle w:val="13"/>
              <w:jc w:val="center"/>
              <w:rPr>
                <w:rFonts w:hint="eastAsia"/>
                <w:w w:val="90"/>
              </w:rPr>
            </w:pPr>
            <w:r>
              <w:rPr>
                <w:rFonts w:hint="eastAsia"/>
                <w:w w:val="90"/>
              </w:rPr>
              <w:t>15</w:t>
            </w:r>
          </w:p>
        </w:tc>
        <w:tc>
          <w:tcPr>
            <w:tcW w:w="237" w:type="pct"/>
            <w:vAlign w:val="center"/>
          </w:tcPr>
          <w:p w14:paraId="6E0E3DF3">
            <w:pPr>
              <w:pStyle w:val="13"/>
              <w:jc w:val="center"/>
              <w:rPr>
                <w:rFonts w:hint="eastAsia"/>
                <w:w w:val="90"/>
              </w:rPr>
            </w:pPr>
            <w:r>
              <w:rPr>
                <w:rFonts w:hint="eastAsia"/>
                <w:w w:val="90"/>
              </w:rPr>
              <w:t>1</w:t>
            </w:r>
          </w:p>
        </w:tc>
        <w:tc>
          <w:tcPr>
            <w:tcW w:w="206" w:type="pct"/>
            <w:vAlign w:val="center"/>
          </w:tcPr>
          <w:p w14:paraId="29DE2137">
            <w:pPr>
              <w:pStyle w:val="13"/>
              <w:jc w:val="center"/>
              <w:rPr>
                <w:rFonts w:hint="eastAsia"/>
                <w:w w:val="90"/>
              </w:rPr>
            </w:pPr>
            <w:r>
              <w:rPr>
                <w:rFonts w:hint="eastAsia"/>
                <w:w w:val="90"/>
              </w:rPr>
              <w:t>51</w:t>
            </w:r>
          </w:p>
        </w:tc>
        <w:tc>
          <w:tcPr>
            <w:tcW w:w="228" w:type="pct"/>
            <w:vAlign w:val="center"/>
          </w:tcPr>
          <w:p w14:paraId="569B2023">
            <w:pPr>
              <w:pStyle w:val="13"/>
              <w:jc w:val="center"/>
              <w:rPr>
                <w:rFonts w:hint="eastAsia"/>
                <w:w w:val="90"/>
              </w:rPr>
            </w:pPr>
            <w:r>
              <w:rPr>
                <w:rFonts w:hint="eastAsia"/>
                <w:w w:val="90"/>
              </w:rPr>
              <w:t>75</w:t>
            </w:r>
          </w:p>
        </w:tc>
        <w:tc>
          <w:tcPr>
            <w:tcW w:w="228" w:type="pct"/>
            <w:vAlign w:val="center"/>
          </w:tcPr>
          <w:p w14:paraId="770F5EE5">
            <w:pPr>
              <w:pStyle w:val="13"/>
              <w:jc w:val="center"/>
              <w:rPr>
                <w:rFonts w:hint="eastAsia"/>
                <w:w w:val="90"/>
              </w:rPr>
            </w:pPr>
            <w:r>
              <w:rPr>
                <w:rFonts w:hint="eastAsia"/>
                <w:w w:val="90"/>
              </w:rPr>
              <w:t>61</w:t>
            </w:r>
          </w:p>
        </w:tc>
        <w:tc>
          <w:tcPr>
            <w:tcW w:w="211" w:type="pct"/>
            <w:vAlign w:val="center"/>
          </w:tcPr>
          <w:p w14:paraId="74AAC2AD">
            <w:pPr>
              <w:pStyle w:val="13"/>
              <w:jc w:val="center"/>
              <w:rPr>
                <w:rFonts w:hint="eastAsia"/>
                <w:w w:val="90"/>
              </w:rPr>
            </w:pPr>
            <w:r>
              <w:rPr>
                <w:rFonts w:hint="eastAsia"/>
                <w:w w:val="90"/>
              </w:rPr>
              <w:t>52</w:t>
            </w:r>
          </w:p>
        </w:tc>
      </w:tr>
      <w:tr w14:paraId="331B6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384" w:type="pct"/>
            <w:vAlign w:val="center"/>
          </w:tcPr>
          <w:p w14:paraId="6846E19A">
            <w:pPr>
              <w:pStyle w:val="13"/>
              <w:jc w:val="center"/>
              <w:rPr>
                <w:rFonts w:hint="eastAsia"/>
                <w:w w:val="90"/>
              </w:rPr>
            </w:pPr>
            <w:r>
              <w:rPr>
                <w:rFonts w:hint="eastAsia"/>
                <w:w w:val="90"/>
              </w:rPr>
              <w:t>宝江</w:t>
            </w:r>
          </w:p>
          <w:p w14:paraId="23D9207F">
            <w:pPr>
              <w:pStyle w:val="13"/>
              <w:jc w:val="center"/>
              <w:rPr>
                <w:rFonts w:hint="eastAsia"/>
                <w:w w:val="90"/>
              </w:rPr>
            </w:pPr>
            <w:r>
              <w:rPr>
                <w:rFonts w:hint="eastAsia"/>
                <w:w w:val="90"/>
              </w:rPr>
              <w:t>灌区</w:t>
            </w:r>
          </w:p>
        </w:tc>
        <w:tc>
          <w:tcPr>
            <w:tcW w:w="291" w:type="pct"/>
            <w:vAlign w:val="center"/>
          </w:tcPr>
          <w:p w14:paraId="0E9D91E4">
            <w:pPr>
              <w:pStyle w:val="13"/>
              <w:jc w:val="center"/>
              <w:rPr>
                <w:rFonts w:hint="eastAsia"/>
                <w:w w:val="90"/>
              </w:rPr>
            </w:pPr>
            <w:r>
              <w:rPr>
                <w:rFonts w:hint="eastAsia"/>
                <w:w w:val="90"/>
              </w:rPr>
              <w:t>水口</w:t>
            </w:r>
          </w:p>
        </w:tc>
        <w:tc>
          <w:tcPr>
            <w:tcW w:w="216" w:type="pct"/>
            <w:vAlign w:val="center"/>
          </w:tcPr>
          <w:p w14:paraId="238992FB">
            <w:pPr>
              <w:pStyle w:val="13"/>
              <w:jc w:val="center"/>
              <w:rPr>
                <w:rFonts w:hint="eastAsia"/>
                <w:w w:val="90"/>
              </w:rPr>
            </w:pPr>
            <w:r>
              <w:rPr>
                <w:rFonts w:hint="eastAsia"/>
                <w:w w:val="90"/>
              </w:rPr>
              <w:t>2</w:t>
            </w:r>
          </w:p>
        </w:tc>
        <w:tc>
          <w:tcPr>
            <w:tcW w:w="360" w:type="pct"/>
            <w:vAlign w:val="center"/>
          </w:tcPr>
          <w:p w14:paraId="54ABA433">
            <w:pPr>
              <w:pStyle w:val="13"/>
              <w:jc w:val="center"/>
              <w:rPr>
                <w:rFonts w:hint="eastAsia"/>
                <w:w w:val="90"/>
              </w:rPr>
            </w:pPr>
            <w:r>
              <w:rPr>
                <w:rFonts w:hint="eastAsia"/>
                <w:w w:val="90"/>
              </w:rPr>
              <w:t>36.5</w:t>
            </w:r>
          </w:p>
        </w:tc>
        <w:tc>
          <w:tcPr>
            <w:tcW w:w="216" w:type="pct"/>
            <w:vAlign w:val="center"/>
          </w:tcPr>
          <w:p w14:paraId="11F45912">
            <w:pPr>
              <w:pStyle w:val="13"/>
              <w:jc w:val="center"/>
              <w:rPr>
                <w:rFonts w:hint="eastAsia"/>
                <w:w w:val="90"/>
              </w:rPr>
            </w:pPr>
            <w:r>
              <w:rPr>
                <w:rFonts w:hint="eastAsia"/>
                <w:w w:val="90"/>
              </w:rPr>
              <w:t>1.4</w:t>
            </w:r>
          </w:p>
        </w:tc>
        <w:tc>
          <w:tcPr>
            <w:tcW w:w="217" w:type="pct"/>
            <w:vAlign w:val="center"/>
          </w:tcPr>
          <w:p w14:paraId="52F4A0CB">
            <w:pPr>
              <w:pStyle w:val="13"/>
              <w:jc w:val="center"/>
              <w:rPr>
                <w:rFonts w:hint="eastAsia"/>
                <w:w w:val="90"/>
              </w:rPr>
            </w:pPr>
            <w:r>
              <w:rPr>
                <w:rFonts w:hint="eastAsia"/>
                <w:w w:val="90"/>
              </w:rPr>
              <w:t>0.8</w:t>
            </w:r>
          </w:p>
        </w:tc>
        <w:tc>
          <w:tcPr>
            <w:tcW w:w="216" w:type="pct"/>
            <w:vAlign w:val="center"/>
          </w:tcPr>
          <w:p w14:paraId="5048C40F">
            <w:pPr>
              <w:pStyle w:val="13"/>
              <w:jc w:val="center"/>
              <w:rPr>
                <w:rFonts w:hint="eastAsia"/>
                <w:w w:val="90"/>
              </w:rPr>
            </w:pPr>
            <w:r>
              <w:rPr>
                <w:rFonts w:hint="eastAsia"/>
                <w:w w:val="90"/>
              </w:rPr>
              <w:t>90</w:t>
            </w:r>
          </w:p>
        </w:tc>
        <w:tc>
          <w:tcPr>
            <w:tcW w:w="215" w:type="pct"/>
            <w:vAlign w:val="center"/>
          </w:tcPr>
          <w:p w14:paraId="224A9ECB">
            <w:pPr>
              <w:pStyle w:val="13"/>
              <w:jc w:val="center"/>
              <w:rPr>
                <w:rFonts w:hint="eastAsia"/>
                <w:w w:val="90"/>
              </w:rPr>
            </w:pPr>
            <w:r>
              <w:rPr>
                <w:rFonts w:hint="eastAsia"/>
                <w:w w:val="90"/>
              </w:rPr>
              <w:t>90</w:t>
            </w:r>
          </w:p>
        </w:tc>
        <w:tc>
          <w:tcPr>
            <w:tcW w:w="216" w:type="pct"/>
            <w:vAlign w:val="center"/>
          </w:tcPr>
          <w:p w14:paraId="11907B7D">
            <w:pPr>
              <w:pStyle w:val="13"/>
              <w:jc w:val="center"/>
              <w:rPr>
                <w:rFonts w:hint="eastAsia"/>
                <w:w w:val="90"/>
              </w:rPr>
            </w:pPr>
            <w:r>
              <w:rPr>
                <w:rFonts w:hint="eastAsia"/>
                <w:w w:val="90"/>
              </w:rPr>
              <w:t>0.5</w:t>
            </w:r>
          </w:p>
        </w:tc>
        <w:tc>
          <w:tcPr>
            <w:tcW w:w="287" w:type="pct"/>
            <w:vAlign w:val="center"/>
          </w:tcPr>
          <w:p w14:paraId="2EBD78F5">
            <w:pPr>
              <w:pStyle w:val="13"/>
              <w:jc w:val="center"/>
              <w:rPr>
                <w:rFonts w:hint="eastAsia"/>
                <w:w w:val="90"/>
              </w:rPr>
            </w:pPr>
            <w:r>
              <w:rPr>
                <w:rFonts w:hint="eastAsia"/>
                <w:w w:val="90"/>
              </w:rPr>
              <w:t>49</w:t>
            </w:r>
          </w:p>
        </w:tc>
        <w:tc>
          <w:tcPr>
            <w:tcW w:w="288" w:type="pct"/>
            <w:vAlign w:val="center"/>
          </w:tcPr>
          <w:p w14:paraId="24F342C3">
            <w:pPr>
              <w:pStyle w:val="13"/>
              <w:jc w:val="center"/>
              <w:rPr>
                <w:rFonts w:hint="eastAsia"/>
                <w:w w:val="90"/>
              </w:rPr>
            </w:pPr>
            <w:r>
              <w:rPr>
                <w:rFonts w:hint="eastAsia"/>
                <w:w w:val="90"/>
              </w:rPr>
              <w:t>32</w:t>
            </w:r>
          </w:p>
        </w:tc>
        <w:tc>
          <w:tcPr>
            <w:tcW w:w="216" w:type="pct"/>
            <w:vAlign w:val="center"/>
          </w:tcPr>
          <w:p w14:paraId="727EF2EB">
            <w:pPr>
              <w:pStyle w:val="13"/>
              <w:jc w:val="center"/>
              <w:rPr>
                <w:rFonts w:hint="eastAsia"/>
                <w:w w:val="90"/>
              </w:rPr>
            </w:pPr>
            <w:r>
              <w:rPr>
                <w:rFonts w:hint="eastAsia"/>
                <w:w w:val="90"/>
              </w:rPr>
              <w:t>5</w:t>
            </w:r>
          </w:p>
        </w:tc>
        <w:tc>
          <w:tcPr>
            <w:tcW w:w="213" w:type="pct"/>
            <w:vAlign w:val="center"/>
          </w:tcPr>
          <w:p w14:paraId="3B32CC6E">
            <w:pPr>
              <w:pStyle w:val="13"/>
              <w:jc w:val="center"/>
              <w:rPr>
                <w:rFonts w:hint="eastAsia"/>
                <w:w w:val="90"/>
              </w:rPr>
            </w:pPr>
            <w:r>
              <w:rPr>
                <w:rFonts w:hint="eastAsia"/>
                <w:w w:val="90"/>
              </w:rPr>
              <w:t>70</w:t>
            </w:r>
          </w:p>
        </w:tc>
        <w:tc>
          <w:tcPr>
            <w:tcW w:w="287" w:type="pct"/>
            <w:vAlign w:val="center"/>
          </w:tcPr>
          <w:p w14:paraId="16AA9FAE">
            <w:pPr>
              <w:pStyle w:val="13"/>
              <w:jc w:val="center"/>
              <w:rPr>
                <w:rFonts w:hint="eastAsia"/>
                <w:w w:val="90"/>
              </w:rPr>
            </w:pPr>
            <w:r>
              <w:rPr>
                <w:rFonts w:hint="eastAsia"/>
                <w:w w:val="90"/>
              </w:rPr>
              <w:t>25</w:t>
            </w:r>
          </w:p>
        </w:tc>
        <w:tc>
          <w:tcPr>
            <w:tcW w:w="267" w:type="pct"/>
            <w:vAlign w:val="center"/>
          </w:tcPr>
          <w:p w14:paraId="4196C777">
            <w:pPr>
              <w:pStyle w:val="13"/>
              <w:jc w:val="center"/>
              <w:rPr>
                <w:rFonts w:hint="eastAsia"/>
                <w:w w:val="90"/>
              </w:rPr>
            </w:pPr>
            <w:r>
              <w:rPr>
                <w:rFonts w:hint="eastAsia"/>
                <w:w w:val="90"/>
              </w:rPr>
              <w:t>21.3</w:t>
            </w:r>
          </w:p>
        </w:tc>
        <w:tc>
          <w:tcPr>
            <w:tcW w:w="237" w:type="pct"/>
            <w:vAlign w:val="center"/>
          </w:tcPr>
          <w:p w14:paraId="18390DE7">
            <w:pPr>
              <w:pStyle w:val="13"/>
              <w:jc w:val="center"/>
              <w:rPr>
                <w:rFonts w:hint="eastAsia"/>
                <w:w w:val="90"/>
              </w:rPr>
            </w:pPr>
            <w:r>
              <w:rPr>
                <w:rFonts w:hint="eastAsia"/>
                <w:w w:val="90"/>
              </w:rPr>
              <w:t>2</w:t>
            </w:r>
          </w:p>
        </w:tc>
        <w:tc>
          <w:tcPr>
            <w:tcW w:w="206" w:type="pct"/>
            <w:vAlign w:val="center"/>
          </w:tcPr>
          <w:p w14:paraId="458DB8C0">
            <w:pPr>
              <w:pStyle w:val="13"/>
              <w:jc w:val="center"/>
              <w:rPr>
                <w:rFonts w:hint="eastAsia"/>
                <w:w w:val="90"/>
              </w:rPr>
            </w:pPr>
            <w:r>
              <w:rPr>
                <w:rFonts w:hint="eastAsia"/>
                <w:w w:val="90"/>
              </w:rPr>
              <w:t>42</w:t>
            </w:r>
          </w:p>
        </w:tc>
        <w:tc>
          <w:tcPr>
            <w:tcW w:w="228" w:type="pct"/>
            <w:vAlign w:val="center"/>
          </w:tcPr>
          <w:p w14:paraId="787B43C5">
            <w:pPr>
              <w:pStyle w:val="13"/>
              <w:jc w:val="center"/>
              <w:rPr>
                <w:rFonts w:hint="eastAsia"/>
                <w:w w:val="90"/>
              </w:rPr>
            </w:pPr>
            <w:r>
              <w:rPr>
                <w:rFonts w:hint="eastAsia"/>
                <w:w w:val="90"/>
              </w:rPr>
              <w:t>85</w:t>
            </w:r>
          </w:p>
        </w:tc>
        <w:tc>
          <w:tcPr>
            <w:tcW w:w="228" w:type="pct"/>
            <w:vAlign w:val="center"/>
          </w:tcPr>
          <w:p w14:paraId="16B09903">
            <w:pPr>
              <w:pStyle w:val="13"/>
              <w:jc w:val="center"/>
              <w:rPr>
                <w:rFonts w:hint="eastAsia"/>
                <w:w w:val="90"/>
              </w:rPr>
            </w:pPr>
            <w:r>
              <w:rPr>
                <w:rFonts w:hint="eastAsia"/>
                <w:w w:val="90"/>
              </w:rPr>
              <w:t>80</w:t>
            </w:r>
          </w:p>
        </w:tc>
        <w:tc>
          <w:tcPr>
            <w:tcW w:w="211" w:type="pct"/>
            <w:vAlign w:val="center"/>
          </w:tcPr>
          <w:p w14:paraId="7519841F">
            <w:pPr>
              <w:pStyle w:val="13"/>
              <w:jc w:val="center"/>
              <w:rPr>
                <w:rFonts w:hint="eastAsia"/>
                <w:w w:val="90"/>
              </w:rPr>
            </w:pPr>
            <w:r>
              <w:rPr>
                <w:rFonts w:hint="eastAsia"/>
                <w:w w:val="90"/>
              </w:rPr>
              <w:t>69</w:t>
            </w:r>
          </w:p>
        </w:tc>
      </w:tr>
      <w:tr w14:paraId="5AC7A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384" w:type="pct"/>
            <w:vAlign w:val="center"/>
          </w:tcPr>
          <w:p w14:paraId="7169F67F">
            <w:pPr>
              <w:pStyle w:val="13"/>
              <w:jc w:val="center"/>
              <w:rPr>
                <w:rFonts w:hint="eastAsia"/>
                <w:w w:val="90"/>
              </w:rPr>
            </w:pPr>
            <w:r>
              <w:rPr>
                <w:rFonts w:hint="eastAsia"/>
                <w:w w:val="90"/>
              </w:rPr>
              <w:t>瀑布</w:t>
            </w:r>
          </w:p>
          <w:p w14:paraId="3897AD02">
            <w:pPr>
              <w:pStyle w:val="13"/>
              <w:jc w:val="center"/>
              <w:rPr>
                <w:rFonts w:hint="eastAsia"/>
                <w:w w:val="90"/>
              </w:rPr>
            </w:pPr>
            <w:r>
              <w:rPr>
                <w:rFonts w:hint="eastAsia"/>
                <w:w w:val="90"/>
              </w:rPr>
              <w:t>灌区</w:t>
            </w:r>
          </w:p>
        </w:tc>
        <w:tc>
          <w:tcPr>
            <w:tcW w:w="291" w:type="pct"/>
            <w:vAlign w:val="center"/>
          </w:tcPr>
          <w:p w14:paraId="75C39812">
            <w:pPr>
              <w:pStyle w:val="13"/>
              <w:jc w:val="center"/>
              <w:rPr>
                <w:rFonts w:hint="eastAsia"/>
                <w:w w:val="90"/>
              </w:rPr>
            </w:pPr>
            <w:r>
              <w:rPr>
                <w:rFonts w:hint="eastAsia"/>
                <w:w w:val="90"/>
              </w:rPr>
              <w:t>主田</w:t>
            </w:r>
          </w:p>
        </w:tc>
        <w:tc>
          <w:tcPr>
            <w:tcW w:w="216" w:type="pct"/>
            <w:vAlign w:val="center"/>
          </w:tcPr>
          <w:p w14:paraId="49FF4C3D">
            <w:pPr>
              <w:pStyle w:val="13"/>
              <w:jc w:val="center"/>
              <w:rPr>
                <w:rFonts w:hint="eastAsia"/>
                <w:w w:val="90"/>
              </w:rPr>
            </w:pPr>
            <w:r>
              <w:rPr>
                <w:rFonts w:hint="eastAsia"/>
                <w:w w:val="90"/>
              </w:rPr>
              <w:t>3</w:t>
            </w:r>
          </w:p>
        </w:tc>
        <w:tc>
          <w:tcPr>
            <w:tcW w:w="360" w:type="pct"/>
            <w:vAlign w:val="center"/>
          </w:tcPr>
          <w:p w14:paraId="1CEA2132">
            <w:pPr>
              <w:pStyle w:val="13"/>
              <w:jc w:val="center"/>
              <w:rPr>
                <w:rFonts w:hint="eastAsia"/>
                <w:w w:val="90"/>
              </w:rPr>
            </w:pPr>
            <w:r>
              <w:rPr>
                <w:rFonts w:hint="eastAsia"/>
                <w:w w:val="90"/>
              </w:rPr>
              <w:t>1000</w:t>
            </w:r>
          </w:p>
        </w:tc>
        <w:tc>
          <w:tcPr>
            <w:tcW w:w="216" w:type="pct"/>
            <w:vAlign w:val="center"/>
          </w:tcPr>
          <w:p w14:paraId="12CBC11A">
            <w:pPr>
              <w:pStyle w:val="13"/>
              <w:jc w:val="center"/>
              <w:rPr>
                <w:rFonts w:hint="eastAsia"/>
                <w:w w:val="90"/>
              </w:rPr>
            </w:pPr>
            <w:r>
              <w:rPr>
                <w:rFonts w:hint="eastAsia"/>
                <w:w w:val="90"/>
              </w:rPr>
              <w:t>2.5</w:t>
            </w:r>
          </w:p>
        </w:tc>
        <w:tc>
          <w:tcPr>
            <w:tcW w:w="217" w:type="pct"/>
            <w:vAlign w:val="center"/>
          </w:tcPr>
          <w:p w14:paraId="3FE1B00B">
            <w:pPr>
              <w:pStyle w:val="13"/>
              <w:jc w:val="center"/>
              <w:rPr>
                <w:rFonts w:hint="eastAsia"/>
                <w:w w:val="90"/>
              </w:rPr>
            </w:pPr>
            <w:r>
              <w:rPr>
                <w:rFonts w:hint="eastAsia"/>
                <w:w w:val="90"/>
              </w:rPr>
              <w:t>1.5</w:t>
            </w:r>
          </w:p>
        </w:tc>
        <w:tc>
          <w:tcPr>
            <w:tcW w:w="216" w:type="pct"/>
            <w:vAlign w:val="center"/>
          </w:tcPr>
          <w:p w14:paraId="4FD92F54">
            <w:pPr>
              <w:pStyle w:val="13"/>
              <w:jc w:val="center"/>
              <w:rPr>
                <w:rFonts w:hint="eastAsia"/>
                <w:w w:val="90"/>
              </w:rPr>
            </w:pPr>
            <w:r>
              <w:rPr>
                <w:rFonts w:hint="eastAsia"/>
                <w:w w:val="90"/>
              </w:rPr>
              <w:t>90</w:t>
            </w:r>
          </w:p>
        </w:tc>
        <w:tc>
          <w:tcPr>
            <w:tcW w:w="215" w:type="pct"/>
            <w:vAlign w:val="center"/>
          </w:tcPr>
          <w:p w14:paraId="65B31C95">
            <w:pPr>
              <w:pStyle w:val="13"/>
              <w:jc w:val="center"/>
              <w:rPr>
                <w:rFonts w:hint="eastAsia"/>
                <w:w w:val="90"/>
              </w:rPr>
            </w:pPr>
            <w:r>
              <w:rPr>
                <w:rFonts w:hint="eastAsia"/>
                <w:w w:val="90"/>
              </w:rPr>
              <w:t>75</w:t>
            </w:r>
          </w:p>
        </w:tc>
        <w:tc>
          <w:tcPr>
            <w:tcW w:w="216" w:type="pct"/>
            <w:vAlign w:val="center"/>
          </w:tcPr>
          <w:p w14:paraId="62BD23FD">
            <w:pPr>
              <w:pStyle w:val="13"/>
              <w:jc w:val="center"/>
              <w:rPr>
                <w:rFonts w:hint="eastAsia"/>
                <w:w w:val="90"/>
              </w:rPr>
            </w:pPr>
            <w:r>
              <w:rPr>
                <w:rFonts w:hint="eastAsia"/>
                <w:w w:val="90"/>
              </w:rPr>
              <w:t>45</w:t>
            </w:r>
          </w:p>
        </w:tc>
        <w:tc>
          <w:tcPr>
            <w:tcW w:w="287" w:type="pct"/>
            <w:vAlign w:val="center"/>
          </w:tcPr>
          <w:p w14:paraId="11BF98AB">
            <w:pPr>
              <w:pStyle w:val="13"/>
              <w:jc w:val="center"/>
              <w:rPr>
                <w:rFonts w:hint="eastAsia"/>
                <w:w w:val="90"/>
              </w:rPr>
            </w:pPr>
            <w:r>
              <w:rPr>
                <w:rFonts w:hint="eastAsia"/>
                <w:w w:val="90"/>
              </w:rPr>
              <w:t>100.6</w:t>
            </w:r>
          </w:p>
        </w:tc>
        <w:tc>
          <w:tcPr>
            <w:tcW w:w="288" w:type="pct"/>
            <w:vAlign w:val="center"/>
          </w:tcPr>
          <w:p w14:paraId="5C6960FB">
            <w:pPr>
              <w:pStyle w:val="13"/>
              <w:jc w:val="center"/>
              <w:rPr>
                <w:rFonts w:hint="eastAsia"/>
                <w:w w:val="90"/>
              </w:rPr>
            </w:pPr>
            <w:r>
              <w:rPr>
                <w:rFonts w:hint="eastAsia"/>
                <w:w w:val="90"/>
              </w:rPr>
              <w:t>77.6</w:t>
            </w:r>
          </w:p>
        </w:tc>
        <w:tc>
          <w:tcPr>
            <w:tcW w:w="216" w:type="pct"/>
            <w:vAlign w:val="center"/>
          </w:tcPr>
          <w:p w14:paraId="13D111EB">
            <w:pPr>
              <w:pStyle w:val="13"/>
              <w:jc w:val="center"/>
              <w:rPr>
                <w:rFonts w:hint="eastAsia"/>
                <w:w w:val="90"/>
              </w:rPr>
            </w:pPr>
            <w:r>
              <w:rPr>
                <w:rFonts w:hint="eastAsia"/>
                <w:w w:val="90"/>
              </w:rPr>
              <w:t>9.8</w:t>
            </w:r>
          </w:p>
        </w:tc>
        <w:tc>
          <w:tcPr>
            <w:tcW w:w="213" w:type="pct"/>
            <w:vAlign w:val="center"/>
          </w:tcPr>
          <w:p w14:paraId="3099AA8D">
            <w:pPr>
              <w:pStyle w:val="13"/>
              <w:jc w:val="center"/>
              <w:rPr>
                <w:rFonts w:hint="eastAsia"/>
                <w:w w:val="90"/>
              </w:rPr>
            </w:pPr>
            <w:r>
              <w:rPr>
                <w:rFonts w:hint="eastAsia"/>
                <w:w w:val="90"/>
              </w:rPr>
              <w:t>67</w:t>
            </w:r>
          </w:p>
        </w:tc>
        <w:tc>
          <w:tcPr>
            <w:tcW w:w="287" w:type="pct"/>
            <w:vAlign w:val="center"/>
          </w:tcPr>
          <w:p w14:paraId="0F87D692">
            <w:pPr>
              <w:pStyle w:val="13"/>
              <w:jc w:val="center"/>
              <w:rPr>
                <w:rFonts w:hint="eastAsia"/>
                <w:w w:val="90"/>
              </w:rPr>
            </w:pPr>
            <w:r>
              <w:rPr>
                <w:rFonts w:hint="eastAsia"/>
                <w:w w:val="90"/>
              </w:rPr>
              <w:t>47.4</w:t>
            </w:r>
          </w:p>
        </w:tc>
        <w:tc>
          <w:tcPr>
            <w:tcW w:w="267" w:type="pct"/>
            <w:vAlign w:val="center"/>
          </w:tcPr>
          <w:p w14:paraId="5610F325">
            <w:pPr>
              <w:pStyle w:val="13"/>
              <w:jc w:val="center"/>
              <w:rPr>
                <w:rFonts w:hint="eastAsia"/>
                <w:w w:val="90"/>
              </w:rPr>
            </w:pPr>
            <w:r>
              <w:rPr>
                <w:rFonts w:hint="eastAsia"/>
                <w:w w:val="90"/>
              </w:rPr>
              <w:t>47.4</w:t>
            </w:r>
          </w:p>
        </w:tc>
        <w:tc>
          <w:tcPr>
            <w:tcW w:w="237" w:type="pct"/>
            <w:vAlign w:val="center"/>
          </w:tcPr>
          <w:p w14:paraId="7712AF59">
            <w:pPr>
              <w:pStyle w:val="13"/>
              <w:jc w:val="center"/>
              <w:rPr>
                <w:rFonts w:hint="eastAsia"/>
                <w:w w:val="90"/>
              </w:rPr>
            </w:pPr>
            <w:r>
              <w:rPr>
                <w:rFonts w:hint="eastAsia"/>
                <w:w w:val="90"/>
              </w:rPr>
              <w:t>8</w:t>
            </w:r>
          </w:p>
        </w:tc>
        <w:tc>
          <w:tcPr>
            <w:tcW w:w="206" w:type="pct"/>
            <w:vAlign w:val="center"/>
          </w:tcPr>
          <w:p w14:paraId="4999B15F">
            <w:pPr>
              <w:pStyle w:val="13"/>
              <w:jc w:val="center"/>
              <w:rPr>
                <w:rFonts w:hint="eastAsia"/>
                <w:w w:val="90"/>
              </w:rPr>
            </w:pPr>
            <w:r>
              <w:rPr>
                <w:rFonts w:hint="eastAsia"/>
                <w:w w:val="90"/>
              </w:rPr>
              <w:t>40</w:t>
            </w:r>
          </w:p>
        </w:tc>
        <w:tc>
          <w:tcPr>
            <w:tcW w:w="228" w:type="pct"/>
            <w:vAlign w:val="center"/>
          </w:tcPr>
          <w:p w14:paraId="782F69FB">
            <w:pPr>
              <w:pStyle w:val="13"/>
              <w:jc w:val="center"/>
              <w:rPr>
                <w:rFonts w:hint="eastAsia"/>
                <w:w w:val="90"/>
              </w:rPr>
            </w:pPr>
            <w:r>
              <w:rPr>
                <w:rFonts w:hint="eastAsia"/>
                <w:w w:val="90"/>
              </w:rPr>
              <w:t>90</w:t>
            </w:r>
          </w:p>
        </w:tc>
        <w:tc>
          <w:tcPr>
            <w:tcW w:w="228" w:type="pct"/>
            <w:vAlign w:val="center"/>
          </w:tcPr>
          <w:p w14:paraId="35074315">
            <w:pPr>
              <w:pStyle w:val="13"/>
              <w:jc w:val="center"/>
              <w:rPr>
                <w:rFonts w:hint="eastAsia"/>
                <w:w w:val="90"/>
              </w:rPr>
            </w:pPr>
            <w:r>
              <w:rPr>
                <w:rFonts w:hint="eastAsia"/>
                <w:w w:val="90"/>
              </w:rPr>
              <w:t>70</w:t>
            </w:r>
          </w:p>
        </w:tc>
        <w:tc>
          <w:tcPr>
            <w:tcW w:w="211" w:type="pct"/>
            <w:vAlign w:val="center"/>
          </w:tcPr>
          <w:p w14:paraId="4D9FAFDB">
            <w:pPr>
              <w:pStyle w:val="13"/>
              <w:jc w:val="center"/>
              <w:rPr>
                <w:rFonts w:hint="eastAsia"/>
                <w:w w:val="90"/>
              </w:rPr>
            </w:pPr>
            <w:r>
              <w:rPr>
                <w:rFonts w:hint="eastAsia"/>
                <w:w w:val="90"/>
              </w:rPr>
              <w:t>60</w:t>
            </w:r>
          </w:p>
        </w:tc>
      </w:tr>
      <w:tr w14:paraId="66FF02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384" w:type="pct"/>
            <w:vAlign w:val="center"/>
          </w:tcPr>
          <w:p w14:paraId="4D6E0FE8">
            <w:pPr>
              <w:pStyle w:val="13"/>
              <w:jc w:val="center"/>
              <w:rPr>
                <w:rFonts w:hint="eastAsia"/>
                <w:w w:val="90"/>
              </w:rPr>
            </w:pPr>
            <w:r>
              <w:rPr>
                <w:rFonts w:hint="eastAsia"/>
                <w:w w:val="90"/>
              </w:rPr>
              <w:t>乌坭</w:t>
            </w:r>
          </w:p>
          <w:p w14:paraId="2AF8C78D">
            <w:pPr>
              <w:pStyle w:val="13"/>
              <w:jc w:val="center"/>
              <w:rPr>
                <w:rFonts w:hint="eastAsia"/>
                <w:w w:val="90"/>
              </w:rPr>
            </w:pPr>
            <w:r>
              <w:rPr>
                <w:rFonts w:hint="eastAsia"/>
                <w:w w:val="90"/>
              </w:rPr>
              <w:t>灌区</w:t>
            </w:r>
          </w:p>
        </w:tc>
        <w:tc>
          <w:tcPr>
            <w:tcW w:w="291" w:type="pct"/>
            <w:vAlign w:val="center"/>
          </w:tcPr>
          <w:p w14:paraId="226D26A3">
            <w:pPr>
              <w:pStyle w:val="13"/>
              <w:jc w:val="center"/>
              <w:rPr>
                <w:rFonts w:hint="eastAsia"/>
                <w:w w:val="90"/>
              </w:rPr>
            </w:pPr>
            <w:r>
              <w:rPr>
                <w:rFonts w:hint="eastAsia"/>
                <w:w w:val="90"/>
              </w:rPr>
              <w:t>珠玑</w:t>
            </w:r>
          </w:p>
        </w:tc>
        <w:tc>
          <w:tcPr>
            <w:tcW w:w="216" w:type="pct"/>
            <w:vAlign w:val="center"/>
          </w:tcPr>
          <w:p w14:paraId="7311156C">
            <w:pPr>
              <w:pStyle w:val="13"/>
              <w:jc w:val="center"/>
              <w:rPr>
                <w:rFonts w:hint="eastAsia"/>
                <w:w w:val="90"/>
              </w:rPr>
            </w:pPr>
            <w:r>
              <w:rPr>
                <w:rFonts w:hint="eastAsia"/>
                <w:w w:val="90"/>
              </w:rPr>
              <w:t>0.5</w:t>
            </w:r>
          </w:p>
        </w:tc>
        <w:tc>
          <w:tcPr>
            <w:tcW w:w="360" w:type="pct"/>
            <w:vAlign w:val="center"/>
          </w:tcPr>
          <w:p w14:paraId="5B16D8A5">
            <w:pPr>
              <w:pStyle w:val="13"/>
              <w:jc w:val="center"/>
              <w:rPr>
                <w:rFonts w:hint="eastAsia"/>
                <w:w w:val="90"/>
              </w:rPr>
            </w:pPr>
          </w:p>
        </w:tc>
        <w:tc>
          <w:tcPr>
            <w:tcW w:w="216" w:type="pct"/>
            <w:vAlign w:val="center"/>
          </w:tcPr>
          <w:p w14:paraId="0E2921E0">
            <w:pPr>
              <w:pStyle w:val="13"/>
              <w:jc w:val="center"/>
              <w:rPr>
                <w:rFonts w:hint="eastAsia"/>
                <w:w w:val="90"/>
              </w:rPr>
            </w:pPr>
            <w:r>
              <w:rPr>
                <w:rFonts w:hint="eastAsia"/>
                <w:w w:val="90"/>
              </w:rPr>
              <w:t>0.7</w:t>
            </w:r>
          </w:p>
        </w:tc>
        <w:tc>
          <w:tcPr>
            <w:tcW w:w="217" w:type="pct"/>
            <w:vAlign w:val="center"/>
          </w:tcPr>
          <w:p w14:paraId="444D4E5B">
            <w:pPr>
              <w:pStyle w:val="13"/>
              <w:jc w:val="center"/>
              <w:rPr>
                <w:rFonts w:hint="eastAsia"/>
                <w:w w:val="90"/>
              </w:rPr>
            </w:pPr>
            <w:r>
              <w:rPr>
                <w:rFonts w:hint="eastAsia"/>
                <w:w w:val="90"/>
              </w:rPr>
              <w:t>0.3</w:t>
            </w:r>
          </w:p>
        </w:tc>
        <w:tc>
          <w:tcPr>
            <w:tcW w:w="216" w:type="pct"/>
            <w:vAlign w:val="center"/>
          </w:tcPr>
          <w:p w14:paraId="7F61C8D5">
            <w:pPr>
              <w:pStyle w:val="13"/>
              <w:jc w:val="center"/>
              <w:rPr>
                <w:rFonts w:hint="eastAsia"/>
                <w:w w:val="90"/>
              </w:rPr>
            </w:pPr>
            <w:r>
              <w:rPr>
                <w:rFonts w:hint="eastAsia"/>
                <w:w w:val="90"/>
              </w:rPr>
              <w:t>90</w:t>
            </w:r>
          </w:p>
        </w:tc>
        <w:tc>
          <w:tcPr>
            <w:tcW w:w="215" w:type="pct"/>
            <w:vAlign w:val="center"/>
          </w:tcPr>
          <w:p w14:paraId="59DFE7A8">
            <w:pPr>
              <w:pStyle w:val="13"/>
              <w:jc w:val="center"/>
              <w:rPr>
                <w:rFonts w:hint="eastAsia"/>
                <w:w w:val="90"/>
              </w:rPr>
            </w:pPr>
            <w:r>
              <w:rPr>
                <w:rFonts w:hint="eastAsia"/>
                <w:w w:val="90"/>
              </w:rPr>
              <w:t>75</w:t>
            </w:r>
          </w:p>
        </w:tc>
        <w:tc>
          <w:tcPr>
            <w:tcW w:w="216" w:type="pct"/>
            <w:vAlign w:val="center"/>
          </w:tcPr>
          <w:p w14:paraId="41490687">
            <w:pPr>
              <w:pStyle w:val="13"/>
              <w:jc w:val="center"/>
              <w:rPr>
                <w:rFonts w:hint="eastAsia"/>
                <w:w w:val="90"/>
              </w:rPr>
            </w:pPr>
            <w:r>
              <w:rPr>
                <w:rFonts w:hint="eastAsia"/>
                <w:w w:val="90"/>
              </w:rPr>
              <w:t>0.5</w:t>
            </w:r>
          </w:p>
        </w:tc>
        <w:tc>
          <w:tcPr>
            <w:tcW w:w="287" w:type="pct"/>
            <w:vAlign w:val="center"/>
          </w:tcPr>
          <w:p w14:paraId="3929D90A">
            <w:pPr>
              <w:pStyle w:val="13"/>
              <w:jc w:val="center"/>
              <w:rPr>
                <w:rFonts w:hint="eastAsia"/>
                <w:w w:val="90"/>
              </w:rPr>
            </w:pPr>
            <w:r>
              <w:rPr>
                <w:rFonts w:hint="eastAsia"/>
                <w:w w:val="90"/>
              </w:rPr>
              <w:t>27.5</w:t>
            </w:r>
          </w:p>
        </w:tc>
        <w:tc>
          <w:tcPr>
            <w:tcW w:w="288" w:type="pct"/>
            <w:vAlign w:val="center"/>
          </w:tcPr>
          <w:p w14:paraId="09F71A87">
            <w:pPr>
              <w:pStyle w:val="13"/>
              <w:jc w:val="center"/>
              <w:rPr>
                <w:rFonts w:hint="eastAsia"/>
                <w:w w:val="90"/>
              </w:rPr>
            </w:pPr>
            <w:r>
              <w:rPr>
                <w:rFonts w:hint="eastAsia"/>
                <w:w w:val="90"/>
              </w:rPr>
              <w:t>27.5</w:t>
            </w:r>
          </w:p>
        </w:tc>
        <w:tc>
          <w:tcPr>
            <w:tcW w:w="216" w:type="pct"/>
            <w:vAlign w:val="center"/>
          </w:tcPr>
          <w:p w14:paraId="6D1D5288">
            <w:pPr>
              <w:pStyle w:val="13"/>
              <w:jc w:val="center"/>
              <w:rPr>
                <w:rFonts w:hint="eastAsia"/>
                <w:w w:val="90"/>
              </w:rPr>
            </w:pPr>
            <w:r>
              <w:rPr>
                <w:rFonts w:hint="eastAsia"/>
                <w:w w:val="90"/>
              </w:rPr>
              <w:t>2</w:t>
            </w:r>
          </w:p>
        </w:tc>
        <w:tc>
          <w:tcPr>
            <w:tcW w:w="213" w:type="pct"/>
            <w:vAlign w:val="center"/>
          </w:tcPr>
          <w:p w14:paraId="63C98C37">
            <w:pPr>
              <w:pStyle w:val="13"/>
              <w:jc w:val="center"/>
              <w:rPr>
                <w:rFonts w:hint="eastAsia"/>
                <w:w w:val="90"/>
              </w:rPr>
            </w:pPr>
            <w:r>
              <w:rPr>
                <w:rFonts w:hint="eastAsia"/>
                <w:w w:val="90"/>
              </w:rPr>
              <w:t>54</w:t>
            </w:r>
          </w:p>
        </w:tc>
        <w:tc>
          <w:tcPr>
            <w:tcW w:w="287" w:type="pct"/>
            <w:vAlign w:val="center"/>
          </w:tcPr>
          <w:p w14:paraId="05491BF0">
            <w:pPr>
              <w:pStyle w:val="13"/>
              <w:jc w:val="center"/>
              <w:rPr>
                <w:rFonts w:hint="eastAsia"/>
                <w:w w:val="90"/>
              </w:rPr>
            </w:pPr>
            <w:r>
              <w:rPr>
                <w:rFonts w:hint="eastAsia"/>
                <w:w w:val="90"/>
              </w:rPr>
              <w:t>18</w:t>
            </w:r>
          </w:p>
        </w:tc>
        <w:tc>
          <w:tcPr>
            <w:tcW w:w="267" w:type="pct"/>
            <w:vAlign w:val="center"/>
          </w:tcPr>
          <w:p w14:paraId="194006B6">
            <w:pPr>
              <w:pStyle w:val="13"/>
              <w:jc w:val="center"/>
              <w:rPr>
                <w:rFonts w:hint="eastAsia"/>
                <w:w w:val="90"/>
              </w:rPr>
            </w:pPr>
            <w:r>
              <w:rPr>
                <w:rFonts w:hint="eastAsia"/>
                <w:w w:val="90"/>
              </w:rPr>
              <w:t>18</w:t>
            </w:r>
          </w:p>
        </w:tc>
        <w:tc>
          <w:tcPr>
            <w:tcW w:w="237" w:type="pct"/>
            <w:vAlign w:val="center"/>
          </w:tcPr>
          <w:p w14:paraId="2A1449C1">
            <w:pPr>
              <w:pStyle w:val="13"/>
              <w:jc w:val="center"/>
              <w:rPr>
                <w:rFonts w:hint="eastAsia"/>
                <w:w w:val="90"/>
              </w:rPr>
            </w:pPr>
            <w:r>
              <w:rPr>
                <w:rFonts w:hint="eastAsia"/>
                <w:w w:val="90"/>
              </w:rPr>
              <w:t>1</w:t>
            </w:r>
          </w:p>
        </w:tc>
        <w:tc>
          <w:tcPr>
            <w:tcW w:w="206" w:type="pct"/>
            <w:vAlign w:val="center"/>
          </w:tcPr>
          <w:p w14:paraId="20E2FAF7">
            <w:pPr>
              <w:pStyle w:val="13"/>
              <w:jc w:val="center"/>
              <w:rPr>
                <w:rFonts w:hint="eastAsia"/>
                <w:w w:val="90"/>
              </w:rPr>
            </w:pPr>
            <w:r>
              <w:rPr>
                <w:rFonts w:hint="eastAsia"/>
                <w:w w:val="90"/>
              </w:rPr>
              <w:t>46</w:t>
            </w:r>
          </w:p>
        </w:tc>
        <w:tc>
          <w:tcPr>
            <w:tcW w:w="228" w:type="pct"/>
            <w:vAlign w:val="center"/>
          </w:tcPr>
          <w:p w14:paraId="3DF3B618">
            <w:pPr>
              <w:pStyle w:val="13"/>
              <w:jc w:val="center"/>
              <w:rPr>
                <w:rFonts w:hint="eastAsia"/>
                <w:w w:val="90"/>
              </w:rPr>
            </w:pPr>
            <w:r>
              <w:rPr>
                <w:rFonts w:hint="eastAsia"/>
                <w:w w:val="90"/>
              </w:rPr>
              <w:t>45</w:t>
            </w:r>
          </w:p>
        </w:tc>
        <w:tc>
          <w:tcPr>
            <w:tcW w:w="228" w:type="pct"/>
            <w:vAlign w:val="center"/>
          </w:tcPr>
          <w:p w14:paraId="52452C15">
            <w:pPr>
              <w:pStyle w:val="13"/>
              <w:jc w:val="center"/>
              <w:rPr>
                <w:rFonts w:hint="eastAsia"/>
                <w:w w:val="90"/>
              </w:rPr>
            </w:pPr>
            <w:r>
              <w:rPr>
                <w:rFonts w:hint="eastAsia"/>
                <w:w w:val="90"/>
              </w:rPr>
              <w:t>38</w:t>
            </w:r>
          </w:p>
        </w:tc>
        <w:tc>
          <w:tcPr>
            <w:tcW w:w="211" w:type="pct"/>
            <w:vAlign w:val="center"/>
          </w:tcPr>
          <w:p w14:paraId="1582AF14">
            <w:pPr>
              <w:pStyle w:val="13"/>
              <w:jc w:val="center"/>
              <w:rPr>
                <w:rFonts w:hint="eastAsia"/>
                <w:w w:val="90"/>
              </w:rPr>
            </w:pPr>
            <w:r>
              <w:rPr>
                <w:rFonts w:hint="eastAsia"/>
                <w:w w:val="90"/>
              </w:rPr>
              <w:t>53</w:t>
            </w:r>
          </w:p>
        </w:tc>
      </w:tr>
      <w:tr w14:paraId="57759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384" w:type="pct"/>
            <w:vAlign w:val="center"/>
          </w:tcPr>
          <w:p w14:paraId="0618A091">
            <w:pPr>
              <w:pStyle w:val="13"/>
              <w:jc w:val="center"/>
              <w:rPr>
                <w:rFonts w:hint="eastAsia"/>
                <w:w w:val="90"/>
              </w:rPr>
            </w:pPr>
            <w:r>
              <w:rPr>
                <w:rFonts w:hint="eastAsia"/>
                <w:w w:val="90"/>
              </w:rPr>
              <w:t>同凌陂</w:t>
            </w:r>
          </w:p>
          <w:p w14:paraId="653F1A1B">
            <w:pPr>
              <w:pStyle w:val="13"/>
              <w:jc w:val="center"/>
              <w:rPr>
                <w:rFonts w:hint="eastAsia"/>
                <w:w w:val="90"/>
              </w:rPr>
            </w:pPr>
            <w:r>
              <w:rPr>
                <w:rFonts w:hint="eastAsia"/>
                <w:w w:val="90"/>
              </w:rPr>
              <w:t>灌区</w:t>
            </w:r>
          </w:p>
        </w:tc>
        <w:tc>
          <w:tcPr>
            <w:tcW w:w="291" w:type="pct"/>
            <w:vAlign w:val="center"/>
          </w:tcPr>
          <w:p w14:paraId="43A77055">
            <w:pPr>
              <w:pStyle w:val="13"/>
              <w:jc w:val="center"/>
              <w:rPr>
                <w:rFonts w:hint="eastAsia"/>
                <w:w w:val="90"/>
              </w:rPr>
            </w:pPr>
            <w:r>
              <w:rPr>
                <w:rFonts w:hint="eastAsia"/>
                <w:w w:val="90"/>
              </w:rPr>
              <w:t>雄州街道</w:t>
            </w:r>
          </w:p>
        </w:tc>
        <w:tc>
          <w:tcPr>
            <w:tcW w:w="216" w:type="pct"/>
            <w:vAlign w:val="center"/>
          </w:tcPr>
          <w:p w14:paraId="542C075C">
            <w:pPr>
              <w:pStyle w:val="13"/>
              <w:jc w:val="center"/>
              <w:rPr>
                <w:rFonts w:hint="eastAsia"/>
                <w:w w:val="90"/>
              </w:rPr>
            </w:pPr>
            <w:r>
              <w:rPr>
                <w:rFonts w:hint="eastAsia"/>
                <w:w w:val="90"/>
              </w:rPr>
              <w:t>0.75</w:t>
            </w:r>
          </w:p>
        </w:tc>
        <w:tc>
          <w:tcPr>
            <w:tcW w:w="360" w:type="pct"/>
            <w:vAlign w:val="center"/>
          </w:tcPr>
          <w:p w14:paraId="09A12CAE">
            <w:pPr>
              <w:pStyle w:val="13"/>
              <w:jc w:val="center"/>
              <w:rPr>
                <w:rFonts w:hint="eastAsia"/>
                <w:w w:val="90"/>
              </w:rPr>
            </w:pPr>
          </w:p>
        </w:tc>
        <w:tc>
          <w:tcPr>
            <w:tcW w:w="216" w:type="pct"/>
            <w:vAlign w:val="center"/>
          </w:tcPr>
          <w:p w14:paraId="30771068">
            <w:pPr>
              <w:pStyle w:val="13"/>
              <w:jc w:val="center"/>
              <w:rPr>
                <w:rFonts w:hint="eastAsia"/>
                <w:w w:val="90"/>
              </w:rPr>
            </w:pPr>
            <w:r>
              <w:rPr>
                <w:rFonts w:hint="eastAsia"/>
                <w:w w:val="90"/>
              </w:rPr>
              <w:t>0.5</w:t>
            </w:r>
          </w:p>
        </w:tc>
        <w:tc>
          <w:tcPr>
            <w:tcW w:w="217" w:type="pct"/>
            <w:vAlign w:val="center"/>
          </w:tcPr>
          <w:p w14:paraId="3D61E04C">
            <w:pPr>
              <w:pStyle w:val="13"/>
              <w:jc w:val="center"/>
              <w:rPr>
                <w:rFonts w:hint="eastAsia"/>
                <w:w w:val="90"/>
              </w:rPr>
            </w:pPr>
            <w:r>
              <w:rPr>
                <w:rFonts w:hint="eastAsia"/>
                <w:w w:val="90"/>
              </w:rPr>
              <w:t>0.4</w:t>
            </w:r>
          </w:p>
        </w:tc>
        <w:tc>
          <w:tcPr>
            <w:tcW w:w="216" w:type="pct"/>
            <w:vAlign w:val="center"/>
          </w:tcPr>
          <w:p w14:paraId="41EE24A0">
            <w:pPr>
              <w:pStyle w:val="13"/>
              <w:jc w:val="center"/>
              <w:rPr>
                <w:rFonts w:hint="eastAsia"/>
                <w:w w:val="90"/>
              </w:rPr>
            </w:pPr>
            <w:r>
              <w:rPr>
                <w:rFonts w:hint="eastAsia"/>
                <w:w w:val="90"/>
              </w:rPr>
              <w:t>90</w:t>
            </w:r>
          </w:p>
        </w:tc>
        <w:tc>
          <w:tcPr>
            <w:tcW w:w="215" w:type="pct"/>
            <w:vAlign w:val="center"/>
          </w:tcPr>
          <w:p w14:paraId="7E344F64">
            <w:pPr>
              <w:pStyle w:val="13"/>
              <w:jc w:val="center"/>
              <w:rPr>
                <w:rFonts w:hint="eastAsia"/>
                <w:w w:val="90"/>
              </w:rPr>
            </w:pPr>
            <w:r>
              <w:rPr>
                <w:rFonts w:hint="eastAsia"/>
                <w:w w:val="90"/>
              </w:rPr>
              <w:t>75</w:t>
            </w:r>
          </w:p>
        </w:tc>
        <w:tc>
          <w:tcPr>
            <w:tcW w:w="216" w:type="pct"/>
            <w:vAlign w:val="center"/>
          </w:tcPr>
          <w:p w14:paraId="667F61B9">
            <w:pPr>
              <w:pStyle w:val="13"/>
              <w:jc w:val="center"/>
              <w:rPr>
                <w:rFonts w:hint="eastAsia"/>
                <w:w w:val="90"/>
              </w:rPr>
            </w:pPr>
            <w:r>
              <w:rPr>
                <w:rFonts w:hint="eastAsia"/>
                <w:w w:val="90"/>
              </w:rPr>
              <w:t>0.4</w:t>
            </w:r>
          </w:p>
        </w:tc>
        <w:tc>
          <w:tcPr>
            <w:tcW w:w="287" w:type="pct"/>
            <w:vAlign w:val="center"/>
          </w:tcPr>
          <w:p w14:paraId="1B3B9E11">
            <w:pPr>
              <w:pStyle w:val="13"/>
              <w:jc w:val="center"/>
              <w:rPr>
                <w:rFonts w:hint="eastAsia"/>
                <w:w w:val="90"/>
              </w:rPr>
            </w:pPr>
            <w:r>
              <w:rPr>
                <w:rFonts w:hint="eastAsia"/>
                <w:w w:val="90"/>
              </w:rPr>
              <w:t>15</w:t>
            </w:r>
          </w:p>
        </w:tc>
        <w:tc>
          <w:tcPr>
            <w:tcW w:w="288" w:type="pct"/>
            <w:vAlign w:val="center"/>
          </w:tcPr>
          <w:p w14:paraId="4ED17D85">
            <w:pPr>
              <w:pStyle w:val="13"/>
              <w:jc w:val="center"/>
              <w:rPr>
                <w:rFonts w:hint="eastAsia"/>
                <w:w w:val="90"/>
              </w:rPr>
            </w:pPr>
            <w:r>
              <w:rPr>
                <w:rFonts w:hint="eastAsia"/>
                <w:w w:val="90"/>
              </w:rPr>
              <w:t>15</w:t>
            </w:r>
          </w:p>
        </w:tc>
        <w:tc>
          <w:tcPr>
            <w:tcW w:w="216" w:type="pct"/>
            <w:vAlign w:val="center"/>
          </w:tcPr>
          <w:p w14:paraId="369C2A87">
            <w:pPr>
              <w:pStyle w:val="13"/>
              <w:jc w:val="center"/>
              <w:rPr>
                <w:rFonts w:hint="eastAsia"/>
                <w:w w:val="90"/>
              </w:rPr>
            </w:pPr>
            <w:r>
              <w:rPr>
                <w:rFonts w:hint="eastAsia"/>
                <w:w w:val="90"/>
              </w:rPr>
              <w:t>0.5</w:t>
            </w:r>
          </w:p>
        </w:tc>
        <w:tc>
          <w:tcPr>
            <w:tcW w:w="213" w:type="pct"/>
            <w:vAlign w:val="center"/>
          </w:tcPr>
          <w:p w14:paraId="58EEBB51">
            <w:pPr>
              <w:pStyle w:val="13"/>
              <w:jc w:val="center"/>
              <w:rPr>
                <w:rFonts w:hint="eastAsia"/>
                <w:w w:val="90"/>
              </w:rPr>
            </w:pPr>
            <w:r>
              <w:rPr>
                <w:rFonts w:hint="eastAsia"/>
                <w:w w:val="90"/>
              </w:rPr>
              <w:t>36</w:t>
            </w:r>
          </w:p>
        </w:tc>
        <w:tc>
          <w:tcPr>
            <w:tcW w:w="287" w:type="pct"/>
            <w:vAlign w:val="center"/>
          </w:tcPr>
          <w:p w14:paraId="6D831279">
            <w:pPr>
              <w:pStyle w:val="13"/>
              <w:jc w:val="center"/>
              <w:rPr>
                <w:rFonts w:hint="eastAsia"/>
                <w:w w:val="90"/>
              </w:rPr>
            </w:pPr>
            <w:r>
              <w:rPr>
                <w:rFonts w:hint="eastAsia"/>
                <w:w w:val="90"/>
              </w:rPr>
              <w:t>7</w:t>
            </w:r>
          </w:p>
        </w:tc>
        <w:tc>
          <w:tcPr>
            <w:tcW w:w="267" w:type="pct"/>
            <w:vAlign w:val="center"/>
          </w:tcPr>
          <w:p w14:paraId="4A09D663">
            <w:pPr>
              <w:pStyle w:val="13"/>
              <w:jc w:val="center"/>
              <w:rPr>
                <w:rFonts w:hint="eastAsia"/>
                <w:w w:val="90"/>
              </w:rPr>
            </w:pPr>
            <w:r>
              <w:rPr>
                <w:rFonts w:hint="eastAsia"/>
                <w:w w:val="90"/>
              </w:rPr>
              <w:t>5</w:t>
            </w:r>
          </w:p>
        </w:tc>
        <w:tc>
          <w:tcPr>
            <w:tcW w:w="237" w:type="pct"/>
            <w:vAlign w:val="center"/>
          </w:tcPr>
          <w:p w14:paraId="37F6BCEF">
            <w:pPr>
              <w:pStyle w:val="13"/>
              <w:jc w:val="center"/>
              <w:rPr>
                <w:rFonts w:hint="eastAsia"/>
                <w:w w:val="90"/>
              </w:rPr>
            </w:pPr>
            <w:r>
              <w:rPr>
                <w:rFonts w:hint="eastAsia"/>
                <w:w w:val="90"/>
              </w:rPr>
              <w:t>0</w:t>
            </w:r>
          </w:p>
        </w:tc>
        <w:tc>
          <w:tcPr>
            <w:tcW w:w="206" w:type="pct"/>
            <w:vAlign w:val="center"/>
          </w:tcPr>
          <w:p w14:paraId="743AF830">
            <w:pPr>
              <w:pStyle w:val="13"/>
              <w:jc w:val="center"/>
              <w:rPr>
                <w:rFonts w:hint="eastAsia"/>
                <w:w w:val="90"/>
              </w:rPr>
            </w:pPr>
            <w:r>
              <w:rPr>
                <w:rFonts w:hint="eastAsia"/>
                <w:w w:val="90"/>
              </w:rPr>
              <w:t>35</w:t>
            </w:r>
          </w:p>
        </w:tc>
        <w:tc>
          <w:tcPr>
            <w:tcW w:w="228" w:type="pct"/>
            <w:vAlign w:val="center"/>
          </w:tcPr>
          <w:p w14:paraId="1170A6C3">
            <w:pPr>
              <w:pStyle w:val="13"/>
              <w:jc w:val="center"/>
              <w:rPr>
                <w:rFonts w:hint="eastAsia"/>
                <w:w w:val="90"/>
              </w:rPr>
            </w:pPr>
            <w:r>
              <w:rPr>
                <w:rFonts w:hint="eastAsia"/>
                <w:w w:val="90"/>
              </w:rPr>
              <w:t>25</w:t>
            </w:r>
          </w:p>
        </w:tc>
        <w:tc>
          <w:tcPr>
            <w:tcW w:w="228" w:type="pct"/>
            <w:vAlign w:val="center"/>
          </w:tcPr>
          <w:p w14:paraId="78A7FEDC">
            <w:pPr>
              <w:pStyle w:val="13"/>
              <w:jc w:val="center"/>
              <w:rPr>
                <w:rFonts w:hint="eastAsia"/>
                <w:w w:val="90"/>
              </w:rPr>
            </w:pPr>
            <w:r>
              <w:rPr>
                <w:rFonts w:hint="eastAsia"/>
                <w:w w:val="90"/>
              </w:rPr>
              <w:t>18</w:t>
            </w:r>
          </w:p>
        </w:tc>
        <w:tc>
          <w:tcPr>
            <w:tcW w:w="211" w:type="pct"/>
            <w:vAlign w:val="center"/>
          </w:tcPr>
          <w:p w14:paraId="7FDEF68A">
            <w:pPr>
              <w:pStyle w:val="13"/>
              <w:jc w:val="center"/>
              <w:rPr>
                <w:w w:val="90"/>
              </w:rPr>
            </w:pPr>
            <w:r>
              <w:rPr>
                <w:rFonts w:hint="eastAsia"/>
                <w:w w:val="90"/>
              </w:rPr>
              <w:t>40</w:t>
            </w:r>
          </w:p>
        </w:tc>
      </w:tr>
    </w:tbl>
    <w:p w14:paraId="63B80DD2">
      <w:pPr>
        <w:pStyle w:val="4"/>
      </w:pPr>
      <w:r>
        <w:t>【小水电】</w:t>
      </w:r>
    </w:p>
    <w:p w14:paraId="4D9FEAEE">
      <w:pPr>
        <w:ind w:firstLine="420"/>
        <w:rPr>
          <w:rFonts w:ascii="宋体" w:hAnsi="宋体"/>
        </w:rPr>
      </w:pPr>
      <w:r>
        <w:rPr>
          <w:rFonts w:ascii="宋体" w:hAnsi="宋体"/>
        </w:rPr>
        <w:t>至2010年，全市有小水电站187宗，总机组台数328台，总装机容量87650KW，2008年后未建新电站。2006年，对全市187宗小水电站进行“四无”清理整顿工作，2008年，完成全市自1996年来所建投产电站验收122宗。2009年，全市187宗小水电站经过省水利厅及省水科院的工程安全核查工作，其中186宗水电站被定为B类电站，1宗电站被定为C类电站（翠屏股份有限公司属下大流坑电站）。2010年，全市187宗小水电站完成了首次年检工作，全部水电站年检资料已上交到局审查并备案，并落实各电站防汛与安全责任人。</w:t>
      </w:r>
    </w:p>
    <w:p w14:paraId="32DA72C9">
      <w:pPr>
        <w:ind w:firstLine="422"/>
        <w:jc w:val="center"/>
        <w:rPr>
          <w:rFonts w:ascii="宋体" w:hAnsi="宋体"/>
          <w:b/>
        </w:rPr>
      </w:pPr>
      <w:commentRangeStart w:id="17"/>
      <w:r>
        <w:rPr>
          <w:rFonts w:hint="eastAsia" w:ascii="宋体" w:hAnsi="宋体"/>
          <w:b/>
        </w:rPr>
        <w:t>表17-3  南雄市小水电基本表（2003-2010年）</w:t>
      </w:r>
      <w:commentRangeEnd w:id="17"/>
      <w:r>
        <w:rPr>
          <w:rStyle w:val="12"/>
        </w:rPr>
        <w:commentReference w:id="17"/>
      </w:r>
    </w:p>
    <w:p w14:paraId="2E732070">
      <w:pPr>
        <w:ind w:firstLine="422"/>
        <w:jc w:val="right"/>
        <w:rPr>
          <w:rFonts w:ascii="宋体" w:hAnsi="宋体"/>
          <w:b/>
        </w:rPr>
      </w:pPr>
      <w:r>
        <w:rPr>
          <w:rFonts w:hint="eastAsia" w:ascii="宋体" w:hAnsi="宋体"/>
          <w:b/>
        </w:rPr>
        <w:t>单位：装机容量kw、发电量万kwh</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0"/>
        <w:gridCol w:w="878"/>
        <w:gridCol w:w="886"/>
        <w:gridCol w:w="878"/>
        <w:gridCol w:w="1180"/>
        <w:gridCol w:w="875"/>
        <w:gridCol w:w="881"/>
        <w:gridCol w:w="875"/>
        <w:gridCol w:w="875"/>
        <w:gridCol w:w="883"/>
        <w:gridCol w:w="871"/>
      </w:tblGrid>
      <w:tr w14:paraId="778D7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pct"/>
            <w:vMerge w:val="restart"/>
            <w:vAlign w:val="center"/>
          </w:tcPr>
          <w:p w14:paraId="36D1A517">
            <w:pPr>
              <w:pStyle w:val="13"/>
              <w:jc w:val="center"/>
              <w:rPr>
                <w:rFonts w:hint="eastAsia"/>
                <w:b/>
              </w:rPr>
            </w:pPr>
            <w:r>
              <w:rPr>
                <w:rFonts w:hint="eastAsia"/>
                <w:b/>
              </w:rPr>
              <w:t>年度</w:t>
            </w:r>
          </w:p>
        </w:tc>
        <w:tc>
          <w:tcPr>
            <w:tcW w:w="441" w:type="pct"/>
            <w:vMerge w:val="restart"/>
            <w:vAlign w:val="center"/>
          </w:tcPr>
          <w:p w14:paraId="2707AC08">
            <w:pPr>
              <w:pStyle w:val="13"/>
              <w:jc w:val="center"/>
              <w:rPr>
                <w:rFonts w:hint="eastAsia"/>
                <w:b/>
              </w:rPr>
            </w:pPr>
            <w:r>
              <w:rPr>
                <w:rFonts w:hint="eastAsia"/>
                <w:b/>
              </w:rPr>
              <w:t>年电站宗数</w:t>
            </w:r>
          </w:p>
        </w:tc>
        <w:tc>
          <w:tcPr>
            <w:tcW w:w="445" w:type="pct"/>
            <w:vMerge w:val="restart"/>
            <w:vAlign w:val="center"/>
          </w:tcPr>
          <w:p w14:paraId="046696B4">
            <w:pPr>
              <w:pStyle w:val="13"/>
              <w:jc w:val="center"/>
              <w:rPr>
                <w:rFonts w:hint="eastAsia"/>
                <w:b/>
              </w:rPr>
            </w:pPr>
            <w:r>
              <w:rPr>
                <w:rFonts w:hint="eastAsia"/>
                <w:b/>
              </w:rPr>
              <w:t>年装机容量</w:t>
            </w:r>
          </w:p>
        </w:tc>
        <w:tc>
          <w:tcPr>
            <w:tcW w:w="441" w:type="pct"/>
            <w:vMerge w:val="restart"/>
            <w:vAlign w:val="center"/>
          </w:tcPr>
          <w:p w14:paraId="0B359884">
            <w:pPr>
              <w:pStyle w:val="13"/>
              <w:jc w:val="center"/>
              <w:rPr>
                <w:rFonts w:hint="eastAsia"/>
                <w:b/>
              </w:rPr>
            </w:pPr>
            <w:r>
              <w:rPr>
                <w:rFonts w:hint="eastAsia"/>
                <w:b/>
              </w:rPr>
              <w:t>年机组台数</w:t>
            </w:r>
          </w:p>
        </w:tc>
        <w:tc>
          <w:tcPr>
            <w:tcW w:w="592" w:type="pct"/>
            <w:vMerge w:val="restart"/>
            <w:vAlign w:val="center"/>
          </w:tcPr>
          <w:p w14:paraId="0557E56D">
            <w:pPr>
              <w:pStyle w:val="13"/>
              <w:jc w:val="center"/>
              <w:rPr>
                <w:rFonts w:hint="eastAsia"/>
                <w:b/>
              </w:rPr>
            </w:pPr>
            <w:r>
              <w:rPr>
                <w:rFonts w:hint="eastAsia"/>
                <w:b/>
              </w:rPr>
              <w:t>全年发</w:t>
            </w:r>
          </w:p>
          <w:p w14:paraId="4A62620A">
            <w:pPr>
              <w:pStyle w:val="13"/>
              <w:jc w:val="center"/>
              <w:rPr>
                <w:rFonts w:hint="eastAsia"/>
                <w:b/>
              </w:rPr>
            </w:pPr>
            <w:r>
              <w:rPr>
                <w:rFonts w:hint="eastAsia"/>
                <w:b/>
              </w:rPr>
              <w:t>电量</w:t>
            </w:r>
          </w:p>
        </w:tc>
        <w:tc>
          <w:tcPr>
            <w:tcW w:w="1320" w:type="pct"/>
            <w:gridSpan w:val="3"/>
            <w:vAlign w:val="center"/>
          </w:tcPr>
          <w:p w14:paraId="60972DD5">
            <w:pPr>
              <w:pStyle w:val="13"/>
              <w:jc w:val="center"/>
              <w:rPr>
                <w:rFonts w:hint="eastAsia"/>
                <w:b/>
              </w:rPr>
            </w:pPr>
            <w:r>
              <w:rPr>
                <w:rFonts w:hint="eastAsia"/>
                <w:b/>
              </w:rPr>
              <w:t>本年度新建电站</w:t>
            </w:r>
          </w:p>
        </w:tc>
        <w:tc>
          <w:tcPr>
            <w:tcW w:w="1320" w:type="pct"/>
            <w:gridSpan w:val="3"/>
            <w:vAlign w:val="center"/>
          </w:tcPr>
          <w:p w14:paraId="627A76BF">
            <w:pPr>
              <w:pStyle w:val="13"/>
              <w:jc w:val="center"/>
              <w:rPr>
                <w:b/>
              </w:rPr>
            </w:pPr>
            <w:r>
              <w:rPr>
                <w:rFonts w:hint="eastAsia"/>
                <w:b/>
              </w:rPr>
              <w:t>本年度技改电站宗数</w:t>
            </w:r>
          </w:p>
        </w:tc>
      </w:tr>
      <w:tr w14:paraId="3558E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pct"/>
            <w:vMerge w:val="continue"/>
            <w:vAlign w:val="center"/>
          </w:tcPr>
          <w:p w14:paraId="3539D919">
            <w:pPr>
              <w:pStyle w:val="13"/>
              <w:jc w:val="center"/>
              <w:rPr>
                <w:rFonts w:hint="eastAsia"/>
                <w:b/>
              </w:rPr>
            </w:pPr>
          </w:p>
        </w:tc>
        <w:tc>
          <w:tcPr>
            <w:tcW w:w="441" w:type="pct"/>
            <w:vMerge w:val="continue"/>
            <w:vAlign w:val="center"/>
          </w:tcPr>
          <w:p w14:paraId="12107322">
            <w:pPr>
              <w:pStyle w:val="13"/>
              <w:jc w:val="center"/>
              <w:rPr>
                <w:rFonts w:hint="eastAsia"/>
                <w:b/>
              </w:rPr>
            </w:pPr>
          </w:p>
        </w:tc>
        <w:tc>
          <w:tcPr>
            <w:tcW w:w="445" w:type="pct"/>
            <w:vMerge w:val="continue"/>
            <w:vAlign w:val="center"/>
          </w:tcPr>
          <w:p w14:paraId="5ED12FC1">
            <w:pPr>
              <w:pStyle w:val="13"/>
              <w:jc w:val="center"/>
              <w:rPr>
                <w:rFonts w:hint="eastAsia"/>
                <w:b/>
              </w:rPr>
            </w:pPr>
          </w:p>
        </w:tc>
        <w:tc>
          <w:tcPr>
            <w:tcW w:w="441" w:type="pct"/>
            <w:vMerge w:val="continue"/>
            <w:vAlign w:val="center"/>
          </w:tcPr>
          <w:p w14:paraId="0673807B">
            <w:pPr>
              <w:pStyle w:val="13"/>
              <w:jc w:val="center"/>
              <w:rPr>
                <w:rFonts w:hint="eastAsia"/>
                <w:b/>
              </w:rPr>
            </w:pPr>
          </w:p>
        </w:tc>
        <w:tc>
          <w:tcPr>
            <w:tcW w:w="592" w:type="pct"/>
            <w:vMerge w:val="continue"/>
            <w:vAlign w:val="center"/>
          </w:tcPr>
          <w:p w14:paraId="08B5D093">
            <w:pPr>
              <w:pStyle w:val="13"/>
              <w:jc w:val="center"/>
              <w:rPr>
                <w:rFonts w:hint="eastAsia"/>
                <w:b/>
              </w:rPr>
            </w:pPr>
          </w:p>
        </w:tc>
        <w:tc>
          <w:tcPr>
            <w:tcW w:w="439" w:type="pct"/>
            <w:vAlign w:val="center"/>
          </w:tcPr>
          <w:p w14:paraId="1F399533">
            <w:pPr>
              <w:pStyle w:val="13"/>
              <w:jc w:val="center"/>
              <w:rPr>
                <w:rFonts w:hint="eastAsia"/>
                <w:b/>
              </w:rPr>
            </w:pPr>
            <w:r>
              <w:rPr>
                <w:rFonts w:hint="eastAsia"/>
                <w:b/>
              </w:rPr>
              <w:t>宗数</w:t>
            </w:r>
          </w:p>
        </w:tc>
        <w:tc>
          <w:tcPr>
            <w:tcW w:w="442" w:type="pct"/>
            <w:vAlign w:val="center"/>
          </w:tcPr>
          <w:p w14:paraId="70B38502">
            <w:pPr>
              <w:pStyle w:val="13"/>
              <w:jc w:val="center"/>
              <w:rPr>
                <w:rFonts w:hint="eastAsia"/>
                <w:b/>
              </w:rPr>
            </w:pPr>
            <w:r>
              <w:rPr>
                <w:rFonts w:hint="eastAsia"/>
                <w:b/>
              </w:rPr>
              <w:t>增加装机容量</w:t>
            </w:r>
          </w:p>
        </w:tc>
        <w:tc>
          <w:tcPr>
            <w:tcW w:w="439" w:type="pct"/>
            <w:vAlign w:val="center"/>
          </w:tcPr>
          <w:p w14:paraId="5C9CA747">
            <w:pPr>
              <w:pStyle w:val="13"/>
              <w:jc w:val="center"/>
              <w:rPr>
                <w:rFonts w:hint="eastAsia"/>
                <w:b/>
              </w:rPr>
            </w:pPr>
            <w:r>
              <w:rPr>
                <w:rFonts w:hint="eastAsia"/>
                <w:b/>
              </w:rPr>
              <w:t>增加机组台数</w:t>
            </w:r>
          </w:p>
        </w:tc>
        <w:tc>
          <w:tcPr>
            <w:tcW w:w="439" w:type="pct"/>
            <w:vAlign w:val="center"/>
          </w:tcPr>
          <w:p w14:paraId="59D1CE20">
            <w:pPr>
              <w:pStyle w:val="13"/>
              <w:jc w:val="center"/>
              <w:rPr>
                <w:rFonts w:hint="eastAsia"/>
                <w:b/>
              </w:rPr>
            </w:pPr>
            <w:r>
              <w:rPr>
                <w:rFonts w:hint="eastAsia"/>
                <w:b/>
              </w:rPr>
              <w:t>宗数</w:t>
            </w:r>
          </w:p>
        </w:tc>
        <w:tc>
          <w:tcPr>
            <w:tcW w:w="443" w:type="pct"/>
            <w:vAlign w:val="center"/>
          </w:tcPr>
          <w:p w14:paraId="0F769B77">
            <w:pPr>
              <w:pStyle w:val="13"/>
              <w:jc w:val="center"/>
              <w:rPr>
                <w:rFonts w:hint="eastAsia"/>
                <w:b/>
              </w:rPr>
            </w:pPr>
            <w:r>
              <w:rPr>
                <w:rFonts w:hint="eastAsia"/>
                <w:b/>
              </w:rPr>
              <w:t>增加装机容量</w:t>
            </w:r>
          </w:p>
        </w:tc>
        <w:tc>
          <w:tcPr>
            <w:tcW w:w="439" w:type="pct"/>
            <w:vAlign w:val="center"/>
          </w:tcPr>
          <w:p w14:paraId="712A2B74">
            <w:pPr>
              <w:pStyle w:val="13"/>
              <w:jc w:val="center"/>
              <w:rPr>
                <w:rFonts w:hint="eastAsia"/>
                <w:b/>
              </w:rPr>
            </w:pPr>
            <w:r>
              <w:rPr>
                <w:rFonts w:hint="eastAsia"/>
                <w:b/>
              </w:rPr>
              <w:t>增加机组台数</w:t>
            </w:r>
          </w:p>
        </w:tc>
      </w:tr>
      <w:tr w14:paraId="3ADCB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pct"/>
            <w:vAlign w:val="center"/>
          </w:tcPr>
          <w:p w14:paraId="32A5C66F">
            <w:pPr>
              <w:pStyle w:val="13"/>
              <w:jc w:val="center"/>
            </w:pPr>
            <w:r>
              <w:t>2003</w:t>
            </w:r>
          </w:p>
        </w:tc>
        <w:tc>
          <w:tcPr>
            <w:tcW w:w="441" w:type="pct"/>
            <w:vAlign w:val="center"/>
          </w:tcPr>
          <w:p w14:paraId="57C3719F">
            <w:pPr>
              <w:pStyle w:val="13"/>
              <w:jc w:val="center"/>
            </w:pPr>
            <w:r>
              <w:t>132</w:t>
            </w:r>
          </w:p>
        </w:tc>
        <w:tc>
          <w:tcPr>
            <w:tcW w:w="445" w:type="pct"/>
            <w:vAlign w:val="center"/>
          </w:tcPr>
          <w:p w14:paraId="0035E724">
            <w:pPr>
              <w:pStyle w:val="13"/>
              <w:jc w:val="center"/>
            </w:pPr>
            <w:r>
              <w:t>64345</w:t>
            </w:r>
          </w:p>
        </w:tc>
        <w:tc>
          <w:tcPr>
            <w:tcW w:w="441" w:type="pct"/>
            <w:vAlign w:val="center"/>
          </w:tcPr>
          <w:p w14:paraId="09769F58">
            <w:pPr>
              <w:pStyle w:val="13"/>
              <w:jc w:val="center"/>
            </w:pPr>
            <w:r>
              <w:t>229</w:t>
            </w:r>
          </w:p>
        </w:tc>
        <w:tc>
          <w:tcPr>
            <w:tcW w:w="592" w:type="pct"/>
            <w:vAlign w:val="center"/>
          </w:tcPr>
          <w:p w14:paraId="024A2E9A">
            <w:pPr>
              <w:pStyle w:val="13"/>
              <w:jc w:val="center"/>
            </w:pPr>
            <w:r>
              <w:t>15559.40</w:t>
            </w:r>
          </w:p>
        </w:tc>
        <w:tc>
          <w:tcPr>
            <w:tcW w:w="439" w:type="pct"/>
            <w:vAlign w:val="center"/>
          </w:tcPr>
          <w:p w14:paraId="1A6BAA65">
            <w:pPr>
              <w:pStyle w:val="13"/>
              <w:jc w:val="center"/>
            </w:pPr>
            <w:r>
              <w:t>18</w:t>
            </w:r>
          </w:p>
        </w:tc>
        <w:tc>
          <w:tcPr>
            <w:tcW w:w="442" w:type="pct"/>
            <w:vAlign w:val="center"/>
          </w:tcPr>
          <w:p w14:paraId="48CB6BC6">
            <w:pPr>
              <w:pStyle w:val="13"/>
              <w:jc w:val="center"/>
            </w:pPr>
            <w:r>
              <w:t>7460</w:t>
            </w:r>
          </w:p>
        </w:tc>
        <w:tc>
          <w:tcPr>
            <w:tcW w:w="439" w:type="pct"/>
            <w:vAlign w:val="center"/>
          </w:tcPr>
          <w:p w14:paraId="47D19906">
            <w:pPr>
              <w:pStyle w:val="13"/>
              <w:jc w:val="center"/>
            </w:pPr>
            <w:r>
              <w:t>25</w:t>
            </w:r>
          </w:p>
        </w:tc>
        <w:tc>
          <w:tcPr>
            <w:tcW w:w="439" w:type="pct"/>
            <w:vAlign w:val="center"/>
          </w:tcPr>
          <w:p w14:paraId="6C028D28">
            <w:pPr>
              <w:pStyle w:val="13"/>
              <w:jc w:val="center"/>
            </w:pPr>
            <w:r>
              <w:t>5</w:t>
            </w:r>
          </w:p>
        </w:tc>
        <w:tc>
          <w:tcPr>
            <w:tcW w:w="443" w:type="pct"/>
            <w:vAlign w:val="center"/>
          </w:tcPr>
          <w:p w14:paraId="515FD134">
            <w:pPr>
              <w:pStyle w:val="13"/>
              <w:jc w:val="center"/>
            </w:pPr>
            <w:r>
              <w:t>1250</w:t>
            </w:r>
          </w:p>
        </w:tc>
        <w:tc>
          <w:tcPr>
            <w:tcW w:w="439" w:type="pct"/>
            <w:vAlign w:val="center"/>
          </w:tcPr>
          <w:p w14:paraId="78D8023D">
            <w:pPr>
              <w:pStyle w:val="13"/>
              <w:jc w:val="center"/>
            </w:pPr>
            <w:r>
              <w:t>3</w:t>
            </w:r>
          </w:p>
        </w:tc>
      </w:tr>
      <w:tr w14:paraId="761C2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pct"/>
            <w:vAlign w:val="center"/>
          </w:tcPr>
          <w:p w14:paraId="7D23E8AA">
            <w:pPr>
              <w:pStyle w:val="13"/>
              <w:jc w:val="center"/>
            </w:pPr>
            <w:r>
              <w:t>2004</w:t>
            </w:r>
          </w:p>
        </w:tc>
        <w:tc>
          <w:tcPr>
            <w:tcW w:w="441" w:type="pct"/>
            <w:vAlign w:val="center"/>
          </w:tcPr>
          <w:p w14:paraId="7FFADA67">
            <w:pPr>
              <w:pStyle w:val="13"/>
              <w:jc w:val="center"/>
            </w:pPr>
            <w:r>
              <w:t>161</w:t>
            </w:r>
          </w:p>
        </w:tc>
        <w:tc>
          <w:tcPr>
            <w:tcW w:w="445" w:type="pct"/>
            <w:vAlign w:val="center"/>
          </w:tcPr>
          <w:p w14:paraId="0C5FA895">
            <w:pPr>
              <w:pStyle w:val="13"/>
              <w:jc w:val="center"/>
            </w:pPr>
            <w:r>
              <w:t>73740</w:t>
            </w:r>
          </w:p>
        </w:tc>
        <w:tc>
          <w:tcPr>
            <w:tcW w:w="441" w:type="pct"/>
            <w:vAlign w:val="center"/>
          </w:tcPr>
          <w:p w14:paraId="5B8D1CA5">
            <w:pPr>
              <w:pStyle w:val="13"/>
              <w:jc w:val="center"/>
            </w:pPr>
            <w:r>
              <w:t>278</w:t>
            </w:r>
          </w:p>
        </w:tc>
        <w:tc>
          <w:tcPr>
            <w:tcW w:w="592" w:type="pct"/>
            <w:vAlign w:val="center"/>
          </w:tcPr>
          <w:p w14:paraId="24DBE8E6">
            <w:pPr>
              <w:pStyle w:val="13"/>
              <w:jc w:val="center"/>
            </w:pPr>
            <w:r>
              <w:t>9842.83</w:t>
            </w:r>
          </w:p>
        </w:tc>
        <w:tc>
          <w:tcPr>
            <w:tcW w:w="439" w:type="pct"/>
            <w:vAlign w:val="center"/>
          </w:tcPr>
          <w:p w14:paraId="78109B72">
            <w:pPr>
              <w:pStyle w:val="13"/>
              <w:jc w:val="center"/>
            </w:pPr>
            <w:r>
              <w:t>29</w:t>
            </w:r>
          </w:p>
        </w:tc>
        <w:tc>
          <w:tcPr>
            <w:tcW w:w="442" w:type="pct"/>
            <w:vAlign w:val="center"/>
          </w:tcPr>
          <w:p w14:paraId="715A87A8">
            <w:pPr>
              <w:pStyle w:val="13"/>
              <w:jc w:val="center"/>
            </w:pPr>
            <w:r>
              <w:t>9295</w:t>
            </w:r>
          </w:p>
        </w:tc>
        <w:tc>
          <w:tcPr>
            <w:tcW w:w="439" w:type="pct"/>
            <w:vAlign w:val="center"/>
          </w:tcPr>
          <w:p w14:paraId="252F7663">
            <w:pPr>
              <w:pStyle w:val="13"/>
              <w:jc w:val="center"/>
            </w:pPr>
            <w:r>
              <w:t>49</w:t>
            </w:r>
          </w:p>
        </w:tc>
        <w:tc>
          <w:tcPr>
            <w:tcW w:w="439" w:type="pct"/>
            <w:vAlign w:val="center"/>
          </w:tcPr>
          <w:p w14:paraId="1C05CD41">
            <w:pPr>
              <w:pStyle w:val="13"/>
              <w:jc w:val="center"/>
            </w:pPr>
            <w:r>
              <w:t>1</w:t>
            </w:r>
          </w:p>
        </w:tc>
        <w:tc>
          <w:tcPr>
            <w:tcW w:w="443" w:type="pct"/>
            <w:vAlign w:val="center"/>
          </w:tcPr>
          <w:p w14:paraId="0D4DDF12">
            <w:pPr>
              <w:pStyle w:val="13"/>
              <w:jc w:val="center"/>
            </w:pPr>
            <w:r>
              <w:t>50</w:t>
            </w:r>
          </w:p>
        </w:tc>
        <w:tc>
          <w:tcPr>
            <w:tcW w:w="439" w:type="pct"/>
            <w:vAlign w:val="center"/>
          </w:tcPr>
          <w:p w14:paraId="5756208E">
            <w:pPr>
              <w:pStyle w:val="13"/>
              <w:jc w:val="center"/>
            </w:pPr>
            <w:r>
              <w:t>0</w:t>
            </w:r>
          </w:p>
        </w:tc>
      </w:tr>
      <w:tr w14:paraId="0C2DE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pct"/>
            <w:vAlign w:val="center"/>
          </w:tcPr>
          <w:p w14:paraId="5E7322B7">
            <w:pPr>
              <w:pStyle w:val="13"/>
              <w:jc w:val="center"/>
            </w:pPr>
            <w:r>
              <w:t>2005</w:t>
            </w:r>
          </w:p>
        </w:tc>
        <w:tc>
          <w:tcPr>
            <w:tcW w:w="441" w:type="pct"/>
            <w:vAlign w:val="center"/>
          </w:tcPr>
          <w:p w14:paraId="092DC446">
            <w:pPr>
              <w:pStyle w:val="13"/>
              <w:jc w:val="center"/>
            </w:pPr>
            <w:r>
              <w:t>174</w:t>
            </w:r>
          </w:p>
        </w:tc>
        <w:tc>
          <w:tcPr>
            <w:tcW w:w="445" w:type="pct"/>
            <w:vAlign w:val="center"/>
          </w:tcPr>
          <w:p w14:paraId="6B1A9478">
            <w:pPr>
              <w:pStyle w:val="13"/>
              <w:jc w:val="center"/>
            </w:pPr>
            <w:r>
              <w:t>78970</w:t>
            </w:r>
          </w:p>
        </w:tc>
        <w:tc>
          <w:tcPr>
            <w:tcW w:w="441" w:type="pct"/>
            <w:vAlign w:val="center"/>
          </w:tcPr>
          <w:p w14:paraId="372AB4B2">
            <w:pPr>
              <w:pStyle w:val="13"/>
              <w:jc w:val="center"/>
            </w:pPr>
            <w:r>
              <w:t>300</w:t>
            </w:r>
          </w:p>
        </w:tc>
        <w:tc>
          <w:tcPr>
            <w:tcW w:w="592" w:type="pct"/>
            <w:vAlign w:val="center"/>
          </w:tcPr>
          <w:p w14:paraId="14E5D526">
            <w:pPr>
              <w:pStyle w:val="13"/>
              <w:jc w:val="center"/>
            </w:pPr>
            <w:r>
              <w:t>19586.68</w:t>
            </w:r>
          </w:p>
        </w:tc>
        <w:tc>
          <w:tcPr>
            <w:tcW w:w="439" w:type="pct"/>
            <w:vAlign w:val="center"/>
          </w:tcPr>
          <w:p w14:paraId="65E01118">
            <w:pPr>
              <w:pStyle w:val="13"/>
              <w:jc w:val="center"/>
            </w:pPr>
            <w:r>
              <w:t>13</w:t>
            </w:r>
          </w:p>
        </w:tc>
        <w:tc>
          <w:tcPr>
            <w:tcW w:w="442" w:type="pct"/>
            <w:vAlign w:val="center"/>
          </w:tcPr>
          <w:p w14:paraId="1F5CACEC">
            <w:pPr>
              <w:pStyle w:val="13"/>
              <w:jc w:val="center"/>
            </w:pPr>
            <w:r>
              <w:t>4880</w:t>
            </w:r>
          </w:p>
        </w:tc>
        <w:tc>
          <w:tcPr>
            <w:tcW w:w="439" w:type="pct"/>
            <w:vAlign w:val="center"/>
          </w:tcPr>
          <w:p w14:paraId="77FCD8F9">
            <w:pPr>
              <w:pStyle w:val="13"/>
              <w:jc w:val="center"/>
            </w:pPr>
            <w:r>
              <w:t>20</w:t>
            </w:r>
          </w:p>
        </w:tc>
        <w:tc>
          <w:tcPr>
            <w:tcW w:w="439" w:type="pct"/>
            <w:vAlign w:val="center"/>
          </w:tcPr>
          <w:p w14:paraId="57280A28">
            <w:pPr>
              <w:pStyle w:val="13"/>
              <w:jc w:val="center"/>
            </w:pPr>
            <w:r>
              <w:t>2</w:t>
            </w:r>
          </w:p>
        </w:tc>
        <w:tc>
          <w:tcPr>
            <w:tcW w:w="443" w:type="pct"/>
            <w:vAlign w:val="center"/>
          </w:tcPr>
          <w:p w14:paraId="2F012C1A">
            <w:pPr>
              <w:pStyle w:val="13"/>
              <w:jc w:val="center"/>
            </w:pPr>
            <w:r>
              <w:t>300</w:t>
            </w:r>
          </w:p>
        </w:tc>
        <w:tc>
          <w:tcPr>
            <w:tcW w:w="439" w:type="pct"/>
            <w:vAlign w:val="center"/>
          </w:tcPr>
          <w:p w14:paraId="3B6CD768">
            <w:pPr>
              <w:pStyle w:val="13"/>
              <w:jc w:val="center"/>
            </w:pPr>
            <w:r>
              <w:t>2</w:t>
            </w:r>
          </w:p>
        </w:tc>
      </w:tr>
      <w:tr w14:paraId="2B21A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pct"/>
            <w:vAlign w:val="center"/>
          </w:tcPr>
          <w:p w14:paraId="0C0897FD">
            <w:pPr>
              <w:pStyle w:val="13"/>
              <w:jc w:val="center"/>
            </w:pPr>
            <w:r>
              <w:t>2006</w:t>
            </w:r>
          </w:p>
        </w:tc>
        <w:tc>
          <w:tcPr>
            <w:tcW w:w="441" w:type="pct"/>
            <w:vAlign w:val="center"/>
          </w:tcPr>
          <w:p w14:paraId="0135E003">
            <w:pPr>
              <w:pStyle w:val="13"/>
              <w:jc w:val="center"/>
            </w:pPr>
            <w:r>
              <w:t>184</w:t>
            </w:r>
          </w:p>
        </w:tc>
        <w:tc>
          <w:tcPr>
            <w:tcW w:w="445" w:type="pct"/>
            <w:vAlign w:val="center"/>
          </w:tcPr>
          <w:p w14:paraId="314FAB20">
            <w:pPr>
              <w:pStyle w:val="13"/>
              <w:jc w:val="center"/>
            </w:pPr>
            <w:r>
              <w:t>84160</w:t>
            </w:r>
          </w:p>
        </w:tc>
        <w:tc>
          <w:tcPr>
            <w:tcW w:w="441" w:type="pct"/>
            <w:vAlign w:val="center"/>
          </w:tcPr>
          <w:p w14:paraId="0EEEE138">
            <w:pPr>
              <w:pStyle w:val="13"/>
              <w:jc w:val="center"/>
            </w:pPr>
            <w:r>
              <w:t>319</w:t>
            </w:r>
          </w:p>
        </w:tc>
        <w:tc>
          <w:tcPr>
            <w:tcW w:w="592" w:type="pct"/>
            <w:vAlign w:val="center"/>
          </w:tcPr>
          <w:p w14:paraId="1A19DC1C">
            <w:pPr>
              <w:pStyle w:val="13"/>
              <w:jc w:val="center"/>
            </w:pPr>
            <w:r>
              <w:t>21613.59</w:t>
            </w:r>
          </w:p>
        </w:tc>
        <w:tc>
          <w:tcPr>
            <w:tcW w:w="439" w:type="pct"/>
            <w:vAlign w:val="center"/>
          </w:tcPr>
          <w:p w14:paraId="000AF4CB">
            <w:pPr>
              <w:pStyle w:val="13"/>
              <w:jc w:val="center"/>
            </w:pPr>
            <w:r>
              <w:t>10</w:t>
            </w:r>
          </w:p>
        </w:tc>
        <w:tc>
          <w:tcPr>
            <w:tcW w:w="442" w:type="pct"/>
            <w:vAlign w:val="center"/>
          </w:tcPr>
          <w:p w14:paraId="1813D5A9">
            <w:pPr>
              <w:pStyle w:val="13"/>
              <w:jc w:val="center"/>
            </w:pPr>
            <w:r>
              <w:t>4020</w:t>
            </w:r>
          </w:p>
        </w:tc>
        <w:tc>
          <w:tcPr>
            <w:tcW w:w="439" w:type="pct"/>
            <w:vAlign w:val="center"/>
          </w:tcPr>
          <w:p w14:paraId="22C1399C">
            <w:pPr>
              <w:pStyle w:val="13"/>
              <w:jc w:val="center"/>
            </w:pPr>
            <w:r>
              <w:t>18</w:t>
            </w:r>
          </w:p>
        </w:tc>
        <w:tc>
          <w:tcPr>
            <w:tcW w:w="439" w:type="pct"/>
            <w:vAlign w:val="center"/>
          </w:tcPr>
          <w:p w14:paraId="584D3937">
            <w:pPr>
              <w:pStyle w:val="13"/>
              <w:jc w:val="center"/>
            </w:pPr>
            <w:r>
              <w:t>2</w:t>
            </w:r>
          </w:p>
        </w:tc>
        <w:tc>
          <w:tcPr>
            <w:tcW w:w="443" w:type="pct"/>
            <w:vAlign w:val="center"/>
          </w:tcPr>
          <w:p w14:paraId="5BCAD802">
            <w:pPr>
              <w:pStyle w:val="13"/>
              <w:jc w:val="center"/>
            </w:pPr>
            <w:r>
              <w:t>570</w:t>
            </w:r>
          </w:p>
        </w:tc>
        <w:tc>
          <w:tcPr>
            <w:tcW w:w="439" w:type="pct"/>
            <w:vAlign w:val="center"/>
          </w:tcPr>
          <w:p w14:paraId="7837FA0D">
            <w:pPr>
              <w:pStyle w:val="13"/>
              <w:jc w:val="center"/>
            </w:pPr>
            <w:r>
              <w:t>1</w:t>
            </w:r>
          </w:p>
        </w:tc>
      </w:tr>
      <w:tr w14:paraId="20EC7D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pct"/>
            <w:vAlign w:val="center"/>
          </w:tcPr>
          <w:p w14:paraId="00899245">
            <w:pPr>
              <w:pStyle w:val="13"/>
              <w:jc w:val="center"/>
            </w:pPr>
            <w:r>
              <w:t>2007</w:t>
            </w:r>
          </w:p>
        </w:tc>
        <w:tc>
          <w:tcPr>
            <w:tcW w:w="441" w:type="pct"/>
            <w:vAlign w:val="center"/>
          </w:tcPr>
          <w:p w14:paraId="6F3A034A">
            <w:pPr>
              <w:pStyle w:val="13"/>
              <w:jc w:val="center"/>
            </w:pPr>
            <w:r>
              <w:t>187</w:t>
            </w:r>
          </w:p>
        </w:tc>
        <w:tc>
          <w:tcPr>
            <w:tcW w:w="445" w:type="pct"/>
            <w:vAlign w:val="center"/>
          </w:tcPr>
          <w:p w14:paraId="59AF58F0">
            <w:pPr>
              <w:pStyle w:val="13"/>
              <w:jc w:val="center"/>
            </w:pPr>
            <w:r>
              <w:t>85225</w:t>
            </w:r>
          </w:p>
        </w:tc>
        <w:tc>
          <w:tcPr>
            <w:tcW w:w="441" w:type="pct"/>
            <w:vAlign w:val="center"/>
          </w:tcPr>
          <w:p w14:paraId="47E1E61F">
            <w:pPr>
              <w:pStyle w:val="13"/>
              <w:jc w:val="center"/>
            </w:pPr>
            <w:r>
              <w:t>327</w:t>
            </w:r>
          </w:p>
        </w:tc>
        <w:tc>
          <w:tcPr>
            <w:tcW w:w="592" w:type="pct"/>
            <w:vAlign w:val="center"/>
          </w:tcPr>
          <w:p w14:paraId="5926C6CB">
            <w:pPr>
              <w:pStyle w:val="13"/>
              <w:jc w:val="center"/>
            </w:pPr>
            <w:r>
              <w:t>16411.23</w:t>
            </w:r>
          </w:p>
        </w:tc>
        <w:tc>
          <w:tcPr>
            <w:tcW w:w="439" w:type="pct"/>
            <w:vAlign w:val="center"/>
          </w:tcPr>
          <w:p w14:paraId="169540A8">
            <w:pPr>
              <w:pStyle w:val="13"/>
              <w:jc w:val="center"/>
            </w:pPr>
            <w:r>
              <w:t>4</w:t>
            </w:r>
          </w:p>
        </w:tc>
        <w:tc>
          <w:tcPr>
            <w:tcW w:w="442" w:type="pct"/>
            <w:vAlign w:val="center"/>
          </w:tcPr>
          <w:p w14:paraId="2179FF65">
            <w:pPr>
              <w:pStyle w:val="13"/>
              <w:jc w:val="center"/>
            </w:pPr>
            <w:r>
              <w:t>1520</w:t>
            </w:r>
          </w:p>
        </w:tc>
        <w:tc>
          <w:tcPr>
            <w:tcW w:w="439" w:type="pct"/>
            <w:vAlign w:val="center"/>
          </w:tcPr>
          <w:p w14:paraId="4685AE20">
            <w:pPr>
              <w:pStyle w:val="13"/>
              <w:jc w:val="center"/>
            </w:pPr>
            <w:r>
              <w:t>9</w:t>
            </w:r>
          </w:p>
        </w:tc>
        <w:tc>
          <w:tcPr>
            <w:tcW w:w="439" w:type="pct"/>
            <w:vAlign w:val="center"/>
          </w:tcPr>
          <w:p w14:paraId="7AA40F71">
            <w:pPr>
              <w:pStyle w:val="13"/>
              <w:jc w:val="center"/>
            </w:pPr>
            <w:r>
              <w:t>1</w:t>
            </w:r>
          </w:p>
        </w:tc>
        <w:tc>
          <w:tcPr>
            <w:tcW w:w="443" w:type="pct"/>
            <w:vAlign w:val="center"/>
          </w:tcPr>
          <w:p w14:paraId="1F88EFD5">
            <w:pPr>
              <w:pStyle w:val="13"/>
              <w:jc w:val="center"/>
            </w:pPr>
            <w:r>
              <w:t>-90</w:t>
            </w:r>
          </w:p>
        </w:tc>
        <w:tc>
          <w:tcPr>
            <w:tcW w:w="439" w:type="pct"/>
            <w:vAlign w:val="center"/>
          </w:tcPr>
          <w:p w14:paraId="1293396E">
            <w:pPr>
              <w:pStyle w:val="13"/>
              <w:jc w:val="center"/>
            </w:pPr>
            <w:r>
              <w:t>-1</w:t>
            </w:r>
          </w:p>
        </w:tc>
      </w:tr>
      <w:tr w14:paraId="43BAE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pct"/>
            <w:vAlign w:val="center"/>
          </w:tcPr>
          <w:p w14:paraId="7BA666F3">
            <w:pPr>
              <w:pStyle w:val="13"/>
              <w:jc w:val="center"/>
            </w:pPr>
            <w:r>
              <w:t>2008</w:t>
            </w:r>
          </w:p>
        </w:tc>
        <w:tc>
          <w:tcPr>
            <w:tcW w:w="441" w:type="pct"/>
            <w:vAlign w:val="center"/>
          </w:tcPr>
          <w:p w14:paraId="32490433">
            <w:pPr>
              <w:pStyle w:val="13"/>
              <w:jc w:val="center"/>
            </w:pPr>
            <w:r>
              <w:t>187</w:t>
            </w:r>
          </w:p>
        </w:tc>
        <w:tc>
          <w:tcPr>
            <w:tcW w:w="445" w:type="pct"/>
            <w:vAlign w:val="center"/>
          </w:tcPr>
          <w:p w14:paraId="0A33E589">
            <w:pPr>
              <w:pStyle w:val="13"/>
              <w:jc w:val="center"/>
            </w:pPr>
            <w:r>
              <w:t>86545</w:t>
            </w:r>
          </w:p>
        </w:tc>
        <w:tc>
          <w:tcPr>
            <w:tcW w:w="441" w:type="pct"/>
            <w:vAlign w:val="center"/>
          </w:tcPr>
          <w:p w14:paraId="15BF0849">
            <w:pPr>
              <w:pStyle w:val="13"/>
              <w:jc w:val="center"/>
            </w:pPr>
            <w:r>
              <w:t>327</w:t>
            </w:r>
          </w:p>
        </w:tc>
        <w:tc>
          <w:tcPr>
            <w:tcW w:w="592" w:type="pct"/>
            <w:vAlign w:val="center"/>
          </w:tcPr>
          <w:p w14:paraId="3E8F0B21">
            <w:pPr>
              <w:pStyle w:val="13"/>
              <w:jc w:val="center"/>
            </w:pPr>
            <w:r>
              <w:t>22403.89</w:t>
            </w:r>
          </w:p>
        </w:tc>
        <w:tc>
          <w:tcPr>
            <w:tcW w:w="439" w:type="pct"/>
            <w:vAlign w:val="center"/>
          </w:tcPr>
          <w:p w14:paraId="24CF2157">
            <w:pPr>
              <w:pStyle w:val="13"/>
              <w:jc w:val="center"/>
            </w:pPr>
            <w:r>
              <w:t>0</w:t>
            </w:r>
          </w:p>
        </w:tc>
        <w:tc>
          <w:tcPr>
            <w:tcW w:w="442" w:type="pct"/>
            <w:vAlign w:val="center"/>
          </w:tcPr>
          <w:p w14:paraId="5A4141E7">
            <w:pPr>
              <w:pStyle w:val="13"/>
              <w:jc w:val="center"/>
            </w:pPr>
            <w:r>
              <w:t>0</w:t>
            </w:r>
          </w:p>
        </w:tc>
        <w:tc>
          <w:tcPr>
            <w:tcW w:w="439" w:type="pct"/>
            <w:vAlign w:val="center"/>
          </w:tcPr>
          <w:p w14:paraId="37DFB306">
            <w:pPr>
              <w:pStyle w:val="13"/>
              <w:jc w:val="center"/>
            </w:pPr>
            <w:r>
              <w:t>0</w:t>
            </w:r>
          </w:p>
        </w:tc>
        <w:tc>
          <w:tcPr>
            <w:tcW w:w="439" w:type="pct"/>
            <w:vAlign w:val="center"/>
          </w:tcPr>
          <w:p w14:paraId="34375571">
            <w:pPr>
              <w:pStyle w:val="13"/>
              <w:jc w:val="center"/>
            </w:pPr>
            <w:r>
              <w:t>0</w:t>
            </w:r>
          </w:p>
        </w:tc>
        <w:tc>
          <w:tcPr>
            <w:tcW w:w="443" w:type="pct"/>
            <w:vAlign w:val="center"/>
          </w:tcPr>
          <w:p w14:paraId="56F1C3D0">
            <w:pPr>
              <w:pStyle w:val="13"/>
              <w:jc w:val="center"/>
            </w:pPr>
            <w:r>
              <w:t>0</w:t>
            </w:r>
          </w:p>
        </w:tc>
        <w:tc>
          <w:tcPr>
            <w:tcW w:w="439" w:type="pct"/>
            <w:vAlign w:val="center"/>
          </w:tcPr>
          <w:p w14:paraId="0EE150F9">
            <w:pPr>
              <w:pStyle w:val="13"/>
              <w:jc w:val="center"/>
            </w:pPr>
            <w:r>
              <w:t>0</w:t>
            </w:r>
          </w:p>
        </w:tc>
      </w:tr>
      <w:tr w14:paraId="4F64F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pct"/>
            <w:vAlign w:val="center"/>
          </w:tcPr>
          <w:p w14:paraId="281F07EC">
            <w:pPr>
              <w:pStyle w:val="13"/>
              <w:jc w:val="center"/>
            </w:pPr>
            <w:r>
              <w:t>2009</w:t>
            </w:r>
          </w:p>
        </w:tc>
        <w:tc>
          <w:tcPr>
            <w:tcW w:w="441" w:type="pct"/>
            <w:vAlign w:val="center"/>
          </w:tcPr>
          <w:p w14:paraId="21EE4E98">
            <w:pPr>
              <w:pStyle w:val="13"/>
              <w:jc w:val="center"/>
            </w:pPr>
            <w:r>
              <w:t>187</w:t>
            </w:r>
          </w:p>
        </w:tc>
        <w:tc>
          <w:tcPr>
            <w:tcW w:w="445" w:type="pct"/>
            <w:vAlign w:val="center"/>
          </w:tcPr>
          <w:p w14:paraId="3D2F1B99">
            <w:pPr>
              <w:pStyle w:val="13"/>
              <w:jc w:val="center"/>
            </w:pPr>
            <w:r>
              <w:t>87225</w:t>
            </w:r>
          </w:p>
        </w:tc>
        <w:tc>
          <w:tcPr>
            <w:tcW w:w="441" w:type="pct"/>
            <w:vAlign w:val="center"/>
          </w:tcPr>
          <w:p w14:paraId="46664A49">
            <w:pPr>
              <w:pStyle w:val="13"/>
              <w:jc w:val="center"/>
            </w:pPr>
            <w:r>
              <w:t>328</w:t>
            </w:r>
          </w:p>
        </w:tc>
        <w:tc>
          <w:tcPr>
            <w:tcW w:w="592" w:type="pct"/>
            <w:vAlign w:val="center"/>
          </w:tcPr>
          <w:p w14:paraId="6941750D">
            <w:pPr>
              <w:pStyle w:val="13"/>
              <w:jc w:val="center"/>
            </w:pPr>
            <w:r>
              <w:t>14141.32</w:t>
            </w:r>
          </w:p>
        </w:tc>
        <w:tc>
          <w:tcPr>
            <w:tcW w:w="439" w:type="pct"/>
            <w:vAlign w:val="center"/>
          </w:tcPr>
          <w:p w14:paraId="73A03449">
            <w:pPr>
              <w:pStyle w:val="13"/>
              <w:jc w:val="center"/>
            </w:pPr>
            <w:r>
              <w:t>0</w:t>
            </w:r>
          </w:p>
        </w:tc>
        <w:tc>
          <w:tcPr>
            <w:tcW w:w="442" w:type="pct"/>
            <w:vAlign w:val="center"/>
          </w:tcPr>
          <w:p w14:paraId="4009D608">
            <w:pPr>
              <w:pStyle w:val="13"/>
              <w:jc w:val="center"/>
            </w:pPr>
            <w:r>
              <w:t>0</w:t>
            </w:r>
          </w:p>
        </w:tc>
        <w:tc>
          <w:tcPr>
            <w:tcW w:w="439" w:type="pct"/>
            <w:vAlign w:val="center"/>
          </w:tcPr>
          <w:p w14:paraId="1208DEF0">
            <w:pPr>
              <w:pStyle w:val="13"/>
              <w:jc w:val="center"/>
            </w:pPr>
            <w:r>
              <w:t>0</w:t>
            </w:r>
          </w:p>
        </w:tc>
        <w:tc>
          <w:tcPr>
            <w:tcW w:w="439" w:type="pct"/>
            <w:vAlign w:val="center"/>
          </w:tcPr>
          <w:p w14:paraId="6E6EAC83">
            <w:pPr>
              <w:pStyle w:val="13"/>
              <w:jc w:val="center"/>
            </w:pPr>
            <w:r>
              <w:t>1</w:t>
            </w:r>
          </w:p>
        </w:tc>
        <w:tc>
          <w:tcPr>
            <w:tcW w:w="443" w:type="pct"/>
            <w:vAlign w:val="center"/>
          </w:tcPr>
          <w:p w14:paraId="4EBACFE2">
            <w:pPr>
              <w:pStyle w:val="13"/>
              <w:jc w:val="center"/>
            </w:pPr>
            <w:r>
              <w:t>395</w:t>
            </w:r>
          </w:p>
        </w:tc>
        <w:tc>
          <w:tcPr>
            <w:tcW w:w="439" w:type="pct"/>
            <w:vAlign w:val="center"/>
          </w:tcPr>
          <w:p w14:paraId="3630E23E">
            <w:pPr>
              <w:pStyle w:val="13"/>
              <w:jc w:val="center"/>
            </w:pPr>
            <w:r>
              <w:t>1</w:t>
            </w:r>
          </w:p>
        </w:tc>
      </w:tr>
      <w:tr w14:paraId="4D858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pct"/>
            <w:vAlign w:val="center"/>
          </w:tcPr>
          <w:p w14:paraId="08B39082">
            <w:pPr>
              <w:pStyle w:val="13"/>
              <w:jc w:val="center"/>
            </w:pPr>
            <w:r>
              <w:t>2010</w:t>
            </w:r>
          </w:p>
        </w:tc>
        <w:tc>
          <w:tcPr>
            <w:tcW w:w="441" w:type="pct"/>
            <w:vAlign w:val="center"/>
          </w:tcPr>
          <w:p w14:paraId="53339721">
            <w:pPr>
              <w:pStyle w:val="13"/>
              <w:jc w:val="center"/>
            </w:pPr>
            <w:r>
              <w:t>187</w:t>
            </w:r>
          </w:p>
        </w:tc>
        <w:tc>
          <w:tcPr>
            <w:tcW w:w="445" w:type="pct"/>
            <w:vAlign w:val="center"/>
          </w:tcPr>
          <w:p w14:paraId="0AC8FA71">
            <w:pPr>
              <w:pStyle w:val="13"/>
              <w:jc w:val="center"/>
            </w:pPr>
            <w:r>
              <w:t>87650</w:t>
            </w:r>
          </w:p>
        </w:tc>
        <w:tc>
          <w:tcPr>
            <w:tcW w:w="441" w:type="pct"/>
            <w:vAlign w:val="center"/>
          </w:tcPr>
          <w:p w14:paraId="7A70C4A2">
            <w:pPr>
              <w:pStyle w:val="13"/>
              <w:jc w:val="center"/>
            </w:pPr>
            <w:r>
              <w:t>328</w:t>
            </w:r>
          </w:p>
        </w:tc>
        <w:tc>
          <w:tcPr>
            <w:tcW w:w="592" w:type="pct"/>
            <w:vAlign w:val="center"/>
          </w:tcPr>
          <w:p w14:paraId="66CDA004">
            <w:pPr>
              <w:pStyle w:val="13"/>
              <w:jc w:val="center"/>
            </w:pPr>
            <w:r>
              <w:t>25476.59</w:t>
            </w:r>
          </w:p>
        </w:tc>
        <w:tc>
          <w:tcPr>
            <w:tcW w:w="439" w:type="pct"/>
            <w:vAlign w:val="center"/>
          </w:tcPr>
          <w:p w14:paraId="43F07206">
            <w:pPr>
              <w:pStyle w:val="13"/>
              <w:jc w:val="center"/>
            </w:pPr>
            <w:r>
              <w:t>0</w:t>
            </w:r>
          </w:p>
        </w:tc>
        <w:tc>
          <w:tcPr>
            <w:tcW w:w="442" w:type="pct"/>
            <w:vAlign w:val="center"/>
          </w:tcPr>
          <w:p w14:paraId="1BC2B264">
            <w:pPr>
              <w:pStyle w:val="13"/>
              <w:jc w:val="center"/>
            </w:pPr>
            <w:r>
              <w:t>0</w:t>
            </w:r>
          </w:p>
        </w:tc>
        <w:tc>
          <w:tcPr>
            <w:tcW w:w="439" w:type="pct"/>
            <w:vAlign w:val="center"/>
          </w:tcPr>
          <w:p w14:paraId="4D75FE62">
            <w:pPr>
              <w:pStyle w:val="13"/>
              <w:jc w:val="center"/>
            </w:pPr>
            <w:r>
              <w:t>0</w:t>
            </w:r>
          </w:p>
        </w:tc>
        <w:tc>
          <w:tcPr>
            <w:tcW w:w="439" w:type="pct"/>
            <w:vAlign w:val="center"/>
          </w:tcPr>
          <w:p w14:paraId="29C0912B">
            <w:pPr>
              <w:pStyle w:val="13"/>
              <w:jc w:val="center"/>
            </w:pPr>
            <w:r>
              <w:t>1</w:t>
            </w:r>
          </w:p>
        </w:tc>
        <w:tc>
          <w:tcPr>
            <w:tcW w:w="443" w:type="pct"/>
            <w:vAlign w:val="center"/>
          </w:tcPr>
          <w:p w14:paraId="759DC6E9">
            <w:pPr>
              <w:pStyle w:val="13"/>
              <w:jc w:val="center"/>
            </w:pPr>
            <w:r>
              <w:t>400</w:t>
            </w:r>
          </w:p>
        </w:tc>
        <w:tc>
          <w:tcPr>
            <w:tcW w:w="439" w:type="pct"/>
            <w:vAlign w:val="center"/>
          </w:tcPr>
          <w:p w14:paraId="409963B6">
            <w:pPr>
              <w:pStyle w:val="13"/>
              <w:jc w:val="center"/>
              <w:rPr>
                <w:rFonts w:hint="eastAsia"/>
              </w:rPr>
            </w:pPr>
            <w:r>
              <w:t>0</w:t>
            </w:r>
          </w:p>
        </w:tc>
      </w:tr>
    </w:tbl>
    <w:p w14:paraId="37069001">
      <w:pPr>
        <w:pStyle w:val="4"/>
      </w:pPr>
      <w:r>
        <w:t>【防洪抗旱】</w:t>
      </w:r>
    </w:p>
    <w:p w14:paraId="6DF0BB23">
      <w:pPr>
        <w:ind w:firstLine="420"/>
        <w:rPr>
          <w:rFonts w:ascii="宋体" w:hAnsi="宋体"/>
        </w:rPr>
      </w:pPr>
      <w:r>
        <w:rPr>
          <w:rFonts w:ascii="宋体" w:hAnsi="宋体"/>
        </w:rPr>
        <w:t>2003年，年降雨量1169毫米，全年旱涝交替：“4·13”洪灾给全市烟叶生产造成重大损失；7月上旬至8月上旬连续近40天高温少雨，但水库蓄水较好，各大灌区损失较小，主要是水尾地段和望天田损失严重。</w:t>
      </w:r>
    </w:p>
    <w:p w14:paraId="09311497">
      <w:pPr>
        <w:ind w:firstLine="420"/>
        <w:rPr>
          <w:rFonts w:ascii="宋体" w:hAnsi="宋体"/>
        </w:rPr>
      </w:pPr>
      <w:r>
        <w:rPr>
          <w:rFonts w:ascii="宋体" w:hAnsi="宋体"/>
        </w:rPr>
        <w:t>2004年，年降雨量1178毫米，在春季、秋季出现两次旱灾，从8月上旬至9月中旬连续近50天高温少雨，其受旱面积之大、持续时间之长和旱情的严重程度，为南雄近四十年之最。</w:t>
      </w:r>
    </w:p>
    <w:p w14:paraId="3F3F0156">
      <w:pPr>
        <w:ind w:firstLine="420"/>
        <w:rPr>
          <w:rFonts w:ascii="宋体" w:hAnsi="宋体"/>
        </w:rPr>
      </w:pPr>
      <w:r>
        <w:rPr>
          <w:rFonts w:ascii="宋体" w:hAnsi="宋体"/>
        </w:rPr>
        <w:t>2005年，年降雨量1725毫米，6月上旬出现超5年一遇洪水，局部出现冰雹、龙卷风等灾害。3月30日，五龟洞电站出现垮坝事故，造成1人死亡，下游3电站受损。</w:t>
      </w:r>
    </w:p>
    <w:p w14:paraId="354A3ECF">
      <w:pPr>
        <w:ind w:firstLine="420"/>
        <w:rPr>
          <w:rFonts w:ascii="宋体" w:hAnsi="宋体"/>
        </w:rPr>
      </w:pPr>
      <w:r>
        <w:rPr>
          <w:rFonts w:ascii="宋体" w:hAnsi="宋体"/>
        </w:rPr>
        <w:t>2006年，全年旱涝交替：由于冬春连旱，2月份开展抢种黄烟的抗旱工作；7月中旬，乐昌、韶关等地遭遇超百年一遇洪水，损失惨重。由于受台风环流影响，7月下旬出现近10年一遇洪水，灾害损失达5000多万元。</w:t>
      </w:r>
    </w:p>
    <w:p w14:paraId="360F284C">
      <w:pPr>
        <w:ind w:firstLine="420"/>
        <w:rPr>
          <w:rFonts w:ascii="宋体" w:hAnsi="宋体"/>
        </w:rPr>
      </w:pPr>
      <w:r>
        <w:rPr>
          <w:rFonts w:ascii="宋体" w:hAnsi="宋体"/>
        </w:rPr>
        <w:t>2007年，自7月上旬以来全市出现连续近40天的高温无雨天气，形成南雄自有气象记录以来40多年来同期最严重的旱灾.8月10日开始由于降雨及时，才有效缓解旱情。</w:t>
      </w:r>
    </w:p>
    <w:p w14:paraId="5BA7B48E">
      <w:pPr>
        <w:ind w:firstLine="420"/>
        <w:rPr>
          <w:rFonts w:ascii="宋体" w:hAnsi="宋体"/>
        </w:rPr>
      </w:pPr>
      <w:r>
        <w:rPr>
          <w:rFonts w:ascii="宋体" w:hAnsi="宋体"/>
        </w:rPr>
        <w:t>2008年，年降雨量为1550毫米，属平水年。年初出现罕见的雨雪冰冻天气，使农业、电力、林业等行业损失重大；6月中旬，出现较强的暴雨天气，局部受灾。</w:t>
      </w:r>
    </w:p>
    <w:p w14:paraId="3F492D75">
      <w:pPr>
        <w:ind w:firstLine="420"/>
        <w:rPr>
          <w:rFonts w:ascii="宋体" w:hAnsi="宋体"/>
        </w:rPr>
      </w:pPr>
      <w:r>
        <w:rPr>
          <w:rFonts w:ascii="宋体" w:hAnsi="宋体"/>
        </w:rPr>
        <w:t>2009年，年降雨量1148毫米，明显偏少属干旱年份，尤其1-10月降雨量仅为965毫米。2月中旬和下旬，是全市黄烟移植的高峰期，但整个月各地平均月雨量仅1毫米，超过一半雨量点实测月雨量为零，且当时由于受冬春连旱的影响、大约70%的山塘已干涸或接近于涸，中、小型水库蓄水也非常少。两次抗旱工作，累计共投入抗旱人数达43.2万人次，投入抗旱电排站151处，机动抗旱设备1790台，大大小小机动运水车辆2011辆，气象部门开展人工降雨作业9次，共发射降雨弹41枚。全市共完成抗旱浇灌面积6.92万亩，解决临时饮水困难群众4800多人，共完成抗旱资金投入405万元总体来说，全年春秋旱情重，山塘水库蓄水少，7月局部洪灾损失大，防灾救灾成效显著。</w:t>
      </w:r>
    </w:p>
    <w:p w14:paraId="53B79B01">
      <w:pPr>
        <w:ind w:firstLine="420"/>
        <w:rPr>
          <w:rFonts w:ascii="宋体" w:hAnsi="宋体"/>
        </w:rPr>
      </w:pPr>
      <w:r>
        <w:rPr>
          <w:rFonts w:ascii="宋体" w:hAnsi="宋体"/>
        </w:rPr>
        <w:t>2010年，年降雨量1644.9毫米，4-6月，全市先后发生11次强降雨，4-6月平均降雨量为967.1毫米，各镇也出现不同程度的洪涝灾害。据统计，截止到6月底，强降雨过程共造成全市18个镇不同程度受灾，受灾人口5.42万人，转移252人；共有5.95万亩农田受淹，其中黄烟受淹4.65万亩；受损房屋476间，其中倒塌133间，水浸受损343间；损坏公路23处，长度580米；损坏塘坝33宗，灌溉设施233处；河堤塌方73处，长1522米。直接经济总损失达3565万元，其中水利设施损失达1114万元。灾情发生后，水务、国土、民政、公路、交通、烟草、农业等部门纷纷组织工作组分赴灾区展开抗洪抢险。各受灾镇党委政府均在第一时间内高度集中人力、物力和财力，全力以赴进行抢险救灾。由于行动迅速，措施得当，很大程度上减小灾害损失，确保人员安全。</w:t>
      </w:r>
    </w:p>
    <w:p w14:paraId="5EB2ABA8">
      <w:pPr>
        <w:pStyle w:val="4"/>
      </w:pPr>
      <w:r>
        <w:t>【水政执法】</w:t>
      </w:r>
    </w:p>
    <w:p w14:paraId="12CE67A3">
      <w:pPr>
        <w:ind w:firstLine="420"/>
        <w:rPr>
          <w:rFonts w:ascii="宋体" w:hAnsi="宋体"/>
        </w:rPr>
      </w:pPr>
      <w:r>
        <w:rPr>
          <w:rFonts w:ascii="宋体" w:hAnsi="宋体"/>
        </w:rPr>
        <w:t>2003年至2010年，全市征收水规费合计2597万元，所征收水规费中，水资源费597.3万元，河道采砂管理费8.6万元，堤围防护费1580.7万元，河砂开采出让费410万元。政执法重点是河道采砂治理，开展河道采砂执法行动8次。由水利局、公安局、河砂办等部门执法人员组成联合执法队，对市管河道范围内的非法采砂行为进行严厉打击，出动执法人员896人次，调处水事纠纷18宗，发出送到责令停止水事违法行为通知书23份，立案查处14宗。</w:t>
      </w:r>
    </w:p>
    <w:p w14:paraId="38204C96">
      <w:pPr>
        <w:pStyle w:val="4"/>
      </w:pPr>
      <w:r>
        <w:t>【水库移民】</w:t>
      </w:r>
    </w:p>
    <w:p w14:paraId="6BF5D0C8">
      <w:pPr>
        <w:ind w:firstLine="420"/>
        <w:rPr>
          <w:rFonts w:ascii="宋体" w:hAnsi="宋体"/>
        </w:rPr>
      </w:pPr>
      <w:r>
        <w:rPr>
          <w:rFonts w:ascii="宋体" w:hAnsi="宋体"/>
        </w:rPr>
        <w:t>2003至2010年，水库移民扶持资金主要用于解决移民住房及其附属设施建设等问题。投入资金6060.45万元，其中省市补助资金4278.299万元，镇村自筹资金1782.151万元。其中完成移民新村建设19条；完成建房598户2627人，建房60910.94平方米；完成直补到人资金发放48481人次；完成食水工程21宗，修建道路31公里，小水利工程56宗及其他工程一批。</w:t>
      </w:r>
    </w:p>
    <w:p w14:paraId="0E3A853D">
      <w:pPr>
        <w:ind w:firstLine="420"/>
        <w:jc w:val="right"/>
        <w:rPr>
          <w:rFonts w:ascii="宋体" w:hAnsi="宋体"/>
        </w:rPr>
      </w:pPr>
      <w:r>
        <w:rPr>
          <w:rFonts w:ascii="宋体" w:hAnsi="宋体"/>
        </w:rPr>
        <w:t>（张熙宁）</w:t>
      </w:r>
    </w:p>
    <w:p w14:paraId="6D584328">
      <w:pPr>
        <w:ind w:firstLine="422"/>
        <w:rPr>
          <w:rFonts w:ascii="宋体" w:hAnsi="宋体"/>
          <w:b/>
          <w:bCs/>
        </w:rPr>
      </w:pPr>
      <w:r>
        <w:rPr>
          <w:rFonts w:ascii="宋体" w:hAnsi="宋体"/>
          <w:b/>
          <w:bCs/>
        </w:rPr>
        <w:t>附：2010年水务局领导班子成员名单</w:t>
      </w:r>
    </w:p>
    <w:p w14:paraId="0E1C8D4E">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何启林</w:t>
      </w:r>
    </w:p>
    <w:p w14:paraId="181C9373">
      <w:pPr>
        <w:ind w:firstLine="422"/>
        <w:rPr>
          <w:rFonts w:ascii="宋体" w:hAnsi="宋体"/>
        </w:rPr>
      </w:pPr>
      <w:r>
        <w:rPr>
          <w:rFonts w:ascii="宋体" w:hAnsi="宋体"/>
          <w:b/>
          <w:bCs/>
        </w:rPr>
        <w:t>副局长：</w:t>
      </w:r>
      <w:r>
        <w:rPr>
          <w:rFonts w:ascii="宋体" w:hAnsi="宋体"/>
        </w:rPr>
        <w:t>何金生</w:t>
      </w:r>
      <w:r>
        <w:rPr>
          <w:rFonts w:hint="eastAsia" w:ascii="宋体" w:hAnsi="宋体"/>
        </w:rPr>
        <w:t xml:space="preserve">  </w:t>
      </w:r>
      <w:r>
        <w:rPr>
          <w:rFonts w:ascii="宋体" w:hAnsi="宋体"/>
        </w:rPr>
        <w:t>刘伟凡</w:t>
      </w:r>
      <w:r>
        <w:rPr>
          <w:rFonts w:hint="eastAsia" w:ascii="宋体" w:hAnsi="宋体"/>
        </w:rPr>
        <w:t xml:space="preserve">  </w:t>
      </w:r>
      <w:r>
        <w:rPr>
          <w:rFonts w:ascii="宋体" w:hAnsi="宋体"/>
        </w:rPr>
        <w:t>阳良芯</w:t>
      </w:r>
    </w:p>
    <w:p w14:paraId="68CA3548">
      <w:pPr>
        <w:ind w:firstLine="422"/>
        <w:rPr>
          <w:rFonts w:ascii="宋体" w:hAnsi="宋体"/>
        </w:rPr>
      </w:pPr>
      <w:r>
        <w:rPr>
          <w:rFonts w:ascii="宋体" w:hAnsi="宋体"/>
          <w:b/>
          <w:bCs/>
        </w:rPr>
        <w:t>工会主席：</w:t>
      </w:r>
      <w:r>
        <w:rPr>
          <w:rFonts w:ascii="宋体" w:hAnsi="宋体"/>
        </w:rPr>
        <w:t>董圣水</w:t>
      </w:r>
    </w:p>
    <w:p w14:paraId="09441C29">
      <w:pPr>
        <w:ind w:firstLine="422"/>
        <w:rPr>
          <w:rFonts w:ascii="宋体" w:hAnsi="宋体"/>
        </w:rPr>
      </w:pPr>
      <w:r>
        <w:rPr>
          <w:rFonts w:ascii="宋体" w:hAnsi="宋体"/>
          <w:b/>
          <w:bCs/>
        </w:rPr>
        <w:t>纪检组长：</w:t>
      </w:r>
      <w:r>
        <w:rPr>
          <w:rFonts w:ascii="宋体" w:hAnsi="宋体"/>
        </w:rPr>
        <w:t>龚甫团</w:t>
      </w:r>
    </w:p>
    <w:p w14:paraId="65255A96">
      <w:pPr>
        <w:ind w:firstLine="422"/>
        <w:jc w:val="center"/>
        <w:rPr>
          <w:rFonts w:ascii="宋体" w:hAnsi="宋体"/>
          <w:b/>
        </w:rPr>
      </w:pPr>
      <w:r>
        <w:rPr>
          <w:rFonts w:hint="eastAsia" w:ascii="宋体" w:hAnsi="宋体"/>
          <w:b/>
        </w:rPr>
        <w:t>表17-4  南雄市水库蓄水状态（2003-2010年）</w:t>
      </w:r>
    </w:p>
    <w:p w14:paraId="06D20B1D">
      <w:pPr>
        <w:ind w:firstLine="422"/>
        <w:jc w:val="right"/>
        <w:rPr>
          <w:rFonts w:hint="eastAsia" w:ascii="宋体" w:hAnsi="宋体"/>
          <w:b/>
        </w:rPr>
      </w:pPr>
      <w:r>
        <w:rPr>
          <w:rFonts w:hint="eastAsia" w:ascii="宋体" w:hAnsi="宋体"/>
          <w:b/>
        </w:rPr>
        <w:t>单位：万立方米</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3"/>
        <w:gridCol w:w="876"/>
        <w:gridCol w:w="878"/>
        <w:gridCol w:w="879"/>
        <w:gridCol w:w="879"/>
        <w:gridCol w:w="901"/>
        <w:gridCol w:w="917"/>
        <w:gridCol w:w="917"/>
        <w:gridCol w:w="962"/>
        <w:gridCol w:w="909"/>
        <w:gridCol w:w="911"/>
      </w:tblGrid>
      <w:tr w14:paraId="05E8C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3" w:hRule="atLeast"/>
        </w:trPr>
        <w:tc>
          <w:tcPr>
            <w:tcW w:w="469" w:type="pct"/>
            <w:vMerge w:val="restart"/>
            <w:vAlign w:val="center"/>
          </w:tcPr>
          <w:p w14:paraId="176E96D9">
            <w:pPr>
              <w:pStyle w:val="13"/>
              <w:jc w:val="center"/>
              <w:rPr>
                <w:rFonts w:hint="eastAsia"/>
                <w:b/>
              </w:rPr>
            </w:pPr>
            <w:r>
              <w:rPr>
                <w:rFonts w:hint="eastAsia"/>
                <w:b/>
              </w:rPr>
              <w:t>年度</w:t>
            </w:r>
          </w:p>
        </w:tc>
        <w:tc>
          <w:tcPr>
            <w:tcW w:w="881" w:type="pct"/>
            <w:gridSpan w:val="2"/>
            <w:vAlign w:val="center"/>
          </w:tcPr>
          <w:p w14:paraId="79D690BD">
            <w:pPr>
              <w:pStyle w:val="13"/>
              <w:jc w:val="center"/>
              <w:rPr>
                <w:rFonts w:hint="eastAsia"/>
                <w:b/>
              </w:rPr>
            </w:pPr>
            <w:r>
              <w:rPr>
                <w:rFonts w:hint="eastAsia"/>
                <w:b/>
              </w:rPr>
              <w:t>水库座数</w:t>
            </w:r>
          </w:p>
        </w:tc>
        <w:tc>
          <w:tcPr>
            <w:tcW w:w="882" w:type="pct"/>
            <w:gridSpan w:val="2"/>
            <w:vAlign w:val="center"/>
          </w:tcPr>
          <w:p w14:paraId="66B75BF5">
            <w:pPr>
              <w:pStyle w:val="13"/>
              <w:jc w:val="center"/>
              <w:rPr>
                <w:b/>
              </w:rPr>
            </w:pPr>
            <w:r>
              <w:rPr>
                <w:rFonts w:hint="eastAsia"/>
                <w:b/>
              </w:rPr>
              <w:t>大型水库蓄水量</w:t>
            </w:r>
          </w:p>
        </w:tc>
        <w:tc>
          <w:tcPr>
            <w:tcW w:w="452" w:type="pct"/>
            <w:vMerge w:val="restart"/>
            <w:vAlign w:val="center"/>
          </w:tcPr>
          <w:p w14:paraId="07B05CDD">
            <w:pPr>
              <w:pStyle w:val="13"/>
              <w:jc w:val="center"/>
              <w:rPr>
                <w:rFonts w:hint="eastAsia"/>
                <w:b/>
              </w:rPr>
            </w:pPr>
            <w:r>
              <w:rPr>
                <w:rFonts w:hint="eastAsia"/>
                <w:b/>
              </w:rPr>
              <w:t>大型水库年蓄水变量</w:t>
            </w:r>
          </w:p>
        </w:tc>
        <w:tc>
          <w:tcPr>
            <w:tcW w:w="919" w:type="pct"/>
            <w:gridSpan w:val="2"/>
            <w:vAlign w:val="center"/>
          </w:tcPr>
          <w:p w14:paraId="4F74B048">
            <w:pPr>
              <w:pStyle w:val="13"/>
              <w:jc w:val="center"/>
              <w:rPr>
                <w:rFonts w:hint="eastAsia"/>
                <w:b/>
              </w:rPr>
            </w:pPr>
            <w:r>
              <w:rPr>
                <w:rFonts w:hint="eastAsia"/>
                <w:b/>
              </w:rPr>
              <w:t>中型水库蓄水量</w:t>
            </w:r>
          </w:p>
        </w:tc>
        <w:tc>
          <w:tcPr>
            <w:tcW w:w="483" w:type="pct"/>
            <w:vMerge w:val="restart"/>
            <w:vAlign w:val="center"/>
          </w:tcPr>
          <w:p w14:paraId="3CC0ECF2">
            <w:pPr>
              <w:pStyle w:val="13"/>
              <w:jc w:val="center"/>
              <w:rPr>
                <w:rFonts w:hint="eastAsia"/>
                <w:b/>
              </w:rPr>
            </w:pPr>
            <w:r>
              <w:rPr>
                <w:rFonts w:hint="eastAsia"/>
                <w:b/>
              </w:rPr>
              <w:t>中型水库年蓄水变量</w:t>
            </w:r>
          </w:p>
        </w:tc>
        <w:tc>
          <w:tcPr>
            <w:tcW w:w="913" w:type="pct"/>
            <w:gridSpan w:val="2"/>
            <w:vAlign w:val="center"/>
          </w:tcPr>
          <w:p w14:paraId="1B5F510F">
            <w:pPr>
              <w:pStyle w:val="13"/>
              <w:jc w:val="center"/>
              <w:rPr>
                <w:rFonts w:hint="eastAsia"/>
                <w:b/>
              </w:rPr>
            </w:pPr>
            <w:r>
              <w:rPr>
                <w:rFonts w:hint="eastAsia"/>
                <w:b/>
              </w:rPr>
              <w:t>合计</w:t>
            </w:r>
          </w:p>
        </w:tc>
      </w:tr>
      <w:tr w14:paraId="5C7B2D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469" w:type="pct"/>
            <w:vMerge w:val="continue"/>
            <w:vAlign w:val="center"/>
          </w:tcPr>
          <w:p w14:paraId="559AEF68">
            <w:pPr>
              <w:pStyle w:val="13"/>
              <w:jc w:val="center"/>
              <w:rPr>
                <w:rFonts w:hint="eastAsia"/>
                <w:b/>
              </w:rPr>
            </w:pPr>
          </w:p>
        </w:tc>
        <w:tc>
          <w:tcPr>
            <w:tcW w:w="440" w:type="pct"/>
            <w:vAlign w:val="center"/>
          </w:tcPr>
          <w:p w14:paraId="0918BA2A">
            <w:pPr>
              <w:pStyle w:val="13"/>
              <w:jc w:val="center"/>
              <w:rPr>
                <w:b/>
              </w:rPr>
            </w:pPr>
            <w:r>
              <w:rPr>
                <w:rFonts w:hint="eastAsia"/>
                <w:b/>
              </w:rPr>
              <w:t>大型</w:t>
            </w:r>
          </w:p>
        </w:tc>
        <w:tc>
          <w:tcPr>
            <w:tcW w:w="441" w:type="pct"/>
            <w:vAlign w:val="center"/>
          </w:tcPr>
          <w:p w14:paraId="7EDCC991">
            <w:pPr>
              <w:pStyle w:val="13"/>
              <w:jc w:val="center"/>
              <w:rPr>
                <w:b/>
              </w:rPr>
            </w:pPr>
            <w:r>
              <w:rPr>
                <w:rFonts w:hint="eastAsia"/>
                <w:b/>
              </w:rPr>
              <w:t>中型</w:t>
            </w:r>
          </w:p>
        </w:tc>
        <w:tc>
          <w:tcPr>
            <w:tcW w:w="441" w:type="pct"/>
            <w:vAlign w:val="center"/>
          </w:tcPr>
          <w:p w14:paraId="54EACE83">
            <w:pPr>
              <w:pStyle w:val="13"/>
              <w:jc w:val="center"/>
              <w:rPr>
                <w:b/>
              </w:rPr>
            </w:pPr>
            <w:r>
              <w:rPr>
                <w:rFonts w:hint="eastAsia"/>
                <w:b/>
              </w:rPr>
              <w:t>上年末</w:t>
            </w:r>
          </w:p>
        </w:tc>
        <w:tc>
          <w:tcPr>
            <w:tcW w:w="441" w:type="pct"/>
            <w:vAlign w:val="center"/>
          </w:tcPr>
          <w:p w14:paraId="07EF63B5">
            <w:pPr>
              <w:pStyle w:val="13"/>
              <w:jc w:val="center"/>
              <w:rPr>
                <w:rFonts w:hint="eastAsia"/>
                <w:b/>
              </w:rPr>
            </w:pPr>
            <w:r>
              <w:rPr>
                <w:rFonts w:hint="eastAsia"/>
                <w:b/>
              </w:rPr>
              <w:t>当年末</w:t>
            </w:r>
          </w:p>
        </w:tc>
        <w:tc>
          <w:tcPr>
            <w:tcW w:w="452" w:type="pct"/>
            <w:vMerge w:val="continue"/>
            <w:vAlign w:val="center"/>
          </w:tcPr>
          <w:p w14:paraId="5852AB10">
            <w:pPr>
              <w:pStyle w:val="13"/>
              <w:jc w:val="center"/>
              <w:rPr>
                <w:rFonts w:hint="eastAsia"/>
                <w:b/>
              </w:rPr>
            </w:pPr>
          </w:p>
        </w:tc>
        <w:tc>
          <w:tcPr>
            <w:tcW w:w="460" w:type="pct"/>
            <w:vAlign w:val="center"/>
          </w:tcPr>
          <w:p w14:paraId="3B985576">
            <w:pPr>
              <w:pStyle w:val="13"/>
              <w:jc w:val="center"/>
              <w:rPr>
                <w:b/>
              </w:rPr>
            </w:pPr>
            <w:r>
              <w:rPr>
                <w:rFonts w:hint="eastAsia"/>
                <w:b/>
              </w:rPr>
              <w:t>上年末</w:t>
            </w:r>
          </w:p>
        </w:tc>
        <w:tc>
          <w:tcPr>
            <w:tcW w:w="460" w:type="pct"/>
            <w:vAlign w:val="center"/>
          </w:tcPr>
          <w:p w14:paraId="0B7038A6">
            <w:pPr>
              <w:pStyle w:val="13"/>
              <w:jc w:val="center"/>
              <w:rPr>
                <w:rFonts w:hint="eastAsia"/>
                <w:b/>
              </w:rPr>
            </w:pPr>
            <w:r>
              <w:rPr>
                <w:rFonts w:hint="eastAsia"/>
                <w:b/>
              </w:rPr>
              <w:t>当年末</w:t>
            </w:r>
          </w:p>
        </w:tc>
        <w:tc>
          <w:tcPr>
            <w:tcW w:w="483" w:type="pct"/>
            <w:vMerge w:val="continue"/>
            <w:vAlign w:val="center"/>
          </w:tcPr>
          <w:p w14:paraId="5B4A7F19">
            <w:pPr>
              <w:pStyle w:val="13"/>
              <w:jc w:val="center"/>
              <w:rPr>
                <w:rFonts w:hint="eastAsia"/>
                <w:b/>
              </w:rPr>
            </w:pPr>
          </w:p>
        </w:tc>
        <w:tc>
          <w:tcPr>
            <w:tcW w:w="456" w:type="pct"/>
            <w:vAlign w:val="center"/>
          </w:tcPr>
          <w:p w14:paraId="54E7870D">
            <w:pPr>
              <w:pStyle w:val="13"/>
              <w:jc w:val="center"/>
              <w:rPr>
                <w:b/>
              </w:rPr>
            </w:pPr>
            <w:r>
              <w:rPr>
                <w:rFonts w:hint="eastAsia"/>
                <w:b/>
              </w:rPr>
              <w:t>年蓄水量</w:t>
            </w:r>
          </w:p>
        </w:tc>
        <w:tc>
          <w:tcPr>
            <w:tcW w:w="457" w:type="pct"/>
            <w:vAlign w:val="center"/>
          </w:tcPr>
          <w:p w14:paraId="00C2A3EE">
            <w:pPr>
              <w:pStyle w:val="13"/>
              <w:jc w:val="center"/>
              <w:rPr>
                <w:rFonts w:hint="eastAsia"/>
                <w:b/>
              </w:rPr>
            </w:pPr>
            <w:r>
              <w:rPr>
                <w:rFonts w:hint="eastAsia"/>
                <w:b/>
              </w:rPr>
              <w:t>年蓄水变量</w:t>
            </w:r>
          </w:p>
        </w:tc>
      </w:tr>
      <w:tr w14:paraId="4345F9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9" w:type="pct"/>
            <w:vAlign w:val="center"/>
          </w:tcPr>
          <w:p w14:paraId="0DBA8375">
            <w:pPr>
              <w:pStyle w:val="13"/>
              <w:jc w:val="center"/>
            </w:pPr>
            <w:r>
              <w:t>2003</w:t>
            </w:r>
          </w:p>
        </w:tc>
        <w:tc>
          <w:tcPr>
            <w:tcW w:w="440" w:type="pct"/>
            <w:vAlign w:val="center"/>
          </w:tcPr>
          <w:p w14:paraId="5A32E183">
            <w:pPr>
              <w:pStyle w:val="13"/>
              <w:jc w:val="center"/>
            </w:pPr>
          </w:p>
        </w:tc>
        <w:tc>
          <w:tcPr>
            <w:tcW w:w="441" w:type="pct"/>
            <w:vAlign w:val="center"/>
          </w:tcPr>
          <w:p w14:paraId="7D023211">
            <w:pPr>
              <w:pStyle w:val="13"/>
              <w:jc w:val="center"/>
            </w:pPr>
            <w:r>
              <w:t>6</w:t>
            </w:r>
          </w:p>
        </w:tc>
        <w:tc>
          <w:tcPr>
            <w:tcW w:w="441" w:type="pct"/>
            <w:vAlign w:val="center"/>
          </w:tcPr>
          <w:p w14:paraId="5E0A93CF">
            <w:pPr>
              <w:pStyle w:val="13"/>
              <w:jc w:val="center"/>
            </w:pPr>
          </w:p>
        </w:tc>
        <w:tc>
          <w:tcPr>
            <w:tcW w:w="441" w:type="pct"/>
            <w:vAlign w:val="center"/>
          </w:tcPr>
          <w:p w14:paraId="47221521">
            <w:pPr>
              <w:pStyle w:val="13"/>
              <w:jc w:val="center"/>
            </w:pPr>
          </w:p>
        </w:tc>
        <w:tc>
          <w:tcPr>
            <w:tcW w:w="452" w:type="pct"/>
            <w:vAlign w:val="center"/>
          </w:tcPr>
          <w:p w14:paraId="61182825">
            <w:pPr>
              <w:pStyle w:val="13"/>
              <w:jc w:val="center"/>
            </w:pPr>
          </w:p>
        </w:tc>
        <w:tc>
          <w:tcPr>
            <w:tcW w:w="460" w:type="pct"/>
            <w:vAlign w:val="center"/>
          </w:tcPr>
          <w:p w14:paraId="3C83E9B6">
            <w:pPr>
              <w:pStyle w:val="13"/>
              <w:jc w:val="center"/>
            </w:pPr>
            <w:r>
              <w:t>10924</w:t>
            </w:r>
          </w:p>
        </w:tc>
        <w:tc>
          <w:tcPr>
            <w:tcW w:w="460" w:type="pct"/>
            <w:vAlign w:val="center"/>
          </w:tcPr>
          <w:p w14:paraId="662FD22F">
            <w:pPr>
              <w:pStyle w:val="13"/>
              <w:jc w:val="center"/>
            </w:pPr>
            <w:r>
              <w:t>6652</w:t>
            </w:r>
          </w:p>
        </w:tc>
        <w:tc>
          <w:tcPr>
            <w:tcW w:w="483" w:type="pct"/>
            <w:vAlign w:val="center"/>
          </w:tcPr>
          <w:p w14:paraId="00468AFC">
            <w:pPr>
              <w:pStyle w:val="13"/>
              <w:jc w:val="center"/>
            </w:pPr>
            <w:r>
              <w:t>-4272</w:t>
            </w:r>
          </w:p>
        </w:tc>
        <w:tc>
          <w:tcPr>
            <w:tcW w:w="456" w:type="pct"/>
            <w:vAlign w:val="center"/>
          </w:tcPr>
          <w:p w14:paraId="5BDEAB5B">
            <w:pPr>
              <w:pStyle w:val="13"/>
              <w:jc w:val="center"/>
            </w:pPr>
            <w:r>
              <w:t>6652</w:t>
            </w:r>
          </w:p>
        </w:tc>
        <w:tc>
          <w:tcPr>
            <w:tcW w:w="457" w:type="pct"/>
            <w:vAlign w:val="center"/>
          </w:tcPr>
          <w:p w14:paraId="0F0083E7">
            <w:pPr>
              <w:pStyle w:val="13"/>
              <w:jc w:val="center"/>
            </w:pPr>
            <w:r>
              <w:t>-4272</w:t>
            </w:r>
          </w:p>
        </w:tc>
      </w:tr>
      <w:tr w14:paraId="075D6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9" w:type="pct"/>
            <w:vAlign w:val="center"/>
          </w:tcPr>
          <w:p w14:paraId="190C8B6A">
            <w:pPr>
              <w:pStyle w:val="13"/>
              <w:jc w:val="center"/>
            </w:pPr>
            <w:r>
              <w:t>2004</w:t>
            </w:r>
          </w:p>
        </w:tc>
        <w:tc>
          <w:tcPr>
            <w:tcW w:w="440" w:type="pct"/>
            <w:vAlign w:val="center"/>
          </w:tcPr>
          <w:p w14:paraId="0A382782">
            <w:pPr>
              <w:pStyle w:val="13"/>
              <w:jc w:val="center"/>
            </w:pPr>
          </w:p>
        </w:tc>
        <w:tc>
          <w:tcPr>
            <w:tcW w:w="441" w:type="pct"/>
            <w:vAlign w:val="center"/>
          </w:tcPr>
          <w:p w14:paraId="4AEF78F5">
            <w:pPr>
              <w:pStyle w:val="13"/>
              <w:jc w:val="center"/>
            </w:pPr>
            <w:r>
              <w:t>6</w:t>
            </w:r>
          </w:p>
        </w:tc>
        <w:tc>
          <w:tcPr>
            <w:tcW w:w="441" w:type="pct"/>
            <w:vAlign w:val="center"/>
          </w:tcPr>
          <w:p w14:paraId="0BA5F3D7">
            <w:pPr>
              <w:pStyle w:val="13"/>
              <w:jc w:val="center"/>
            </w:pPr>
          </w:p>
        </w:tc>
        <w:tc>
          <w:tcPr>
            <w:tcW w:w="441" w:type="pct"/>
            <w:vAlign w:val="center"/>
          </w:tcPr>
          <w:p w14:paraId="252D085B">
            <w:pPr>
              <w:pStyle w:val="13"/>
              <w:jc w:val="center"/>
            </w:pPr>
          </w:p>
        </w:tc>
        <w:tc>
          <w:tcPr>
            <w:tcW w:w="452" w:type="pct"/>
            <w:vAlign w:val="center"/>
          </w:tcPr>
          <w:p w14:paraId="1C892E22">
            <w:pPr>
              <w:pStyle w:val="13"/>
              <w:jc w:val="center"/>
            </w:pPr>
          </w:p>
        </w:tc>
        <w:tc>
          <w:tcPr>
            <w:tcW w:w="460" w:type="pct"/>
            <w:vAlign w:val="center"/>
          </w:tcPr>
          <w:p w14:paraId="08EA0A70">
            <w:pPr>
              <w:pStyle w:val="13"/>
              <w:jc w:val="center"/>
            </w:pPr>
            <w:r>
              <w:t>6652</w:t>
            </w:r>
          </w:p>
        </w:tc>
        <w:tc>
          <w:tcPr>
            <w:tcW w:w="460" w:type="pct"/>
            <w:vAlign w:val="center"/>
          </w:tcPr>
          <w:p w14:paraId="32192A34">
            <w:pPr>
              <w:pStyle w:val="13"/>
              <w:jc w:val="center"/>
            </w:pPr>
            <w:r>
              <w:t>5080</w:t>
            </w:r>
          </w:p>
        </w:tc>
        <w:tc>
          <w:tcPr>
            <w:tcW w:w="483" w:type="pct"/>
            <w:vAlign w:val="center"/>
          </w:tcPr>
          <w:p w14:paraId="542092FE">
            <w:pPr>
              <w:pStyle w:val="13"/>
              <w:jc w:val="center"/>
            </w:pPr>
            <w:r>
              <w:t>-1572</w:t>
            </w:r>
          </w:p>
        </w:tc>
        <w:tc>
          <w:tcPr>
            <w:tcW w:w="456" w:type="pct"/>
            <w:vAlign w:val="center"/>
          </w:tcPr>
          <w:p w14:paraId="1FDBEED9">
            <w:pPr>
              <w:pStyle w:val="13"/>
              <w:jc w:val="center"/>
            </w:pPr>
            <w:r>
              <w:t>5080</w:t>
            </w:r>
          </w:p>
        </w:tc>
        <w:tc>
          <w:tcPr>
            <w:tcW w:w="457" w:type="pct"/>
            <w:vAlign w:val="center"/>
          </w:tcPr>
          <w:p w14:paraId="19F79E12">
            <w:pPr>
              <w:pStyle w:val="13"/>
              <w:jc w:val="center"/>
            </w:pPr>
            <w:r>
              <w:t>-1572</w:t>
            </w:r>
          </w:p>
        </w:tc>
      </w:tr>
      <w:tr w14:paraId="4FF91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9" w:type="pct"/>
            <w:vAlign w:val="center"/>
          </w:tcPr>
          <w:p w14:paraId="50620F66">
            <w:pPr>
              <w:pStyle w:val="13"/>
              <w:jc w:val="center"/>
            </w:pPr>
            <w:r>
              <w:t>2005</w:t>
            </w:r>
          </w:p>
        </w:tc>
        <w:tc>
          <w:tcPr>
            <w:tcW w:w="440" w:type="pct"/>
            <w:vAlign w:val="center"/>
          </w:tcPr>
          <w:p w14:paraId="394062EA">
            <w:pPr>
              <w:pStyle w:val="13"/>
              <w:jc w:val="center"/>
            </w:pPr>
          </w:p>
        </w:tc>
        <w:tc>
          <w:tcPr>
            <w:tcW w:w="441" w:type="pct"/>
            <w:vAlign w:val="center"/>
          </w:tcPr>
          <w:p w14:paraId="70D1C097">
            <w:pPr>
              <w:pStyle w:val="13"/>
              <w:jc w:val="center"/>
            </w:pPr>
            <w:r>
              <w:t>6</w:t>
            </w:r>
          </w:p>
        </w:tc>
        <w:tc>
          <w:tcPr>
            <w:tcW w:w="441" w:type="pct"/>
            <w:vAlign w:val="center"/>
          </w:tcPr>
          <w:p w14:paraId="2C0E4778">
            <w:pPr>
              <w:pStyle w:val="13"/>
              <w:jc w:val="center"/>
            </w:pPr>
          </w:p>
        </w:tc>
        <w:tc>
          <w:tcPr>
            <w:tcW w:w="441" w:type="pct"/>
            <w:vAlign w:val="center"/>
          </w:tcPr>
          <w:p w14:paraId="4DDDB4DD">
            <w:pPr>
              <w:pStyle w:val="13"/>
              <w:jc w:val="center"/>
            </w:pPr>
          </w:p>
        </w:tc>
        <w:tc>
          <w:tcPr>
            <w:tcW w:w="452" w:type="pct"/>
            <w:vAlign w:val="center"/>
          </w:tcPr>
          <w:p w14:paraId="1C4E7BE4">
            <w:pPr>
              <w:pStyle w:val="13"/>
              <w:jc w:val="center"/>
            </w:pPr>
          </w:p>
        </w:tc>
        <w:tc>
          <w:tcPr>
            <w:tcW w:w="460" w:type="pct"/>
            <w:vAlign w:val="center"/>
          </w:tcPr>
          <w:p w14:paraId="6B684D7A">
            <w:pPr>
              <w:pStyle w:val="13"/>
              <w:jc w:val="center"/>
            </w:pPr>
            <w:r>
              <w:t>5080</w:t>
            </w:r>
          </w:p>
        </w:tc>
        <w:tc>
          <w:tcPr>
            <w:tcW w:w="460" w:type="pct"/>
            <w:vAlign w:val="center"/>
          </w:tcPr>
          <w:p w14:paraId="192F121B">
            <w:pPr>
              <w:pStyle w:val="13"/>
              <w:jc w:val="center"/>
            </w:pPr>
            <w:r>
              <w:t>3994</w:t>
            </w:r>
          </w:p>
        </w:tc>
        <w:tc>
          <w:tcPr>
            <w:tcW w:w="483" w:type="pct"/>
            <w:vAlign w:val="center"/>
          </w:tcPr>
          <w:p w14:paraId="4059C632">
            <w:pPr>
              <w:pStyle w:val="13"/>
              <w:jc w:val="center"/>
            </w:pPr>
            <w:r>
              <w:t>-1086</w:t>
            </w:r>
          </w:p>
        </w:tc>
        <w:tc>
          <w:tcPr>
            <w:tcW w:w="456" w:type="pct"/>
            <w:vAlign w:val="center"/>
          </w:tcPr>
          <w:p w14:paraId="1E1BA39A">
            <w:pPr>
              <w:pStyle w:val="13"/>
              <w:jc w:val="center"/>
            </w:pPr>
            <w:r>
              <w:t>3994</w:t>
            </w:r>
          </w:p>
        </w:tc>
        <w:tc>
          <w:tcPr>
            <w:tcW w:w="457" w:type="pct"/>
            <w:vAlign w:val="center"/>
          </w:tcPr>
          <w:p w14:paraId="1682E23F">
            <w:pPr>
              <w:pStyle w:val="13"/>
              <w:jc w:val="center"/>
            </w:pPr>
            <w:r>
              <w:t>-1086</w:t>
            </w:r>
          </w:p>
        </w:tc>
      </w:tr>
      <w:tr w14:paraId="74015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9" w:type="pct"/>
            <w:vAlign w:val="center"/>
          </w:tcPr>
          <w:p w14:paraId="3E91DC37">
            <w:pPr>
              <w:pStyle w:val="13"/>
              <w:jc w:val="center"/>
            </w:pPr>
            <w:r>
              <w:t>2006</w:t>
            </w:r>
          </w:p>
        </w:tc>
        <w:tc>
          <w:tcPr>
            <w:tcW w:w="440" w:type="pct"/>
            <w:vAlign w:val="center"/>
          </w:tcPr>
          <w:p w14:paraId="2A22DED9">
            <w:pPr>
              <w:pStyle w:val="13"/>
              <w:jc w:val="center"/>
            </w:pPr>
          </w:p>
        </w:tc>
        <w:tc>
          <w:tcPr>
            <w:tcW w:w="441" w:type="pct"/>
            <w:vAlign w:val="center"/>
          </w:tcPr>
          <w:p w14:paraId="369C38C3">
            <w:pPr>
              <w:pStyle w:val="13"/>
              <w:jc w:val="center"/>
            </w:pPr>
            <w:r>
              <w:t>6</w:t>
            </w:r>
          </w:p>
        </w:tc>
        <w:tc>
          <w:tcPr>
            <w:tcW w:w="441" w:type="pct"/>
            <w:vAlign w:val="center"/>
          </w:tcPr>
          <w:p w14:paraId="774E5698">
            <w:pPr>
              <w:pStyle w:val="13"/>
              <w:jc w:val="center"/>
            </w:pPr>
          </w:p>
        </w:tc>
        <w:tc>
          <w:tcPr>
            <w:tcW w:w="441" w:type="pct"/>
            <w:vAlign w:val="center"/>
          </w:tcPr>
          <w:p w14:paraId="1D336183">
            <w:pPr>
              <w:pStyle w:val="13"/>
              <w:jc w:val="center"/>
            </w:pPr>
          </w:p>
        </w:tc>
        <w:tc>
          <w:tcPr>
            <w:tcW w:w="452" w:type="pct"/>
            <w:vAlign w:val="center"/>
          </w:tcPr>
          <w:p w14:paraId="0F6291CC">
            <w:pPr>
              <w:pStyle w:val="13"/>
              <w:jc w:val="center"/>
            </w:pPr>
          </w:p>
        </w:tc>
        <w:tc>
          <w:tcPr>
            <w:tcW w:w="460" w:type="pct"/>
            <w:vAlign w:val="center"/>
          </w:tcPr>
          <w:p w14:paraId="39BCFB90">
            <w:pPr>
              <w:pStyle w:val="13"/>
              <w:jc w:val="center"/>
            </w:pPr>
            <w:r>
              <w:t>3994</w:t>
            </w:r>
          </w:p>
        </w:tc>
        <w:tc>
          <w:tcPr>
            <w:tcW w:w="460" w:type="pct"/>
            <w:vAlign w:val="center"/>
          </w:tcPr>
          <w:p w14:paraId="337B75D6">
            <w:pPr>
              <w:pStyle w:val="13"/>
              <w:jc w:val="center"/>
            </w:pPr>
            <w:r>
              <w:t>7340</w:t>
            </w:r>
          </w:p>
        </w:tc>
        <w:tc>
          <w:tcPr>
            <w:tcW w:w="483" w:type="pct"/>
            <w:vAlign w:val="center"/>
          </w:tcPr>
          <w:p w14:paraId="681C5E16">
            <w:pPr>
              <w:pStyle w:val="13"/>
              <w:jc w:val="center"/>
            </w:pPr>
            <w:r>
              <w:t>3346</w:t>
            </w:r>
          </w:p>
        </w:tc>
        <w:tc>
          <w:tcPr>
            <w:tcW w:w="456" w:type="pct"/>
            <w:vAlign w:val="center"/>
          </w:tcPr>
          <w:p w14:paraId="4E8540E8">
            <w:pPr>
              <w:pStyle w:val="13"/>
              <w:jc w:val="center"/>
            </w:pPr>
            <w:r>
              <w:t>7340</w:t>
            </w:r>
          </w:p>
        </w:tc>
        <w:tc>
          <w:tcPr>
            <w:tcW w:w="457" w:type="pct"/>
            <w:vAlign w:val="center"/>
          </w:tcPr>
          <w:p w14:paraId="6CDC651B">
            <w:pPr>
              <w:pStyle w:val="13"/>
              <w:jc w:val="center"/>
            </w:pPr>
            <w:r>
              <w:t>3346</w:t>
            </w:r>
          </w:p>
        </w:tc>
      </w:tr>
      <w:tr w14:paraId="08FAA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9" w:type="pct"/>
            <w:vAlign w:val="center"/>
          </w:tcPr>
          <w:p w14:paraId="0C8319C4">
            <w:pPr>
              <w:pStyle w:val="13"/>
              <w:jc w:val="center"/>
            </w:pPr>
            <w:r>
              <w:t>2007</w:t>
            </w:r>
          </w:p>
        </w:tc>
        <w:tc>
          <w:tcPr>
            <w:tcW w:w="440" w:type="pct"/>
            <w:vAlign w:val="center"/>
          </w:tcPr>
          <w:p w14:paraId="4CD19729">
            <w:pPr>
              <w:pStyle w:val="13"/>
              <w:jc w:val="center"/>
            </w:pPr>
          </w:p>
        </w:tc>
        <w:tc>
          <w:tcPr>
            <w:tcW w:w="441" w:type="pct"/>
            <w:vAlign w:val="center"/>
          </w:tcPr>
          <w:p w14:paraId="2F4DD43C">
            <w:pPr>
              <w:pStyle w:val="13"/>
              <w:jc w:val="center"/>
            </w:pPr>
            <w:r>
              <w:t>6</w:t>
            </w:r>
          </w:p>
        </w:tc>
        <w:tc>
          <w:tcPr>
            <w:tcW w:w="441" w:type="pct"/>
            <w:vAlign w:val="center"/>
          </w:tcPr>
          <w:p w14:paraId="551D4995">
            <w:pPr>
              <w:pStyle w:val="13"/>
              <w:jc w:val="center"/>
            </w:pPr>
          </w:p>
        </w:tc>
        <w:tc>
          <w:tcPr>
            <w:tcW w:w="441" w:type="pct"/>
            <w:vAlign w:val="center"/>
          </w:tcPr>
          <w:p w14:paraId="39810601">
            <w:pPr>
              <w:pStyle w:val="13"/>
              <w:jc w:val="center"/>
            </w:pPr>
          </w:p>
        </w:tc>
        <w:tc>
          <w:tcPr>
            <w:tcW w:w="452" w:type="pct"/>
            <w:vAlign w:val="center"/>
          </w:tcPr>
          <w:p w14:paraId="2DD5D172">
            <w:pPr>
              <w:pStyle w:val="13"/>
              <w:jc w:val="center"/>
            </w:pPr>
          </w:p>
        </w:tc>
        <w:tc>
          <w:tcPr>
            <w:tcW w:w="460" w:type="pct"/>
            <w:vAlign w:val="center"/>
          </w:tcPr>
          <w:p w14:paraId="2E2A9C7B">
            <w:pPr>
              <w:pStyle w:val="13"/>
              <w:jc w:val="center"/>
            </w:pPr>
            <w:r>
              <w:t>7340</w:t>
            </w:r>
          </w:p>
        </w:tc>
        <w:tc>
          <w:tcPr>
            <w:tcW w:w="460" w:type="pct"/>
            <w:vAlign w:val="center"/>
          </w:tcPr>
          <w:p w14:paraId="04DAEE79">
            <w:pPr>
              <w:pStyle w:val="13"/>
              <w:jc w:val="center"/>
            </w:pPr>
            <w:r>
              <w:t>4417</w:t>
            </w:r>
          </w:p>
        </w:tc>
        <w:tc>
          <w:tcPr>
            <w:tcW w:w="483" w:type="pct"/>
            <w:vAlign w:val="center"/>
          </w:tcPr>
          <w:p w14:paraId="75F72BA4">
            <w:pPr>
              <w:pStyle w:val="13"/>
              <w:jc w:val="center"/>
            </w:pPr>
            <w:r>
              <w:t>-2923</w:t>
            </w:r>
          </w:p>
        </w:tc>
        <w:tc>
          <w:tcPr>
            <w:tcW w:w="456" w:type="pct"/>
            <w:vAlign w:val="center"/>
          </w:tcPr>
          <w:p w14:paraId="7D6A3423">
            <w:pPr>
              <w:pStyle w:val="13"/>
              <w:jc w:val="center"/>
            </w:pPr>
            <w:r>
              <w:t>4417</w:t>
            </w:r>
          </w:p>
        </w:tc>
        <w:tc>
          <w:tcPr>
            <w:tcW w:w="457" w:type="pct"/>
            <w:vAlign w:val="center"/>
          </w:tcPr>
          <w:p w14:paraId="412FC0C9">
            <w:pPr>
              <w:pStyle w:val="13"/>
              <w:jc w:val="center"/>
            </w:pPr>
            <w:r>
              <w:t>-2923</w:t>
            </w:r>
          </w:p>
        </w:tc>
      </w:tr>
      <w:tr w14:paraId="05C7F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9" w:type="pct"/>
            <w:vAlign w:val="center"/>
          </w:tcPr>
          <w:p w14:paraId="45617065">
            <w:pPr>
              <w:pStyle w:val="13"/>
              <w:jc w:val="center"/>
            </w:pPr>
            <w:r>
              <w:t>2008</w:t>
            </w:r>
          </w:p>
        </w:tc>
        <w:tc>
          <w:tcPr>
            <w:tcW w:w="440" w:type="pct"/>
            <w:vAlign w:val="center"/>
          </w:tcPr>
          <w:p w14:paraId="7ECF0AE9">
            <w:pPr>
              <w:pStyle w:val="13"/>
              <w:jc w:val="center"/>
            </w:pPr>
          </w:p>
        </w:tc>
        <w:tc>
          <w:tcPr>
            <w:tcW w:w="441" w:type="pct"/>
            <w:vAlign w:val="center"/>
          </w:tcPr>
          <w:p w14:paraId="44AC4E3D">
            <w:pPr>
              <w:pStyle w:val="13"/>
              <w:jc w:val="center"/>
            </w:pPr>
            <w:r>
              <w:t>6</w:t>
            </w:r>
          </w:p>
        </w:tc>
        <w:tc>
          <w:tcPr>
            <w:tcW w:w="441" w:type="pct"/>
            <w:vAlign w:val="center"/>
          </w:tcPr>
          <w:p w14:paraId="6631BF05">
            <w:pPr>
              <w:pStyle w:val="13"/>
              <w:jc w:val="center"/>
            </w:pPr>
          </w:p>
        </w:tc>
        <w:tc>
          <w:tcPr>
            <w:tcW w:w="441" w:type="pct"/>
            <w:vAlign w:val="center"/>
          </w:tcPr>
          <w:p w14:paraId="5B29DE96">
            <w:pPr>
              <w:pStyle w:val="13"/>
              <w:jc w:val="center"/>
            </w:pPr>
          </w:p>
        </w:tc>
        <w:tc>
          <w:tcPr>
            <w:tcW w:w="452" w:type="pct"/>
            <w:vAlign w:val="center"/>
          </w:tcPr>
          <w:p w14:paraId="58499874">
            <w:pPr>
              <w:pStyle w:val="13"/>
              <w:jc w:val="center"/>
            </w:pPr>
          </w:p>
        </w:tc>
        <w:tc>
          <w:tcPr>
            <w:tcW w:w="460" w:type="pct"/>
            <w:vAlign w:val="center"/>
          </w:tcPr>
          <w:p w14:paraId="6761680E">
            <w:pPr>
              <w:pStyle w:val="13"/>
              <w:jc w:val="center"/>
            </w:pPr>
            <w:r>
              <w:t>4417</w:t>
            </w:r>
          </w:p>
        </w:tc>
        <w:tc>
          <w:tcPr>
            <w:tcW w:w="460" w:type="pct"/>
            <w:vAlign w:val="center"/>
          </w:tcPr>
          <w:p w14:paraId="38950C58">
            <w:pPr>
              <w:pStyle w:val="13"/>
              <w:jc w:val="center"/>
            </w:pPr>
            <w:r>
              <w:t>5602</w:t>
            </w:r>
          </w:p>
        </w:tc>
        <w:tc>
          <w:tcPr>
            <w:tcW w:w="483" w:type="pct"/>
            <w:vAlign w:val="center"/>
          </w:tcPr>
          <w:p w14:paraId="54A85C68">
            <w:pPr>
              <w:pStyle w:val="13"/>
              <w:jc w:val="center"/>
            </w:pPr>
            <w:r>
              <w:t>1187</w:t>
            </w:r>
          </w:p>
        </w:tc>
        <w:tc>
          <w:tcPr>
            <w:tcW w:w="456" w:type="pct"/>
            <w:vAlign w:val="center"/>
          </w:tcPr>
          <w:p w14:paraId="0D2A6EF8">
            <w:pPr>
              <w:pStyle w:val="13"/>
              <w:jc w:val="center"/>
            </w:pPr>
            <w:r>
              <w:t>5602</w:t>
            </w:r>
          </w:p>
        </w:tc>
        <w:tc>
          <w:tcPr>
            <w:tcW w:w="457" w:type="pct"/>
            <w:vAlign w:val="center"/>
          </w:tcPr>
          <w:p w14:paraId="7B75B8FB">
            <w:pPr>
              <w:pStyle w:val="13"/>
              <w:jc w:val="center"/>
            </w:pPr>
            <w:r>
              <w:t>1185</w:t>
            </w:r>
          </w:p>
        </w:tc>
      </w:tr>
      <w:tr w14:paraId="12072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9" w:type="pct"/>
            <w:vAlign w:val="center"/>
          </w:tcPr>
          <w:p w14:paraId="03655CF1">
            <w:pPr>
              <w:pStyle w:val="13"/>
              <w:jc w:val="center"/>
            </w:pPr>
            <w:r>
              <w:t>2009</w:t>
            </w:r>
          </w:p>
        </w:tc>
        <w:tc>
          <w:tcPr>
            <w:tcW w:w="440" w:type="pct"/>
            <w:vAlign w:val="center"/>
          </w:tcPr>
          <w:p w14:paraId="14A852F7">
            <w:pPr>
              <w:pStyle w:val="13"/>
              <w:jc w:val="center"/>
            </w:pPr>
          </w:p>
        </w:tc>
        <w:tc>
          <w:tcPr>
            <w:tcW w:w="441" w:type="pct"/>
            <w:vAlign w:val="center"/>
          </w:tcPr>
          <w:p w14:paraId="60AE4B82">
            <w:pPr>
              <w:pStyle w:val="13"/>
              <w:jc w:val="center"/>
            </w:pPr>
            <w:r>
              <w:t>6</w:t>
            </w:r>
          </w:p>
        </w:tc>
        <w:tc>
          <w:tcPr>
            <w:tcW w:w="441" w:type="pct"/>
            <w:vAlign w:val="center"/>
          </w:tcPr>
          <w:p w14:paraId="3FED4E80">
            <w:pPr>
              <w:pStyle w:val="13"/>
              <w:jc w:val="center"/>
            </w:pPr>
          </w:p>
        </w:tc>
        <w:tc>
          <w:tcPr>
            <w:tcW w:w="441" w:type="pct"/>
            <w:vAlign w:val="center"/>
          </w:tcPr>
          <w:p w14:paraId="1F24A20A">
            <w:pPr>
              <w:pStyle w:val="13"/>
              <w:jc w:val="center"/>
            </w:pPr>
          </w:p>
        </w:tc>
        <w:tc>
          <w:tcPr>
            <w:tcW w:w="452" w:type="pct"/>
            <w:vAlign w:val="center"/>
          </w:tcPr>
          <w:p w14:paraId="4482F1E1">
            <w:pPr>
              <w:pStyle w:val="13"/>
              <w:jc w:val="center"/>
            </w:pPr>
          </w:p>
        </w:tc>
        <w:tc>
          <w:tcPr>
            <w:tcW w:w="460" w:type="pct"/>
            <w:vAlign w:val="center"/>
          </w:tcPr>
          <w:p w14:paraId="4A3E0CA8">
            <w:pPr>
              <w:pStyle w:val="13"/>
              <w:jc w:val="center"/>
            </w:pPr>
            <w:r>
              <w:t>5602</w:t>
            </w:r>
          </w:p>
        </w:tc>
        <w:tc>
          <w:tcPr>
            <w:tcW w:w="460" w:type="pct"/>
            <w:vAlign w:val="center"/>
          </w:tcPr>
          <w:p w14:paraId="0DCDB828">
            <w:pPr>
              <w:pStyle w:val="13"/>
              <w:jc w:val="center"/>
            </w:pPr>
            <w:r>
              <w:t>5389</w:t>
            </w:r>
          </w:p>
        </w:tc>
        <w:tc>
          <w:tcPr>
            <w:tcW w:w="483" w:type="pct"/>
            <w:vAlign w:val="center"/>
          </w:tcPr>
          <w:p w14:paraId="295F08BF">
            <w:pPr>
              <w:pStyle w:val="13"/>
              <w:jc w:val="center"/>
            </w:pPr>
            <w:r>
              <w:t>-213</w:t>
            </w:r>
          </w:p>
        </w:tc>
        <w:tc>
          <w:tcPr>
            <w:tcW w:w="456" w:type="pct"/>
            <w:vAlign w:val="center"/>
          </w:tcPr>
          <w:p w14:paraId="05A051A5">
            <w:pPr>
              <w:pStyle w:val="13"/>
              <w:jc w:val="center"/>
            </w:pPr>
            <w:r>
              <w:t>5389</w:t>
            </w:r>
          </w:p>
        </w:tc>
        <w:tc>
          <w:tcPr>
            <w:tcW w:w="457" w:type="pct"/>
            <w:vAlign w:val="center"/>
          </w:tcPr>
          <w:p w14:paraId="09D8B79F">
            <w:pPr>
              <w:pStyle w:val="13"/>
              <w:jc w:val="center"/>
            </w:pPr>
            <w:r>
              <w:t>-213</w:t>
            </w:r>
          </w:p>
        </w:tc>
      </w:tr>
      <w:tr w14:paraId="52B1A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9" w:type="pct"/>
            <w:vAlign w:val="center"/>
          </w:tcPr>
          <w:p w14:paraId="0887CA24">
            <w:pPr>
              <w:pStyle w:val="13"/>
              <w:jc w:val="center"/>
            </w:pPr>
            <w:r>
              <w:t>2010</w:t>
            </w:r>
          </w:p>
        </w:tc>
        <w:tc>
          <w:tcPr>
            <w:tcW w:w="440" w:type="pct"/>
            <w:vAlign w:val="center"/>
          </w:tcPr>
          <w:p w14:paraId="268ED263">
            <w:pPr>
              <w:pStyle w:val="13"/>
              <w:jc w:val="center"/>
            </w:pPr>
          </w:p>
        </w:tc>
        <w:tc>
          <w:tcPr>
            <w:tcW w:w="441" w:type="pct"/>
            <w:vAlign w:val="center"/>
          </w:tcPr>
          <w:p w14:paraId="5AE8CB63">
            <w:pPr>
              <w:pStyle w:val="13"/>
              <w:jc w:val="center"/>
            </w:pPr>
            <w:r>
              <w:t>6</w:t>
            </w:r>
          </w:p>
        </w:tc>
        <w:tc>
          <w:tcPr>
            <w:tcW w:w="441" w:type="pct"/>
            <w:vAlign w:val="center"/>
          </w:tcPr>
          <w:p w14:paraId="6A9528B4">
            <w:pPr>
              <w:pStyle w:val="13"/>
              <w:jc w:val="center"/>
            </w:pPr>
          </w:p>
        </w:tc>
        <w:tc>
          <w:tcPr>
            <w:tcW w:w="441" w:type="pct"/>
            <w:vAlign w:val="center"/>
          </w:tcPr>
          <w:p w14:paraId="154FC3F9">
            <w:pPr>
              <w:pStyle w:val="13"/>
              <w:jc w:val="center"/>
            </w:pPr>
          </w:p>
        </w:tc>
        <w:tc>
          <w:tcPr>
            <w:tcW w:w="452" w:type="pct"/>
            <w:vAlign w:val="center"/>
          </w:tcPr>
          <w:p w14:paraId="256711F8">
            <w:pPr>
              <w:pStyle w:val="13"/>
              <w:jc w:val="center"/>
            </w:pPr>
          </w:p>
        </w:tc>
        <w:tc>
          <w:tcPr>
            <w:tcW w:w="460" w:type="pct"/>
            <w:vAlign w:val="center"/>
          </w:tcPr>
          <w:p w14:paraId="1483B7E2">
            <w:pPr>
              <w:pStyle w:val="13"/>
              <w:jc w:val="center"/>
            </w:pPr>
            <w:r>
              <w:t>5019</w:t>
            </w:r>
          </w:p>
        </w:tc>
        <w:tc>
          <w:tcPr>
            <w:tcW w:w="460" w:type="pct"/>
            <w:vAlign w:val="center"/>
          </w:tcPr>
          <w:p w14:paraId="11287A02">
            <w:pPr>
              <w:pStyle w:val="13"/>
              <w:jc w:val="center"/>
            </w:pPr>
            <w:r>
              <w:t>7536</w:t>
            </w:r>
          </w:p>
        </w:tc>
        <w:tc>
          <w:tcPr>
            <w:tcW w:w="483" w:type="pct"/>
            <w:vAlign w:val="center"/>
          </w:tcPr>
          <w:p w14:paraId="64358EAD">
            <w:pPr>
              <w:pStyle w:val="13"/>
              <w:jc w:val="center"/>
            </w:pPr>
            <w:r>
              <w:t>2517</w:t>
            </w:r>
          </w:p>
        </w:tc>
        <w:tc>
          <w:tcPr>
            <w:tcW w:w="456" w:type="pct"/>
            <w:vAlign w:val="center"/>
          </w:tcPr>
          <w:p w14:paraId="4678B57E">
            <w:pPr>
              <w:pStyle w:val="13"/>
              <w:jc w:val="center"/>
            </w:pPr>
            <w:r>
              <w:t>7536</w:t>
            </w:r>
          </w:p>
        </w:tc>
        <w:tc>
          <w:tcPr>
            <w:tcW w:w="457" w:type="pct"/>
            <w:vAlign w:val="center"/>
          </w:tcPr>
          <w:p w14:paraId="602D1551">
            <w:pPr>
              <w:pStyle w:val="13"/>
              <w:jc w:val="center"/>
              <w:rPr>
                <w:rFonts w:hint="eastAsia"/>
              </w:rPr>
            </w:pPr>
            <w:r>
              <w:t>2517</w:t>
            </w:r>
          </w:p>
        </w:tc>
      </w:tr>
    </w:tbl>
    <w:p w14:paraId="6DE79CF8">
      <w:pPr>
        <w:ind w:firstLine="422"/>
        <w:jc w:val="center"/>
        <w:rPr>
          <w:rFonts w:ascii="宋体" w:hAnsi="宋体"/>
          <w:b/>
        </w:rPr>
      </w:pPr>
      <w:r>
        <w:rPr>
          <w:rFonts w:hint="eastAsia" w:ascii="宋体" w:hAnsi="宋体"/>
          <w:b/>
        </w:rPr>
        <w:t>表17-5  韶关水文分局管辖的降水量站点一览表</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9"/>
        <w:gridCol w:w="833"/>
        <w:gridCol w:w="1666"/>
        <w:gridCol w:w="4798"/>
        <w:gridCol w:w="992"/>
        <w:gridCol w:w="924"/>
      </w:tblGrid>
      <w:tr w14:paraId="41225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757E9713">
            <w:pPr>
              <w:pStyle w:val="13"/>
              <w:jc w:val="center"/>
              <w:rPr>
                <w:rFonts w:hint="eastAsia"/>
                <w:b/>
              </w:rPr>
            </w:pPr>
            <w:r>
              <w:rPr>
                <w:rFonts w:hint="eastAsia"/>
                <w:b/>
              </w:rPr>
              <w:t>水系</w:t>
            </w:r>
          </w:p>
        </w:tc>
        <w:tc>
          <w:tcPr>
            <w:tcW w:w="418" w:type="pct"/>
            <w:vAlign w:val="center"/>
          </w:tcPr>
          <w:p w14:paraId="63E911B2">
            <w:pPr>
              <w:pStyle w:val="13"/>
              <w:jc w:val="center"/>
              <w:rPr>
                <w:rFonts w:hint="eastAsia"/>
                <w:b/>
              </w:rPr>
            </w:pPr>
            <w:r>
              <w:rPr>
                <w:rFonts w:hint="eastAsia"/>
                <w:b/>
              </w:rPr>
              <w:t>河名</w:t>
            </w:r>
          </w:p>
        </w:tc>
        <w:tc>
          <w:tcPr>
            <w:tcW w:w="836" w:type="pct"/>
            <w:vAlign w:val="center"/>
          </w:tcPr>
          <w:p w14:paraId="7E62721F">
            <w:pPr>
              <w:pStyle w:val="13"/>
              <w:jc w:val="center"/>
              <w:rPr>
                <w:rFonts w:hint="eastAsia"/>
                <w:b/>
              </w:rPr>
            </w:pPr>
            <w:r>
              <w:rPr>
                <w:rFonts w:hint="eastAsia"/>
                <w:b/>
              </w:rPr>
              <w:t>流入何处</w:t>
            </w:r>
          </w:p>
        </w:tc>
        <w:tc>
          <w:tcPr>
            <w:tcW w:w="2408" w:type="pct"/>
            <w:vAlign w:val="center"/>
          </w:tcPr>
          <w:p w14:paraId="3183428F">
            <w:pPr>
              <w:pStyle w:val="13"/>
              <w:jc w:val="center"/>
              <w:rPr>
                <w:rFonts w:hint="eastAsia"/>
                <w:b/>
              </w:rPr>
            </w:pPr>
            <w:r>
              <w:rPr>
                <w:rFonts w:hint="eastAsia"/>
                <w:b/>
              </w:rPr>
              <w:t>站名</w:t>
            </w:r>
          </w:p>
        </w:tc>
        <w:tc>
          <w:tcPr>
            <w:tcW w:w="498" w:type="pct"/>
            <w:vAlign w:val="center"/>
          </w:tcPr>
          <w:p w14:paraId="08E5856A">
            <w:pPr>
              <w:pStyle w:val="13"/>
              <w:jc w:val="center"/>
              <w:rPr>
                <w:rFonts w:hint="eastAsia"/>
                <w:b/>
              </w:rPr>
            </w:pPr>
            <w:r>
              <w:rPr>
                <w:rFonts w:hint="eastAsia"/>
                <w:b/>
              </w:rPr>
              <w:t>站别</w:t>
            </w:r>
          </w:p>
        </w:tc>
        <w:tc>
          <w:tcPr>
            <w:tcW w:w="464" w:type="pct"/>
            <w:vAlign w:val="center"/>
          </w:tcPr>
          <w:p w14:paraId="4BD9D9FA">
            <w:pPr>
              <w:pStyle w:val="13"/>
              <w:jc w:val="center"/>
              <w:rPr>
                <w:rFonts w:hint="eastAsia"/>
                <w:b/>
              </w:rPr>
            </w:pPr>
            <w:r>
              <w:rPr>
                <w:rFonts w:hint="eastAsia"/>
                <w:b/>
              </w:rPr>
              <w:t>备注</w:t>
            </w:r>
          </w:p>
        </w:tc>
      </w:tr>
      <w:tr w14:paraId="4454E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486AF498">
            <w:pPr>
              <w:pStyle w:val="13"/>
              <w:jc w:val="center"/>
              <w:rPr>
                <w:rFonts w:hint="eastAsia"/>
              </w:rPr>
            </w:pPr>
            <w:r>
              <w:rPr>
                <w:rFonts w:hint="eastAsia"/>
              </w:rPr>
              <w:t>北江</w:t>
            </w:r>
          </w:p>
        </w:tc>
        <w:tc>
          <w:tcPr>
            <w:tcW w:w="418" w:type="pct"/>
            <w:vAlign w:val="center"/>
          </w:tcPr>
          <w:p w14:paraId="4ED39416">
            <w:pPr>
              <w:pStyle w:val="13"/>
              <w:jc w:val="center"/>
              <w:rPr>
                <w:rFonts w:hint="eastAsia"/>
              </w:rPr>
            </w:pPr>
            <w:r>
              <w:rPr>
                <w:rFonts w:hint="eastAsia"/>
              </w:rPr>
              <w:t>浈江</w:t>
            </w:r>
          </w:p>
        </w:tc>
        <w:tc>
          <w:tcPr>
            <w:tcW w:w="836" w:type="pct"/>
            <w:vAlign w:val="center"/>
          </w:tcPr>
          <w:p w14:paraId="08C5B36E">
            <w:pPr>
              <w:pStyle w:val="13"/>
              <w:jc w:val="center"/>
              <w:rPr>
                <w:rFonts w:hint="eastAsia"/>
              </w:rPr>
            </w:pPr>
            <w:r>
              <w:rPr>
                <w:rFonts w:hint="eastAsia"/>
              </w:rPr>
              <w:t>珠江三角洲</w:t>
            </w:r>
          </w:p>
        </w:tc>
        <w:tc>
          <w:tcPr>
            <w:tcW w:w="2408" w:type="pct"/>
            <w:vAlign w:val="center"/>
          </w:tcPr>
          <w:p w14:paraId="2BD437BC">
            <w:pPr>
              <w:pStyle w:val="13"/>
              <w:jc w:val="center"/>
              <w:rPr>
                <w:rFonts w:hint="eastAsia"/>
              </w:rPr>
            </w:pPr>
            <w:r>
              <w:rPr>
                <w:rFonts w:hint="eastAsia"/>
              </w:rPr>
              <w:t>横江水库、乌迳、中坪水库、澜河、瀑布水库、百顺、水口、雄州、孔江水库、大源水库、南埔</w:t>
            </w:r>
          </w:p>
        </w:tc>
        <w:tc>
          <w:tcPr>
            <w:tcW w:w="498" w:type="pct"/>
            <w:vAlign w:val="center"/>
          </w:tcPr>
          <w:p w14:paraId="5B5BE98B">
            <w:pPr>
              <w:pStyle w:val="13"/>
              <w:jc w:val="center"/>
              <w:rPr>
                <w:rFonts w:hint="eastAsia"/>
              </w:rPr>
            </w:pPr>
            <w:r>
              <w:rPr>
                <w:rFonts w:hint="eastAsia"/>
              </w:rPr>
              <w:t>水文</w:t>
            </w:r>
          </w:p>
        </w:tc>
        <w:tc>
          <w:tcPr>
            <w:tcW w:w="464" w:type="pct"/>
            <w:vAlign w:val="center"/>
          </w:tcPr>
          <w:p w14:paraId="5897FDED">
            <w:pPr>
              <w:pStyle w:val="13"/>
              <w:jc w:val="center"/>
              <w:rPr>
                <w:rFonts w:hint="eastAsia"/>
              </w:rPr>
            </w:pPr>
          </w:p>
        </w:tc>
      </w:tr>
    </w:tbl>
    <w:p w14:paraId="1C565348">
      <w:pPr>
        <w:ind w:firstLine="422"/>
        <w:jc w:val="center"/>
        <w:rPr>
          <w:rFonts w:ascii="宋体" w:hAnsi="宋体"/>
          <w:b/>
        </w:rPr>
      </w:pPr>
      <w:r>
        <w:rPr>
          <w:rFonts w:hint="eastAsia" w:ascii="宋体" w:hAnsi="宋体"/>
          <w:b/>
        </w:rPr>
        <w:t>表17-6  韶光市水环境监测水质监测站点一览表</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9"/>
        <w:gridCol w:w="833"/>
        <w:gridCol w:w="1666"/>
        <w:gridCol w:w="2082"/>
        <w:gridCol w:w="1249"/>
        <w:gridCol w:w="3383"/>
      </w:tblGrid>
      <w:tr w14:paraId="7B913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3AA6FBF7">
            <w:pPr>
              <w:pStyle w:val="13"/>
              <w:jc w:val="center"/>
              <w:rPr>
                <w:rFonts w:hint="eastAsia"/>
                <w:b/>
              </w:rPr>
            </w:pPr>
            <w:r>
              <w:rPr>
                <w:rFonts w:hint="eastAsia"/>
                <w:b/>
              </w:rPr>
              <w:t>水系</w:t>
            </w:r>
          </w:p>
        </w:tc>
        <w:tc>
          <w:tcPr>
            <w:tcW w:w="418" w:type="pct"/>
            <w:vAlign w:val="center"/>
          </w:tcPr>
          <w:p w14:paraId="4518AEF0">
            <w:pPr>
              <w:pStyle w:val="13"/>
              <w:jc w:val="center"/>
              <w:rPr>
                <w:rFonts w:hint="eastAsia"/>
                <w:b/>
              </w:rPr>
            </w:pPr>
            <w:r>
              <w:rPr>
                <w:rFonts w:hint="eastAsia"/>
                <w:b/>
              </w:rPr>
              <w:t>河名</w:t>
            </w:r>
          </w:p>
        </w:tc>
        <w:tc>
          <w:tcPr>
            <w:tcW w:w="836" w:type="pct"/>
            <w:vAlign w:val="center"/>
          </w:tcPr>
          <w:p w14:paraId="214DC331">
            <w:pPr>
              <w:pStyle w:val="13"/>
              <w:jc w:val="center"/>
              <w:rPr>
                <w:rFonts w:hint="eastAsia"/>
                <w:b/>
              </w:rPr>
            </w:pPr>
            <w:r>
              <w:rPr>
                <w:rFonts w:hint="eastAsia"/>
                <w:b/>
              </w:rPr>
              <w:t>流入何处</w:t>
            </w:r>
          </w:p>
        </w:tc>
        <w:tc>
          <w:tcPr>
            <w:tcW w:w="1045" w:type="pct"/>
            <w:vAlign w:val="center"/>
          </w:tcPr>
          <w:p w14:paraId="738C7A6A">
            <w:pPr>
              <w:pStyle w:val="13"/>
              <w:jc w:val="center"/>
              <w:rPr>
                <w:rFonts w:hint="eastAsia"/>
                <w:b/>
              </w:rPr>
            </w:pPr>
            <w:r>
              <w:rPr>
                <w:rFonts w:hint="eastAsia"/>
                <w:b/>
              </w:rPr>
              <w:t>站名</w:t>
            </w:r>
          </w:p>
        </w:tc>
        <w:tc>
          <w:tcPr>
            <w:tcW w:w="627" w:type="pct"/>
            <w:vAlign w:val="center"/>
          </w:tcPr>
          <w:p w14:paraId="7703A5C9">
            <w:pPr>
              <w:pStyle w:val="13"/>
              <w:jc w:val="center"/>
              <w:rPr>
                <w:rFonts w:hint="eastAsia"/>
                <w:b/>
              </w:rPr>
            </w:pPr>
            <w:r>
              <w:rPr>
                <w:rFonts w:hint="eastAsia"/>
                <w:b/>
              </w:rPr>
              <w:t>站别</w:t>
            </w:r>
          </w:p>
        </w:tc>
        <w:tc>
          <w:tcPr>
            <w:tcW w:w="1699" w:type="pct"/>
            <w:vAlign w:val="center"/>
          </w:tcPr>
          <w:p w14:paraId="3DAA3B88">
            <w:pPr>
              <w:pStyle w:val="13"/>
              <w:jc w:val="center"/>
              <w:rPr>
                <w:rFonts w:hint="eastAsia"/>
                <w:b/>
              </w:rPr>
            </w:pPr>
            <w:r>
              <w:rPr>
                <w:rFonts w:hint="eastAsia"/>
                <w:b/>
              </w:rPr>
              <w:t>监测断面</w:t>
            </w:r>
          </w:p>
        </w:tc>
      </w:tr>
      <w:tr w14:paraId="5A6421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2D9197EC">
            <w:pPr>
              <w:pStyle w:val="13"/>
              <w:jc w:val="center"/>
              <w:rPr>
                <w:rFonts w:hint="eastAsia"/>
              </w:rPr>
            </w:pPr>
            <w:r>
              <w:rPr>
                <w:rFonts w:hint="eastAsia"/>
              </w:rPr>
              <w:t>北江</w:t>
            </w:r>
          </w:p>
        </w:tc>
        <w:tc>
          <w:tcPr>
            <w:tcW w:w="418" w:type="pct"/>
            <w:vAlign w:val="center"/>
          </w:tcPr>
          <w:p w14:paraId="3141C821">
            <w:pPr>
              <w:pStyle w:val="13"/>
              <w:jc w:val="center"/>
              <w:rPr>
                <w:rFonts w:hint="eastAsia"/>
              </w:rPr>
            </w:pPr>
            <w:r>
              <w:rPr>
                <w:rFonts w:hint="eastAsia"/>
              </w:rPr>
              <w:t>浈江</w:t>
            </w:r>
          </w:p>
        </w:tc>
        <w:tc>
          <w:tcPr>
            <w:tcW w:w="836" w:type="pct"/>
            <w:vAlign w:val="center"/>
          </w:tcPr>
          <w:p w14:paraId="38294FFE">
            <w:pPr>
              <w:pStyle w:val="13"/>
              <w:jc w:val="center"/>
              <w:rPr>
                <w:rFonts w:hint="eastAsia"/>
              </w:rPr>
            </w:pPr>
            <w:r>
              <w:rPr>
                <w:rFonts w:hint="eastAsia"/>
              </w:rPr>
              <w:t>珠江三角洲</w:t>
            </w:r>
          </w:p>
        </w:tc>
        <w:tc>
          <w:tcPr>
            <w:tcW w:w="1045" w:type="pct"/>
            <w:vAlign w:val="center"/>
          </w:tcPr>
          <w:p w14:paraId="32F4F81F">
            <w:pPr>
              <w:pStyle w:val="13"/>
              <w:jc w:val="center"/>
              <w:rPr>
                <w:rFonts w:hint="eastAsia"/>
              </w:rPr>
            </w:pPr>
            <w:r>
              <w:rPr>
                <w:rFonts w:hint="eastAsia"/>
              </w:rPr>
              <w:t>界址镇、瀑布水库</w:t>
            </w:r>
          </w:p>
        </w:tc>
        <w:tc>
          <w:tcPr>
            <w:tcW w:w="627" w:type="pct"/>
            <w:vAlign w:val="center"/>
          </w:tcPr>
          <w:p w14:paraId="248E5F66">
            <w:pPr>
              <w:pStyle w:val="13"/>
              <w:jc w:val="center"/>
              <w:rPr>
                <w:rFonts w:hint="eastAsia"/>
              </w:rPr>
            </w:pPr>
            <w:r>
              <w:rPr>
                <w:rFonts w:hint="eastAsia"/>
              </w:rPr>
              <w:t>水质监测</w:t>
            </w:r>
          </w:p>
        </w:tc>
        <w:tc>
          <w:tcPr>
            <w:tcW w:w="1699" w:type="pct"/>
            <w:vAlign w:val="center"/>
          </w:tcPr>
          <w:p w14:paraId="5B797215">
            <w:pPr>
              <w:pStyle w:val="13"/>
              <w:jc w:val="left"/>
              <w:rPr>
                <w:rFonts w:hint="eastAsia"/>
              </w:rPr>
            </w:pPr>
            <w:r>
              <w:rPr>
                <w:rFonts w:hint="eastAsia"/>
              </w:rPr>
              <w:t>河坪、判官塘、河南桥、凌江口、修仁、古市墟</w:t>
            </w:r>
          </w:p>
        </w:tc>
      </w:tr>
    </w:tbl>
    <w:p w14:paraId="3C98710E">
      <w:pPr>
        <w:pStyle w:val="3"/>
      </w:pPr>
      <w:r>
        <w:rPr>
          <w:rFonts w:hint="eastAsia"/>
        </w:rPr>
        <w:t>水土保持</w:t>
      </w:r>
    </w:p>
    <w:p w14:paraId="2BAC28FC">
      <w:pPr>
        <w:pStyle w:val="4"/>
      </w:pPr>
      <w:r>
        <w:t>【概况】</w:t>
      </w:r>
    </w:p>
    <w:p w14:paraId="1B01D91C">
      <w:pPr>
        <w:ind w:firstLine="420"/>
        <w:rPr>
          <w:rFonts w:ascii="宋体" w:hAnsi="宋体"/>
        </w:rPr>
      </w:pPr>
      <w:r>
        <w:rPr>
          <w:rFonts w:ascii="宋体" w:hAnsi="宋体"/>
        </w:rPr>
        <w:t>南雄市水土保持委员会办公室（简称南雄市水保办），2002年县级机构改革时市政府确定市水保办为市政府直属事业单位，正科级。2008年经上级人事部门批准参照《公务员法》管理。主要职能：贯彻执行《中华人民共和国水土保持法》及其法律法规；制定本市水土保持长期规划和年度规划；宣传水保法，负责全市水土保持预防、监督执法工作，依法查处人为水土流失案件；依法治理水土流失；开展水土保持科研，技术推广；依法征收水土保持补偿费；完成上级业务主管部门和市委、市政府交办的工作。事业编制15名，工勤编制1名。现有在职人员21名。内设人保财会股、生产技术股、执法监督股。下属事业单位有：南雄市水土保持执法监督站（副科级）、南雄市水土保持站（股级）、南雄市水土保持监测站（股级）。</w:t>
      </w:r>
    </w:p>
    <w:p w14:paraId="08C4890D">
      <w:pPr>
        <w:pStyle w:val="4"/>
      </w:pPr>
      <w:r>
        <w:t>【业务工作】</w:t>
      </w:r>
    </w:p>
    <w:p w14:paraId="422E8C96">
      <w:pPr>
        <w:ind w:firstLine="420"/>
        <w:rPr>
          <w:rFonts w:ascii="宋体" w:hAnsi="宋体"/>
        </w:rPr>
      </w:pPr>
      <w:r>
        <w:rPr>
          <w:rFonts w:ascii="宋体" w:hAnsi="宋体"/>
        </w:rPr>
        <w:t>2003年至2008年主要完成《南雄市瀑布河流域水土保持综合治理工程》项目，累计治理水土流失面积14.03平方公里，其中修筑沟洫45.58万米，营造水保林1.95万亩、经济林0.08万亩，种竹0.1万亩。工程量：完成土方5775万立方米、石方48.57万立方米，投资874.1万元。主要工程地点在主田、雄州、古市。</w:t>
      </w:r>
    </w:p>
    <w:p w14:paraId="406856E3">
      <w:pPr>
        <w:ind w:firstLine="420"/>
        <w:rPr>
          <w:rFonts w:ascii="宋体" w:hAnsi="宋体"/>
        </w:rPr>
      </w:pPr>
      <w:r>
        <w:rPr>
          <w:rFonts w:ascii="宋体" w:hAnsi="宋体"/>
        </w:rPr>
        <w:t>完成《波江河（江头段）2009年度水土流失治理工程》，治理水土流失0.82平方公里，修筑沟洫2.58万米、营造水保林0.12万亩，种牧草0.08万亩。工程量：土方0.33万立方米、石方2.37万立方米，投资70万元。主要工程地点在江头、雄州。</w:t>
      </w:r>
    </w:p>
    <w:p w14:paraId="329B32CD">
      <w:pPr>
        <w:ind w:firstLine="420"/>
        <w:rPr>
          <w:rFonts w:ascii="宋体" w:hAnsi="宋体"/>
        </w:rPr>
      </w:pPr>
      <w:r>
        <w:rPr>
          <w:rFonts w:ascii="宋体" w:hAnsi="宋体"/>
        </w:rPr>
        <w:t>2010年完成湖口太和旱坡地改梯田项目，面积186公顷。工程量：土方102.1万立方米、石方83.7万立方米，新增造林11.13公顷，投资495万元。工程地点在湖口镇太和村。</w:t>
      </w:r>
    </w:p>
    <w:p w14:paraId="2F7959DF">
      <w:pPr>
        <w:ind w:firstLine="420"/>
        <w:rPr>
          <w:rFonts w:ascii="宋体" w:hAnsi="宋体"/>
        </w:rPr>
      </w:pPr>
      <w:r>
        <w:rPr>
          <w:rFonts w:ascii="宋体" w:hAnsi="宋体"/>
        </w:rPr>
        <w:t>2010年7月，完成国家水土保持监测网络南雄水土流失径流观测场的基建工程及观测场地布设，投资16万元。项目地点在珠玑镇巾子岭水土保持站。</w:t>
      </w:r>
    </w:p>
    <w:p w14:paraId="7FEB0525">
      <w:pPr>
        <w:ind w:firstLine="420"/>
        <w:rPr>
          <w:rFonts w:ascii="宋体" w:hAnsi="宋体"/>
        </w:rPr>
      </w:pPr>
      <w:r>
        <w:rPr>
          <w:rFonts w:ascii="宋体" w:hAnsi="宋体"/>
        </w:rPr>
        <w:t>2010年完成编制申报《浈江河流域（南雄段）水土流失治理（2010-2014）可行性研究报告》、《南雄市水土保持生态科技园可行性报告》、《中小河流易灾地区瀑布、下洞水小流域水土流失治理工程》等项目。</w:t>
      </w:r>
    </w:p>
    <w:p w14:paraId="7D23F8FB">
      <w:pPr>
        <w:ind w:firstLine="420"/>
        <w:rPr>
          <w:rFonts w:ascii="宋体" w:hAnsi="宋体"/>
        </w:rPr>
      </w:pPr>
      <w:r>
        <w:rPr>
          <w:rFonts w:ascii="宋体" w:hAnsi="宋体"/>
        </w:rPr>
        <w:t>2010年查处违法案件13宗，审核办理水土保持方案报告书（表）16份，征收水土保持补偿费14万元。</w:t>
      </w:r>
    </w:p>
    <w:p w14:paraId="6947CE4B">
      <w:pPr>
        <w:ind w:firstLine="420"/>
        <w:jc w:val="right"/>
        <w:rPr>
          <w:rFonts w:ascii="宋体" w:hAnsi="宋体"/>
        </w:rPr>
      </w:pPr>
      <w:r>
        <w:rPr>
          <w:rFonts w:ascii="宋体" w:hAnsi="宋体"/>
        </w:rPr>
        <w:t>（黄志雄）</w:t>
      </w:r>
    </w:p>
    <w:p w14:paraId="16661B5E">
      <w:pPr>
        <w:ind w:firstLine="422"/>
        <w:rPr>
          <w:rFonts w:ascii="宋体" w:hAnsi="宋体"/>
          <w:b/>
          <w:bCs/>
        </w:rPr>
      </w:pPr>
      <w:r>
        <w:rPr>
          <w:rFonts w:ascii="宋体" w:hAnsi="宋体"/>
          <w:b/>
          <w:bCs/>
        </w:rPr>
        <w:t>附：2010年水保办领导班子成员名单</w:t>
      </w:r>
    </w:p>
    <w:p w14:paraId="33A5E1E9">
      <w:pPr>
        <w:ind w:firstLine="422"/>
        <w:rPr>
          <w:rFonts w:ascii="宋体" w:hAnsi="宋体"/>
        </w:rPr>
      </w:pPr>
      <w:r>
        <w:rPr>
          <w:rFonts w:ascii="宋体" w:hAnsi="宋体"/>
          <w:b/>
          <w:bCs/>
        </w:rPr>
        <w:t>主</w:t>
      </w:r>
      <w:r>
        <w:rPr>
          <w:rFonts w:hint="eastAsia" w:ascii="宋体" w:hAnsi="宋体"/>
          <w:b/>
          <w:bCs/>
        </w:rPr>
        <w:t xml:space="preserve">  </w:t>
      </w:r>
      <w:r>
        <w:rPr>
          <w:rFonts w:ascii="宋体" w:hAnsi="宋体"/>
          <w:b/>
          <w:bCs/>
        </w:rPr>
        <w:t>任：</w:t>
      </w:r>
      <w:r>
        <w:rPr>
          <w:rFonts w:ascii="宋体" w:hAnsi="宋体"/>
        </w:rPr>
        <w:t>董书海</w:t>
      </w:r>
    </w:p>
    <w:p w14:paraId="086B7535">
      <w:pPr>
        <w:ind w:firstLine="422"/>
        <w:rPr>
          <w:rFonts w:ascii="宋体" w:hAnsi="宋体"/>
        </w:rPr>
      </w:pPr>
      <w:r>
        <w:rPr>
          <w:rFonts w:ascii="宋体" w:hAnsi="宋体"/>
          <w:b/>
          <w:bCs/>
        </w:rPr>
        <w:t>副主任：</w:t>
      </w:r>
      <w:r>
        <w:rPr>
          <w:rFonts w:ascii="宋体" w:hAnsi="宋体"/>
        </w:rPr>
        <w:t>赖应明</w:t>
      </w:r>
      <w:r>
        <w:rPr>
          <w:rFonts w:hint="eastAsia" w:ascii="宋体" w:hAnsi="宋体"/>
        </w:rPr>
        <w:t xml:space="preserve">  </w:t>
      </w:r>
      <w:r>
        <w:rPr>
          <w:rFonts w:ascii="宋体" w:hAnsi="宋体"/>
        </w:rPr>
        <w:t>张振刚</w:t>
      </w:r>
      <w:r>
        <w:rPr>
          <w:rFonts w:hint="eastAsia" w:ascii="宋体" w:hAnsi="宋体"/>
        </w:rPr>
        <w:t xml:space="preserve">  </w:t>
      </w:r>
      <w:r>
        <w:rPr>
          <w:rFonts w:ascii="宋体" w:hAnsi="宋体"/>
        </w:rPr>
        <w:t>林运明</w:t>
      </w:r>
    </w:p>
    <w:p w14:paraId="63A6FE43">
      <w:pPr>
        <w:pStyle w:val="3"/>
      </w:pPr>
      <w:r>
        <w:rPr>
          <w:rFonts w:hint="eastAsia"/>
        </w:rPr>
        <w:t>供水</w:t>
      </w:r>
    </w:p>
    <w:p w14:paraId="0095D120">
      <w:pPr>
        <w:pStyle w:val="4"/>
      </w:pPr>
      <w:r>
        <w:t>【城市供水】</w:t>
      </w:r>
    </w:p>
    <w:p w14:paraId="148D64A4">
      <w:pPr>
        <w:ind w:firstLine="420"/>
        <w:rPr>
          <w:rFonts w:ascii="宋体" w:hAnsi="宋体"/>
        </w:rPr>
      </w:pPr>
      <w:r>
        <w:rPr>
          <w:rFonts w:ascii="宋体" w:hAnsi="宋体"/>
        </w:rPr>
        <w:t>2010年，市星翔供水有限公司安全供水492万立方米，水质综合合格率达到100%，销售收入736万元，与2009年同期相比，增加122万元，增长20%。新铺设管径DN80以上的供水主管10公里；代收污水处理费258万元、垃圾处理费102万元；抢修不同管径管道4320次，确保市区供水管网的安全。</w:t>
      </w:r>
    </w:p>
    <w:p w14:paraId="36A7899D">
      <w:pPr>
        <w:pStyle w:val="4"/>
      </w:pPr>
      <w:r>
        <w:t>【城市供水管道网络】</w:t>
      </w:r>
    </w:p>
    <w:p w14:paraId="027ADC20">
      <w:pPr>
        <w:ind w:firstLine="420"/>
        <w:rPr>
          <w:rFonts w:ascii="宋体" w:hAnsi="宋体"/>
        </w:rPr>
      </w:pPr>
      <w:r>
        <w:rPr>
          <w:rFonts w:ascii="宋体" w:hAnsi="宋体"/>
        </w:rPr>
        <w:t>为配合市委、市政府的发展目标，根据南雄市经济和城市规划发展，大力协助政府招商引资工作，铺设了DN300管珠玑工业园供水专线，为外来企业做好供水设施建设，保障工业园的用水。且有计划、分区域地进行老旧管网改造和扩大供水范围，完成水司至水南桥头DN300管、宾阳路至洋汾水路口DN200管、北门街至借村路口邓安堂DN300管、老城区323线门店管线整改等供水管道工程。完成莲塘、铺背村的农村饮用水民生工程，让两村的千余户群众全部喝上了的自来水。“迁表出户”改造</w:t>
      </w:r>
    </w:p>
    <w:p w14:paraId="65EEBE47">
      <w:pPr>
        <w:ind w:firstLine="420"/>
        <w:rPr>
          <w:rFonts w:ascii="宋体" w:hAnsi="宋体"/>
        </w:rPr>
      </w:pPr>
      <w:r>
        <w:rPr>
          <w:rFonts w:ascii="宋体" w:hAnsi="宋体"/>
        </w:rPr>
        <w:t>为解决室内水表存在的抄表难、管理难、用户意见大等问题，分区域的进行室内表“迁表出户”工作。完成竹园路、林荫东、西路、环城路、四条门等区域的迁表出户改造工程，逐步实现统一管理，进一步提高供水服务质量，让老百姓得到实惠，受到用户的好评。2010年，“迁表出户”改造的用户共为380户。</w:t>
      </w:r>
    </w:p>
    <w:p w14:paraId="61FA920D">
      <w:pPr>
        <w:ind w:firstLine="420"/>
        <w:jc w:val="right"/>
        <w:rPr>
          <w:rFonts w:ascii="宋体" w:hAnsi="宋体"/>
        </w:rPr>
      </w:pPr>
      <w:r>
        <w:rPr>
          <w:rFonts w:ascii="宋体" w:hAnsi="宋体"/>
        </w:rPr>
        <w:t>（星翔供水公司）</w:t>
      </w:r>
    </w:p>
    <w:p w14:paraId="5BDA20CE">
      <w:pPr>
        <w:pStyle w:val="4"/>
      </w:pPr>
      <w:r>
        <w:t>【概况】</w:t>
      </w:r>
    </w:p>
    <w:p w14:paraId="17B08C33">
      <w:pPr>
        <w:ind w:firstLine="420"/>
        <w:rPr>
          <w:rFonts w:ascii="宋体" w:hAnsi="宋体"/>
        </w:rPr>
      </w:pPr>
      <w:r>
        <w:rPr>
          <w:rFonts w:ascii="宋体" w:hAnsi="宋体"/>
        </w:rPr>
        <w:t>南雄市气象局是国家基准气候站其主要职责为依法保护气象探测环境和气象设施，承担本行政区域内气象探测资料的采集、传输；负责气象预报与灾害性天气警报的发布及管理，负责人工影响天气工作，组织管理雷电灾害防御工作，为本级人民政府组织防御气象灾害提供决策依据。气象局内设办公室、地面测报股、天气预报（农业气象）股、防雷设施检测所等股室，编制15人，有气象工程师7人，助理工程师8人。2003年至2010年，南雄市气象局先后被评为广东省气象系统创建“四个一流”新型气象台站先进单位（2004年）、南雄市园林式单位、韶关市园林式单位、南雄市文明单位（2005年）、南雄市礼仪单位、韶关市文明单位（2006年）、南雄市先进党支部、南雄市先进基层党组织、党风廉政建设先进单位（2007年、2008年、2010年），有10人次被中国气象局授予“质量优秀测报员”称号，3人次被评为全省气象系统先进个人。</w:t>
      </w:r>
    </w:p>
    <w:p w14:paraId="084F5B0A">
      <w:pPr>
        <w:pStyle w:val="4"/>
      </w:pPr>
      <w:r>
        <w:t>【气候特点及重大灾害性天气事件】</w:t>
      </w:r>
    </w:p>
    <w:p w14:paraId="4F8DC4DB">
      <w:pPr>
        <w:ind w:firstLine="420"/>
        <w:rPr>
          <w:rFonts w:ascii="宋体" w:hAnsi="宋体"/>
        </w:rPr>
      </w:pPr>
      <w:r>
        <w:rPr>
          <w:rFonts w:ascii="宋体" w:hAnsi="宋体"/>
        </w:rPr>
        <w:t>2010年南雄市年平均气温20.1℃，比常年偏高0.3℃，降水量1179.6毫米，比常年偏少2成，总日照时数1817.1小时，比常年偏多2成。2005年6月2日出现暴雨过程，降水量为136.8毫米，全市直接经济损失2000多万元；2006年7月15日-17日和7月26日—27日出现两次暴雨过程，降水量分别为162.3毫米和178.2毫米，全市直接经济损失3000多万元；2008年1月25-31日受冷空气和暖湿气流共同影响，出现持续7天的低温阴雨天气，高寒山区还出现雨夹雪和冰冻灾害天气，2月1-15日受强冷空气持续影响，给春运交通及供电和通讯线路造成严重影响；2009年7月3日受高空槽东移和切变线南压共同影响，南雄市出现了大暴雨和局部特大暴雨，直接经济损失达4500万元；2010年5月6日受高空槽和西南暖湿气流的共同影响，9日受切变线和弱冷空气影响，14日受南支槽和切变线影响，全市各乡镇普降暴雨、局部大暴雨，市区日雨量分别为124.0毫米、59.7毫米、33.8毫米，强降水天气造成直接经济损失1500万元，6月15日受切变线和弱冷空气影响，普降暴雨、局部大暴雨，市区日雨量达104.9毫米，直接经济损失841万元。</w:t>
      </w:r>
    </w:p>
    <w:p w14:paraId="787C3FB5">
      <w:pPr>
        <w:pStyle w:val="4"/>
      </w:pPr>
      <w:r>
        <w:t>【气象设施建设】</w:t>
      </w:r>
    </w:p>
    <w:p w14:paraId="08CC22D1">
      <w:pPr>
        <w:ind w:firstLine="420"/>
        <w:rPr>
          <w:rFonts w:ascii="宋体" w:hAnsi="宋体"/>
        </w:rPr>
      </w:pPr>
      <w:r>
        <w:rPr>
          <w:rFonts w:ascii="宋体" w:hAnsi="宋体"/>
        </w:rPr>
        <w:t>2003年至2010年南雄市气象局现代化建设取得显著成效。2003年9月自动气象站建成，2004年3月安装ADSL宽带上网系统，2005年3月SDH气象宽带系统建成，2006年自动气象站单轨运行，2007年3月建设闪电定位仪，8月建设土壤湿度自动探测仪，2008年增加草面温度和电线积冰观测。至2010年各乡镇均有自动气象站。2003-2008年，南雄市气象局先后投入80万元进行基础设施和环境综合整治，2008年启用新的办公业务用房。</w:t>
      </w:r>
    </w:p>
    <w:p w14:paraId="570AFEEB">
      <w:pPr>
        <w:pStyle w:val="4"/>
      </w:pPr>
      <w:r>
        <w:t>【气象科研与服务】</w:t>
      </w:r>
    </w:p>
    <w:p w14:paraId="21D606E4">
      <w:pPr>
        <w:ind w:firstLine="420"/>
        <w:rPr>
          <w:rFonts w:ascii="宋体" w:hAnsi="宋体"/>
        </w:rPr>
      </w:pPr>
      <w:r>
        <w:rPr>
          <w:rFonts w:ascii="宋体" w:hAnsi="宋体"/>
        </w:rPr>
        <w:t>2003年，向社会公众推出手机天气预报短信服务，加入政府信息网建成气象网页；并于当年首批进入行政服务中心，成为窗口单位。2004年建立《天气报告》、《重大气象信息快报》、《重大气象信息专报》制度；2005年为市委市政府及相关服务单位提供年、月气候影响评价服务，“121”电话升位为“12121”；2006年建立决策气象服务短信平台，向党政领导、指挥机关及相关负责人发送气象预报预警信息及雨情实况。2003年8月，南雄出现50年一遇的严重干旱，气象局首次利用火箭进行人工增雨作业，解除旱情；2008年1月，南雄出现80年一遇的低温雨雪冰冻灾害，气象局及时将最新气象信息和预报向党政领导和相关部门汇报，2009年气象部门与烟草公司联手开展烟叶生产人工防雹工作，组建了全省首支人工防雹作业队伍，并于5月下旬打响广东人工防雹第一炮。</w:t>
      </w:r>
    </w:p>
    <w:p w14:paraId="72D42D1A">
      <w:pPr>
        <w:pStyle w:val="4"/>
      </w:pPr>
      <w:r>
        <w:t>【气象法制建设】</w:t>
      </w:r>
    </w:p>
    <w:p w14:paraId="51EC7072">
      <w:pPr>
        <w:ind w:firstLine="420"/>
        <w:rPr>
          <w:rFonts w:ascii="宋体" w:hAnsi="宋体"/>
        </w:rPr>
      </w:pPr>
      <w:r>
        <w:rPr>
          <w:rFonts w:ascii="宋体" w:hAnsi="宋体"/>
        </w:rPr>
        <w:t>2003年，气象局编印《南雄市气象局制度汇编》，主要内容涵盖党风廉政建设、行政执法管理、行政内务管理三大部分共41项制度；2004年7月，南雄市人民政府下发《关于切实做好防雷减灾工作的通知》，将防雷设施从设计、施工到竣工验收全部列入气象行政管理范围。2005年5月南雄市人民政府成立南雄市防御雷电灾害管理领导小组。2006年3月，南雄市机构编制委员会批复成立南雄市防雷减灾管理办公室，7月，南雄人民政府以（雄府办[2006]67号）文转发国务院办公厅“关于进一步加强防雷减灾工作的通知”。</w:t>
      </w:r>
    </w:p>
    <w:p w14:paraId="5CDABCAB">
      <w:pPr>
        <w:ind w:firstLine="420"/>
        <w:jc w:val="right"/>
        <w:rPr>
          <w:rFonts w:ascii="宋体" w:hAnsi="宋体"/>
        </w:rPr>
      </w:pPr>
      <w:r>
        <w:rPr>
          <w:rFonts w:ascii="宋体" w:hAnsi="宋体"/>
        </w:rPr>
        <w:t>（吴达鸿）</w:t>
      </w:r>
    </w:p>
    <w:p w14:paraId="1A964DBB">
      <w:pPr>
        <w:ind w:firstLine="422"/>
        <w:rPr>
          <w:rFonts w:ascii="宋体" w:hAnsi="宋体"/>
          <w:b/>
          <w:bCs/>
        </w:rPr>
      </w:pPr>
      <w:r>
        <w:rPr>
          <w:rFonts w:ascii="宋体" w:hAnsi="宋体"/>
          <w:b/>
          <w:bCs/>
        </w:rPr>
        <w:t>附：2010年气象局领导班子成员名单</w:t>
      </w:r>
    </w:p>
    <w:p w14:paraId="5DCF8859">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朱祖明</w:t>
      </w:r>
    </w:p>
    <w:p w14:paraId="37815CD4">
      <w:pPr>
        <w:ind w:firstLine="422"/>
        <w:rPr>
          <w:rFonts w:ascii="宋体" w:hAnsi="宋体"/>
        </w:rPr>
      </w:pPr>
      <w:r>
        <w:rPr>
          <w:rFonts w:ascii="宋体" w:hAnsi="宋体"/>
          <w:b/>
          <w:bCs/>
        </w:rPr>
        <w:t>副局长：</w:t>
      </w:r>
      <w:r>
        <w:rPr>
          <w:rFonts w:ascii="宋体" w:hAnsi="宋体"/>
        </w:rPr>
        <w:t>吴在全</w:t>
      </w:r>
      <w:r>
        <w:rPr>
          <w:rFonts w:hint="eastAsia" w:ascii="宋体" w:hAnsi="宋体"/>
        </w:rPr>
        <w:t xml:space="preserve">  </w:t>
      </w:r>
      <w:r>
        <w:rPr>
          <w:rFonts w:ascii="宋体" w:hAnsi="宋体"/>
        </w:rPr>
        <w:t>李胜利</w:t>
      </w:r>
    </w:p>
    <w:p w14:paraId="7C86A1DF">
      <w:pPr>
        <w:pStyle w:val="3"/>
      </w:pPr>
      <w:r>
        <w:t>交通</w:t>
      </w:r>
    </w:p>
    <w:p w14:paraId="18A3648C">
      <w:pPr>
        <w:pStyle w:val="4"/>
      </w:pPr>
      <w:r>
        <w:t>【概况】</w:t>
      </w:r>
    </w:p>
    <w:p w14:paraId="0368AFEC">
      <w:pPr>
        <w:ind w:firstLine="420"/>
        <w:rPr>
          <w:rFonts w:ascii="宋体" w:hAnsi="宋体"/>
        </w:rPr>
      </w:pPr>
      <w:r>
        <w:rPr>
          <w:rFonts w:ascii="宋体" w:hAnsi="宋体"/>
        </w:rPr>
        <w:t>南雄市交通运输局是负责全市（南雄）公路、水路和城市公共交通运输等交通运输行业工作的政府组成部门。2010年9月16日将交通局更名为交通运输局。内设5个科（股）室，分别是办公室、人事法制股、业务安全股、计财股、综合行政执法局（副科）。下属事业单位3家，分别是地方公路管理站、交通管理总站、农村公路建设工程质量检测站。下属企业单位3家，分别是水运公司、搬运公司、运通汽车检测站。2010年被韶关市评为“韶关市农村公路工作先进单位”一等单位；被市评为“韶赣高速公路粤境（南雄）段先进单位”、“省委机关瑶坑旧址修复保护和利用工作先进单位”；市地方公路管理站被韶关市评为“先进县公路管理站”、“工程管理先进单位”、“乡村公路养护管理先进单位”。2008年，市地方公路管理站被省交通厅评为抗冰救灾先进集体、被省公路局评为抗冰救灾先进单位；陈如亮、练耀华、尹德传被省交通厅评为抗冰救灾先进个人。至2010年底，全市公路通车里程2062.424公里，其中国道42.4公里、省道130.1公里、县道272.073公里、乡道777.397公里、村道840.454公里，每平方公里通车里程达0.887公里。于2008年实现208个行政村全面通水泥路目标，比省政府提出的完成时间提前一年实现。12月31日，韶赣高速公路全线通车仪式在梅关站举行。韶赣高速公路建成通车，韶赣铁路建设顺利推进，南雄作为桥头堡作用日益彰显。</w:t>
      </w:r>
    </w:p>
    <w:p w14:paraId="6F502EF2">
      <w:pPr>
        <w:pStyle w:val="4"/>
      </w:pPr>
      <w:r>
        <w:t>【交通规划】</w:t>
      </w:r>
    </w:p>
    <w:p w14:paraId="2789F248">
      <w:pPr>
        <w:ind w:firstLine="420"/>
        <w:rPr>
          <w:rFonts w:ascii="宋体" w:hAnsi="宋体"/>
        </w:rPr>
      </w:pPr>
      <w:r>
        <w:rPr>
          <w:rFonts w:ascii="宋体" w:hAnsi="宋体"/>
        </w:rPr>
        <w:t>2001年由南雄市交通局编制、市政府审批《2001年—2020年南雄市农村公路发展规划》，规划以在市辖境内联结打通断头路，达到对内联网，对外省外县沟通三级以上公路为中心目标，实现“四纵、三横、二环”（四纵：梅关至古市、大兰至江头、大塘至中岭、油山至坪田；三横：油山至帽子峰，分水坳至塘面、分水坳至百顺；二环：县城环市路、市辖区内周边乡镇联网水泥路）的路网格局。2004年编制《南雄市公路建设十一五规划》，其中重点实施经济干线和连通镇与镇的通道和出市通道，形成以“四纵、三横、二环”为骨架、干支相连、纵贯全市、通达四邻、安全便捷的公路网络。2005年编制《南雄市交通志》地方公路部分（1989年2004年），主要概述1989年至2004年南雄市地方公路建设历程。2008年编制《南雄市交通公路及用地总体规划》，概述交通用地现状和交通设施用地总规模。2010年编制《南雄市南岭生态、度假旅游道路》规划项目，规划19个项目，总投资25773万元。同年6月参与编制《南雄市国民经济和社会发展第十二个五年重点专项规划》公路建设部分，有15个项目，总投资69470万元。2010年10月编制《2009-2013年通自然村公路硬底化》五年规划，建设规模807.98公里，总投资为33849.08万元。</w:t>
      </w:r>
    </w:p>
    <w:p w14:paraId="0EB9EC1B">
      <w:pPr>
        <w:pStyle w:val="3"/>
      </w:pPr>
      <w:r>
        <w:rPr>
          <w:rFonts w:hint="eastAsia"/>
        </w:rPr>
        <w:t>镇村公路建设与管理</w:t>
      </w:r>
    </w:p>
    <w:p w14:paraId="75298B91">
      <w:pPr>
        <w:pStyle w:val="4"/>
      </w:pPr>
      <w:r>
        <w:t>【地方公路（桥梁）建设】</w:t>
      </w:r>
    </w:p>
    <w:p w14:paraId="78F32BF9">
      <w:pPr>
        <w:ind w:firstLine="420"/>
        <w:rPr>
          <w:rFonts w:ascii="宋体" w:hAnsi="宋体"/>
        </w:rPr>
      </w:pPr>
      <w:r>
        <w:rPr>
          <w:rFonts w:ascii="宋体" w:hAnsi="宋体"/>
        </w:rPr>
        <w:t>2003年9月对县通镇公路进行改造，有X338、X340、X360、X846、X342、Y434、Y538线，全长共101.793公里，于2005年9月竣工，总投资10308万元。2005年10月9日，在邓坊镇里元村召开“南雄市县通镇公路101公里建成通车庆典”。2008年进行牛口潭桥、新田墟桥、河坪大桥、柴岭大桥改造，投资580万元对Ⅹ337线长龙至南亩11.3公里改造。2009年1月14日，韶关市在南雄古市镇举行全面完成镇通行政村公路路面硬底化建设任务通车仪式，出席的领导有省公路局副局长苏纪开、韶关市政府副市长邹永松和各县（市）分管公路的副县长（副市长）以及各县（市）交通局局长、公路站长共80多人。2010年投资800万元对借村至珠玑工业园12公里路面进行改建，投资1750万元对X343线孔江至坪田段路面进行改造，投资365万元建成涌溪大桥、迳口大桥，投资1995万元完成农村道路硬底化改造79.8公里。其中，X343线孔江至坪田段路面改造工程和涌溪、迳口大桥工程是2010年市委、市政府为民办得八件实事中的其中两件。</w:t>
      </w:r>
    </w:p>
    <w:p w14:paraId="478BE297">
      <w:pPr>
        <w:pStyle w:val="4"/>
      </w:pPr>
      <w:r>
        <w:t>【地方公路管理养护】</w:t>
      </w:r>
    </w:p>
    <w:p w14:paraId="6FB42CEF">
      <w:pPr>
        <w:ind w:firstLine="420"/>
        <w:rPr>
          <w:rFonts w:ascii="宋体" w:hAnsi="宋体"/>
        </w:rPr>
      </w:pPr>
      <w:r>
        <w:rPr>
          <w:rFonts w:ascii="宋体" w:hAnsi="宋体"/>
        </w:rPr>
        <w:t>2010年，养护农村公路总里程1888.599公里，设有江头、新龙大道班、南亩、邓坊、大塘、全安、头渡、里源、油山、大坪道班10个进行县道养护；18个乡镇的乡村公路由6家公路养护工程有限公司管护。2008年成立6家农村公路养护有限公司，负责乡道日常养护。2009年完成农村公路乡道生态发展“示范路”建设195.12公里，全市县道好路率达99%、乡道好路率92.5%、村道好路率达88.3%。2009年2月，公路局负责管养的乡道Y027线小梅关至梅岭中学、Y028线灵潭至铺背、Y029农校至清水塘3条线路共23.144公里移交地方公路管理站接管养护。</w:t>
      </w:r>
    </w:p>
    <w:p w14:paraId="58C41CF1">
      <w:pPr>
        <w:pStyle w:val="4"/>
      </w:pPr>
      <w:r>
        <w:t>【依法行政】</w:t>
      </w:r>
    </w:p>
    <w:p w14:paraId="13D23027">
      <w:pPr>
        <w:ind w:firstLine="420"/>
        <w:rPr>
          <w:rFonts w:ascii="宋体" w:hAnsi="宋体"/>
        </w:rPr>
      </w:pPr>
      <w:r>
        <w:rPr>
          <w:rFonts w:ascii="宋体" w:hAnsi="宋体"/>
        </w:rPr>
        <w:t>南雄市交通运输局行政执法局是交通运输局内设机构，属副科级建制，2009年3月挂牌成立。下设雄州、全安、珠玑、乌迳、公路局综合行政执法中队。主要包括：公路运政、水路运政、行政执法监督、行政处罚强制等职能。负责对全市客、货运输、出租汽车、机动车维修、机动车驾驶员培训等行业进行监督检查工作，重点打击非法从事道路运输经营活动行为。工作中一直遵守“依法行政、文明执法”，主要参加2010年广州亚运会安保检查工作，同时还开展流动治理超限工作和打出非法经营行为专项整治行动。2009至2010年查处运政违章案件386宗、路政违章6宗、非法经营8宗、超限违章37宗，卸货转运287.5吨。</w:t>
      </w:r>
    </w:p>
    <w:p w14:paraId="3FC5C408">
      <w:pPr>
        <w:pStyle w:val="4"/>
      </w:pPr>
      <w:r>
        <w:t>【安全生产管理】</w:t>
      </w:r>
    </w:p>
    <w:p w14:paraId="7BDE8E76">
      <w:pPr>
        <w:ind w:firstLine="420"/>
        <w:rPr>
          <w:rFonts w:ascii="宋体" w:hAnsi="宋体"/>
        </w:rPr>
      </w:pPr>
      <w:r>
        <w:rPr>
          <w:rFonts w:ascii="宋体" w:hAnsi="宋体"/>
        </w:rPr>
        <w:t>按照“安全第一，预防为主，综合治理”要求，落实安全生产监管主体责任，推行“一岗双责”责任制，层层签订“安全生产责任书”。完善安全生产长效监管机制，提高安全生产事故应急处置能力，采取宣传、排查、整改相结合开展“安全生产年”、“安全生产月”活动，开展严厉打击非法生产经营建设行为专项行动和打击非法运营专项整治行动，做好重大节日和第十六届亚运会、第十届亚残运会期间安全生产检查工作。确保交通行业安全发展。2010年督查800人次，地方公路500多公里，大小桥梁20多座次，渡口15道次，渡船15艘次，客货、架培车辆200辆次，消除安全隐患9处，全年未发生安全事故。2010年被市政府评为安全生产先进单位。</w:t>
      </w:r>
    </w:p>
    <w:p w14:paraId="6F71D10D">
      <w:pPr>
        <w:ind w:firstLine="420"/>
        <w:jc w:val="right"/>
        <w:rPr>
          <w:rFonts w:ascii="宋体" w:hAnsi="宋体"/>
        </w:rPr>
      </w:pPr>
      <w:r>
        <w:rPr>
          <w:rFonts w:ascii="宋体" w:hAnsi="宋体"/>
        </w:rPr>
        <w:t>（李英球、李梅、尹德传、钟行军、钟良龙）</w:t>
      </w:r>
    </w:p>
    <w:p w14:paraId="19744AB8">
      <w:pPr>
        <w:pStyle w:val="3"/>
      </w:pPr>
      <w:r>
        <w:rPr>
          <w:rFonts w:hint="eastAsia"/>
        </w:rPr>
        <w:t>公路交通运输</w:t>
      </w:r>
    </w:p>
    <w:p w14:paraId="64FE622E">
      <w:pPr>
        <w:pStyle w:val="4"/>
      </w:pPr>
      <w:r>
        <w:t>概况</w:t>
      </w:r>
    </w:p>
    <w:p w14:paraId="0CB62C0B">
      <w:pPr>
        <w:ind w:firstLine="420"/>
        <w:rPr>
          <w:rFonts w:ascii="宋体" w:hAnsi="宋体"/>
        </w:rPr>
      </w:pPr>
      <w:r>
        <w:rPr>
          <w:rFonts w:ascii="宋体" w:hAnsi="宋体"/>
        </w:rPr>
        <w:t>至2010年底，全市共有客车88辆，2440客位；货运车辆485辆，1645吨位；道路客货运输业户310户，全市客货从业人员846人；出租汽车有限公司1户，从业人员160人；汽车维修业61户；汽车综合性能检测站1个；机动车驾驶员培训业2户；道路客运线路23条；全市道路客运站19个，其中二级站1个，三级站1个，四级站2个（其中在建1个），五级站2个，简易站13个。</w:t>
      </w:r>
    </w:p>
    <w:p w14:paraId="6317DF8C">
      <w:pPr>
        <w:pStyle w:val="4"/>
      </w:pPr>
      <w:r>
        <w:t>【公路客运】</w:t>
      </w:r>
    </w:p>
    <w:p w14:paraId="25193339">
      <w:pPr>
        <w:ind w:firstLine="420"/>
        <w:rPr>
          <w:rFonts w:ascii="宋体" w:hAnsi="宋体"/>
        </w:rPr>
      </w:pPr>
      <w:r>
        <w:rPr>
          <w:rFonts w:ascii="宋体" w:hAnsi="宋体"/>
        </w:rPr>
        <w:t>道路客运业户5户，其中班车业户4户，出租客运业户1户。的士车80辆，客运班车88辆，高级车17辆，中级车61辆，安装GPS车辆100%，客运从业人员176人，客运站日均发125班次，日均客运量3500人次，跨省客运线路3条，省内长途9条，乡镇线路11条。</w:t>
      </w:r>
    </w:p>
    <w:p w14:paraId="2F3E4F1F">
      <w:pPr>
        <w:pStyle w:val="4"/>
      </w:pPr>
      <w:r>
        <w:t>【公路货运】</w:t>
      </w:r>
    </w:p>
    <w:p w14:paraId="797299C9">
      <w:pPr>
        <w:ind w:firstLine="420"/>
        <w:rPr>
          <w:rFonts w:ascii="宋体" w:hAnsi="宋体"/>
        </w:rPr>
      </w:pPr>
      <w:r>
        <w:rPr>
          <w:rFonts w:ascii="宋体" w:hAnsi="宋体"/>
        </w:rPr>
        <w:t>道路货运业户271户，其中道路货运企业户17户，个体254户；营运载货汽车485辆，1645吨位，其中个体406辆，1106吨位，从业人员510人，安装GPS的汽车280辆。</w:t>
      </w:r>
    </w:p>
    <w:p w14:paraId="2C72D814">
      <w:pPr>
        <w:pStyle w:val="4"/>
      </w:pPr>
      <w:r>
        <w:t>【机动车维修与检测】</w:t>
      </w:r>
    </w:p>
    <w:p w14:paraId="6E80BAB5">
      <w:pPr>
        <w:ind w:firstLine="420"/>
        <w:rPr>
          <w:rFonts w:ascii="宋体" w:hAnsi="宋体"/>
        </w:rPr>
      </w:pPr>
      <w:r>
        <w:rPr>
          <w:rFonts w:ascii="宋体" w:hAnsi="宋体"/>
        </w:rPr>
        <w:t>全市有一类汽车维修业户2户，二类汽车维修业户3户，三类汽车维修业户56户，摩托车维修业户22户，全年完成维修量15717辆次，其中整车修理99辆次，总完成修理426辆次，二级维护3243辆次，专项修理10370辆次，维修救援280辆次。汽车综合性能检测站1个，全年检测车辆1226辆次，其中维修竣工检测1078辆次，等级评定检测536辆次。</w:t>
      </w:r>
    </w:p>
    <w:p w14:paraId="6815639C">
      <w:pPr>
        <w:pStyle w:val="4"/>
      </w:pPr>
      <w:r>
        <w:t>【出租小汽车】</w:t>
      </w:r>
    </w:p>
    <w:p w14:paraId="28420823">
      <w:pPr>
        <w:ind w:firstLine="420"/>
        <w:rPr>
          <w:rFonts w:ascii="宋体" w:hAnsi="宋体"/>
        </w:rPr>
      </w:pPr>
      <w:r>
        <w:rPr>
          <w:rFonts w:ascii="宋体" w:hAnsi="宋体"/>
        </w:rPr>
        <w:t>2000年9月珠玑出租汽车有限责任公司成立，投放出租车20辆。2006年5月增加50辆出租汽车，有利促进南雄旅游事业发展和提高城市品位，截至2010年全市出租车拥有量为80辆，从业人员160人。</w:t>
      </w:r>
    </w:p>
    <w:p w14:paraId="2236859E">
      <w:pPr>
        <w:pStyle w:val="4"/>
      </w:pPr>
      <w:r>
        <w:t>【运政管理】</w:t>
      </w:r>
    </w:p>
    <w:p w14:paraId="2D7FC985">
      <w:pPr>
        <w:ind w:firstLine="420"/>
        <w:rPr>
          <w:rFonts w:ascii="宋体" w:hAnsi="宋体"/>
        </w:rPr>
      </w:pPr>
      <w:r>
        <w:rPr>
          <w:rFonts w:ascii="宋体" w:hAnsi="宋体"/>
        </w:rPr>
        <w:t>由交通运输局下属的交通管理总站负责运政管理工作。2010年，机动车驾驶员培训3500学员，机动车维修开业户46户（含摩托车维修），运政稽查1650辆次，查处违章车辆130辆次。</w:t>
      </w:r>
    </w:p>
    <w:p w14:paraId="3258AA33">
      <w:pPr>
        <w:pStyle w:val="4"/>
      </w:pPr>
      <w:r>
        <w:t>【农村客运】</w:t>
      </w:r>
    </w:p>
    <w:p w14:paraId="7654C2AE">
      <w:pPr>
        <w:ind w:firstLine="420"/>
        <w:rPr>
          <w:rFonts w:ascii="宋体" w:hAnsi="宋体"/>
        </w:rPr>
      </w:pPr>
      <w:r>
        <w:rPr>
          <w:rFonts w:ascii="宋体" w:hAnsi="宋体"/>
        </w:rPr>
        <w:t>2010年，投资150万元完成75个农村候车亭的建设，投资450万元完成2个乡镇客运站改造。</w:t>
      </w:r>
    </w:p>
    <w:p w14:paraId="5B1C8BFD">
      <w:pPr>
        <w:pStyle w:val="4"/>
      </w:pPr>
      <w:r>
        <w:t>【公交车运输】</w:t>
      </w:r>
    </w:p>
    <w:p w14:paraId="4707AC9D">
      <w:pPr>
        <w:ind w:firstLine="420"/>
        <w:rPr>
          <w:rFonts w:ascii="宋体" w:hAnsi="宋体"/>
        </w:rPr>
      </w:pPr>
      <w:r>
        <w:rPr>
          <w:rFonts w:ascii="宋体" w:hAnsi="宋体"/>
        </w:rPr>
        <w:t>2010年南雄汽车站拥有客运车88辆，其中乡镇客运车45辆，完成客运量206万人次，更新一批高档次的环保型公交车，新公交车设置有空调，安装GPS，车载录像记录仪，公交线路司机以“爱岗敬业，安全行驶，文明服务，热情周到”为服务宗旨，积极开展“安全行车知识竞赛和文明线路”创建活动，共120名司机参加。</w:t>
      </w:r>
    </w:p>
    <w:p w14:paraId="730DBF46">
      <w:pPr>
        <w:pStyle w:val="4"/>
      </w:pPr>
      <w:r>
        <w:t>【公交车管理】</w:t>
      </w:r>
    </w:p>
    <w:p w14:paraId="100DE2E9">
      <w:pPr>
        <w:ind w:firstLine="420"/>
        <w:rPr>
          <w:rFonts w:ascii="宋体" w:hAnsi="宋体"/>
        </w:rPr>
      </w:pPr>
      <w:r>
        <w:rPr>
          <w:rFonts w:ascii="宋体" w:hAnsi="宋体"/>
        </w:rPr>
        <w:t>2010年南雄汽车站加强经营管理，提升服务质量，实现经济效益稳步发展，全年完成客运量206万人次，完成客运周转量16940万公里，行驶里程165万公里，投资230万元更新9辆豪华大客，投资10万元安装车载视频监控、站场监控及GPS行车记录仪。</w:t>
      </w:r>
    </w:p>
    <w:p w14:paraId="4085832F">
      <w:pPr>
        <w:ind w:firstLine="420"/>
        <w:jc w:val="right"/>
        <w:rPr>
          <w:rFonts w:ascii="宋体" w:hAnsi="宋体"/>
        </w:rPr>
      </w:pPr>
      <w:r>
        <w:rPr>
          <w:rFonts w:ascii="宋体" w:hAnsi="宋体"/>
        </w:rPr>
        <w:t>（龚甫建）</w:t>
      </w:r>
    </w:p>
    <w:p w14:paraId="04329EB8">
      <w:pPr>
        <w:ind w:firstLine="422"/>
        <w:jc w:val="center"/>
        <w:rPr>
          <w:rFonts w:hint="eastAsia" w:ascii="宋体" w:hAnsi="宋体"/>
          <w:b/>
        </w:rPr>
      </w:pPr>
      <w:r>
        <w:rPr>
          <w:rFonts w:hint="eastAsia" w:ascii="宋体" w:hAnsi="宋体"/>
          <w:b/>
        </w:rPr>
        <w:t>表18-1  南雄市农村公交车运行线路表</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84"/>
        <w:gridCol w:w="1249"/>
        <w:gridCol w:w="1249"/>
        <w:gridCol w:w="2562"/>
        <w:gridCol w:w="1809"/>
        <w:gridCol w:w="1509"/>
      </w:tblGrid>
      <w:tr w14:paraId="40D58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5" w:type="pct"/>
            <w:vAlign w:val="center"/>
          </w:tcPr>
          <w:p w14:paraId="76D02C5C">
            <w:pPr>
              <w:pStyle w:val="13"/>
              <w:jc w:val="center"/>
              <w:rPr>
                <w:rFonts w:hint="eastAsia"/>
                <w:b/>
              </w:rPr>
            </w:pPr>
            <w:r>
              <w:rPr>
                <w:rFonts w:hint="eastAsia"/>
                <w:b/>
              </w:rPr>
              <w:t>起点站</w:t>
            </w:r>
          </w:p>
        </w:tc>
        <w:tc>
          <w:tcPr>
            <w:tcW w:w="627" w:type="pct"/>
            <w:vAlign w:val="center"/>
          </w:tcPr>
          <w:p w14:paraId="4AF302B1">
            <w:pPr>
              <w:pStyle w:val="13"/>
              <w:jc w:val="center"/>
              <w:rPr>
                <w:rFonts w:hint="eastAsia"/>
                <w:b/>
              </w:rPr>
            </w:pPr>
            <w:r>
              <w:rPr>
                <w:rFonts w:hint="eastAsia"/>
                <w:b/>
              </w:rPr>
              <w:t>终点站</w:t>
            </w:r>
          </w:p>
        </w:tc>
        <w:tc>
          <w:tcPr>
            <w:tcW w:w="627" w:type="pct"/>
            <w:vAlign w:val="center"/>
          </w:tcPr>
          <w:p w14:paraId="374F3146">
            <w:pPr>
              <w:pStyle w:val="13"/>
              <w:jc w:val="center"/>
              <w:rPr>
                <w:rFonts w:hint="eastAsia"/>
                <w:b/>
              </w:rPr>
            </w:pPr>
            <w:r>
              <w:rPr>
                <w:rFonts w:hint="eastAsia"/>
                <w:b/>
              </w:rPr>
              <w:t>路程(公里)</w:t>
            </w:r>
          </w:p>
        </w:tc>
        <w:tc>
          <w:tcPr>
            <w:tcW w:w="1286" w:type="pct"/>
            <w:vAlign w:val="center"/>
          </w:tcPr>
          <w:p w14:paraId="388AB28D">
            <w:pPr>
              <w:pStyle w:val="13"/>
              <w:jc w:val="center"/>
              <w:rPr>
                <w:rFonts w:hint="eastAsia"/>
                <w:b/>
              </w:rPr>
            </w:pPr>
            <w:r>
              <w:rPr>
                <w:rFonts w:hint="eastAsia"/>
                <w:b/>
              </w:rPr>
              <w:t>途经</w:t>
            </w:r>
          </w:p>
        </w:tc>
        <w:tc>
          <w:tcPr>
            <w:tcW w:w="908" w:type="pct"/>
            <w:vAlign w:val="center"/>
          </w:tcPr>
          <w:p w14:paraId="36FEDCE7">
            <w:pPr>
              <w:pStyle w:val="13"/>
              <w:jc w:val="center"/>
              <w:rPr>
                <w:rFonts w:hint="eastAsia"/>
                <w:b/>
              </w:rPr>
            </w:pPr>
            <w:r>
              <w:rPr>
                <w:rFonts w:hint="eastAsia"/>
                <w:b/>
              </w:rPr>
              <w:t>班次</w:t>
            </w:r>
          </w:p>
        </w:tc>
        <w:tc>
          <w:tcPr>
            <w:tcW w:w="758" w:type="pct"/>
            <w:vAlign w:val="center"/>
          </w:tcPr>
          <w:p w14:paraId="079A3737">
            <w:pPr>
              <w:pStyle w:val="13"/>
              <w:jc w:val="center"/>
              <w:rPr>
                <w:rFonts w:hint="eastAsia"/>
                <w:b/>
              </w:rPr>
            </w:pPr>
            <w:r>
              <w:rPr>
                <w:rFonts w:hint="eastAsia"/>
                <w:b/>
              </w:rPr>
              <w:t>票价（元）</w:t>
            </w:r>
          </w:p>
        </w:tc>
      </w:tr>
      <w:tr w14:paraId="659DC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5" w:type="pct"/>
            <w:vAlign w:val="center"/>
          </w:tcPr>
          <w:p w14:paraId="63D4DEA9">
            <w:pPr>
              <w:pStyle w:val="13"/>
              <w:jc w:val="center"/>
              <w:rPr>
                <w:rFonts w:hint="eastAsia"/>
              </w:rPr>
            </w:pPr>
            <w:r>
              <w:rPr>
                <w:rFonts w:hint="eastAsia"/>
              </w:rPr>
              <w:t>南雄汽车站</w:t>
            </w:r>
          </w:p>
        </w:tc>
        <w:tc>
          <w:tcPr>
            <w:tcW w:w="627" w:type="pct"/>
            <w:vAlign w:val="center"/>
          </w:tcPr>
          <w:p w14:paraId="020F0BDB">
            <w:pPr>
              <w:pStyle w:val="13"/>
              <w:jc w:val="center"/>
              <w:rPr>
                <w:rFonts w:hint="eastAsia"/>
              </w:rPr>
            </w:pPr>
            <w:r>
              <w:rPr>
                <w:rFonts w:hint="eastAsia"/>
              </w:rPr>
              <w:t>百顺</w:t>
            </w:r>
          </w:p>
        </w:tc>
        <w:tc>
          <w:tcPr>
            <w:tcW w:w="627" w:type="pct"/>
            <w:vAlign w:val="center"/>
          </w:tcPr>
          <w:p w14:paraId="258502B6">
            <w:pPr>
              <w:pStyle w:val="13"/>
              <w:jc w:val="center"/>
              <w:rPr>
                <w:rFonts w:hint="eastAsia"/>
              </w:rPr>
            </w:pPr>
            <w:r>
              <w:rPr>
                <w:rFonts w:hint="eastAsia"/>
              </w:rPr>
              <w:t>58</w:t>
            </w:r>
          </w:p>
        </w:tc>
        <w:tc>
          <w:tcPr>
            <w:tcW w:w="1286" w:type="pct"/>
            <w:vAlign w:val="center"/>
          </w:tcPr>
          <w:p w14:paraId="7FD28DC9">
            <w:pPr>
              <w:pStyle w:val="13"/>
              <w:jc w:val="center"/>
              <w:rPr>
                <w:rFonts w:hint="eastAsia"/>
              </w:rPr>
            </w:pPr>
            <w:r>
              <w:rPr>
                <w:rFonts w:hint="eastAsia"/>
              </w:rPr>
              <w:t>澜河镇、帽子峰镇</w:t>
            </w:r>
          </w:p>
        </w:tc>
        <w:tc>
          <w:tcPr>
            <w:tcW w:w="908" w:type="pct"/>
            <w:vAlign w:val="center"/>
          </w:tcPr>
          <w:p w14:paraId="37CDAC30">
            <w:pPr>
              <w:pStyle w:val="13"/>
              <w:jc w:val="center"/>
              <w:rPr>
                <w:rFonts w:hint="eastAsia"/>
              </w:rPr>
            </w:pPr>
            <w:r>
              <w:rPr>
                <w:rFonts w:hint="eastAsia"/>
              </w:rPr>
              <w:t>每天2班</w:t>
            </w:r>
          </w:p>
        </w:tc>
        <w:tc>
          <w:tcPr>
            <w:tcW w:w="758" w:type="pct"/>
            <w:vAlign w:val="center"/>
          </w:tcPr>
          <w:p w14:paraId="54617F25">
            <w:pPr>
              <w:pStyle w:val="13"/>
              <w:jc w:val="center"/>
              <w:rPr>
                <w:rFonts w:hint="eastAsia"/>
              </w:rPr>
            </w:pPr>
            <w:r>
              <w:rPr>
                <w:rFonts w:hint="eastAsia"/>
              </w:rPr>
              <w:t>13</w:t>
            </w:r>
          </w:p>
        </w:tc>
      </w:tr>
      <w:tr w14:paraId="53B64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5" w:type="pct"/>
            <w:vAlign w:val="center"/>
          </w:tcPr>
          <w:p w14:paraId="70A42AFA">
            <w:pPr>
              <w:pStyle w:val="13"/>
              <w:jc w:val="center"/>
              <w:rPr>
                <w:rFonts w:hint="eastAsia"/>
              </w:rPr>
            </w:pPr>
            <w:r>
              <w:rPr>
                <w:rFonts w:hint="eastAsia"/>
              </w:rPr>
              <w:t>南雄汽车站</w:t>
            </w:r>
          </w:p>
        </w:tc>
        <w:tc>
          <w:tcPr>
            <w:tcW w:w="627" w:type="pct"/>
            <w:vAlign w:val="center"/>
          </w:tcPr>
          <w:p w14:paraId="16FFD203">
            <w:pPr>
              <w:pStyle w:val="13"/>
              <w:jc w:val="center"/>
              <w:rPr>
                <w:rFonts w:hint="eastAsia"/>
              </w:rPr>
            </w:pPr>
            <w:r>
              <w:rPr>
                <w:rFonts w:hint="eastAsia"/>
              </w:rPr>
              <w:t>界址</w:t>
            </w:r>
          </w:p>
        </w:tc>
        <w:tc>
          <w:tcPr>
            <w:tcW w:w="627" w:type="pct"/>
            <w:vAlign w:val="center"/>
          </w:tcPr>
          <w:p w14:paraId="0795DB27">
            <w:pPr>
              <w:pStyle w:val="13"/>
              <w:jc w:val="center"/>
              <w:rPr>
                <w:rFonts w:hint="eastAsia"/>
              </w:rPr>
            </w:pPr>
            <w:r>
              <w:rPr>
                <w:rFonts w:hint="eastAsia"/>
              </w:rPr>
              <w:t>58</w:t>
            </w:r>
          </w:p>
        </w:tc>
        <w:tc>
          <w:tcPr>
            <w:tcW w:w="1286" w:type="pct"/>
            <w:vAlign w:val="center"/>
          </w:tcPr>
          <w:p w14:paraId="5149A090">
            <w:pPr>
              <w:pStyle w:val="13"/>
              <w:jc w:val="center"/>
              <w:rPr>
                <w:rFonts w:hint="eastAsia"/>
              </w:rPr>
            </w:pPr>
            <w:r>
              <w:rPr>
                <w:rFonts w:hint="eastAsia"/>
              </w:rPr>
              <w:t>黄坑镇、新龙</w:t>
            </w:r>
          </w:p>
        </w:tc>
        <w:tc>
          <w:tcPr>
            <w:tcW w:w="908" w:type="pct"/>
            <w:vAlign w:val="center"/>
          </w:tcPr>
          <w:p w14:paraId="5190CA8C">
            <w:pPr>
              <w:pStyle w:val="13"/>
              <w:jc w:val="center"/>
              <w:rPr>
                <w:rFonts w:hint="eastAsia"/>
              </w:rPr>
            </w:pPr>
            <w:r>
              <w:rPr>
                <w:rFonts w:hint="eastAsia"/>
              </w:rPr>
              <w:t>每天5班</w:t>
            </w:r>
          </w:p>
        </w:tc>
        <w:tc>
          <w:tcPr>
            <w:tcW w:w="758" w:type="pct"/>
            <w:vAlign w:val="center"/>
          </w:tcPr>
          <w:p w14:paraId="7912D11A">
            <w:pPr>
              <w:pStyle w:val="13"/>
              <w:jc w:val="center"/>
              <w:rPr>
                <w:rFonts w:hint="eastAsia"/>
              </w:rPr>
            </w:pPr>
            <w:r>
              <w:rPr>
                <w:rFonts w:hint="eastAsia"/>
              </w:rPr>
              <w:t>13</w:t>
            </w:r>
          </w:p>
        </w:tc>
      </w:tr>
      <w:tr w14:paraId="7D8DB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5" w:type="pct"/>
            <w:vAlign w:val="center"/>
          </w:tcPr>
          <w:p w14:paraId="3BB3FAD2">
            <w:pPr>
              <w:pStyle w:val="13"/>
              <w:jc w:val="center"/>
              <w:rPr>
                <w:rFonts w:hint="eastAsia"/>
              </w:rPr>
            </w:pPr>
            <w:r>
              <w:rPr>
                <w:rFonts w:hint="eastAsia"/>
              </w:rPr>
              <w:t>南雄汽车站</w:t>
            </w:r>
          </w:p>
        </w:tc>
        <w:tc>
          <w:tcPr>
            <w:tcW w:w="627" w:type="pct"/>
            <w:vAlign w:val="center"/>
          </w:tcPr>
          <w:p w14:paraId="2CB948EE">
            <w:pPr>
              <w:pStyle w:val="13"/>
              <w:jc w:val="center"/>
              <w:rPr>
                <w:rFonts w:hint="eastAsia"/>
              </w:rPr>
            </w:pPr>
            <w:r>
              <w:rPr>
                <w:rFonts w:hint="eastAsia"/>
              </w:rPr>
              <w:t>坪田</w:t>
            </w:r>
          </w:p>
        </w:tc>
        <w:tc>
          <w:tcPr>
            <w:tcW w:w="627" w:type="pct"/>
            <w:vAlign w:val="center"/>
          </w:tcPr>
          <w:p w14:paraId="1B5869A7">
            <w:pPr>
              <w:pStyle w:val="13"/>
              <w:jc w:val="center"/>
              <w:rPr>
                <w:rFonts w:hint="eastAsia"/>
              </w:rPr>
            </w:pPr>
            <w:r>
              <w:rPr>
                <w:rFonts w:hint="eastAsia"/>
              </w:rPr>
              <w:t>58</w:t>
            </w:r>
          </w:p>
        </w:tc>
        <w:tc>
          <w:tcPr>
            <w:tcW w:w="1286" w:type="pct"/>
            <w:vAlign w:val="center"/>
          </w:tcPr>
          <w:p w14:paraId="03E28424">
            <w:pPr>
              <w:pStyle w:val="13"/>
              <w:jc w:val="center"/>
              <w:rPr>
                <w:rFonts w:hint="eastAsia"/>
              </w:rPr>
            </w:pPr>
            <w:r>
              <w:rPr>
                <w:rFonts w:hint="eastAsia"/>
              </w:rPr>
              <w:t>黄坑、老龙</w:t>
            </w:r>
          </w:p>
        </w:tc>
        <w:tc>
          <w:tcPr>
            <w:tcW w:w="908" w:type="pct"/>
            <w:vAlign w:val="center"/>
          </w:tcPr>
          <w:p w14:paraId="5C37EBAD">
            <w:pPr>
              <w:pStyle w:val="13"/>
              <w:jc w:val="center"/>
              <w:rPr>
                <w:rFonts w:hint="eastAsia"/>
              </w:rPr>
            </w:pPr>
            <w:r>
              <w:rPr>
                <w:rFonts w:hint="eastAsia"/>
              </w:rPr>
              <w:t>每天6班</w:t>
            </w:r>
          </w:p>
        </w:tc>
        <w:tc>
          <w:tcPr>
            <w:tcW w:w="758" w:type="pct"/>
            <w:vAlign w:val="center"/>
          </w:tcPr>
          <w:p w14:paraId="1EA7F370">
            <w:pPr>
              <w:pStyle w:val="13"/>
              <w:jc w:val="center"/>
              <w:rPr>
                <w:rFonts w:hint="eastAsia"/>
              </w:rPr>
            </w:pPr>
            <w:r>
              <w:rPr>
                <w:rFonts w:hint="eastAsia"/>
              </w:rPr>
              <w:t>13</w:t>
            </w:r>
          </w:p>
        </w:tc>
      </w:tr>
      <w:tr w14:paraId="6E0AA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5" w:type="pct"/>
            <w:vAlign w:val="center"/>
          </w:tcPr>
          <w:p w14:paraId="5E7FB1B9">
            <w:pPr>
              <w:pStyle w:val="13"/>
              <w:jc w:val="center"/>
              <w:rPr>
                <w:rFonts w:hint="eastAsia"/>
              </w:rPr>
            </w:pPr>
            <w:r>
              <w:rPr>
                <w:rFonts w:hint="eastAsia"/>
              </w:rPr>
              <w:t>南雄汽车站</w:t>
            </w:r>
          </w:p>
        </w:tc>
        <w:tc>
          <w:tcPr>
            <w:tcW w:w="627" w:type="pct"/>
            <w:vAlign w:val="center"/>
          </w:tcPr>
          <w:p w14:paraId="1B5CD015">
            <w:pPr>
              <w:pStyle w:val="13"/>
              <w:jc w:val="center"/>
              <w:rPr>
                <w:rFonts w:hint="eastAsia"/>
              </w:rPr>
            </w:pPr>
            <w:r>
              <w:rPr>
                <w:rFonts w:hint="eastAsia"/>
              </w:rPr>
              <w:t>大余</w:t>
            </w:r>
          </w:p>
        </w:tc>
        <w:tc>
          <w:tcPr>
            <w:tcW w:w="627" w:type="pct"/>
            <w:vAlign w:val="center"/>
          </w:tcPr>
          <w:p w14:paraId="2DD667D0">
            <w:pPr>
              <w:pStyle w:val="13"/>
              <w:jc w:val="center"/>
              <w:rPr>
                <w:rFonts w:hint="eastAsia"/>
              </w:rPr>
            </w:pPr>
            <w:r>
              <w:rPr>
                <w:rFonts w:hint="eastAsia"/>
              </w:rPr>
              <w:t>41</w:t>
            </w:r>
          </w:p>
        </w:tc>
        <w:tc>
          <w:tcPr>
            <w:tcW w:w="1286" w:type="pct"/>
            <w:vAlign w:val="center"/>
          </w:tcPr>
          <w:p w14:paraId="53FEE836">
            <w:pPr>
              <w:pStyle w:val="13"/>
              <w:jc w:val="center"/>
              <w:rPr>
                <w:rFonts w:hint="eastAsia"/>
              </w:rPr>
            </w:pPr>
            <w:r>
              <w:rPr>
                <w:rFonts w:hint="eastAsia"/>
              </w:rPr>
              <w:t>珠玑镇、梅岭镇</w:t>
            </w:r>
          </w:p>
        </w:tc>
        <w:tc>
          <w:tcPr>
            <w:tcW w:w="908" w:type="pct"/>
            <w:vAlign w:val="center"/>
          </w:tcPr>
          <w:p w14:paraId="1C1CB8F8">
            <w:pPr>
              <w:pStyle w:val="13"/>
              <w:jc w:val="center"/>
              <w:rPr>
                <w:rFonts w:hint="eastAsia"/>
              </w:rPr>
            </w:pPr>
            <w:r>
              <w:rPr>
                <w:rFonts w:hint="eastAsia"/>
              </w:rPr>
              <w:t>每隔25分钟一班</w:t>
            </w:r>
          </w:p>
        </w:tc>
        <w:tc>
          <w:tcPr>
            <w:tcW w:w="758" w:type="pct"/>
            <w:vAlign w:val="center"/>
          </w:tcPr>
          <w:p w14:paraId="45654D5B">
            <w:pPr>
              <w:pStyle w:val="13"/>
              <w:jc w:val="center"/>
              <w:rPr>
                <w:rFonts w:hint="eastAsia"/>
              </w:rPr>
            </w:pPr>
            <w:r>
              <w:rPr>
                <w:rFonts w:hint="eastAsia"/>
              </w:rPr>
              <w:t>13</w:t>
            </w:r>
          </w:p>
        </w:tc>
      </w:tr>
      <w:tr w14:paraId="78244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5" w:type="pct"/>
            <w:vAlign w:val="center"/>
          </w:tcPr>
          <w:p w14:paraId="463C7472">
            <w:pPr>
              <w:pStyle w:val="13"/>
              <w:jc w:val="center"/>
              <w:rPr>
                <w:rFonts w:hint="eastAsia"/>
              </w:rPr>
            </w:pPr>
            <w:r>
              <w:rPr>
                <w:rFonts w:hint="eastAsia"/>
              </w:rPr>
              <w:t>南雄汽车站</w:t>
            </w:r>
          </w:p>
        </w:tc>
        <w:tc>
          <w:tcPr>
            <w:tcW w:w="627" w:type="pct"/>
            <w:vAlign w:val="center"/>
          </w:tcPr>
          <w:p w14:paraId="3F23BA9A">
            <w:pPr>
              <w:pStyle w:val="13"/>
              <w:jc w:val="center"/>
              <w:rPr>
                <w:rFonts w:hint="eastAsia"/>
              </w:rPr>
            </w:pPr>
            <w:r>
              <w:rPr>
                <w:rFonts w:hint="eastAsia"/>
              </w:rPr>
              <w:t>乌迳</w:t>
            </w:r>
          </w:p>
        </w:tc>
        <w:tc>
          <w:tcPr>
            <w:tcW w:w="627" w:type="pct"/>
            <w:vAlign w:val="center"/>
          </w:tcPr>
          <w:p w14:paraId="3861A811">
            <w:pPr>
              <w:pStyle w:val="13"/>
              <w:jc w:val="center"/>
              <w:rPr>
                <w:rFonts w:hint="eastAsia"/>
              </w:rPr>
            </w:pPr>
            <w:r>
              <w:rPr>
                <w:rFonts w:hint="eastAsia"/>
              </w:rPr>
              <w:t>35</w:t>
            </w:r>
          </w:p>
        </w:tc>
        <w:tc>
          <w:tcPr>
            <w:tcW w:w="1286" w:type="pct"/>
            <w:vAlign w:val="center"/>
          </w:tcPr>
          <w:p w14:paraId="150324F3">
            <w:pPr>
              <w:pStyle w:val="13"/>
              <w:jc w:val="center"/>
              <w:rPr>
                <w:rFonts w:hint="eastAsia"/>
              </w:rPr>
            </w:pPr>
            <w:r>
              <w:rPr>
                <w:rFonts w:hint="eastAsia"/>
              </w:rPr>
              <w:t>湖口、黄坑</w:t>
            </w:r>
          </w:p>
        </w:tc>
        <w:tc>
          <w:tcPr>
            <w:tcW w:w="908" w:type="pct"/>
            <w:vAlign w:val="center"/>
          </w:tcPr>
          <w:p w14:paraId="3676F6C2">
            <w:pPr>
              <w:pStyle w:val="13"/>
              <w:jc w:val="center"/>
              <w:rPr>
                <w:rFonts w:hint="eastAsia"/>
              </w:rPr>
            </w:pPr>
            <w:r>
              <w:rPr>
                <w:rFonts w:hint="eastAsia"/>
              </w:rPr>
              <w:t>每隔10分钟一班</w:t>
            </w:r>
          </w:p>
        </w:tc>
        <w:tc>
          <w:tcPr>
            <w:tcW w:w="758" w:type="pct"/>
            <w:vAlign w:val="center"/>
          </w:tcPr>
          <w:p w14:paraId="164D5174">
            <w:pPr>
              <w:pStyle w:val="13"/>
              <w:jc w:val="center"/>
              <w:rPr>
                <w:rFonts w:hint="eastAsia"/>
              </w:rPr>
            </w:pPr>
            <w:r>
              <w:rPr>
                <w:rFonts w:hint="eastAsia"/>
              </w:rPr>
              <w:t>9</w:t>
            </w:r>
          </w:p>
        </w:tc>
      </w:tr>
      <w:tr w14:paraId="1C9A12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5" w:type="pct"/>
            <w:vAlign w:val="center"/>
          </w:tcPr>
          <w:p w14:paraId="40A604C7">
            <w:pPr>
              <w:pStyle w:val="13"/>
              <w:jc w:val="center"/>
              <w:rPr>
                <w:rFonts w:hint="eastAsia"/>
              </w:rPr>
            </w:pPr>
            <w:r>
              <w:rPr>
                <w:rFonts w:hint="eastAsia"/>
              </w:rPr>
              <w:t>南雄汽车站</w:t>
            </w:r>
          </w:p>
        </w:tc>
        <w:tc>
          <w:tcPr>
            <w:tcW w:w="627" w:type="pct"/>
            <w:vAlign w:val="center"/>
          </w:tcPr>
          <w:p w14:paraId="48D95C81">
            <w:pPr>
              <w:pStyle w:val="13"/>
              <w:jc w:val="center"/>
              <w:rPr>
                <w:rFonts w:hint="eastAsia"/>
              </w:rPr>
            </w:pPr>
            <w:r>
              <w:rPr>
                <w:rFonts w:hint="eastAsia"/>
              </w:rPr>
              <w:t>南亩</w:t>
            </w:r>
          </w:p>
        </w:tc>
        <w:tc>
          <w:tcPr>
            <w:tcW w:w="627" w:type="pct"/>
            <w:vAlign w:val="center"/>
          </w:tcPr>
          <w:p w14:paraId="2D4CD979">
            <w:pPr>
              <w:pStyle w:val="13"/>
              <w:jc w:val="center"/>
              <w:rPr>
                <w:rFonts w:hint="eastAsia"/>
              </w:rPr>
            </w:pPr>
            <w:r>
              <w:rPr>
                <w:rFonts w:hint="eastAsia"/>
              </w:rPr>
              <w:t>30</w:t>
            </w:r>
          </w:p>
        </w:tc>
        <w:tc>
          <w:tcPr>
            <w:tcW w:w="1286" w:type="pct"/>
            <w:vAlign w:val="center"/>
          </w:tcPr>
          <w:p w14:paraId="025617D5">
            <w:pPr>
              <w:pStyle w:val="13"/>
              <w:jc w:val="center"/>
              <w:rPr>
                <w:rFonts w:hint="eastAsia"/>
              </w:rPr>
            </w:pPr>
            <w:r>
              <w:rPr>
                <w:rFonts w:hint="eastAsia"/>
              </w:rPr>
              <w:t>湖口、水口</w:t>
            </w:r>
          </w:p>
        </w:tc>
        <w:tc>
          <w:tcPr>
            <w:tcW w:w="908" w:type="pct"/>
            <w:vAlign w:val="center"/>
          </w:tcPr>
          <w:p w14:paraId="29744D49">
            <w:pPr>
              <w:pStyle w:val="13"/>
              <w:jc w:val="center"/>
              <w:rPr>
                <w:rFonts w:hint="eastAsia"/>
              </w:rPr>
            </w:pPr>
            <w:r>
              <w:rPr>
                <w:rFonts w:hint="eastAsia"/>
              </w:rPr>
              <w:t>每隔20分钟一班</w:t>
            </w:r>
          </w:p>
        </w:tc>
        <w:tc>
          <w:tcPr>
            <w:tcW w:w="758" w:type="pct"/>
            <w:vAlign w:val="center"/>
          </w:tcPr>
          <w:p w14:paraId="2846A589">
            <w:pPr>
              <w:pStyle w:val="13"/>
              <w:jc w:val="center"/>
              <w:rPr>
                <w:rFonts w:hint="eastAsia"/>
              </w:rPr>
            </w:pPr>
            <w:r>
              <w:rPr>
                <w:rFonts w:hint="eastAsia"/>
              </w:rPr>
              <w:t>8</w:t>
            </w:r>
          </w:p>
        </w:tc>
      </w:tr>
      <w:tr w14:paraId="37478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5" w:type="pct"/>
            <w:vAlign w:val="center"/>
          </w:tcPr>
          <w:p w14:paraId="17514E49">
            <w:pPr>
              <w:pStyle w:val="13"/>
              <w:jc w:val="center"/>
              <w:rPr>
                <w:rFonts w:hint="eastAsia"/>
              </w:rPr>
            </w:pPr>
            <w:r>
              <w:rPr>
                <w:rFonts w:hint="eastAsia"/>
              </w:rPr>
              <w:t>南雄汽车站</w:t>
            </w:r>
          </w:p>
        </w:tc>
        <w:tc>
          <w:tcPr>
            <w:tcW w:w="627" w:type="pct"/>
            <w:vAlign w:val="center"/>
          </w:tcPr>
          <w:p w14:paraId="5FB78C7B">
            <w:pPr>
              <w:pStyle w:val="13"/>
              <w:jc w:val="center"/>
              <w:rPr>
                <w:rFonts w:hint="eastAsia"/>
              </w:rPr>
            </w:pPr>
            <w:r>
              <w:rPr>
                <w:rFonts w:hint="eastAsia"/>
              </w:rPr>
              <w:t>大塘</w:t>
            </w:r>
          </w:p>
        </w:tc>
        <w:tc>
          <w:tcPr>
            <w:tcW w:w="627" w:type="pct"/>
            <w:vAlign w:val="center"/>
          </w:tcPr>
          <w:p w14:paraId="11B6CBE9">
            <w:pPr>
              <w:pStyle w:val="13"/>
              <w:jc w:val="center"/>
              <w:rPr>
                <w:rFonts w:hint="eastAsia"/>
              </w:rPr>
            </w:pPr>
            <w:r>
              <w:rPr>
                <w:rFonts w:hint="eastAsia"/>
              </w:rPr>
              <w:t>30</w:t>
            </w:r>
          </w:p>
        </w:tc>
        <w:tc>
          <w:tcPr>
            <w:tcW w:w="1286" w:type="pct"/>
            <w:vAlign w:val="center"/>
          </w:tcPr>
          <w:p w14:paraId="0C6BFD13">
            <w:pPr>
              <w:pStyle w:val="13"/>
              <w:jc w:val="center"/>
              <w:rPr>
                <w:rFonts w:hint="eastAsia"/>
              </w:rPr>
            </w:pPr>
            <w:r>
              <w:rPr>
                <w:rFonts w:hint="eastAsia"/>
              </w:rPr>
              <w:t>长市、白木、邓坊</w:t>
            </w:r>
          </w:p>
        </w:tc>
        <w:tc>
          <w:tcPr>
            <w:tcW w:w="908" w:type="pct"/>
            <w:vAlign w:val="center"/>
          </w:tcPr>
          <w:p w14:paraId="48A1751C">
            <w:pPr>
              <w:pStyle w:val="13"/>
              <w:jc w:val="center"/>
              <w:rPr>
                <w:rFonts w:hint="eastAsia"/>
              </w:rPr>
            </w:pPr>
            <w:r>
              <w:rPr>
                <w:rFonts w:hint="eastAsia"/>
              </w:rPr>
              <w:t>每隔20分钟一班</w:t>
            </w:r>
          </w:p>
        </w:tc>
        <w:tc>
          <w:tcPr>
            <w:tcW w:w="758" w:type="pct"/>
            <w:vAlign w:val="center"/>
          </w:tcPr>
          <w:p w14:paraId="58B758AE">
            <w:pPr>
              <w:pStyle w:val="13"/>
              <w:jc w:val="center"/>
              <w:rPr>
                <w:rFonts w:hint="eastAsia"/>
              </w:rPr>
            </w:pPr>
            <w:r>
              <w:rPr>
                <w:rFonts w:hint="eastAsia"/>
              </w:rPr>
              <w:t>8</w:t>
            </w:r>
          </w:p>
        </w:tc>
      </w:tr>
      <w:tr w14:paraId="00006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5" w:type="pct"/>
            <w:vAlign w:val="center"/>
          </w:tcPr>
          <w:p w14:paraId="62599EB1">
            <w:pPr>
              <w:pStyle w:val="13"/>
              <w:jc w:val="center"/>
              <w:rPr>
                <w:rFonts w:hint="eastAsia"/>
              </w:rPr>
            </w:pPr>
            <w:r>
              <w:rPr>
                <w:rFonts w:hint="eastAsia"/>
              </w:rPr>
              <w:t>南雄汽车站</w:t>
            </w:r>
          </w:p>
        </w:tc>
        <w:tc>
          <w:tcPr>
            <w:tcW w:w="627" w:type="pct"/>
            <w:vAlign w:val="center"/>
          </w:tcPr>
          <w:p w14:paraId="7EBC3973">
            <w:pPr>
              <w:pStyle w:val="13"/>
              <w:jc w:val="center"/>
              <w:rPr>
                <w:rFonts w:hint="eastAsia"/>
              </w:rPr>
            </w:pPr>
            <w:r>
              <w:rPr>
                <w:rFonts w:hint="eastAsia"/>
              </w:rPr>
              <w:t>江头</w:t>
            </w:r>
          </w:p>
        </w:tc>
        <w:tc>
          <w:tcPr>
            <w:tcW w:w="627" w:type="pct"/>
            <w:vAlign w:val="center"/>
          </w:tcPr>
          <w:p w14:paraId="01804F99">
            <w:pPr>
              <w:pStyle w:val="13"/>
              <w:jc w:val="center"/>
              <w:rPr>
                <w:rFonts w:hint="eastAsia"/>
              </w:rPr>
            </w:pPr>
            <w:r>
              <w:rPr>
                <w:rFonts w:hint="eastAsia"/>
              </w:rPr>
              <w:t>13</w:t>
            </w:r>
          </w:p>
        </w:tc>
        <w:tc>
          <w:tcPr>
            <w:tcW w:w="1286" w:type="pct"/>
            <w:vAlign w:val="center"/>
          </w:tcPr>
          <w:p w14:paraId="61D36A70">
            <w:pPr>
              <w:pStyle w:val="13"/>
              <w:jc w:val="center"/>
              <w:rPr>
                <w:rFonts w:hint="eastAsia"/>
              </w:rPr>
            </w:pPr>
            <w:r>
              <w:rPr>
                <w:rFonts w:hint="eastAsia"/>
              </w:rPr>
              <w:t>平岗</w:t>
            </w:r>
          </w:p>
        </w:tc>
        <w:tc>
          <w:tcPr>
            <w:tcW w:w="908" w:type="pct"/>
            <w:vAlign w:val="center"/>
          </w:tcPr>
          <w:p w14:paraId="4E1C5E9B">
            <w:pPr>
              <w:pStyle w:val="13"/>
              <w:jc w:val="center"/>
              <w:rPr>
                <w:rFonts w:hint="eastAsia"/>
              </w:rPr>
            </w:pPr>
            <w:r>
              <w:rPr>
                <w:rFonts w:hint="eastAsia"/>
              </w:rPr>
              <w:t>每隔30分钟一班</w:t>
            </w:r>
          </w:p>
        </w:tc>
        <w:tc>
          <w:tcPr>
            <w:tcW w:w="758" w:type="pct"/>
            <w:vAlign w:val="center"/>
          </w:tcPr>
          <w:p w14:paraId="32C5F461">
            <w:pPr>
              <w:pStyle w:val="13"/>
              <w:jc w:val="center"/>
              <w:rPr>
                <w:rFonts w:hint="eastAsia"/>
              </w:rPr>
            </w:pPr>
            <w:r>
              <w:rPr>
                <w:rFonts w:hint="eastAsia"/>
              </w:rPr>
              <w:t>4</w:t>
            </w:r>
          </w:p>
        </w:tc>
      </w:tr>
      <w:tr w14:paraId="1672F6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5" w:type="pct"/>
            <w:vAlign w:val="center"/>
          </w:tcPr>
          <w:p w14:paraId="4C07E024">
            <w:pPr>
              <w:pStyle w:val="13"/>
              <w:jc w:val="center"/>
              <w:rPr>
                <w:rFonts w:hint="eastAsia"/>
              </w:rPr>
            </w:pPr>
            <w:r>
              <w:rPr>
                <w:rFonts w:hint="eastAsia"/>
              </w:rPr>
              <w:t>南雄汽车站</w:t>
            </w:r>
          </w:p>
        </w:tc>
        <w:tc>
          <w:tcPr>
            <w:tcW w:w="627" w:type="pct"/>
            <w:vAlign w:val="center"/>
          </w:tcPr>
          <w:p w14:paraId="02DD9157">
            <w:pPr>
              <w:pStyle w:val="13"/>
              <w:jc w:val="center"/>
              <w:rPr>
                <w:rFonts w:hint="eastAsia"/>
              </w:rPr>
            </w:pPr>
            <w:r>
              <w:rPr>
                <w:rFonts w:hint="eastAsia"/>
              </w:rPr>
              <w:t>上龙</w:t>
            </w:r>
          </w:p>
        </w:tc>
        <w:tc>
          <w:tcPr>
            <w:tcW w:w="627" w:type="pct"/>
            <w:vAlign w:val="center"/>
          </w:tcPr>
          <w:p w14:paraId="45388738">
            <w:pPr>
              <w:pStyle w:val="13"/>
              <w:jc w:val="center"/>
              <w:rPr>
                <w:rFonts w:hint="eastAsia"/>
              </w:rPr>
            </w:pPr>
            <w:r>
              <w:rPr>
                <w:rFonts w:hint="eastAsia"/>
              </w:rPr>
              <w:t>40</w:t>
            </w:r>
          </w:p>
        </w:tc>
        <w:tc>
          <w:tcPr>
            <w:tcW w:w="1286" w:type="pct"/>
            <w:vAlign w:val="center"/>
          </w:tcPr>
          <w:p w14:paraId="0D377587">
            <w:pPr>
              <w:pStyle w:val="13"/>
              <w:jc w:val="center"/>
              <w:rPr>
                <w:rFonts w:hint="eastAsia"/>
              </w:rPr>
            </w:pPr>
            <w:r>
              <w:rPr>
                <w:rFonts w:hint="eastAsia"/>
              </w:rPr>
              <w:t>付竹</w:t>
            </w:r>
          </w:p>
        </w:tc>
        <w:tc>
          <w:tcPr>
            <w:tcW w:w="908" w:type="pct"/>
            <w:vAlign w:val="center"/>
          </w:tcPr>
          <w:p w14:paraId="06826E54">
            <w:pPr>
              <w:pStyle w:val="13"/>
              <w:jc w:val="center"/>
              <w:rPr>
                <w:rFonts w:hint="eastAsia"/>
              </w:rPr>
            </w:pPr>
            <w:r>
              <w:rPr>
                <w:rFonts w:hint="eastAsia"/>
              </w:rPr>
              <w:t>每天6班</w:t>
            </w:r>
          </w:p>
        </w:tc>
        <w:tc>
          <w:tcPr>
            <w:tcW w:w="758" w:type="pct"/>
            <w:vAlign w:val="center"/>
          </w:tcPr>
          <w:p w14:paraId="03901C87">
            <w:pPr>
              <w:pStyle w:val="13"/>
              <w:jc w:val="center"/>
              <w:rPr>
                <w:rFonts w:hint="eastAsia"/>
              </w:rPr>
            </w:pPr>
            <w:r>
              <w:rPr>
                <w:rFonts w:hint="eastAsia"/>
              </w:rPr>
              <w:t>7</w:t>
            </w:r>
          </w:p>
        </w:tc>
      </w:tr>
      <w:tr w14:paraId="25E36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5" w:type="pct"/>
            <w:vAlign w:val="center"/>
          </w:tcPr>
          <w:p w14:paraId="4FB7DAB8">
            <w:pPr>
              <w:pStyle w:val="13"/>
              <w:jc w:val="center"/>
              <w:rPr>
                <w:rFonts w:hint="eastAsia"/>
              </w:rPr>
            </w:pPr>
            <w:r>
              <w:rPr>
                <w:rFonts w:hint="eastAsia"/>
              </w:rPr>
              <w:t>南雄汽车站</w:t>
            </w:r>
          </w:p>
        </w:tc>
        <w:tc>
          <w:tcPr>
            <w:tcW w:w="627" w:type="pct"/>
            <w:vAlign w:val="center"/>
          </w:tcPr>
          <w:p w14:paraId="6E0AE7DE">
            <w:pPr>
              <w:pStyle w:val="13"/>
              <w:jc w:val="center"/>
              <w:rPr>
                <w:rFonts w:hint="eastAsia"/>
              </w:rPr>
            </w:pPr>
            <w:r>
              <w:rPr>
                <w:rFonts w:hint="eastAsia"/>
              </w:rPr>
              <w:t>坡头</w:t>
            </w:r>
          </w:p>
        </w:tc>
        <w:tc>
          <w:tcPr>
            <w:tcW w:w="627" w:type="pct"/>
            <w:vAlign w:val="center"/>
          </w:tcPr>
          <w:p w14:paraId="6D2492EB">
            <w:pPr>
              <w:pStyle w:val="13"/>
              <w:jc w:val="center"/>
              <w:rPr>
                <w:rFonts w:hint="eastAsia"/>
              </w:rPr>
            </w:pPr>
            <w:r>
              <w:rPr>
                <w:rFonts w:hint="eastAsia"/>
              </w:rPr>
              <w:t>58</w:t>
            </w:r>
          </w:p>
        </w:tc>
        <w:tc>
          <w:tcPr>
            <w:tcW w:w="1286" w:type="pct"/>
            <w:vAlign w:val="center"/>
          </w:tcPr>
          <w:p w14:paraId="6673DB38">
            <w:pPr>
              <w:pStyle w:val="13"/>
              <w:jc w:val="center"/>
              <w:rPr>
                <w:rFonts w:hint="eastAsia"/>
              </w:rPr>
            </w:pPr>
            <w:r>
              <w:rPr>
                <w:rFonts w:hint="eastAsia"/>
              </w:rPr>
              <w:t>湖口、南亩</w:t>
            </w:r>
          </w:p>
        </w:tc>
        <w:tc>
          <w:tcPr>
            <w:tcW w:w="908" w:type="pct"/>
            <w:vAlign w:val="center"/>
          </w:tcPr>
          <w:p w14:paraId="59DA117E">
            <w:pPr>
              <w:pStyle w:val="13"/>
              <w:jc w:val="center"/>
              <w:rPr>
                <w:rFonts w:hint="eastAsia"/>
              </w:rPr>
            </w:pPr>
            <w:r>
              <w:rPr>
                <w:rFonts w:hint="eastAsia"/>
              </w:rPr>
              <w:t>每天3班</w:t>
            </w:r>
          </w:p>
        </w:tc>
        <w:tc>
          <w:tcPr>
            <w:tcW w:w="758" w:type="pct"/>
            <w:vAlign w:val="center"/>
          </w:tcPr>
          <w:p w14:paraId="46920256">
            <w:pPr>
              <w:pStyle w:val="13"/>
              <w:jc w:val="center"/>
              <w:rPr>
                <w:rFonts w:hint="eastAsia"/>
              </w:rPr>
            </w:pPr>
            <w:r>
              <w:rPr>
                <w:rFonts w:hint="eastAsia"/>
              </w:rPr>
              <w:t>15</w:t>
            </w:r>
          </w:p>
        </w:tc>
      </w:tr>
      <w:tr w14:paraId="48DA5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5" w:type="pct"/>
            <w:vAlign w:val="center"/>
          </w:tcPr>
          <w:p w14:paraId="321A7BA6">
            <w:pPr>
              <w:pStyle w:val="13"/>
              <w:jc w:val="center"/>
              <w:rPr>
                <w:rFonts w:hint="eastAsia"/>
              </w:rPr>
            </w:pPr>
            <w:r>
              <w:rPr>
                <w:rFonts w:hint="eastAsia"/>
              </w:rPr>
              <w:t>南雄汽车站</w:t>
            </w:r>
          </w:p>
        </w:tc>
        <w:tc>
          <w:tcPr>
            <w:tcW w:w="627" w:type="pct"/>
            <w:vAlign w:val="center"/>
          </w:tcPr>
          <w:p w14:paraId="47938D76">
            <w:pPr>
              <w:pStyle w:val="13"/>
              <w:jc w:val="center"/>
              <w:rPr>
                <w:rFonts w:hint="eastAsia"/>
              </w:rPr>
            </w:pPr>
            <w:r>
              <w:rPr>
                <w:rFonts w:hint="eastAsia"/>
              </w:rPr>
              <w:t>珠玑、湖口</w:t>
            </w:r>
          </w:p>
        </w:tc>
        <w:tc>
          <w:tcPr>
            <w:tcW w:w="627" w:type="pct"/>
            <w:vAlign w:val="center"/>
          </w:tcPr>
          <w:p w14:paraId="4E0EB3E8">
            <w:pPr>
              <w:pStyle w:val="13"/>
              <w:jc w:val="center"/>
              <w:rPr>
                <w:rFonts w:hint="eastAsia"/>
              </w:rPr>
            </w:pPr>
            <w:r>
              <w:rPr>
                <w:rFonts w:hint="eastAsia"/>
              </w:rPr>
              <w:t>11</w:t>
            </w:r>
          </w:p>
        </w:tc>
        <w:tc>
          <w:tcPr>
            <w:tcW w:w="1286" w:type="pct"/>
            <w:vAlign w:val="center"/>
          </w:tcPr>
          <w:p w14:paraId="6BD46BA9">
            <w:pPr>
              <w:pStyle w:val="13"/>
              <w:jc w:val="center"/>
              <w:rPr>
                <w:rFonts w:hint="eastAsia"/>
              </w:rPr>
            </w:pPr>
            <w:r>
              <w:rPr>
                <w:rFonts w:hint="eastAsia"/>
              </w:rPr>
              <w:t>珠玑古巷</w:t>
            </w:r>
          </w:p>
        </w:tc>
        <w:tc>
          <w:tcPr>
            <w:tcW w:w="908" w:type="pct"/>
            <w:vAlign w:val="center"/>
          </w:tcPr>
          <w:p w14:paraId="5C7B1947">
            <w:pPr>
              <w:pStyle w:val="13"/>
              <w:jc w:val="center"/>
              <w:rPr>
                <w:rFonts w:hint="eastAsia"/>
              </w:rPr>
            </w:pPr>
            <w:r>
              <w:rPr>
                <w:rFonts w:hint="eastAsia"/>
              </w:rPr>
              <w:t>每天13班</w:t>
            </w:r>
          </w:p>
        </w:tc>
        <w:tc>
          <w:tcPr>
            <w:tcW w:w="758" w:type="pct"/>
            <w:vAlign w:val="center"/>
          </w:tcPr>
          <w:p w14:paraId="163F6963">
            <w:pPr>
              <w:pStyle w:val="13"/>
              <w:jc w:val="center"/>
            </w:pPr>
            <w:r>
              <w:rPr>
                <w:rFonts w:hint="eastAsia"/>
              </w:rPr>
              <w:t>3</w:t>
            </w:r>
          </w:p>
        </w:tc>
      </w:tr>
    </w:tbl>
    <w:p w14:paraId="18C8D66F">
      <w:pPr>
        <w:ind w:firstLine="422"/>
        <w:rPr>
          <w:rFonts w:ascii="宋体" w:hAnsi="宋体"/>
          <w:b/>
          <w:bCs/>
        </w:rPr>
      </w:pPr>
      <w:r>
        <w:rPr>
          <w:rFonts w:ascii="宋体" w:hAnsi="宋体"/>
          <w:b/>
          <w:bCs/>
        </w:rPr>
        <w:t>附：2010年交通局领导班子成员名单</w:t>
      </w:r>
    </w:p>
    <w:p w14:paraId="4091EF3F">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陈如亮</w:t>
      </w:r>
    </w:p>
    <w:p w14:paraId="47895DEA">
      <w:pPr>
        <w:ind w:firstLine="422"/>
        <w:rPr>
          <w:rFonts w:ascii="宋体" w:hAnsi="宋体"/>
        </w:rPr>
      </w:pPr>
      <w:r>
        <w:rPr>
          <w:rFonts w:ascii="宋体" w:hAnsi="宋体"/>
          <w:b/>
          <w:bCs/>
        </w:rPr>
        <w:t>副局长：</w:t>
      </w:r>
      <w:r>
        <w:rPr>
          <w:rFonts w:ascii="宋体" w:hAnsi="宋体"/>
        </w:rPr>
        <w:t>肖水石</w:t>
      </w:r>
      <w:r>
        <w:rPr>
          <w:rFonts w:hint="eastAsia" w:ascii="宋体" w:hAnsi="宋体"/>
        </w:rPr>
        <w:t xml:space="preserve">  </w:t>
      </w:r>
      <w:r>
        <w:rPr>
          <w:rFonts w:ascii="宋体" w:hAnsi="宋体"/>
        </w:rPr>
        <w:t>邱万雄</w:t>
      </w:r>
      <w:r>
        <w:rPr>
          <w:rFonts w:hint="eastAsia" w:ascii="宋体" w:hAnsi="宋体"/>
        </w:rPr>
        <w:t xml:space="preserve">  </w:t>
      </w:r>
      <w:r>
        <w:rPr>
          <w:rFonts w:ascii="宋体" w:hAnsi="宋体"/>
        </w:rPr>
        <w:t>沈辉</w:t>
      </w:r>
    </w:p>
    <w:p w14:paraId="62E9A3F3">
      <w:pPr>
        <w:ind w:firstLine="422"/>
        <w:rPr>
          <w:rFonts w:ascii="宋体" w:hAnsi="宋体"/>
        </w:rPr>
      </w:pPr>
      <w:r>
        <w:rPr>
          <w:rFonts w:ascii="宋体" w:hAnsi="宋体"/>
          <w:b/>
          <w:bCs/>
        </w:rPr>
        <w:t>纪检组长：</w:t>
      </w:r>
      <w:r>
        <w:rPr>
          <w:rFonts w:ascii="宋体" w:hAnsi="宋体"/>
        </w:rPr>
        <w:t>谢加华</w:t>
      </w:r>
    </w:p>
    <w:p w14:paraId="718FFE3E">
      <w:pPr>
        <w:ind w:firstLine="422"/>
        <w:rPr>
          <w:rFonts w:ascii="宋体" w:hAnsi="宋体"/>
        </w:rPr>
      </w:pPr>
      <w:r>
        <w:rPr>
          <w:rFonts w:ascii="宋体" w:hAnsi="宋体"/>
          <w:b/>
          <w:bCs/>
        </w:rPr>
        <w:t>工会主席：</w:t>
      </w:r>
      <w:r>
        <w:rPr>
          <w:rFonts w:ascii="宋体" w:hAnsi="宋体"/>
        </w:rPr>
        <w:t>刘发军</w:t>
      </w:r>
    </w:p>
    <w:p w14:paraId="19AD87AA">
      <w:pPr>
        <w:ind w:firstLine="422"/>
        <w:rPr>
          <w:rFonts w:ascii="宋体" w:hAnsi="宋体"/>
        </w:rPr>
      </w:pPr>
      <w:r>
        <w:rPr>
          <w:rFonts w:ascii="宋体" w:hAnsi="宋体"/>
          <w:b/>
          <w:bCs/>
        </w:rPr>
        <w:t>执法局局长：</w:t>
      </w:r>
      <w:r>
        <w:rPr>
          <w:rFonts w:ascii="宋体" w:hAnsi="宋体"/>
        </w:rPr>
        <w:t>陈洁</w:t>
      </w:r>
    </w:p>
    <w:p w14:paraId="51C5DC0A">
      <w:pPr>
        <w:pStyle w:val="4"/>
      </w:pPr>
      <w:r>
        <w:t>【概况】</w:t>
      </w:r>
    </w:p>
    <w:p w14:paraId="20ADEC76">
      <w:pPr>
        <w:ind w:firstLine="420"/>
        <w:rPr>
          <w:rFonts w:ascii="宋体" w:hAnsi="宋体"/>
        </w:rPr>
      </w:pPr>
      <w:r>
        <w:rPr>
          <w:rFonts w:ascii="宋体" w:hAnsi="宋体"/>
        </w:rPr>
        <w:t>韶关市南雄公路局原名是南雄市公路局，于2009年3月24日根据韶关市编委精神更名为“韶关市南雄公路局”，根据事业单位分类改革精神，韶关市南雄公路局为韶关市公路局管理的正科级事业单位，内设：办公室、生产技术股、人事监察股、路政管理所、收费管理所、财务股、安全生产股。下辖：珠玑养护中心、湖口养护中心、澜河养护中心。韶关市南雄公路局依据《中华人民共和国公路法》、《广东省公路例》负责南雄市境内G323线、S342线、S244线共173.825公里公路的管理、养护。</w:t>
      </w:r>
    </w:p>
    <w:p w14:paraId="1E3D8A39">
      <w:pPr>
        <w:pStyle w:val="4"/>
      </w:pPr>
      <w:r>
        <w:t>【国道、省道建设】</w:t>
      </w:r>
    </w:p>
    <w:p w14:paraId="22E29B57">
      <w:pPr>
        <w:ind w:firstLine="420"/>
        <w:rPr>
          <w:rFonts w:ascii="宋体" w:hAnsi="宋体"/>
        </w:rPr>
      </w:pPr>
      <w:r>
        <w:rPr>
          <w:rFonts w:ascii="宋体" w:hAnsi="宋体"/>
        </w:rPr>
        <w:t>韶关市南雄公路局紧紧抓住国家扩大内需、加快交通基础设施建设的大好机遇，坚持统筹兼顾、科学管理，公路建设取得快速发展，促进南雄市经济的跨越式发展。</w:t>
      </w:r>
    </w:p>
    <w:p w14:paraId="284115BE">
      <w:pPr>
        <w:numPr>
          <w:ilvl w:val="0"/>
          <w:numId w:val="1"/>
        </w:numPr>
        <w:ind w:firstLine="420"/>
        <w:rPr>
          <w:rFonts w:ascii="宋体" w:hAnsi="宋体"/>
        </w:rPr>
      </w:pPr>
      <w:r>
        <w:rPr>
          <w:rFonts w:ascii="宋体" w:hAnsi="宋体"/>
        </w:rPr>
        <w:t>国、省道建设：2004年，投资1200万元改善S342线乌迳至黄坑段水泥砼路面；2003年至2006年投资12658万元完成G323线头塘铺至古市段一级公路改建工程；2006年投入1560万元完成原1950线（现S342线）乌迳墟镇段大修工程；2009年投资3280万元对原国道323线南雄新城段路面大修工程；2007年至2010年参与韶赣高速公路南雄段的征地拆迁及建设工作，韶赣高速于2011年元旦通车。</w:t>
      </w:r>
    </w:p>
    <w:p w14:paraId="3C289DF7">
      <w:pPr>
        <w:ind w:firstLine="420"/>
        <w:rPr>
          <w:rFonts w:ascii="宋体" w:hAnsi="宋体"/>
        </w:rPr>
      </w:pPr>
      <w:r>
        <w:rPr>
          <w:rFonts w:ascii="宋体" w:hAnsi="宋体"/>
        </w:rPr>
        <w:t>2、桥梁加固建设：2003年投资939.7万元完成G323线水南大桥改建工程；2007年投资115.8万元完成S342线教场桥加固工程；2008年投资40万元完成S342线百顺桥加固工程；2009年投资32万元建成S342线新乌迳墟镇段路段香甫桥；2010年投资27.2万元完成S342线田头桥加固工程。</w:t>
      </w:r>
    </w:p>
    <w:p w14:paraId="09AF0E03">
      <w:pPr>
        <w:pStyle w:val="4"/>
      </w:pPr>
      <w:r>
        <w:t>【公路养护】</w:t>
      </w:r>
    </w:p>
    <w:p w14:paraId="40882688">
      <w:pPr>
        <w:ind w:firstLine="420"/>
        <w:rPr>
          <w:rFonts w:ascii="宋体" w:hAnsi="宋体"/>
        </w:rPr>
      </w:pPr>
      <w:r>
        <w:rPr>
          <w:rFonts w:ascii="宋体" w:hAnsi="宋体"/>
        </w:rPr>
        <w:t>牢固树立“以路为本、以路为业”的思想，坚持以提高路面质量为中心，以危桥改造为重点，提高精细化管理为目标，推进养护理念和机制创新，积极转变养护管理方式、养护作业形式，提高养护质量和服务水平。2003年至2010年，每年都超额完成韶关市公路局下达的路况指标任务，管养路段年平均好路率、年末好路率、优等路里程都超额完成。</w:t>
      </w:r>
    </w:p>
    <w:p w14:paraId="677BA025">
      <w:pPr>
        <w:numPr>
          <w:ilvl w:val="0"/>
          <w:numId w:val="2"/>
        </w:numPr>
        <w:ind w:firstLine="420"/>
        <w:rPr>
          <w:rFonts w:ascii="宋体" w:hAnsi="宋体"/>
        </w:rPr>
      </w:pPr>
      <w:r>
        <w:rPr>
          <w:rFonts w:ascii="宋体" w:hAnsi="宋体"/>
        </w:rPr>
        <w:t>加强日常养护管理，按照韶关市公路局小修保养考核实施细则，全面落实经常性、及时性和周期性养护措施，全面提升管养路段路容、路貌、排水设施、沿线设施等整治工作。实行养护中心主任竞争上岗，完善大道班建设，进一步整合机械及人力资源，发挥集团养护作用，改进月度检查模式，提高干部职工工作积极性，从而达到“路面平整、构造物完好、设施齐全、边沟畅通”的目标。2009年举全局之力创建GBM工程建设，在原有老路上S342线K0+000~K45+200段新创建45.2公里的GBM工程45.2KM，填补目前无GBM工程的空白。</w:t>
      </w:r>
    </w:p>
    <w:p w14:paraId="2204F6D5">
      <w:pPr>
        <w:numPr>
          <w:ilvl w:val="0"/>
          <w:numId w:val="2"/>
        </w:numPr>
        <w:ind w:firstLine="420"/>
        <w:rPr>
          <w:rFonts w:ascii="宋体" w:hAnsi="宋体"/>
        </w:rPr>
      </w:pPr>
      <w:r>
        <w:rPr>
          <w:rFonts w:ascii="宋体" w:hAnsi="宋体"/>
        </w:rPr>
        <w:t>高度重视水毁预防和抢修复工作，坚持以“预防为主，防治结合”的方针，成立专门领导机构，制定水毁预防应急预案和抢修复措施。“十一五”期间，建立和完善快速反应机制和各项应急措施，提高处置自然灾害和突发事件应急能力。</w:t>
      </w:r>
    </w:p>
    <w:p w14:paraId="241FC355">
      <w:pPr>
        <w:ind w:firstLine="420"/>
        <w:rPr>
          <w:rFonts w:ascii="宋体" w:hAnsi="宋体"/>
        </w:rPr>
      </w:pPr>
      <w:r>
        <w:rPr>
          <w:rFonts w:ascii="宋体" w:hAnsi="宋体"/>
        </w:rPr>
        <w:t>2008年，党政领导班子带领广大干部群众及时启动应急预案，发扬不畏艰险、连续作战、百折不挠、奋勇向前的精神，夺取抗冰救灾的胜利，被韶关市委、市政府评为“抗寒救灾先进集体”，被广东省公路管理局评为“广东省公路系统抗灾保通工作先进集体</w:t>
      </w:r>
      <w:r>
        <w:rPr>
          <w:rFonts w:hint="eastAsia" w:ascii="宋体" w:hAnsi="宋体"/>
        </w:rPr>
        <w:t>。</w:t>
      </w:r>
    </w:p>
    <w:p w14:paraId="0E07FE5F">
      <w:pPr>
        <w:ind w:firstLine="420"/>
        <w:rPr>
          <w:rFonts w:ascii="宋体" w:hAnsi="宋体"/>
        </w:rPr>
      </w:pPr>
      <w:r>
        <w:rPr>
          <w:rFonts w:ascii="宋体" w:hAnsi="宋体"/>
        </w:rPr>
        <w:t>2009年7月3日，管养的S342线穿乌迳墟镇路段K15+100米处长20余米的全幅路堤被洪水冲毁，致使交通中断。公路局迅速启动应急预案，局领导第一时间带领相关部门人员赶赴现场，第一时间向上级汇报，及时组织人员进行现场灾情处置，拉设示警线、设置障碍物、制定分流路线、制作分流及疏导交通标志等。由于反应迅速，措施得力，受到上级领导和部门的高度赞扬。</w:t>
      </w:r>
    </w:p>
    <w:p w14:paraId="22E735D3">
      <w:pPr>
        <w:ind w:firstLine="420"/>
        <w:rPr>
          <w:rFonts w:ascii="宋体" w:hAnsi="宋体"/>
        </w:rPr>
      </w:pPr>
      <w:r>
        <w:rPr>
          <w:rFonts w:ascii="宋体" w:hAnsi="宋体"/>
        </w:rPr>
        <w:t>2010年5月7日下午13时50分左右，在S342线K89+100处发生塌方险情，致使交通中断。公路局迅速启动应急预案，局领导第一时间带领相关部门人员赶赴现场，第一时间向上级汇报，第一时间组织人员进行现场灾情处置，拉设示警线、设置路障、制定分流路线、制作分流及疏导交通标志等，同时快速组织30多名工程抢险人员，2台铲车、3台运输车、1台照明机车等机械到场抢通，清理塌方约3500立方米，于当晚21时抢通半幅路面通车，受到当地政府领导、司机和群众的好评。</w:t>
      </w:r>
    </w:p>
    <w:p w14:paraId="0055F6E4">
      <w:pPr>
        <w:numPr>
          <w:ilvl w:val="0"/>
          <w:numId w:val="2"/>
        </w:numPr>
        <w:ind w:firstLine="420"/>
        <w:rPr>
          <w:rFonts w:ascii="宋体" w:hAnsi="宋体"/>
        </w:rPr>
      </w:pPr>
      <w:r>
        <w:rPr>
          <w:rFonts w:ascii="宋体" w:hAnsi="宋体"/>
        </w:rPr>
        <w:t>切实加强桥梁养护管理，每年领导都会亲自带队对管养范围内的所有桥涵进行全面检查，特别是对桥涵基础进行彻底的检查，对发现存在安全隐患的桥涵及时采取有效措施进行处理。</w:t>
      </w:r>
    </w:p>
    <w:p w14:paraId="2528496B">
      <w:pPr>
        <w:ind w:firstLine="420"/>
        <w:rPr>
          <w:rFonts w:ascii="宋体" w:hAnsi="宋体"/>
        </w:rPr>
      </w:pPr>
      <w:r>
        <w:rPr>
          <w:rFonts w:ascii="宋体" w:hAnsi="宋体"/>
        </w:rPr>
        <w:t>4、重大活动彰显养路工本色，在多次迎接中央、省市领导到南雄视察及南雄市各项重大活动中，养护作业人员为公路保通保洁、优化道路交通环境贡献自己的力量，展示公路人的精神风貌，树立公路人的良好形象。2009年1月，将原负责管养的县、乡道公路（Y027、Y028、Y029）共23.144公里及5座桥梁，正式移交给南雄市交通局接养。</w:t>
      </w:r>
    </w:p>
    <w:p w14:paraId="6CD6F55D">
      <w:pPr>
        <w:pStyle w:val="4"/>
      </w:pPr>
      <w:r>
        <w:t>【路政管理】</w:t>
      </w:r>
    </w:p>
    <w:p w14:paraId="7C069044">
      <w:pPr>
        <w:ind w:firstLine="420"/>
        <w:rPr>
          <w:rFonts w:ascii="宋体" w:hAnsi="宋体"/>
        </w:rPr>
      </w:pPr>
      <w:r>
        <w:rPr>
          <w:rFonts w:ascii="宋体" w:hAnsi="宋体"/>
        </w:rPr>
        <w:t>坚持以“保护路产、维护路权、保障畅通”为宗旨，牢固树立路政执法为社会公众服务的理念，落实“以人为本、以车为本、以路为本”的要求，加强路政队伍建设，变管理型执法为服务型执法，保证公路的安全畅通，逐步建立起“有路必管、管必有效”的大路政格局。围绕创建GBM程及人大政协议案，建立公路、公安、地方政府一体化联动共管的管理机制模式。多次与国省道沿线的珠玑镇、湖口镇、古市镇、黄坑镇、乌迳镇等单位联手，开展整治城镇过境路段脏、乱、差问题及占道经营、以路为市的专项活动，开展整治道路交通安全行动专项活动，加大损坏（占用）公路赔（补）偿费收取的力度，加强非公路标牌专项整治工作力度，加强管线协调工作。继续推进路政规范化建设进程，完善规范化建设的内容，细化目标责任和考核办法，着力规范行政许可审批、路产档案管理等基础性工作。2003年至2010年处理查处各类侵害路产路权违法案件200多宗，路政人员上路巡查次数超过1500人次/年、巡查里程达13200公里/年。</w:t>
      </w:r>
    </w:p>
    <w:p w14:paraId="138BEAC9">
      <w:pPr>
        <w:pStyle w:val="4"/>
      </w:pPr>
      <w:r>
        <w:t>【公路规费与车辆通行费征收】</w:t>
      </w:r>
    </w:p>
    <w:p w14:paraId="494F1278">
      <w:pPr>
        <w:ind w:firstLine="420"/>
        <w:rPr>
          <w:rFonts w:ascii="宋体" w:hAnsi="宋体"/>
        </w:rPr>
      </w:pPr>
      <w:r>
        <w:rPr>
          <w:rFonts w:ascii="宋体" w:hAnsi="宋体"/>
        </w:rPr>
        <w:t>在公路养路费征收中坚持“应征不漏、应免不征”的原则，依法征费，在2003年至2008年中皆超额完成韶关市公路局下达的征收任务。2009年1月1日，费税改革正式实施，取消公路养路费。</w:t>
      </w:r>
    </w:p>
    <w:p w14:paraId="347A674A">
      <w:pPr>
        <w:ind w:firstLine="420"/>
        <w:rPr>
          <w:rFonts w:ascii="宋体" w:hAnsi="宋体"/>
        </w:rPr>
      </w:pPr>
      <w:r>
        <w:rPr>
          <w:rFonts w:ascii="宋体" w:hAnsi="宋体"/>
        </w:rPr>
        <w:t>2009年开始，征费部门加大韶关市机动车辆路桥通行费年票征收的宣传力度，通过电话、发短信、发宣传单、发通知等方法，让车主提高自觉缴费意识，每年都超额完成任务。</w:t>
      </w:r>
    </w:p>
    <w:p w14:paraId="2148D4F9">
      <w:pPr>
        <w:ind w:firstLine="420"/>
        <w:jc w:val="right"/>
        <w:rPr>
          <w:rFonts w:ascii="宋体" w:hAnsi="宋体"/>
        </w:rPr>
      </w:pPr>
      <w:r>
        <w:rPr>
          <w:rFonts w:ascii="宋体" w:hAnsi="宋体"/>
        </w:rPr>
        <w:t>（马祖芳）</w:t>
      </w:r>
    </w:p>
    <w:p w14:paraId="51B7AF41">
      <w:pPr>
        <w:ind w:firstLine="422"/>
        <w:rPr>
          <w:rFonts w:ascii="宋体" w:hAnsi="宋体"/>
          <w:b/>
          <w:bCs/>
        </w:rPr>
      </w:pPr>
      <w:r>
        <w:rPr>
          <w:rFonts w:ascii="宋体" w:hAnsi="宋体"/>
          <w:b/>
          <w:bCs/>
        </w:rPr>
        <w:t>附：2010年公路局领导班子成员名单</w:t>
      </w:r>
    </w:p>
    <w:p w14:paraId="52671B2B">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黄天佑</w:t>
      </w:r>
    </w:p>
    <w:p w14:paraId="501ED13F">
      <w:pPr>
        <w:ind w:firstLine="422"/>
        <w:rPr>
          <w:rFonts w:ascii="宋体" w:hAnsi="宋体"/>
        </w:rPr>
      </w:pPr>
      <w:r>
        <w:rPr>
          <w:rFonts w:ascii="宋体" w:hAnsi="宋体"/>
          <w:b/>
          <w:bCs/>
        </w:rPr>
        <w:t>副局长：</w:t>
      </w:r>
      <w:r>
        <w:rPr>
          <w:rFonts w:ascii="宋体" w:hAnsi="宋体"/>
        </w:rPr>
        <w:t>邹国山徐先昌陈宇君</w:t>
      </w:r>
    </w:p>
    <w:p w14:paraId="22A21AB9">
      <w:pPr>
        <w:pStyle w:val="2"/>
      </w:pPr>
      <w:r>
        <w:t>通信</w:t>
      </w:r>
    </w:p>
    <w:p w14:paraId="286892A7">
      <w:pPr>
        <w:pStyle w:val="3"/>
      </w:pPr>
      <w:r>
        <w:rPr>
          <w:rFonts w:hint="eastAsia"/>
        </w:rPr>
        <w:t>邮政</w:t>
      </w:r>
    </w:p>
    <w:p w14:paraId="608F752C">
      <w:pPr>
        <w:pStyle w:val="4"/>
      </w:pPr>
      <w:r>
        <w:t>【概况】</w:t>
      </w:r>
    </w:p>
    <w:p w14:paraId="7286CDF1">
      <w:pPr>
        <w:ind w:firstLine="420"/>
        <w:rPr>
          <w:rFonts w:ascii="宋体" w:hAnsi="宋体"/>
        </w:rPr>
      </w:pPr>
      <w:r>
        <w:rPr>
          <w:rFonts w:ascii="宋体" w:hAnsi="宋体"/>
        </w:rPr>
        <w:t>南雄市邮政局位于南雄市雄州大道中460号，是一家肩负着全市18个乡镇邮政通信、报刊征订、邮政储蓄、速递物流、机要通信等重要服务职能的国有公用型企业，下辖邮政储蓄支行、速递物流分公司，新城、湖口、珠玑、梅岭、黄坑、乌迳、江头、水口、澜河、百顺10个邮政支局及古市、大塘、邓坊、坪田、新龙、富竹、南亩、界址8个邮政所，综合办公室、金融业务部、市场部、投递分局、商函广告公司、雄州电子商务中心等6个直属部门。2010年末，全局邮政员工211人。</w:t>
      </w:r>
    </w:p>
    <w:p w14:paraId="5028A0F6">
      <w:pPr>
        <w:pStyle w:val="4"/>
      </w:pPr>
      <w:r>
        <w:t>【邮政设施】</w:t>
      </w:r>
    </w:p>
    <w:p w14:paraId="72CE6CA9">
      <w:pPr>
        <w:ind w:firstLine="420"/>
        <w:rPr>
          <w:rFonts w:ascii="宋体" w:hAnsi="宋体"/>
        </w:rPr>
      </w:pPr>
      <w:r>
        <w:rPr>
          <w:rFonts w:ascii="宋体" w:hAnsi="宋体"/>
        </w:rPr>
        <w:t>南雄市邮政局在全市设有支局（所）网点19个，其中农村网点17个，占网点总数的89.5%。有全国联网的电子化支局11个，ATM机8台；建有投递站点31个，投递段道39条，投递员39名；邮运汽车9辆，摩托车25辆，全市汽车邮路（单程）255公里，投递邮路（单程）2240公里。邮政服务网络覆盖全市，邮路通达全市各个行政村。</w:t>
      </w:r>
    </w:p>
    <w:p w14:paraId="21FC6FA8">
      <w:pPr>
        <w:pStyle w:val="4"/>
      </w:pPr>
      <w:r>
        <w:t>【邮政储蓄】</w:t>
      </w:r>
    </w:p>
    <w:p w14:paraId="63EBD2C7">
      <w:pPr>
        <w:ind w:firstLine="420"/>
        <w:rPr>
          <w:rFonts w:ascii="宋体" w:hAnsi="宋体"/>
        </w:rPr>
      </w:pPr>
      <w:r>
        <w:rPr>
          <w:rFonts w:ascii="宋体" w:hAnsi="宋体"/>
        </w:rPr>
        <w:t>2010年末余额达12.03亿元；代理保险1642.6万元；放款额7667.2万元。</w:t>
      </w:r>
    </w:p>
    <w:p w14:paraId="7EDF719A">
      <w:pPr>
        <w:pStyle w:val="4"/>
      </w:pPr>
      <w:r>
        <w:t>【邮政业务】</w:t>
      </w:r>
    </w:p>
    <w:p w14:paraId="0C76DF1A">
      <w:pPr>
        <w:ind w:firstLine="420"/>
        <w:rPr>
          <w:rFonts w:ascii="宋体" w:hAnsi="宋体"/>
        </w:rPr>
      </w:pPr>
      <w:r>
        <w:rPr>
          <w:rFonts w:ascii="宋体" w:hAnsi="宋体"/>
        </w:rPr>
        <w:t>近年来，根据国家有关邮政服务三农、服务中小企业等政策、文件的要求，南雄邮政立足南雄经济建设，围绕邮务、金融和速递物流三大板块，开办国内、国际函件、包裹寄递，储蓄，代发工资（退休金），小额贷款，商易通，EMS“次晨达”，农资配送，代缴交通违法罚款，代办车证，邮政礼仪，企业贺卡，账单，集邮和11185电子票务等业务。2010年，合计完成收入2955.11万元，企业实现业务收入1983.73万元，同比增长11.48%，完成收支差630.47万元，连续11年完成韶关市邮政局下达的年度发展计划。邮务类业务整体超额完成韶关市邮政局下达的收入计划，同比增长18.39%。其中，函件业务收入同比增长25.01%，集邮专业收入同比增长13.51%，速递物流业务收入同比增长15.89%，以互联网为媒介的电子商务发展迅猛。围绕南雄社会经济文化建设热点，开办项目营销，旅游门票、安全明信片征订、小学生书信节等服务、业务项目。为落实邮政服务三农工作，南雄市邮政局在全市建设3家邮政农资连锁配送店，2010年，累计分销配送农药19万元，化肥10.4万元。行业管理</w:t>
      </w:r>
    </w:p>
    <w:p w14:paraId="73F9FE0F">
      <w:pPr>
        <w:ind w:firstLine="420"/>
        <w:rPr>
          <w:rFonts w:ascii="宋体" w:hAnsi="宋体"/>
        </w:rPr>
      </w:pPr>
      <w:r>
        <w:rPr>
          <w:rFonts w:ascii="宋体" w:hAnsi="宋体"/>
        </w:rPr>
        <w:t>2010年6月29日，广东省速递物流公司南雄分公司挂牌成立。南雄市邮政局被继续认定为“广东省邮政系统2010年度文明单位”，南雄市商函广告公司被评为“韶关市邮政系统先进集体”。局党组书记、局长罗顺林获得“2010年度南雄市安全生产工作先进个人”称号，副局长、工会主席张朝阳获得“2010年度南雄市工会工作先进个人”称号。南雄市邮政局抓三大板块（邮务、金融、速递物流）业务发展，加快推进四个服务渠道（营销体系、营业网点、投递服务、电子商务）建设，精细管理，重视安全，企业发展持续、稳健、和谐。</w:t>
      </w:r>
    </w:p>
    <w:p w14:paraId="3E676EE3">
      <w:pPr>
        <w:ind w:firstLine="420"/>
        <w:jc w:val="right"/>
        <w:rPr>
          <w:rFonts w:ascii="宋体" w:hAnsi="宋体"/>
        </w:rPr>
      </w:pPr>
      <w:r>
        <w:rPr>
          <w:rFonts w:ascii="宋体" w:hAnsi="宋体"/>
        </w:rPr>
        <w:t>（蒋春艳）</w:t>
      </w:r>
    </w:p>
    <w:p w14:paraId="07B70087">
      <w:pPr>
        <w:ind w:firstLine="422"/>
        <w:rPr>
          <w:rFonts w:ascii="宋体" w:hAnsi="宋体"/>
          <w:b/>
          <w:bCs/>
        </w:rPr>
      </w:pPr>
      <w:r>
        <w:rPr>
          <w:rFonts w:ascii="宋体" w:hAnsi="宋体"/>
          <w:b/>
          <w:bCs/>
        </w:rPr>
        <w:t>附：2010年邮政局领导班子成员名单</w:t>
      </w:r>
    </w:p>
    <w:p w14:paraId="3C0ABB91">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陈庭忠（任至2010.2）</w:t>
      </w:r>
    </w:p>
    <w:p w14:paraId="6518AC06">
      <w:pPr>
        <w:ind w:firstLine="1260" w:firstLineChars="600"/>
        <w:rPr>
          <w:rFonts w:ascii="宋体" w:hAnsi="宋体"/>
        </w:rPr>
      </w:pPr>
      <w:r>
        <w:rPr>
          <w:rFonts w:ascii="宋体" w:hAnsi="宋体"/>
        </w:rPr>
        <w:t>罗顺林（2010.2任）</w:t>
      </w:r>
    </w:p>
    <w:p w14:paraId="3E769E0A">
      <w:pPr>
        <w:ind w:firstLine="422"/>
        <w:rPr>
          <w:rFonts w:ascii="宋体" w:hAnsi="宋体"/>
        </w:rPr>
      </w:pPr>
      <w:r>
        <w:rPr>
          <w:rFonts w:ascii="宋体" w:hAnsi="宋体"/>
          <w:b/>
          <w:bCs/>
        </w:rPr>
        <w:t>副局长、工会主席：</w:t>
      </w:r>
      <w:r>
        <w:rPr>
          <w:rFonts w:ascii="宋体" w:hAnsi="宋体"/>
        </w:rPr>
        <w:t>张朝阳</w:t>
      </w:r>
    </w:p>
    <w:p w14:paraId="6FB4A5E9">
      <w:pPr>
        <w:ind w:firstLine="422"/>
        <w:rPr>
          <w:rFonts w:ascii="宋体" w:hAnsi="宋体"/>
        </w:rPr>
      </w:pPr>
      <w:r>
        <w:rPr>
          <w:rFonts w:ascii="宋体" w:hAnsi="宋体"/>
          <w:b/>
          <w:bCs/>
        </w:rPr>
        <w:t>邮储银行南雄市支行行长：</w:t>
      </w:r>
      <w:r>
        <w:rPr>
          <w:rFonts w:ascii="宋体" w:hAnsi="宋体"/>
        </w:rPr>
        <w:t>刘开春</w:t>
      </w:r>
    </w:p>
    <w:p w14:paraId="03BBEA2C">
      <w:pPr>
        <w:ind w:firstLine="422"/>
        <w:rPr>
          <w:rFonts w:ascii="宋体" w:hAnsi="宋体"/>
        </w:rPr>
      </w:pPr>
      <w:r>
        <w:rPr>
          <w:rFonts w:ascii="宋体" w:hAnsi="宋体"/>
          <w:b/>
          <w:bCs/>
        </w:rPr>
        <w:t>速递物流公司南雄分公司总经理：</w:t>
      </w:r>
      <w:r>
        <w:rPr>
          <w:rFonts w:ascii="宋体" w:hAnsi="宋体"/>
        </w:rPr>
        <w:t>罗裕明（2010.6任）</w:t>
      </w:r>
    </w:p>
    <w:p w14:paraId="73D562F5">
      <w:pPr>
        <w:pStyle w:val="3"/>
      </w:pPr>
      <w:r>
        <w:rPr>
          <w:rFonts w:hint="eastAsia"/>
        </w:rPr>
        <w:t>电信</w:t>
      </w:r>
    </w:p>
    <w:p w14:paraId="49101A5D">
      <w:pPr>
        <w:pStyle w:val="4"/>
      </w:pPr>
      <w:r>
        <w:t>【概况】</w:t>
      </w:r>
    </w:p>
    <w:p w14:paraId="61439CA8">
      <w:pPr>
        <w:ind w:firstLine="420"/>
        <w:rPr>
          <w:rFonts w:ascii="宋体" w:hAnsi="宋体"/>
        </w:rPr>
      </w:pPr>
      <w:r>
        <w:rPr>
          <w:rFonts w:ascii="宋体" w:hAnsi="宋体"/>
        </w:rPr>
        <w:t>2003年至2010年，在客户被异质替代，装机市场趋于饱和；农村线路投资大装机少，经营环境艰难的情况下，为实现保存量激增量的目的，中国电信南雄分公司坚持“用户至上、用心服务”经营理念，贯彻执行省、市公司的工作部署，开拓市场，优化资源配置，实施精确管理，推进企业转型，提升电信服务水平。2010年落实“一条主线，三大抓手，协调统一两大量，统筹兼顾两个网”指导思路，业务总收入完成4474多万元，同比增长5.1%；移动入网用户14800户，宽带入网用户4046户，宽带互联视听入网1534户固话入网用户2553户。同时抓好综合管理，促进企业和谐。开展“小金库”专项治理，加强风险防范，规范使用合同范本。建立安全生产应急预案，组织宣贯和细化，完成省级管理达标评级。打击盗窃、破坏通信设施的违法犯罪行为，抓获盗窃嫌疑犯8人，实现通信案件“两控一升”目标。完成基层“家园式中心”建设13个，营造和谐氛围。</w:t>
      </w:r>
    </w:p>
    <w:p w14:paraId="65F8A4E7">
      <w:pPr>
        <w:ind w:firstLine="420"/>
        <w:rPr>
          <w:rFonts w:ascii="宋体" w:hAnsi="宋体"/>
        </w:rPr>
      </w:pPr>
      <w:r>
        <w:rPr>
          <w:rFonts w:ascii="宋体" w:hAnsi="宋体"/>
        </w:rPr>
        <w:t>分公司被评为2003年至2004和2005年至2006年度南雄市文明单位、广东电信2010年度县级先进绩效单位三等奖、韶关电信2010年度县级先进单位一等奖和移动放号总冠军，有8位员工被评为广东电信服务明星、各有1位员工分获广东省精神文明创建活动积极分子、全国信息产业劳动模范、广东电信优秀管理者称号。</w:t>
      </w:r>
    </w:p>
    <w:p w14:paraId="084F4193">
      <w:pPr>
        <w:pStyle w:val="4"/>
      </w:pPr>
      <w:r>
        <w:t>【经营效益】</w:t>
      </w:r>
    </w:p>
    <w:p w14:paraId="282B9FA3">
      <w:pPr>
        <w:ind w:firstLine="420"/>
        <w:rPr>
          <w:rFonts w:ascii="宋体" w:hAnsi="宋体"/>
        </w:rPr>
      </w:pPr>
      <w:r>
        <w:rPr>
          <w:rFonts w:ascii="宋体" w:hAnsi="宋体"/>
        </w:rPr>
        <w:t>2010年业务收入完实现4474万元，完成指标的103.11%，同比增长5.1%。其中，移动业务拉动收入增长18.28%；宽带业务拉动收入增长2.42%；增值及综合信息服务拉动收入增长3.9%；固话语音收入下降11.53%。</w:t>
      </w:r>
    </w:p>
    <w:p w14:paraId="088D078B">
      <w:pPr>
        <w:pStyle w:val="4"/>
      </w:pPr>
      <w:r>
        <w:t>【业务转型】</w:t>
      </w:r>
    </w:p>
    <w:p w14:paraId="7CB0A40B">
      <w:pPr>
        <w:ind w:firstLine="420"/>
        <w:rPr>
          <w:rFonts w:ascii="宋体" w:hAnsi="宋体"/>
        </w:rPr>
      </w:pPr>
      <w:r>
        <w:rPr>
          <w:rFonts w:ascii="宋体" w:hAnsi="宋体"/>
        </w:rPr>
        <w:t>2003年至2010年，南雄电信实施精确管理，细分市场和梳理营销套餐，做大、做丰富“主打”品牌。与各大客户建立合作伙伴关系，成片开发取得规模效应，实现企业与客户的双赢。结合建设社会主义新农村政策，通过“信息田园”发展乡亲网；通过无线固话实现自然村村通，利用党员远程教育系统，拉动农村宽带的增长，开展来显、彩铃大会战，加强对17909亲情号码与包月套餐的推广，抓好转型业务的发展。积极寻找为客户提供“一揽子”解决方案的商机，推广“商务领航”等产品和号码百事通、ITV等转型业务的发展，促成电子监察等视频监控项目的应用。</w:t>
      </w:r>
    </w:p>
    <w:p w14:paraId="4A62DCD2">
      <w:pPr>
        <w:ind w:firstLine="420"/>
        <w:rPr>
          <w:rFonts w:ascii="宋体" w:hAnsi="宋体"/>
        </w:rPr>
      </w:pPr>
      <w:r>
        <w:rPr>
          <w:rFonts w:ascii="宋体" w:hAnsi="宋体"/>
        </w:rPr>
        <w:t>2010年，坚持固移融合，推进3G发展。转变销售模式，组建专业化销售团队，开展E家固话包月捆绑手机业务营销活动。坚持融合发展，差异化发展，以“全业务常青树”拓展总机服务，拉动移动放号，以“我的e家”融合产品加大对家庭客户的渗透，在城镇主抓e9、e6，在农村区域大力推进e6-11开展3G销售风暴行动，开展E家商户上门3G营销活动，组织政企中心通过联合渠道商开展3G终端展示，对移动中高端目标客户进行换3G手机或预存话费送手机活动。提质提速推进宽带业务规模发展，以“信息技术使城市生活更美好”为主题，借助文艺活动对宽带集约化“大提速、大融合、大发展”业务进行宣传，树立电信宽带高速稳定的品牌。初步搭建分公司维系客户经理队伍及操作平台，以提高老客户维系服务质量，减少客户流失。设置专业渠道管理人员，加强对代理商的销售和服务支撑，提高渠道的产能。</w:t>
      </w:r>
    </w:p>
    <w:p w14:paraId="4B1AF81E">
      <w:pPr>
        <w:ind w:firstLine="420"/>
        <w:rPr>
          <w:rFonts w:ascii="宋体" w:hAnsi="宋体"/>
        </w:rPr>
      </w:pPr>
      <w:r>
        <w:rPr>
          <w:rFonts w:ascii="宋体" w:hAnsi="宋体"/>
        </w:rPr>
        <w:t>2010年移动入网用户14800户，宽带入网用户4046户，宽带互联视听入网1534户，固话入网用户2553户。移动后付费渗透率22.01%，F6渗透率28.98%，E8渗透率12.33%，E9渗透率23.79%。手机上网户均流量73.95M，点对点短信户均10.3条，移动彩铃渗透率68.66%。</w:t>
      </w:r>
    </w:p>
    <w:p w14:paraId="491EB53A">
      <w:pPr>
        <w:pStyle w:val="4"/>
      </w:pPr>
      <w:r>
        <w:t>【网络与服务】</w:t>
      </w:r>
    </w:p>
    <w:p w14:paraId="2EB77E35">
      <w:pPr>
        <w:ind w:firstLine="420"/>
        <w:rPr>
          <w:rFonts w:ascii="宋体" w:hAnsi="宋体"/>
        </w:rPr>
      </w:pPr>
      <w:r>
        <w:rPr>
          <w:rFonts w:ascii="宋体" w:hAnsi="宋体"/>
        </w:rPr>
        <w:t>2003年至2010年南雄电信共投资3000多万元用于电缆、光缆扩容和改造，管道、移动设施等通信建设，增强和完善通信服务能力。新开通5个小灵通基站，实现南雄市区网吧光纤专线上网；完成IBSS上线、无线固话村通工程。2008年初的冰雪灾害对南雄通信造成67万元损失，3月15日完成恢复重建工作。2010年立项建设移动基站23个，目前有基站80个，电信移动覆盖率为64.97%，其中城区覆盖率99.21%，农村覆盖率63.59%。完成乡镇中心的OA网延伸开通。开通财政局6个点的VPN，界址镇政府等商务领航光纤拨号专线业务；荆岗HW5600宽带设备升级割接；勋口村等宽带村通设备扩容、全安中学全球眼开通。完成2009年第4期驻地网（62个ONU点）及2010年EPON二期工程华都广场住宅小区开通使用。完成常规铜退12585线对公里，专项铜退16406线对公里。</w:t>
      </w:r>
    </w:p>
    <w:p w14:paraId="43424A4F">
      <w:pPr>
        <w:ind w:firstLine="420"/>
        <w:rPr>
          <w:rFonts w:ascii="宋体" w:hAnsi="宋体"/>
        </w:rPr>
      </w:pPr>
      <w:r>
        <w:rPr>
          <w:rFonts w:ascii="宋体" w:hAnsi="宋体"/>
        </w:rPr>
        <w:t>落实新的八项服务承诺。推进服务创新，致力服务全面提升，营造电信行业的竞争从“价格比拼”向“服务较量”发展。完善雄州服务网点；建立完整客户资料档案，为商业决策和客户提供全面、个性化服务提供依据。做好客户关怀工作，组织营销能力强的客户经理，对客户进行访问和关怀，主动了解情况，帮助解决问题。建立和保持高层次联系畅通渠道，降低客户的流失风险，搜集竞争信息。在农村组织宣传营销虚拟团队，利用墟日村民集聚的时机，以点带面加快宽带互联网视听业务进入农村，推进农村信息化建设，为农民提供信息服务。保护中国电信宽带高速度和高质量的品牌形象，维护宽带资费的延续性，同时配合公安部门打击“黑宽带”，使宽带业务处于一个良性发展状态。加强维护服务质量管理，以《广东电信服务承诺》为指导，落实《中国电信营业服务规范》的营业现场管理、主动营销能力、服务亲和能力及业务处理能力等四个方面的服务要求，通过IBSS、“工时池”管理等系统进行管理，在基层客户服务中心开通CMMS系统，加强对故障维护质量的考核和自维工单、超时工单、预约管理，缩短故障历时；组织线路整治，降低电话故障的申告率，装、移机及时率达99%。</w:t>
      </w:r>
    </w:p>
    <w:p w14:paraId="0BA92467">
      <w:pPr>
        <w:ind w:firstLine="420"/>
        <w:jc w:val="right"/>
        <w:rPr>
          <w:rFonts w:ascii="宋体" w:hAnsi="宋体"/>
        </w:rPr>
      </w:pPr>
      <w:r>
        <w:rPr>
          <w:rFonts w:ascii="宋体" w:hAnsi="宋体"/>
        </w:rPr>
        <w:t>（曾志春）</w:t>
      </w:r>
    </w:p>
    <w:p w14:paraId="481EA144">
      <w:pPr>
        <w:ind w:firstLine="422"/>
        <w:rPr>
          <w:rFonts w:ascii="宋体" w:hAnsi="宋体"/>
          <w:b/>
          <w:bCs/>
        </w:rPr>
      </w:pPr>
      <w:r>
        <w:rPr>
          <w:rFonts w:ascii="宋体" w:hAnsi="宋体"/>
          <w:b/>
          <w:bCs/>
        </w:rPr>
        <w:t>附：2010年电信南雄分公司领导班子成员名单</w:t>
      </w:r>
    </w:p>
    <w:p w14:paraId="2D98452B">
      <w:pPr>
        <w:ind w:firstLine="422"/>
        <w:rPr>
          <w:rFonts w:ascii="宋体" w:hAnsi="宋体"/>
        </w:rPr>
      </w:pPr>
      <w:r>
        <w:rPr>
          <w:rFonts w:ascii="宋体" w:hAnsi="宋体"/>
          <w:b/>
          <w:bCs/>
        </w:rPr>
        <w:t>总经理：</w:t>
      </w:r>
      <w:r>
        <w:rPr>
          <w:rFonts w:ascii="宋体" w:hAnsi="宋体"/>
        </w:rPr>
        <w:t>丁卫中</w:t>
      </w:r>
    </w:p>
    <w:p w14:paraId="494D5627">
      <w:pPr>
        <w:ind w:firstLine="422"/>
        <w:rPr>
          <w:rFonts w:ascii="宋体" w:hAnsi="宋体"/>
        </w:rPr>
      </w:pPr>
      <w:r>
        <w:rPr>
          <w:rFonts w:ascii="宋体" w:hAnsi="宋体"/>
          <w:b/>
          <w:bCs/>
        </w:rPr>
        <w:t>副总经理：</w:t>
      </w:r>
      <w:r>
        <w:rPr>
          <w:rFonts w:ascii="宋体" w:hAnsi="宋体"/>
        </w:rPr>
        <w:t>刘经宏</w:t>
      </w:r>
      <w:r>
        <w:rPr>
          <w:rFonts w:hint="eastAsia" w:ascii="宋体" w:hAnsi="宋体"/>
        </w:rPr>
        <w:t xml:space="preserve">  </w:t>
      </w:r>
      <w:r>
        <w:rPr>
          <w:rFonts w:ascii="宋体" w:hAnsi="宋体"/>
        </w:rPr>
        <w:t>黄春海</w:t>
      </w:r>
    </w:p>
    <w:p w14:paraId="0841F102">
      <w:pPr>
        <w:pStyle w:val="4"/>
      </w:pPr>
      <w:r>
        <w:t>【概况】</w:t>
      </w:r>
    </w:p>
    <w:p w14:paraId="581C2931">
      <w:pPr>
        <w:ind w:firstLine="420"/>
        <w:rPr>
          <w:rFonts w:ascii="宋体" w:hAnsi="宋体"/>
        </w:rPr>
      </w:pPr>
      <w:r>
        <w:rPr>
          <w:rFonts w:ascii="宋体" w:hAnsi="宋体"/>
        </w:rPr>
        <w:t>中国移动南雄分公司成立于1999年1月，隶属于中国移动通信集团广东有限公司韶关分公司。目前共有员工47人，设有总经理办公室、副总经理办公室、综合部、市场部、网络部，其中市场部下设市区营业厅2个及乡镇办公区域3个。近几年来分公司以正气、积极进取的精神面貌不断拓展南雄通信业务的发展，为南雄经济信息的发展提供服务。</w:t>
      </w:r>
    </w:p>
    <w:p w14:paraId="3C67C901">
      <w:pPr>
        <w:pStyle w:val="4"/>
      </w:pPr>
      <w:r>
        <w:t>【拓展市场】</w:t>
      </w:r>
    </w:p>
    <w:p w14:paraId="1D8F985A">
      <w:pPr>
        <w:ind w:firstLine="420"/>
        <w:rPr>
          <w:rFonts w:ascii="宋体" w:hAnsi="宋体"/>
        </w:rPr>
      </w:pPr>
      <w:r>
        <w:rPr>
          <w:rFonts w:ascii="宋体" w:hAnsi="宋体"/>
        </w:rPr>
        <w:t>2011年，公司通过大力挖掘增量市场、巩固存量市场，全面实现企业的稳健发展，持续保持区域领先地位。移动电话考核数达到14.7万户，上缴税收276多万元，在为地方经济作出积极贡献的同时自身也得到较好的发展。</w:t>
      </w:r>
    </w:p>
    <w:p w14:paraId="18B2FF11">
      <w:pPr>
        <w:pStyle w:val="4"/>
      </w:pPr>
      <w:r>
        <w:t>【完善服务】</w:t>
      </w:r>
    </w:p>
    <w:p w14:paraId="1F4C84C4">
      <w:pPr>
        <w:ind w:firstLine="420"/>
        <w:rPr>
          <w:rFonts w:ascii="宋体" w:hAnsi="宋体"/>
        </w:rPr>
      </w:pPr>
      <w:r>
        <w:rPr>
          <w:rFonts w:ascii="宋体" w:hAnsi="宋体"/>
        </w:rPr>
        <w:t>近年来，南雄移动坚持树立客户服务的品牌，积极创新客户服务举措，业务品种形式多样，通过开展流程体验、用心倾听等活动，多途径征询客户意见及建议，全面实施服务改进，客户服务影响力和感知度明显提升。</w:t>
      </w:r>
    </w:p>
    <w:p w14:paraId="65469FDE">
      <w:pPr>
        <w:ind w:firstLine="420"/>
        <w:rPr>
          <w:rFonts w:ascii="宋体" w:hAnsi="宋体"/>
        </w:rPr>
      </w:pPr>
      <w:r>
        <w:rPr>
          <w:rFonts w:ascii="宋体" w:hAnsi="宋体"/>
        </w:rPr>
        <w:t>公司以市场需求为导向，重点实施网络质量领先活动，全市行政村覆盖率达到100%，有效增强业务覆盖能力。圆满完成抗冰冻等恶劣自然灾害的应急通信保障，接受节假日和突发事件高话务的考验，保持网络领先优势，也为客户提供高质量、放心的通信网络，同时扎实推进TD网络覆盖，已在市区部分重点区域实现TD网络通话。</w:t>
      </w:r>
    </w:p>
    <w:p w14:paraId="15C6DDEE">
      <w:pPr>
        <w:pStyle w:val="4"/>
      </w:pPr>
      <w:r>
        <w:t>【加强管理】</w:t>
      </w:r>
    </w:p>
    <w:p w14:paraId="1C2FB675">
      <w:pPr>
        <w:ind w:firstLine="420"/>
        <w:rPr>
          <w:rFonts w:ascii="宋体" w:hAnsi="宋体"/>
        </w:rPr>
      </w:pPr>
      <w:r>
        <w:rPr>
          <w:rFonts w:ascii="宋体" w:hAnsi="宋体"/>
        </w:rPr>
        <w:t>通过深入实施和谐动力计划、企业建立具有鲜明特色的运行机制，在职位、绩效、薪酬管理体系方面已经有一套较为成熟的做法，积累一定经验。随着这些工作的深入实施，不断提高员工的工作积极性、工作满意度，为公司的持续稳健发展提供保障，注入活力。</w:t>
      </w:r>
    </w:p>
    <w:p w14:paraId="0395B92D">
      <w:pPr>
        <w:ind w:firstLine="420"/>
        <w:jc w:val="right"/>
        <w:rPr>
          <w:rFonts w:ascii="宋体" w:hAnsi="宋体"/>
        </w:rPr>
      </w:pPr>
      <w:r>
        <w:rPr>
          <w:rFonts w:ascii="宋体" w:hAnsi="宋体"/>
        </w:rPr>
        <w:t>（张庆峰）</w:t>
      </w:r>
    </w:p>
    <w:p w14:paraId="7B71D39D">
      <w:pPr>
        <w:ind w:firstLine="422"/>
        <w:rPr>
          <w:rFonts w:ascii="宋体" w:hAnsi="宋体"/>
          <w:b/>
          <w:bCs/>
        </w:rPr>
      </w:pPr>
      <w:r>
        <w:rPr>
          <w:rFonts w:ascii="宋体" w:hAnsi="宋体"/>
          <w:b/>
          <w:bCs/>
        </w:rPr>
        <w:t>附：2010年移动南雄分公司领导班子成员名单</w:t>
      </w:r>
    </w:p>
    <w:p w14:paraId="29F81C6F">
      <w:pPr>
        <w:ind w:firstLine="422"/>
        <w:rPr>
          <w:rFonts w:ascii="宋体" w:hAnsi="宋体"/>
        </w:rPr>
      </w:pPr>
      <w:r>
        <w:rPr>
          <w:rFonts w:ascii="宋体" w:hAnsi="宋体"/>
          <w:b/>
          <w:bCs/>
        </w:rPr>
        <w:t>总经理：</w:t>
      </w:r>
      <w:r>
        <w:rPr>
          <w:rFonts w:ascii="宋体" w:hAnsi="宋体"/>
        </w:rPr>
        <w:t>贺美田</w:t>
      </w:r>
    </w:p>
    <w:p w14:paraId="1D1A9E75">
      <w:pPr>
        <w:ind w:firstLine="422"/>
        <w:rPr>
          <w:rFonts w:ascii="宋体" w:hAnsi="宋体"/>
        </w:rPr>
      </w:pPr>
      <w:r>
        <w:rPr>
          <w:rFonts w:ascii="宋体" w:hAnsi="宋体"/>
          <w:b/>
          <w:bCs/>
        </w:rPr>
        <w:t>副总经理：</w:t>
      </w:r>
      <w:r>
        <w:rPr>
          <w:rFonts w:ascii="宋体" w:hAnsi="宋体"/>
        </w:rPr>
        <w:t>张世峰</w:t>
      </w:r>
    </w:p>
    <w:p w14:paraId="677C0884">
      <w:pPr>
        <w:pStyle w:val="4"/>
      </w:pPr>
      <w:r>
        <w:t>【中国联合网络通信有限公司南雄分公司】</w:t>
      </w:r>
    </w:p>
    <w:p w14:paraId="4FD60AB1">
      <w:pPr>
        <w:ind w:firstLine="420"/>
        <w:rPr>
          <w:rFonts w:ascii="宋体" w:hAnsi="宋体"/>
        </w:rPr>
      </w:pPr>
      <w:r>
        <w:rPr>
          <w:rFonts w:ascii="宋体" w:hAnsi="宋体"/>
        </w:rPr>
        <w:t>于2000年1月19日正式挂牌成立，隶属中国联合网络通信有限公司韶关分公司，下设4个室。</w:t>
      </w:r>
    </w:p>
    <w:p w14:paraId="6B23DA8A">
      <w:pPr>
        <w:ind w:firstLine="420"/>
        <w:rPr>
          <w:rFonts w:ascii="宋体" w:hAnsi="宋体"/>
        </w:rPr>
      </w:pPr>
      <w:r>
        <w:rPr>
          <w:rFonts w:ascii="宋体" w:hAnsi="宋体"/>
        </w:rPr>
        <w:t>2010年，面对全新的竞争格局及经营模式转型的整体推进，南雄联通全体干部员工上下一心、风雨同舟，突破种种困难，在渠道建设，队伍建设、网络建设及文化建设等方面都取得一定的成绩，公司各项业务实现了有效发展。全年通信服务收入同比增长率9.62%。</w:t>
      </w:r>
    </w:p>
    <w:p w14:paraId="06F0AD1E">
      <w:pPr>
        <w:ind w:firstLine="420"/>
        <w:rPr>
          <w:rFonts w:ascii="宋体" w:hAnsi="宋体"/>
        </w:rPr>
      </w:pPr>
      <w:r>
        <w:rPr>
          <w:rFonts w:ascii="宋体" w:hAnsi="宋体"/>
        </w:rPr>
        <w:t>业务实现快速有效发展。2010年，2G业务围绕有效发展，定向突破的思路，强化营销组织和营销模式转型，实现2G业务的稳步增长。同时，通过佣金模式的调整，强化话务量营销与维系体系建设，2G业务发展有效性不断提升，老用户收入保有率全市排名靠前。在3G业务创新发展方面，自10月1日3G正式商用后，在严格执行总部原则及省公司3G业务管理规范的基础上，积极创新体验营销、文化营销、异业合作模式，通过3G渠道建设、价值链合作，极大地促进3G业务的快速发展和3G品牌的传播。</w:t>
      </w:r>
    </w:p>
    <w:p w14:paraId="00EFCEBC">
      <w:pPr>
        <w:pStyle w:val="4"/>
      </w:pPr>
      <w:r>
        <w:t>【技术服务】</w:t>
      </w:r>
    </w:p>
    <w:p w14:paraId="7C68803A">
      <w:pPr>
        <w:ind w:firstLine="420"/>
        <w:rPr>
          <w:rFonts w:ascii="宋体" w:hAnsi="宋体"/>
        </w:rPr>
      </w:pPr>
      <w:r>
        <w:rPr>
          <w:rFonts w:ascii="宋体" w:hAnsi="宋体"/>
        </w:rPr>
        <w:t>联通3G业务采用WCDMA技术标准，是全世界建设最广泛、技术成熟度最高、可漫游国家最多、支持手机款式最丰富的3G标准。据统计，截至目前，在全球208个国家和地区可实现WCDMA网络漫游，全球拥有WCDMA用户3.54亿，市场占有率达89.5%。同时，全球有超过1100款手机终端，包括目前流行的GSM手机都支持WCD-MA业务。联通“沃.3G”能向用户提供无线上网卡、手机音乐、手机电视、手机上网、可视电话等3G优势业务。在服务方面，能够全面贯彻落实省公司“3G保姆式服务”理念与工作要求，根据用户价值和服务需求实行分级服务，打造高素质3G专属服务团队，建立一对一的服务体系，3G品牌得到了客户的认可。</w:t>
      </w:r>
    </w:p>
    <w:p w14:paraId="5B2FF471">
      <w:pPr>
        <w:ind w:firstLine="420"/>
        <w:rPr>
          <w:rFonts w:ascii="宋体" w:hAnsi="宋体"/>
        </w:rPr>
      </w:pPr>
      <w:r>
        <w:rPr>
          <w:rFonts w:ascii="宋体" w:hAnsi="宋体"/>
        </w:rPr>
        <w:t>服务和维系持续提升。2010年，在客户服务方面，重点推进落实了转型、分级服务，通过改进服务短板，降低投诉，基本实现提升客户满意度、降低客户投诉率和高端客户离网率的工作目标。特别是在客户维系方面，重点加强了预付费的二充维系工作，通过制定统一回访口径，完善回访模板，调整考核机制以及本地二充维系系统的上线应用，维系成效明显。在3G用户方面，积极细化落实“保姆式服务”工作要求，针对营业厅发展环节、新入网回访环节、服务经理维系环节设计标准化的流程及脚本，并得到省公司的认可，进行全省推广。</w:t>
      </w:r>
    </w:p>
    <w:p w14:paraId="4B0773B6">
      <w:pPr>
        <w:ind w:firstLine="420"/>
        <w:rPr>
          <w:rFonts w:ascii="宋体" w:hAnsi="宋体"/>
        </w:rPr>
      </w:pPr>
      <w:r>
        <w:rPr>
          <w:rFonts w:ascii="宋体" w:hAnsi="宋体"/>
        </w:rPr>
        <w:t>网络质量更为完善。网络信号是运营商的核心服务，网络质量是优质服务的基础。2010年，韶关联通一直孜孜不倦地致力于网络的建设与优化，让所有客户都能体验到连通四海、沟通在世界的每个角落皆触手可及的便利。自2009年初以来，为进一步提高网络覆盖率和服务能力，提升客户满意度，韶关联通集中开展2G网络优化劳动竞赛、3G网络830专项优化、2G/3G“百日会战”协同优化等一系列专题优化行动，有效改善了网络质量。其中2G网络MR质量优良率从93.85%提升至98.82%，全面实现高接通率、低掉线率、通话清晰的通信服务，网络质量得到了明显改善，3G网络指标全面达到总部商用标准。</w:t>
      </w:r>
    </w:p>
    <w:p w14:paraId="1897384F">
      <w:pPr>
        <w:pStyle w:val="4"/>
      </w:pPr>
      <w:r>
        <w:t>【队伍建设】</w:t>
      </w:r>
    </w:p>
    <w:p w14:paraId="28E3383E">
      <w:pPr>
        <w:ind w:firstLine="420"/>
        <w:rPr>
          <w:rFonts w:ascii="宋体" w:hAnsi="宋体"/>
        </w:rPr>
      </w:pPr>
      <w:r>
        <w:rPr>
          <w:rFonts w:ascii="宋体" w:hAnsi="宋体"/>
        </w:rPr>
        <w:t>坚持以员工成长为魄，重点落实推进员工“职位体系、激励体系、晋升体系、培训体系”四个体系的建设工作，强化各级管理团队和员工队伍建设。具体一是要围绕“员工成长”和“提高人均效能”的核心目标，做好员工职业生涯发展规划和人员结构性优化配置，尽快建设一支适应新形势、新环境的员工队伍，提高工作效能；二是2010年的绩效激励体系要转变为注重突出员工KPI与员工薪酬直接挂钩，让员工关注KPI，充分发挥KPI对员工考核的导向作用，从而调动员工的工作积极性、主动性。三是要打造学习型组织，营造良好的学习氛围，把员工学习制度化、体系化，让员工在学习中成长。同时，在管理干部队伍建设方面，牢固树立起“有为才能有位，有位必须有为”的意识，英雄不问出处，一切靠业绩说话，靠发展赢得尊重和地位。要求干部队伍必须具备追求卓越的精神，敢于自省的勇气，实事求是的态度，和敢作敢为的承担。</w:t>
      </w:r>
    </w:p>
    <w:p w14:paraId="0938A76B">
      <w:pPr>
        <w:pStyle w:val="4"/>
      </w:pPr>
      <w:r>
        <w:t>【信息化建设】</w:t>
      </w:r>
    </w:p>
    <w:p w14:paraId="523F76CE">
      <w:pPr>
        <w:ind w:firstLine="420"/>
        <w:rPr>
          <w:rFonts w:ascii="宋体" w:hAnsi="宋体"/>
        </w:rPr>
      </w:pPr>
      <w:r>
        <w:rPr>
          <w:rFonts w:ascii="宋体" w:hAnsi="宋体"/>
        </w:rPr>
        <w:t>践行社会责任，推进社会信息化。南雄联通自成立之日起，即秉承“做优秀企业公民”的理念，充分发挥通信行业信息优势，致力于消除数字鸿沟，构建公平和谐信息社会，大力参与政府信息化、企业信息化、农村信息化、应急通信建设，积极推进信息化和工业化融合，推进高新技术与传统工业改造结合，通过向信息服务商的转型，有效推动整个社会的信息化进程。</w:t>
      </w:r>
    </w:p>
    <w:p w14:paraId="058EEC0B">
      <w:pPr>
        <w:ind w:firstLine="420"/>
        <w:rPr>
          <w:rFonts w:ascii="宋体" w:hAnsi="宋体"/>
        </w:rPr>
      </w:pPr>
      <w:r>
        <w:rPr>
          <w:rFonts w:ascii="宋体" w:hAnsi="宋体"/>
        </w:rPr>
        <w:t>2010年，南雄联通响应市委市政府建设社会主义新农村号召，推进“村通工程”建设和农村信息化建设，加大了对边远山区的网络投资，努力解决农村信息来源和信息传输的“最后一公里”两大农业信息化难题，启动“村村通”金农项目和“家电下乡”项目，更好地拓宽农民农业信息渠道，推动韶关农村信息化建设，促进农村经济发展。</w:t>
      </w:r>
    </w:p>
    <w:p w14:paraId="1799C536">
      <w:pPr>
        <w:ind w:firstLine="420"/>
        <w:jc w:val="right"/>
        <w:rPr>
          <w:rFonts w:ascii="宋体" w:hAnsi="宋体"/>
        </w:rPr>
      </w:pPr>
      <w:r>
        <w:rPr>
          <w:rFonts w:ascii="宋体" w:hAnsi="宋体"/>
        </w:rPr>
        <w:t>（张虹）</w:t>
      </w:r>
    </w:p>
    <w:p w14:paraId="5A92DCA5">
      <w:pPr>
        <w:ind w:firstLine="422"/>
        <w:rPr>
          <w:rFonts w:ascii="宋体" w:hAnsi="宋体"/>
          <w:b/>
          <w:bCs/>
        </w:rPr>
      </w:pPr>
      <w:r>
        <w:rPr>
          <w:rFonts w:ascii="宋体" w:hAnsi="宋体"/>
          <w:b/>
          <w:bCs/>
        </w:rPr>
        <w:t>附：2010年联通南雄分公司领导班子成员名单</w:t>
      </w:r>
    </w:p>
    <w:p w14:paraId="17D773B7">
      <w:pPr>
        <w:ind w:firstLine="422"/>
        <w:rPr>
          <w:rFonts w:ascii="宋体" w:hAnsi="宋体"/>
        </w:rPr>
      </w:pPr>
      <w:r>
        <w:rPr>
          <w:rFonts w:ascii="宋体" w:hAnsi="宋体"/>
          <w:b/>
          <w:bCs/>
        </w:rPr>
        <w:t>总经理：</w:t>
      </w:r>
      <w:r>
        <w:rPr>
          <w:rFonts w:ascii="宋体" w:hAnsi="宋体"/>
        </w:rPr>
        <w:t>黄履英</w:t>
      </w:r>
    </w:p>
    <w:p w14:paraId="74CE1D5A">
      <w:pPr>
        <w:ind w:firstLine="422"/>
        <w:rPr>
          <w:rFonts w:ascii="宋体" w:hAnsi="宋体"/>
        </w:rPr>
      </w:pPr>
      <w:r>
        <w:rPr>
          <w:rFonts w:ascii="宋体" w:hAnsi="宋体"/>
          <w:b/>
          <w:bCs/>
        </w:rPr>
        <w:t>总经理助理：</w:t>
      </w:r>
      <w:r>
        <w:rPr>
          <w:rFonts w:ascii="宋体" w:hAnsi="宋体"/>
        </w:rPr>
        <w:t>朱伟苑</w:t>
      </w:r>
    </w:p>
    <w:p w14:paraId="73D7EA74">
      <w:pPr>
        <w:pStyle w:val="2"/>
      </w:pPr>
      <w:r>
        <w:t>城乡建设·环保</w:t>
      </w:r>
    </w:p>
    <w:p w14:paraId="2570BEAC">
      <w:pPr>
        <w:pStyle w:val="3"/>
      </w:pPr>
      <w:r>
        <w:rPr>
          <w:rFonts w:hint="eastAsia"/>
        </w:rPr>
        <w:t>城乡规划</w:t>
      </w:r>
    </w:p>
    <w:p w14:paraId="0EB01D29">
      <w:pPr>
        <w:pStyle w:val="4"/>
      </w:pPr>
      <w:r>
        <w:t>【概况】</w:t>
      </w:r>
    </w:p>
    <w:p w14:paraId="72F3621F">
      <w:pPr>
        <w:ind w:firstLine="420"/>
        <w:rPr>
          <w:rFonts w:ascii="宋体" w:hAnsi="宋体"/>
        </w:rPr>
      </w:pPr>
      <w:r>
        <w:rPr>
          <w:rFonts w:ascii="宋体" w:hAnsi="宋体"/>
        </w:rPr>
        <w:t>2010年8月，组建南雄市住房和城乡规划建设局（以下简称住建局）。将市建设局的职责划入市住建局，内设办公室、人事股、建筑业监管股、财务审计股、燃气监管股、住房保障和房地产业监管股、城乡规划股。2010年，住建局以学习宣传和贯彻落实《中华人民共和国城乡规划法》为主线，抓好全市的城乡规划工作，坚持“解放思想，超前谋划，抓主抓重，锐意创新”的工作思路，加强“科学规划、法治规划、阳光规划、效能规划、和谐规划”建设，深化各类规划编制，完善规划科学决策机制，规范政务公开和行政审批服务流程，优质高效地做好重点项目、公共基础设施和民生工程的规划服务工作，在组织城市设计、村镇规划、重点项目规划设计、监督管理工作等方面做了大量工作。</w:t>
      </w:r>
    </w:p>
    <w:p w14:paraId="1E53D90C">
      <w:pPr>
        <w:pStyle w:val="4"/>
      </w:pPr>
      <w:r>
        <w:t>【城乡规划编制】</w:t>
      </w:r>
    </w:p>
    <w:p w14:paraId="04D09673">
      <w:pPr>
        <w:ind w:firstLine="420"/>
        <w:rPr>
          <w:rFonts w:ascii="宋体" w:hAnsi="宋体"/>
        </w:rPr>
      </w:pPr>
      <w:r>
        <w:rPr>
          <w:rFonts w:ascii="宋体" w:hAnsi="宋体"/>
        </w:rPr>
        <w:t>根据城乡规划全覆盖的要求，相继开展城区总体规划、镇村布局规划的修编调整工作，开展城区规划范围内的各类控规、详规、专项规划、城市设计及村庄规划等规划编制工作。</w:t>
      </w:r>
    </w:p>
    <w:p w14:paraId="39072454">
      <w:pPr>
        <w:ind w:firstLine="420"/>
        <w:rPr>
          <w:rFonts w:ascii="宋体" w:hAnsi="宋体"/>
        </w:rPr>
      </w:pPr>
      <w:r>
        <w:rPr>
          <w:rFonts w:ascii="宋体" w:hAnsi="宋体"/>
        </w:rPr>
        <w:t>加快中心城区总体规划（2000-2015年）的修编步伐，已和广东省城乡规划设计院一所签订设计合同，已完成了原总体规划的实施评估报告、强制性内容修改论证报告、公众参与和满意度评估报告，并通过省住建厅组织的报告评审，现按程序上报到省政府审批。</w:t>
      </w:r>
    </w:p>
    <w:p w14:paraId="2C7A9A4E">
      <w:pPr>
        <w:pStyle w:val="4"/>
      </w:pPr>
      <w:r>
        <w:t>【城市规划管理】</w:t>
      </w:r>
    </w:p>
    <w:p w14:paraId="171B51EB">
      <w:pPr>
        <w:ind w:firstLine="420"/>
        <w:rPr>
          <w:rFonts w:ascii="宋体" w:hAnsi="宋体"/>
        </w:rPr>
      </w:pPr>
      <w:r>
        <w:rPr>
          <w:rFonts w:ascii="宋体" w:hAnsi="宋体"/>
        </w:rPr>
        <w:t>始终坚持城市建设、规划先行，将规划工作摆到突出的位置上来抓，精心编制城市规划，指导城市建设，，依法审批“一书两证”。全年完成中心城区工程规划81项，其中工业园区34项，商住办公项目23项、私人24项，总规划面积62.13万平方米，投资建设资金3.28亿元（其中奥威斯酒店9.18万平方米，投资金额1018万元），其中房地产开发项目规划16项、建筑面积16.1万平方米；新农村用地规划设计工作8个，其中主田1个，古市1个，水南5个，河南畔塘水1个，规划户数200多户，用地面积10.2万平方米。</w:t>
      </w:r>
    </w:p>
    <w:p w14:paraId="324D4925">
      <w:pPr>
        <w:ind w:firstLine="420"/>
        <w:rPr>
          <w:rFonts w:ascii="宋体" w:hAnsi="宋体"/>
        </w:rPr>
      </w:pPr>
      <w:r>
        <w:rPr>
          <w:rFonts w:ascii="宋体" w:hAnsi="宋体"/>
        </w:rPr>
        <w:t>在对国有土地使用权有偿出让过程中，严格按照有关规划出具出让地块规划设计条件通知书，确保出让地块在建设过程中按规划实施。在加强规划编制公示和规划审批公示的基础上重点实行市区建设项目规划公示牌制度，市区重要的建设项目统一制作项目公示牌，悬挂在施工场地。实行项目管理责任人制度，严格把好放线、验线关，并在原有规划监控管理的基础上实行竣工验收，严格建设工程全程跟踪管理，确保规划意图正确实施。</w:t>
      </w:r>
    </w:p>
    <w:p w14:paraId="6A67CA0A">
      <w:pPr>
        <w:pStyle w:val="4"/>
      </w:pPr>
      <w:r>
        <w:t>【城市测绘】</w:t>
      </w:r>
    </w:p>
    <w:p w14:paraId="609CA93A">
      <w:pPr>
        <w:ind w:firstLine="420"/>
        <w:rPr>
          <w:rFonts w:ascii="宋体" w:hAnsi="宋体"/>
        </w:rPr>
      </w:pPr>
      <w:r>
        <w:rPr>
          <w:rFonts w:ascii="宋体" w:hAnsi="宋体"/>
        </w:rPr>
        <w:t>市城市测绘技术力量仍很薄弱，住建局主要是开展一些简单的建筑施工测量放线等工作，土地测量技术工作归口国土资源局管理，较大面积地形测量仍依赖于专业测绘技术力量强的队伍帮助完成。</w:t>
      </w:r>
    </w:p>
    <w:p w14:paraId="0EE06149">
      <w:pPr>
        <w:pStyle w:val="4"/>
      </w:pPr>
      <w:r>
        <w:t>【城市档案】</w:t>
      </w:r>
    </w:p>
    <w:p w14:paraId="0B47ACA0">
      <w:pPr>
        <w:ind w:firstLine="420"/>
        <w:rPr>
          <w:rFonts w:ascii="宋体" w:hAnsi="宋体"/>
        </w:rPr>
      </w:pPr>
      <w:r>
        <w:rPr>
          <w:rFonts w:ascii="宋体" w:hAnsi="宋体"/>
        </w:rPr>
        <w:t>因目前住建局的条件及经费所限，规划档案资料归档只是处于较简单的存放，未能做到整理、归档、存放一整套规范工作程序，住建局也计划争取条件，把该项工作规范化。</w:t>
      </w:r>
    </w:p>
    <w:p w14:paraId="5EC0ADD9">
      <w:pPr>
        <w:pStyle w:val="4"/>
      </w:pPr>
      <w:r>
        <w:t>【重点项目规划】</w:t>
      </w:r>
    </w:p>
    <w:p w14:paraId="4181990C">
      <w:pPr>
        <w:ind w:firstLine="420"/>
        <w:rPr>
          <w:rFonts w:ascii="宋体" w:hAnsi="宋体"/>
        </w:rPr>
      </w:pPr>
      <w:r>
        <w:rPr>
          <w:rFonts w:ascii="宋体" w:hAnsi="宋体"/>
        </w:rPr>
        <w:t>协助有关部门做好彤置富水泥厂、华电热电冷联供项目、精细化工园区第二期、“三旧”改造等项目的选址、规划设计等工作；做好环城东西路环卫所垃圾中转站规划设计、测量用地工作，规划用地面积1500平方米，并及时送交城管局进行设计；协助佛燃天燃气公司做好中心城区燃气管网规划设计及站场管线走向设计的用地选址工作；做好中心城区老城区污水处理排水管网配套改建工程设计工作，排水管网设计长度近3千米。</w:t>
      </w:r>
    </w:p>
    <w:p w14:paraId="6475F227">
      <w:pPr>
        <w:pStyle w:val="3"/>
      </w:pPr>
      <w:r>
        <w:rPr>
          <w:rFonts w:hint="eastAsia"/>
        </w:rPr>
        <w:t>城乡建设</w:t>
      </w:r>
    </w:p>
    <w:p w14:paraId="4CAEB601">
      <w:pPr>
        <w:pStyle w:val="4"/>
      </w:pPr>
      <w:r>
        <w:t>【概况】</w:t>
      </w:r>
    </w:p>
    <w:p w14:paraId="4E697DDC">
      <w:pPr>
        <w:ind w:firstLine="420"/>
        <w:rPr>
          <w:rFonts w:ascii="宋体" w:hAnsi="宋体"/>
        </w:rPr>
      </w:pPr>
      <w:r>
        <w:rPr>
          <w:rFonts w:ascii="宋体" w:hAnsi="宋体"/>
        </w:rPr>
        <w:t>市依托省际节点的区位优势和悠久历史文化积淀优势，围绕建设“粤北门户城市”目标，坚持以人为本，高起点规划、高标准建设、大手笔投入、大气魄推进的工作思路，确立“拉大城市框架、突出城市特色、搞活城市经营”的城市发展目标，以“政府引导、市场运作、企业经营、社会参与”的运作模式，大手笔投入推进“北移东扩、西建南绿”工程，力推北城区开发，加快城市建设进程，市城乡建设工作取得了较大成就，城镇化水平显著提高。</w:t>
      </w:r>
    </w:p>
    <w:p w14:paraId="788E5693">
      <w:pPr>
        <w:pStyle w:val="4"/>
      </w:pPr>
      <w:r>
        <w:t>【保障性住房建设】</w:t>
      </w:r>
    </w:p>
    <w:p w14:paraId="349978C4">
      <w:pPr>
        <w:ind w:firstLine="420"/>
        <w:rPr>
          <w:rFonts w:ascii="宋体" w:hAnsi="宋体"/>
        </w:rPr>
      </w:pPr>
      <w:r>
        <w:rPr>
          <w:rFonts w:ascii="宋体" w:hAnsi="宋体"/>
        </w:rPr>
        <w:t>建立和完善多层次的住房供应体系，解决市区低收入家庭的住房困难问题，按照南雄市解决低收入家庭住房困难的工作部署，向市政府提出廉租住房建设计划和资金筹集计划，增加廉租住房和经济适用房的投资。2010年，水南邓公园经济适用房B栋28套，面积2301平方米，基本完成土建工程，已投入建设资金160万元；教育南路安置房第九栋34套，面积7993平方米，正在上第五层，目前已投入建设资金250万元；还投入资金3万元改建或翻新3套旧公房作为廉租房，已解决3户低收入家庭住房困难问题。</w:t>
      </w:r>
    </w:p>
    <w:p w14:paraId="38061B0B">
      <w:pPr>
        <w:pStyle w:val="4"/>
      </w:pPr>
      <w:r>
        <w:t>【建筑工程质量管理】</w:t>
      </w:r>
    </w:p>
    <w:p w14:paraId="165E4963">
      <w:pPr>
        <w:ind w:firstLine="420"/>
        <w:rPr>
          <w:rFonts w:ascii="宋体" w:hAnsi="宋体"/>
        </w:rPr>
      </w:pPr>
      <w:r>
        <w:rPr>
          <w:rFonts w:ascii="宋体" w:hAnsi="宋体"/>
        </w:rPr>
        <w:t>加强工程建设强制性标准的实施监督管理，完善“企业自控、社会监理、政府监督”的工程建设保证体系，有针对性地开展脚手架、钢排栅等质量通病专项治理。执行法定建设程序和建设标准，确保所有工程主体结构质量处于受控状态。通过监管模式的创新，整合监管资源，实现质量、安全监管联动，不断完善监督手段，实施固定监督和巡查相结合的交叉管理模式、加强结构实体质量监督，完善结构实体检测要求，严把主要原材料入场关，加强对各方责任主体行为的监督，确保结构实体安全。全年，共办理质量安全监督手续项目31项、建筑面积15万m；竣工验收工程54项、面积29.17万m，投资1.7亿元，工程合格率为100%</w:t>
      </w:r>
    </w:p>
    <w:p w14:paraId="362ACFF6">
      <w:pPr>
        <w:pStyle w:val="4"/>
      </w:pPr>
      <w:r>
        <w:t>【建筑工程安全监管】</w:t>
      </w:r>
    </w:p>
    <w:p w14:paraId="2CD50405">
      <w:pPr>
        <w:ind w:firstLine="420"/>
        <w:rPr>
          <w:rFonts w:ascii="宋体" w:hAnsi="宋体"/>
        </w:rPr>
      </w:pPr>
      <w:r>
        <w:rPr>
          <w:rFonts w:ascii="宋体" w:hAnsi="宋体"/>
        </w:rPr>
        <w:t>落实安全生产责任制，建立完善事故预防和防范机制，建立政府监管、企业保障、班组自控的三级控制体系。坚持对全市在建工程进行质量、安全和文明施工巡查和专项检查。重点检查在建工程质量保证资料、工程质量通病防治、深基坑、高支模、起重机械设备、施工用电等情况。开展建筑施工安全评价及安全生产专项检查，做好防范工作，把安全隐患处理于萌芽状态。2010年，南雄市建筑工地没有发生等级事故。</w:t>
      </w:r>
    </w:p>
    <w:p w14:paraId="3B4BDEDC">
      <w:pPr>
        <w:pStyle w:val="4"/>
      </w:pPr>
      <w:r>
        <w:t>【重点工程项目】</w:t>
      </w:r>
    </w:p>
    <w:p w14:paraId="1B0471BC">
      <w:pPr>
        <w:ind w:firstLine="420"/>
        <w:rPr>
          <w:rFonts w:ascii="宋体" w:hAnsi="宋体"/>
        </w:rPr>
      </w:pPr>
      <w:r>
        <w:rPr>
          <w:rFonts w:ascii="宋体" w:hAnsi="宋体"/>
        </w:rPr>
        <w:t>老G323线穿城段改造工程6.2公里综合配套工程于4月底动工建设，南面管沟工程和北面高压线下地工程已完成大部分管沟的埋设，完成大部分人行道路面砖铺设工作；做好金刚小区规划用地工作，用地面积37公顷，并上报市政府审批；玩具总厂项目已做方案设计，开发商已于5月启动建设环节，进场开始拆除部分建筑物。</w:t>
      </w:r>
    </w:p>
    <w:p w14:paraId="2356821F">
      <w:pPr>
        <w:pStyle w:val="4"/>
      </w:pPr>
      <w:r>
        <w:t>【推广建筑节能】</w:t>
      </w:r>
    </w:p>
    <w:p w14:paraId="6C6B3578">
      <w:pPr>
        <w:ind w:firstLine="420"/>
        <w:rPr>
          <w:rFonts w:ascii="宋体" w:hAnsi="宋体"/>
        </w:rPr>
      </w:pPr>
      <w:r>
        <w:rPr>
          <w:rFonts w:ascii="宋体" w:hAnsi="宋体"/>
        </w:rPr>
        <w:t>坚持以节地、节能、利废、保护环境和改善建筑功能为基本出发点，坚持以“禁实”为工作突破口，通过横幅标语、立展示牌、发放宣传材料等多种形式进社区宣传“推散禁现”工作；组织开展新型墙体材料的备案复验工作，对市在建工程使用的新型墙体材料进行抽检，推动了建筑节能工作的进展。</w:t>
      </w:r>
    </w:p>
    <w:p w14:paraId="1F6A4673">
      <w:pPr>
        <w:pStyle w:val="3"/>
      </w:pPr>
      <w:r>
        <w:rPr>
          <w:rFonts w:hint="eastAsia"/>
        </w:rPr>
        <w:t>建筑业</w:t>
      </w:r>
    </w:p>
    <w:p w14:paraId="57915E78">
      <w:pPr>
        <w:pStyle w:val="4"/>
      </w:pPr>
      <w:r>
        <w:t>【概况】</w:t>
      </w:r>
    </w:p>
    <w:p w14:paraId="5C3FFB9A">
      <w:pPr>
        <w:ind w:firstLine="420"/>
        <w:rPr>
          <w:rFonts w:ascii="宋体" w:hAnsi="宋体"/>
        </w:rPr>
      </w:pPr>
      <w:r>
        <w:rPr>
          <w:rFonts w:ascii="宋体" w:hAnsi="宋体"/>
        </w:rPr>
        <w:t>2010年，南雄市建筑业从施工许可证发放环节抓起，审查责任主体以及从业人员的市场准入条件，通过现场与市场联动，实行差别化监管方式，开展各种形式的监督检查、巡查。通过狠抓责任落实，完善相关制度，加强对工程质量、安全、文明施工的监管，推行建筑节能工作，确保工程实体质量和安全生产态势稳中有升，建筑业各项工作迈出坚实的步伐。3月，南雄市财政局服务中心大楼A栋工程获评广东省建设工程金匠奖，这是南雄市建筑工程所获得的最高奖项。</w:t>
      </w:r>
    </w:p>
    <w:p w14:paraId="08098B85">
      <w:pPr>
        <w:pStyle w:val="4"/>
      </w:pPr>
      <w:r>
        <w:t>【建筑管理】</w:t>
      </w:r>
    </w:p>
    <w:p w14:paraId="4CE5CCFD">
      <w:pPr>
        <w:ind w:firstLine="420"/>
        <w:rPr>
          <w:rFonts w:ascii="宋体" w:hAnsi="宋体"/>
        </w:rPr>
      </w:pPr>
      <w:r>
        <w:rPr>
          <w:rFonts w:ascii="宋体" w:hAnsi="宋体"/>
        </w:rPr>
        <w:t>按照建筑业安全生产等法规、文件的要求，全年组织二次安全生产大检查，二次节前大检查，二次治理隐患专项检查，会同韶关市局、安监局等部门进行一次专项检查，共查出隐患88处，发出整改通知书21份，停工通知书3份，消除安全隐患，有效确保施工安全生产。</w:t>
      </w:r>
    </w:p>
    <w:p w14:paraId="33627DB0">
      <w:pPr>
        <w:numPr>
          <w:ilvl w:val="0"/>
          <w:numId w:val="3"/>
        </w:numPr>
        <w:ind w:firstLine="420"/>
        <w:rPr>
          <w:rFonts w:ascii="宋体" w:hAnsi="宋体"/>
        </w:rPr>
      </w:pPr>
      <w:r>
        <w:rPr>
          <w:rFonts w:ascii="宋体" w:hAnsi="宋体"/>
        </w:rPr>
        <w:t>施工管理。一是抓好建筑企业资质管理。执行《建筑业企业资质管理规定》，对本市企业资质就位管理和外地建筑业企业进入南雄区域管理中，进行严格把关，有效协调，对号入座。二是抓好建设工程报建程序管理和文明施工安全措施费的统一管理。三是抓好工程验收备案管理。</w:t>
      </w:r>
    </w:p>
    <w:p w14:paraId="04ACC038">
      <w:pPr>
        <w:numPr>
          <w:ilvl w:val="0"/>
          <w:numId w:val="3"/>
        </w:numPr>
        <w:ind w:firstLine="420"/>
        <w:rPr>
          <w:rFonts w:ascii="宋体" w:hAnsi="宋体"/>
        </w:rPr>
      </w:pPr>
      <w:r>
        <w:rPr>
          <w:rFonts w:ascii="宋体" w:hAnsi="宋体"/>
        </w:rPr>
        <w:t>工程质量管理。加大质量监管力度，加强对施工现场质保体系的检查，规范完善各责任主体质量行为，执行建设工程强制性标准和施工质量验收规范，确保质量管理处于受控状态，工程主体质量稳中有升。</w:t>
      </w:r>
    </w:p>
    <w:p w14:paraId="4F00EDDF">
      <w:pPr>
        <w:ind w:firstLine="420"/>
        <w:rPr>
          <w:rFonts w:ascii="宋体" w:hAnsi="宋体"/>
        </w:rPr>
      </w:pPr>
      <w:r>
        <w:rPr>
          <w:rFonts w:ascii="宋体" w:hAnsi="宋体"/>
        </w:rPr>
        <w:t>3、安全生产管理。加强施工现场安全管理，落实安全生产责任制，开展安全综合、专项检查，有效确保施工安全生产。一是层层落实安全生产责任制，与工程项目管理人负责签定安全生产责任书，严格执行建筑施工企业安全生产许可准入制度，抓好施工企业“三类”人员及施工现场管理人员到位情况的落实。二是认真落实《安全生产年活动方案》，结合市建筑施工隐患治理工作方案，开展建筑施工安全督查专项行动。三是开展各项综合和专项检查。四是开展安全生产年和安全生产月活动。</w:t>
      </w:r>
    </w:p>
    <w:p w14:paraId="066AD769">
      <w:pPr>
        <w:pStyle w:val="4"/>
      </w:pPr>
      <w:r>
        <w:t>【建筑设计】</w:t>
      </w:r>
    </w:p>
    <w:p w14:paraId="7565B478">
      <w:pPr>
        <w:ind w:firstLine="420"/>
        <w:rPr>
          <w:rFonts w:ascii="宋体" w:hAnsi="宋体"/>
        </w:rPr>
      </w:pPr>
      <w:r>
        <w:rPr>
          <w:rFonts w:ascii="宋体" w:hAnsi="宋体"/>
        </w:rPr>
        <w:t>南雄市建筑设计院有专业技术人员23人，其中高级工程师4人，中级工程师13人，助理工程师3人，技术人员3人；一级注册结构师1人，一级注册建筑师1人，二级注册建筑师4人，二级注册结构师2人。2010年完成工程勘探设计项目共154个，其中设计项目完成154个，钻探项目完成53个，地质钻探深度完成7075.55米，桩基动测1967根，抽芯完成1218.6米。</w:t>
      </w:r>
    </w:p>
    <w:p w14:paraId="569AD033">
      <w:pPr>
        <w:pStyle w:val="4"/>
      </w:pPr>
      <w:r>
        <w:t>【建筑企业】</w:t>
      </w:r>
    </w:p>
    <w:p w14:paraId="213136AE">
      <w:pPr>
        <w:ind w:firstLine="420"/>
        <w:rPr>
          <w:rFonts w:ascii="宋体" w:hAnsi="宋体"/>
        </w:rPr>
      </w:pPr>
      <w:r>
        <w:rPr>
          <w:rFonts w:ascii="宋体" w:hAnsi="宋体"/>
        </w:rPr>
        <w:t>2010年，全市施工企业资质中，三类企业4家，即：南雄市建筑安装工程公司，南雄市雄州建筑公司，南雄市市政工程公司，南雄市乐达建筑工程有限公司。外地入雄注册建筑业企业共8家，其中：壹级建筑施工企业4家，建筑设计企业甲级2家、乙级1家，监理企业甲级1家。</w:t>
      </w:r>
    </w:p>
    <w:p w14:paraId="5013F6F4">
      <w:pPr>
        <w:pStyle w:val="3"/>
      </w:pPr>
      <w:r>
        <w:rPr>
          <w:rFonts w:hint="eastAsia"/>
        </w:rPr>
        <w:t>房地产管理</w:t>
      </w:r>
    </w:p>
    <w:p w14:paraId="0859B7DC">
      <w:pPr>
        <w:pStyle w:val="4"/>
      </w:pPr>
      <w:r>
        <w:t>【概况】</w:t>
      </w:r>
    </w:p>
    <w:p w14:paraId="4D2C0343">
      <w:pPr>
        <w:ind w:firstLine="420"/>
        <w:rPr>
          <w:rFonts w:ascii="宋体" w:hAnsi="宋体"/>
        </w:rPr>
      </w:pPr>
      <w:r>
        <w:rPr>
          <w:rFonts w:ascii="宋体" w:hAnsi="宋体"/>
        </w:rPr>
        <w:t>2010年，住建局继续把好房地产企业资质审批关，共完成对13家房地产开发企业资质的年检工作，贯彻国家房地产管理法规政策，依法规范房地产开发企业的开发经营行为，共核发预售许可证4项，现售许可证33项，预、现售商品房建筑面积达22.93万平方米；商品房销售交易938套、面积10.23万平方米、交易金额约1.76亿元，成交量稳中有升，仍呈现较好的发展态势。另外，还配合市协税护税部门启动房地产税费一体化工作，规范市的房地产市场。</w:t>
      </w:r>
    </w:p>
    <w:p w14:paraId="3383FF84">
      <w:pPr>
        <w:pStyle w:val="4"/>
      </w:pPr>
      <w:r>
        <w:t>【房屋登记】</w:t>
      </w:r>
    </w:p>
    <w:p w14:paraId="103483F6">
      <w:pPr>
        <w:ind w:firstLine="420"/>
        <w:rPr>
          <w:rFonts w:ascii="宋体" w:hAnsi="宋体"/>
        </w:rPr>
      </w:pPr>
      <w:r>
        <w:rPr>
          <w:rFonts w:ascii="宋体" w:hAnsi="宋体"/>
        </w:rPr>
        <w:t>贯彻执行国家、省、市房地产的有关政策、法律法规，执行《房屋登记办法》，自办法颁布执行以来，分批派出相关工作人员就《房屋登记办法》进行系统学习，提高工作人员的业务水平。根据办法有关规定，及时修订完善房地产交易和权属登记程序业务操作规程，具体明确各类登记发证业务类型特别是新增类型的办理程序、必收要件、办理时限、证书填写规范等。为规范房地产交易与权属登记程序，简化手续，方便群众，逐步实现一个窗口收件、一个窗口发证、一次性收取税费的交易与权属登记一体化、一条龙办公、一站式服务。同时推行服务承诺、限时办结、局务公开等制度，不断提高服务效率和服务质量。在房屋交易登记过程中，配合税务部门加强房屋销售税收征管工作，严把税收关，坚持“先税后证”，保证国家税收得到及时准确的征收，防止出现税收漏洞。按照省建设厅关于加快推进房地产管理信息系统建设工作的通知要求，不断完善房地产信息平台的功能，实现对商品房预（销）售的即时监控、房地产交易与权属登记一体化管理、房地产交易信息的统计和分析。在完善信息平台功能的基础上，按照广东省和韶关市房地产登记簿建设工作的部署和要求，加强房地产电子登记簿的建设工作。全面提高房管部门对房地产市场的监控水平和对群众购房、交易登记的服务水平。2010年共办理房地产权登记发证3758宗，面积591086.23平方米。商品房权属确登记50宗，面积351516.03平方米。房地产交易2010年办理一手房交易3102宗，面积312627.52平方米；二手房交易474宗，面积52093平方米。</w:t>
      </w:r>
    </w:p>
    <w:p w14:paraId="2B01A561">
      <w:pPr>
        <w:pStyle w:val="4"/>
      </w:pPr>
      <w:r>
        <w:t>【房产抵押登记】</w:t>
      </w:r>
    </w:p>
    <w:p w14:paraId="4B6499B4">
      <w:pPr>
        <w:ind w:firstLine="420"/>
        <w:rPr>
          <w:rFonts w:ascii="宋体" w:hAnsi="宋体"/>
        </w:rPr>
      </w:pPr>
      <w:r>
        <w:rPr>
          <w:rFonts w:ascii="宋体" w:hAnsi="宋体"/>
        </w:rPr>
        <w:t>2010年共办理房产抵押登记2007宗，抵押登记面积34.88万平方米，抵押登记金额43046万元。其中：预购商品房抵押915宗，面积12.05万平方米，抵押登记金额14087万元；现房抵押1092宗，面积22.83万平方米，抵押登记金额28959万元。</w:t>
      </w:r>
    </w:p>
    <w:p w14:paraId="58FC1628">
      <w:pPr>
        <w:pStyle w:val="4"/>
      </w:pPr>
      <w:r>
        <w:t>【公房管理】</w:t>
      </w:r>
    </w:p>
    <w:p w14:paraId="3A02E61C">
      <w:pPr>
        <w:ind w:firstLine="420"/>
        <w:rPr>
          <w:rFonts w:ascii="宋体" w:hAnsi="宋体"/>
        </w:rPr>
      </w:pPr>
      <w:r>
        <w:rPr>
          <w:rFonts w:ascii="宋体" w:hAnsi="宋体"/>
        </w:rPr>
        <w:t>按照有关规定，认真实施直管公有住房的建设、申请、审批、分配安置、维护、租金收缴等工作。建设具备房屋管理租赁管理、租金管理、资产管理等多项功能于一体的公房管理信息系统，将全部在管公房建立电子档案，方便房管人员对公房档案的查找和管理，减少工作错漏的发生，使公房管理工作效率得到有效提高，实现公房管理电子化、信息化、规范化。加强对所管辖公房的安全检查工作，在雨季及时通知住户做好安全防范措施，并针对可能出现危险的住房及时进行维修或提出具体处理意见。2010年管理直管公房928套，面积88777平方米，共投入维修资金143239.09元。</w:t>
      </w:r>
    </w:p>
    <w:p w14:paraId="025DE0FB">
      <w:pPr>
        <w:pStyle w:val="4"/>
      </w:pPr>
      <w:r>
        <w:t>【信息化建设】</w:t>
      </w:r>
    </w:p>
    <w:p w14:paraId="5D7A9A81">
      <w:pPr>
        <w:ind w:firstLine="420"/>
        <w:rPr>
          <w:rFonts w:ascii="宋体" w:hAnsi="宋体"/>
        </w:rPr>
      </w:pPr>
      <w:r>
        <w:rPr>
          <w:rFonts w:ascii="宋体" w:hAnsi="宋体"/>
        </w:rPr>
        <w:t>市的房地产交易与权属登记一体化管理已于2010年正式启动，实现市区房产交易与权属登记的收件、审批、发证“一站式”服务，实现“网上透明售房”。目前，市17家房地产开发企业均通过房地产管理信息系统实现预（销）售商品房的网上申请、楼盘在线登记、在线发布、在线签订商品房预（销）售合同、网上备案等，市民、房地产开发企业、监管部门均可按照各自权限网上查询实时的楼盘信息和房产交易统计情况。</w:t>
      </w:r>
    </w:p>
    <w:p w14:paraId="0C28E504">
      <w:pPr>
        <w:pStyle w:val="4"/>
      </w:pPr>
      <w:r>
        <w:t>【房产测绘】</w:t>
      </w:r>
    </w:p>
    <w:p w14:paraId="67F1F71F">
      <w:pPr>
        <w:ind w:firstLine="420"/>
        <w:rPr>
          <w:rFonts w:ascii="宋体" w:hAnsi="宋体"/>
        </w:rPr>
      </w:pPr>
      <w:r>
        <w:rPr>
          <w:rFonts w:ascii="宋体" w:hAnsi="宋体"/>
        </w:rPr>
        <w:t>完成商品房抵押登记测绘50宗，面积351515.03平方米。完成单位新建测绘90宗，面积203261.84平方米。完成个人新建测绘21宗，面积3267.82平方米。</w:t>
      </w:r>
    </w:p>
    <w:p w14:paraId="05191C78">
      <w:pPr>
        <w:pStyle w:val="4"/>
      </w:pPr>
      <w:r>
        <w:t>【白蚁防治】</w:t>
      </w:r>
    </w:p>
    <w:p w14:paraId="2B495F0E">
      <w:pPr>
        <w:ind w:firstLine="420"/>
        <w:rPr>
          <w:rFonts w:ascii="宋体" w:hAnsi="宋体"/>
        </w:rPr>
      </w:pPr>
      <w:r>
        <w:rPr>
          <w:rFonts w:ascii="宋体" w:hAnsi="宋体"/>
        </w:rPr>
        <w:t>白蚁防治业务得到不断拓宽，全年完成白蚁防治面积277417平方米。</w:t>
      </w:r>
    </w:p>
    <w:p w14:paraId="6C1ECCE8">
      <w:pPr>
        <w:pStyle w:val="4"/>
      </w:pPr>
      <w:r>
        <w:t>【重点工程】</w:t>
      </w:r>
    </w:p>
    <w:p w14:paraId="6F8B8D48">
      <w:pPr>
        <w:numPr>
          <w:ilvl w:val="0"/>
          <w:numId w:val="4"/>
        </w:numPr>
        <w:ind w:firstLine="420"/>
        <w:rPr>
          <w:rFonts w:ascii="宋体" w:hAnsi="宋体"/>
        </w:rPr>
      </w:pPr>
      <w:r>
        <w:rPr>
          <w:rFonts w:ascii="宋体" w:hAnsi="宋体"/>
        </w:rPr>
        <w:t>建设雄州大道升级改造工程：雄州大道升级改造工程东起市汽车站，西至环城西路，道路规划总长2464米，宽20米至27米不等，车行道为四车道16米至20米（设停车道），工程总投资4500万元（含拆迁安置费用），拆迁房屋约4万平方米。工程自2005年初动工，2005年底基本完工。2、金叶大道工程建设：为拉大城市框架，顺利连接国道、高速公路及火车站，南雄市提出建设金叶大道，并将其列入市重点建设工程，金叶大道（金叶大桥至环城路路段）全长610米，宽34米（其中人行道3.5×2米、车行道27米），共拆除旧房面积2.8万平方米，建设总投资约4500万元。工程自2006年开工，2007年底完工，金叶大道的建成，对完善市区交通网络，提高城市竞争力具有积极意义。3、金叶大桥完成建设通车：金叶大桥规划总长126.5米，桥面总宽25米（人行道3米+行车道2×9.5米+人行道3米），大桥设计汽车荷载等级为公路-I级，设计洪水频率为1/100，工程总投资960万元。工程2005年2月开工，2006年6月完工。</w:t>
      </w:r>
    </w:p>
    <w:p w14:paraId="2085D7B6">
      <w:pPr>
        <w:ind w:firstLine="420"/>
        <w:jc w:val="right"/>
        <w:rPr>
          <w:rFonts w:ascii="宋体" w:hAnsi="宋体"/>
        </w:rPr>
      </w:pPr>
      <w:r>
        <w:rPr>
          <w:rFonts w:ascii="宋体" w:hAnsi="宋体"/>
        </w:rPr>
        <w:t>（李赣龙）</w:t>
      </w:r>
    </w:p>
    <w:p w14:paraId="3A445DD4">
      <w:pPr>
        <w:ind w:firstLine="422"/>
        <w:rPr>
          <w:rFonts w:ascii="宋体" w:hAnsi="宋体"/>
          <w:b/>
          <w:bCs/>
        </w:rPr>
      </w:pPr>
      <w:r>
        <w:rPr>
          <w:rFonts w:ascii="宋体" w:hAnsi="宋体"/>
          <w:b/>
          <w:bCs/>
        </w:rPr>
        <w:t>附：2010年住建局领导班子成员名单</w:t>
      </w:r>
    </w:p>
    <w:p w14:paraId="51E5334C">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李传忠</w:t>
      </w:r>
    </w:p>
    <w:p w14:paraId="0F7F8041">
      <w:pPr>
        <w:ind w:firstLine="422"/>
        <w:rPr>
          <w:rFonts w:ascii="宋体" w:hAnsi="宋体"/>
        </w:rPr>
      </w:pPr>
      <w:r>
        <w:rPr>
          <w:rFonts w:ascii="宋体" w:hAnsi="宋体"/>
          <w:b/>
          <w:bCs/>
        </w:rPr>
        <w:t>副局长：</w:t>
      </w:r>
      <w:r>
        <w:rPr>
          <w:rFonts w:ascii="宋体" w:hAnsi="宋体"/>
        </w:rPr>
        <w:t>刘志军</w:t>
      </w:r>
      <w:r>
        <w:rPr>
          <w:rFonts w:hint="eastAsia" w:ascii="宋体" w:hAnsi="宋体"/>
        </w:rPr>
        <w:t xml:space="preserve">  </w:t>
      </w:r>
      <w:r>
        <w:rPr>
          <w:rFonts w:ascii="宋体" w:hAnsi="宋体"/>
        </w:rPr>
        <w:t>黄长江</w:t>
      </w:r>
      <w:r>
        <w:rPr>
          <w:rFonts w:hint="eastAsia" w:ascii="宋体" w:hAnsi="宋体"/>
        </w:rPr>
        <w:t xml:space="preserve">  </w:t>
      </w:r>
      <w:r>
        <w:rPr>
          <w:rFonts w:ascii="宋体" w:hAnsi="宋体"/>
        </w:rPr>
        <w:t>赖书琳</w:t>
      </w:r>
    </w:p>
    <w:p w14:paraId="0F572AA0">
      <w:pPr>
        <w:ind w:firstLine="422"/>
        <w:rPr>
          <w:rFonts w:ascii="宋体" w:hAnsi="宋体"/>
        </w:rPr>
      </w:pPr>
      <w:r>
        <w:rPr>
          <w:rFonts w:ascii="宋体" w:hAnsi="宋体"/>
          <w:b/>
          <w:bCs/>
        </w:rPr>
        <w:t>纪检组长：</w:t>
      </w:r>
      <w:r>
        <w:rPr>
          <w:rFonts w:ascii="宋体" w:hAnsi="宋体"/>
        </w:rPr>
        <w:t>梁东宁</w:t>
      </w:r>
    </w:p>
    <w:p w14:paraId="4BC867A2">
      <w:pPr>
        <w:ind w:firstLine="422"/>
        <w:rPr>
          <w:rFonts w:ascii="宋体" w:hAnsi="宋体"/>
        </w:rPr>
      </w:pPr>
      <w:r>
        <w:rPr>
          <w:rFonts w:ascii="宋体" w:hAnsi="宋体"/>
          <w:b/>
          <w:bCs/>
        </w:rPr>
        <w:t>工会主席：</w:t>
      </w:r>
      <w:r>
        <w:rPr>
          <w:rFonts w:ascii="宋体" w:hAnsi="宋体"/>
        </w:rPr>
        <w:t>张明</w:t>
      </w:r>
    </w:p>
    <w:p w14:paraId="6FB6C872">
      <w:pPr>
        <w:pStyle w:val="3"/>
      </w:pPr>
      <w:r>
        <w:rPr>
          <w:rFonts w:hint="eastAsia"/>
        </w:rPr>
        <w:t>城市管理</w:t>
      </w:r>
    </w:p>
    <w:p w14:paraId="54B26D90">
      <w:pPr>
        <w:pStyle w:val="4"/>
      </w:pPr>
      <w:r>
        <w:t>【机构设置】</w:t>
      </w:r>
    </w:p>
    <w:p w14:paraId="3FDB996E">
      <w:pPr>
        <w:ind w:firstLine="420"/>
        <w:rPr>
          <w:rFonts w:ascii="宋体" w:hAnsi="宋体"/>
        </w:rPr>
      </w:pPr>
      <w:r>
        <w:rPr>
          <w:rFonts w:ascii="宋体" w:hAnsi="宋体"/>
        </w:rPr>
        <w:t>南雄市城市综合管理局于2010年8月20日组建，隶属政府组成正科级工作部门，内设机构有人秘股、市容股、公用股和法制股。局机关行政编制9名，其中：局长1名、副局长2名；股长4名；其他干部2名。后勤服务人员数1名。直属单位有市城市建设管理监察大队、市容卫生管理所、市园林管理所、石油液化气公司、市政府拆迁办。</w:t>
      </w:r>
    </w:p>
    <w:p w14:paraId="7350E0F9">
      <w:pPr>
        <w:pStyle w:val="4"/>
      </w:pPr>
      <w:r>
        <w:t>【园林绿化】</w:t>
      </w:r>
    </w:p>
    <w:p w14:paraId="35288B43">
      <w:pPr>
        <w:ind w:firstLine="420"/>
        <w:rPr>
          <w:rFonts w:ascii="宋体" w:hAnsi="宋体"/>
        </w:rPr>
      </w:pPr>
      <w:r>
        <w:rPr>
          <w:rFonts w:ascii="宋体" w:hAnsi="宋体"/>
        </w:rPr>
        <w:t>围绕建设粤北门户城市，打造和谐人居环境。</w:t>
      </w:r>
    </w:p>
    <w:p w14:paraId="118DF373">
      <w:pPr>
        <w:ind w:firstLine="420"/>
        <w:rPr>
          <w:rFonts w:ascii="宋体" w:hAnsi="宋体"/>
        </w:rPr>
      </w:pPr>
      <w:r>
        <w:rPr>
          <w:rFonts w:ascii="宋体" w:hAnsi="宋体"/>
        </w:rPr>
        <w:t>2006年完成郊区村田边水河堤段108株大树搬迁工作；投资100万元，完成河滨公园第一期土建改造，做好了河滨公园第二期土建改造和绿化改造的规划、设计。</w:t>
      </w:r>
    </w:p>
    <w:p w14:paraId="3E3DCC25">
      <w:pPr>
        <w:ind w:firstLine="420"/>
        <w:rPr>
          <w:rFonts w:ascii="宋体" w:hAnsi="宋体"/>
        </w:rPr>
      </w:pPr>
      <w:r>
        <w:rPr>
          <w:rFonts w:ascii="宋体" w:hAnsi="宋体"/>
        </w:rPr>
        <w:t>2007年，投资30万元，完成新城河滨公园8600多平方米的绿化改造，种植直径3-4公分桂花树1480株，种植黄金叶、红花继木、山指甲、蟛蜞菊等营养袋苗30多万袋。</w:t>
      </w:r>
    </w:p>
    <w:p w14:paraId="67E323F6">
      <w:pPr>
        <w:ind w:firstLine="420"/>
        <w:rPr>
          <w:rFonts w:ascii="宋体" w:hAnsi="宋体"/>
        </w:rPr>
      </w:pPr>
      <w:r>
        <w:rPr>
          <w:rFonts w:ascii="宋体" w:hAnsi="宋体"/>
        </w:rPr>
        <w:t>2009年，成功将三影塔广场和河滨公园的绿化管护推向市场。</w:t>
      </w:r>
    </w:p>
    <w:p w14:paraId="547971D5">
      <w:pPr>
        <w:ind w:firstLine="420"/>
        <w:rPr>
          <w:rFonts w:ascii="宋体" w:hAnsi="宋体"/>
        </w:rPr>
      </w:pPr>
      <w:r>
        <w:rPr>
          <w:rFonts w:ascii="宋体" w:hAnsi="宋体"/>
        </w:rPr>
        <w:t>2010年，加强对一江两岸河滨公园和三影塔广场绿化的管护，及时修剪绿离、绿坪，清除枯苗木、兔丝子、杂草，对缺损的绿化带及绿地及时进行补植。4月，组织专业技术骨干成功对南雄市珠玑古巷沙水湖旁的一棵千年古榕树进行了抢救性移植，耗资40多万元，为珠玑古巷挽回不可估量的损失，5月配合市修复荆岗瑶坑村原中共广东省委旧址，完成旧址绿化的规划、设计。</w:t>
      </w:r>
    </w:p>
    <w:p w14:paraId="6AF4FE00">
      <w:pPr>
        <w:pStyle w:val="4"/>
      </w:pPr>
      <w:r>
        <w:t>【环境卫生】</w:t>
      </w:r>
    </w:p>
    <w:p w14:paraId="6B7AFE0F">
      <w:pPr>
        <w:ind w:firstLine="420"/>
        <w:rPr>
          <w:rFonts w:ascii="宋体" w:hAnsi="宋体"/>
        </w:rPr>
      </w:pPr>
      <w:r>
        <w:rPr>
          <w:rFonts w:ascii="宋体" w:hAnsi="宋体"/>
        </w:rPr>
        <w:t>环卫所现有在职干部职工151人（其中正式工85人，临时工66人），全城区需清扫保洁的面积120万平方米。</w:t>
      </w:r>
    </w:p>
    <w:p w14:paraId="776902DC">
      <w:pPr>
        <w:ind w:firstLine="420"/>
        <w:rPr>
          <w:rFonts w:ascii="宋体" w:hAnsi="宋体"/>
        </w:rPr>
      </w:pPr>
      <w:r>
        <w:rPr>
          <w:rFonts w:ascii="宋体" w:hAnsi="宋体"/>
        </w:rPr>
        <w:t>2003年编制《南雄市城市环境卫生设施规划》。</w:t>
      </w:r>
    </w:p>
    <w:p w14:paraId="740A0079">
      <w:pPr>
        <w:ind w:firstLine="420"/>
        <w:rPr>
          <w:rFonts w:ascii="宋体" w:hAnsi="宋体"/>
        </w:rPr>
      </w:pPr>
      <w:r>
        <w:rPr>
          <w:rFonts w:ascii="宋体" w:hAnsi="宋体"/>
        </w:rPr>
        <w:t>2004年通过省卫生城市复查，市政府拨款12.24万元，购置长沙产CHW3090ZLJLC型侧装垃圾车一台。</w:t>
      </w:r>
    </w:p>
    <w:p w14:paraId="07898B21">
      <w:pPr>
        <w:ind w:firstLine="420"/>
        <w:rPr>
          <w:rFonts w:ascii="宋体" w:hAnsi="宋体"/>
        </w:rPr>
      </w:pPr>
      <w:r>
        <w:rPr>
          <w:rFonts w:ascii="宋体" w:hAnsi="宋体"/>
        </w:rPr>
        <w:t>2005年制定《南雄市环卫改革实施方案》和《南雄市环卫工作改革实施细则》，并实施环卫改革。</w:t>
      </w:r>
    </w:p>
    <w:p w14:paraId="405147F1">
      <w:pPr>
        <w:ind w:firstLine="420"/>
        <w:rPr>
          <w:rFonts w:ascii="宋体" w:hAnsi="宋体"/>
        </w:rPr>
      </w:pPr>
      <w:r>
        <w:rPr>
          <w:rFonts w:ascii="宋体" w:hAnsi="宋体"/>
        </w:rPr>
        <w:t>2009年市政府投入115.2万元，添置一辆高压冲洗车和一辆扫路车，增加道路机械化清扫率，投入25万元在三影塔广场兴建一座流动公厕和改建河南广场公厕，解决市民“小解”难的问题，成功将城区部分道路的清扫保洁工作推向市场。</w:t>
      </w:r>
    </w:p>
    <w:p w14:paraId="1BB54C86">
      <w:pPr>
        <w:ind w:firstLine="420"/>
        <w:rPr>
          <w:rFonts w:ascii="宋体" w:hAnsi="宋体"/>
        </w:rPr>
      </w:pPr>
      <w:r>
        <w:rPr>
          <w:rFonts w:ascii="宋体" w:hAnsi="宋体"/>
        </w:rPr>
        <w:t>2010年将城区老城上、下段和水南新村的清扫保洁工作推向市场，全年清运、填埋垃圾4.4万吨，城区除“四害”工作常年化，市政府投入资金，购买两百只垃圾桶和两个垃圾集装箱，加速垃圾的中转。</w:t>
      </w:r>
    </w:p>
    <w:p w14:paraId="2E9E41E8">
      <w:pPr>
        <w:pStyle w:val="4"/>
      </w:pPr>
      <w:r>
        <w:t>【城市监察】</w:t>
      </w:r>
    </w:p>
    <w:p w14:paraId="273AF811">
      <w:pPr>
        <w:ind w:firstLine="420"/>
        <w:rPr>
          <w:rFonts w:ascii="宋体" w:hAnsi="宋体"/>
        </w:rPr>
      </w:pPr>
      <w:r>
        <w:rPr>
          <w:rFonts w:ascii="宋体" w:hAnsi="宋体"/>
        </w:rPr>
        <w:t>落实科学发展观，突出“以人为本，和谐城管”的工作宗旨。建立健全城管队伍的考评制度，针对队员从日常纪律及工作纪律等方面进行考评，实行以片划分综合管理，即实行对城市市容和环境卫生、城市市政工程设施、城市规划、城市园林绿化、公用事业等方面受委托的行为进行监督、检查和管理，树立良好的城管形像。加强违章建筑的监察，采用不断变换巡逻模式开展日常巡查工作，对达到立案条件案件进行立案调查，按照法定程序办案。</w:t>
      </w:r>
    </w:p>
    <w:p w14:paraId="64B7FFF0">
      <w:pPr>
        <w:ind w:firstLine="420"/>
        <w:rPr>
          <w:rFonts w:ascii="宋体" w:hAnsi="宋体"/>
        </w:rPr>
      </w:pPr>
      <w:r>
        <w:rPr>
          <w:rFonts w:ascii="宋体" w:hAnsi="宋体"/>
        </w:rPr>
        <w:t>2006年，经市政府批准，向社会公开招聘城市协管员24名；市政府投入10万元，购置城市执法小车3辆。</w:t>
      </w:r>
    </w:p>
    <w:p w14:paraId="7663397A">
      <w:pPr>
        <w:ind w:firstLine="420"/>
        <w:rPr>
          <w:rFonts w:ascii="宋体" w:hAnsi="宋体"/>
        </w:rPr>
      </w:pPr>
      <w:r>
        <w:rPr>
          <w:rFonts w:ascii="宋体" w:hAnsi="宋体"/>
        </w:rPr>
        <w:t>2009年，接管三影塔广场，增加城市协管员编制4名；完善《南雄市城市建设管理监察大队管理制度汇编》，实行用制度管人管事，强化城监队伍建设；投入10.6万元，统一更换城监制服，树立城管队员新形象。</w:t>
      </w:r>
    </w:p>
    <w:p w14:paraId="0FDE5C61">
      <w:pPr>
        <w:ind w:firstLine="420"/>
        <w:rPr>
          <w:rFonts w:ascii="宋体" w:hAnsi="宋体"/>
        </w:rPr>
      </w:pPr>
      <w:r>
        <w:rPr>
          <w:rFonts w:ascii="宋体" w:hAnsi="宋体"/>
        </w:rPr>
        <w:t>2010年查处违章建筑33宗，打击第二建筑市场。加强市容市貌的整治，实行定人定岗，包路段、明责任、求效益的管理新思路，制定《城监大队整治实施方案》，发放整治通告8000份和“门前五包”公告5000份，户外广告设置审批遵循“优雅、美观、整洁”的标准；摊档占道行为按照《城市道路临时占用许可证》和《城市市容和环境卫生管理条例》有关规定进行管理；加强建筑垃圾查处管理，根据工地夜间违章拖运沙土遗散街道的现象，大队即时抽调精干队员分组采取跟踪暗查措施，取证下发通知各施工单位，要求车辆在运输过程中采用密封、包扎等方法减少对城市道路的污染，处罚污染道路行为17宗；要求驶出入工地车辆必须进行清洗，行驶路线由各工地安排人员每天凌晨进行清扫，纠正任意违章运输的现象。</w:t>
      </w:r>
    </w:p>
    <w:p w14:paraId="6E4FB934">
      <w:pPr>
        <w:ind w:firstLine="420"/>
        <w:jc w:val="right"/>
        <w:rPr>
          <w:rFonts w:ascii="宋体" w:hAnsi="宋体"/>
        </w:rPr>
      </w:pPr>
      <w:r>
        <w:rPr>
          <w:rFonts w:ascii="宋体" w:hAnsi="宋体"/>
        </w:rPr>
        <w:t>（李健辉</w:t>
      </w:r>
      <w:r>
        <w:rPr>
          <w:rFonts w:hint="eastAsia" w:ascii="宋体" w:hAnsi="宋体"/>
        </w:rPr>
        <w:t>）</w:t>
      </w:r>
    </w:p>
    <w:p w14:paraId="35BB6EF0">
      <w:pPr>
        <w:ind w:firstLine="422"/>
        <w:rPr>
          <w:rFonts w:ascii="宋体" w:hAnsi="宋体"/>
          <w:b/>
          <w:bCs/>
        </w:rPr>
      </w:pPr>
      <w:r>
        <w:rPr>
          <w:rFonts w:ascii="宋体" w:hAnsi="宋体"/>
          <w:b/>
          <w:bCs/>
        </w:rPr>
        <w:t>附：2010城管局领导班子名单</w:t>
      </w:r>
    </w:p>
    <w:p w14:paraId="56687B71">
      <w:pPr>
        <w:ind w:firstLine="422"/>
        <w:rPr>
          <w:rFonts w:ascii="宋体" w:hAnsi="宋体"/>
        </w:rPr>
      </w:pPr>
      <w:r>
        <w:rPr>
          <w:rFonts w:ascii="宋体" w:hAnsi="宋体"/>
          <w:b/>
          <w:bCs/>
        </w:rPr>
        <w:t>副局长：</w:t>
      </w:r>
      <w:r>
        <w:rPr>
          <w:rFonts w:ascii="宋体" w:hAnsi="宋体"/>
        </w:rPr>
        <w:t>黄守强</w:t>
      </w:r>
    </w:p>
    <w:p w14:paraId="60D15D90">
      <w:pPr>
        <w:ind w:firstLine="422"/>
        <w:rPr>
          <w:rFonts w:ascii="宋体" w:hAnsi="宋体"/>
        </w:rPr>
      </w:pPr>
      <w:r>
        <w:rPr>
          <w:rFonts w:ascii="宋体" w:hAnsi="宋体"/>
          <w:b/>
          <w:bCs/>
        </w:rPr>
        <w:t>副局长兼城监大队大队长：</w:t>
      </w:r>
      <w:r>
        <w:rPr>
          <w:rFonts w:ascii="宋体" w:hAnsi="宋体"/>
        </w:rPr>
        <w:t>郭盛斌</w:t>
      </w:r>
    </w:p>
    <w:p w14:paraId="7F2E6714">
      <w:pPr>
        <w:pStyle w:val="4"/>
      </w:pPr>
      <w:r>
        <w:t>【概况】</w:t>
      </w:r>
    </w:p>
    <w:p w14:paraId="61649278">
      <w:pPr>
        <w:ind w:firstLine="420"/>
        <w:rPr>
          <w:rFonts w:ascii="宋体" w:hAnsi="宋体"/>
        </w:rPr>
      </w:pPr>
      <w:r>
        <w:rPr>
          <w:rFonts w:ascii="宋体" w:hAnsi="宋体"/>
        </w:rPr>
        <w:t>2010年，坚持牢固树立“责任重于泰山”的意识，针对薄弱环节和突出问题，研究和制定行之有效的措施，加强对各燃气企业、气站巡查检查工作，与各燃气企业的负责人签订《燃气安全生产责任书》，抓好燃气安全管理。</w:t>
      </w:r>
    </w:p>
    <w:p w14:paraId="0E1FD6D1">
      <w:pPr>
        <w:pStyle w:val="4"/>
      </w:pPr>
      <w:r>
        <w:t>【加强宣传】</w:t>
      </w:r>
    </w:p>
    <w:p w14:paraId="3B83C0CB">
      <w:pPr>
        <w:ind w:firstLine="420"/>
        <w:rPr>
          <w:rFonts w:ascii="宋体" w:hAnsi="宋体"/>
        </w:rPr>
      </w:pPr>
      <w:r>
        <w:rPr>
          <w:rFonts w:ascii="宋体" w:hAnsi="宋体"/>
        </w:rPr>
        <w:t>加强燃气安全知识宣传工作，针对燃气事故的多发期，采取电视宣传、上街设点咨询、派发宣传资料等形式做好宣传教育，组织燃气企业开展燃气安全知识咨询宣传活动，派发《瓶装液化石油气安全知识用户手册》1500份。</w:t>
      </w:r>
    </w:p>
    <w:p w14:paraId="05E63771">
      <w:pPr>
        <w:pStyle w:val="4"/>
      </w:pPr>
      <w:r>
        <w:t>【加强检查】</w:t>
      </w:r>
    </w:p>
    <w:p w14:paraId="43882875">
      <w:pPr>
        <w:ind w:firstLine="420"/>
        <w:rPr>
          <w:rFonts w:ascii="宋体" w:hAnsi="宋体"/>
        </w:rPr>
      </w:pPr>
      <w:r>
        <w:rPr>
          <w:rFonts w:ascii="宋体" w:hAnsi="宋体"/>
        </w:rPr>
        <w:t>开展例行检查24次，节假日检查4次，专项检查6次，堵塞安全事故漏洞，确保全市燃气行业继续保持零伤亡事故的成绩。</w:t>
      </w:r>
    </w:p>
    <w:p w14:paraId="298DA48A">
      <w:pPr>
        <w:ind w:firstLine="420"/>
        <w:jc w:val="right"/>
        <w:rPr>
          <w:rFonts w:ascii="宋体" w:hAnsi="宋体"/>
        </w:rPr>
      </w:pPr>
      <w:r>
        <w:rPr>
          <w:rFonts w:ascii="宋体" w:hAnsi="宋体"/>
        </w:rPr>
        <w:t>（李赣龙）</w:t>
      </w:r>
    </w:p>
    <w:p w14:paraId="54E774A6">
      <w:pPr>
        <w:pStyle w:val="4"/>
      </w:pPr>
      <w:r>
        <w:t>【概况】</w:t>
      </w:r>
    </w:p>
    <w:p w14:paraId="522F94A1">
      <w:pPr>
        <w:ind w:firstLine="420"/>
        <w:rPr>
          <w:rFonts w:ascii="宋体" w:hAnsi="宋体"/>
        </w:rPr>
      </w:pPr>
      <w:r>
        <w:rPr>
          <w:rFonts w:ascii="宋体" w:hAnsi="宋体"/>
        </w:rPr>
        <w:t>南雄市路灯管理所成立于2007年10月，此前一直由南雄市供电局代管，成立后由南雄市公共资产管理中心接管。由政府招收11名员工从事路灯日常管理工作，在技术方面由供电局老员工辅导。路灯所设所长一名、班长2名，在职员工有21人，其中供电局职工10人，路灯所职工9人，临时工2人。设办公室、维修班。办公室主要负责维修材料管理、财务工作、民意反映等。维修班设四个班组，主要负责维修市区内大街小巷的路灯故障维修，保证市民夜生活的正常进行。</w:t>
      </w:r>
    </w:p>
    <w:p w14:paraId="57610F94">
      <w:pPr>
        <w:pStyle w:val="4"/>
      </w:pPr>
      <w:r>
        <w:t>【路灯建设】</w:t>
      </w:r>
    </w:p>
    <w:p w14:paraId="466EE4E5">
      <w:pPr>
        <w:ind w:firstLine="420"/>
        <w:rPr>
          <w:rFonts w:ascii="宋体" w:hAnsi="宋体"/>
        </w:rPr>
      </w:pPr>
      <w:r>
        <w:rPr>
          <w:rFonts w:ascii="宋体" w:hAnsi="宋体"/>
        </w:rPr>
        <w:t>2003年为美化南雄最繁华的街道大成街投资19.5万元安装奥运之光30支。在浈江路安装中华灯30座共投资22.5万元，在雄州公园，市政府门口安装投光灯4座，投资1.6万元，购买大成街、浈江路路灯控制柜2台，共3.8万元，八一市场重建后安装双头庭园灯18座，投资3.78万元。共计51.18万元。</w:t>
      </w:r>
    </w:p>
    <w:p w14:paraId="3856CD8D">
      <w:pPr>
        <w:ind w:firstLine="420"/>
        <w:rPr>
          <w:rFonts w:ascii="宋体" w:hAnsi="宋体"/>
        </w:rPr>
      </w:pPr>
      <w:r>
        <w:rPr>
          <w:rFonts w:ascii="宋体" w:hAnsi="宋体"/>
        </w:rPr>
        <w:t>2004年老城城墙安装城墙灯74座投资14.8万元，青云路安装高低道路灯76座投资26.6万元，河南桥安装五光色园灯16座投资2.88万元，水南桥重修后安装十头桥灯16座投资5.6万元，国道323线安装道路灯10支投资3.8万元，三元里步行街建成后安装投光灯18支、街灯80支，共投资14.28万元，并购控制柜3台。在浈江路、青云路安装投光灯18支投资3.4万元。共计71.36万元。</w:t>
      </w:r>
    </w:p>
    <w:p w14:paraId="352731FF">
      <w:pPr>
        <w:ind w:firstLine="420"/>
        <w:rPr>
          <w:rFonts w:ascii="宋体" w:hAnsi="宋体"/>
        </w:rPr>
      </w:pPr>
      <w:r>
        <w:rPr>
          <w:rFonts w:ascii="宋体" w:hAnsi="宋体"/>
        </w:rPr>
        <w:t>2005年在维新路安装高低道路灯14支，投资5.6万元，在永康路投资8.29万元，安装庭园灯31座。共计13.89万元。</w:t>
      </w:r>
    </w:p>
    <w:p w14:paraId="483BBA30">
      <w:pPr>
        <w:ind w:firstLine="420"/>
        <w:rPr>
          <w:rFonts w:ascii="宋体" w:hAnsi="宋体"/>
        </w:rPr>
      </w:pPr>
      <w:r>
        <w:rPr>
          <w:rFonts w:ascii="宋体" w:hAnsi="宋体"/>
        </w:rPr>
        <w:t>2006年雄州大道改造后投资27.75万元，安装道路灯33座，并购控制柜2台。投资9.82万元在金叶大桥安装广场灯14座并购控制柜1台。共计37.57万元。</w:t>
      </w:r>
    </w:p>
    <w:p w14:paraId="19992427">
      <w:pPr>
        <w:ind w:firstLine="420"/>
        <w:rPr>
          <w:rFonts w:ascii="宋体" w:hAnsi="宋体"/>
        </w:rPr>
      </w:pPr>
      <w:r>
        <w:rPr>
          <w:rFonts w:ascii="宋体" w:hAnsi="宋体"/>
        </w:rPr>
        <w:t>2007年投资5.5万元安装教道桥路灯22座。共计5.5万元。</w:t>
      </w:r>
    </w:p>
    <w:p w14:paraId="69095615">
      <w:pPr>
        <w:ind w:firstLine="420"/>
        <w:rPr>
          <w:rFonts w:ascii="宋体" w:hAnsi="宋体"/>
        </w:rPr>
      </w:pPr>
      <w:r>
        <w:rPr>
          <w:rFonts w:ascii="宋体" w:hAnsi="宋体"/>
        </w:rPr>
        <w:t>2008年投资24.1万元购高空作业车一台，2009年投资10.4万元购皮卡车一台。安装土特产一条街壁灯投资0.33万元，永康路安装双头道路钠灯、高低道路钠灯、金叶大道路灯共投资21.77万元。为方便外来投资，在水西区安装路灯，投资1.88万元，323线、工业园、林荫路路灯安装共投资10.67万元，路灯控制柜基础土建工程支出12.8万元。共计81.95万元。</w:t>
      </w:r>
    </w:p>
    <w:p w14:paraId="790CD390">
      <w:pPr>
        <w:ind w:firstLine="420"/>
        <w:rPr>
          <w:rFonts w:ascii="宋体" w:hAnsi="宋体"/>
        </w:rPr>
      </w:pPr>
      <w:r>
        <w:rPr>
          <w:rFonts w:ascii="宋体" w:hAnsi="宋体"/>
        </w:rPr>
        <w:t>2009年投资2.83万元购微电脑灯光节能控制器一台，投资55.54万元安装水南桥、青云桥、金叶桥三座大桥LED灯，为方便居民的出入安装了水南村路段路灯5盏，投资0.4万元。为丰富老年人夜生活在全民健身广场高架灯一座，投资0.12万元。共计58.89万元。</w:t>
      </w:r>
    </w:p>
    <w:p w14:paraId="17BB1E6A">
      <w:pPr>
        <w:ind w:firstLine="420"/>
        <w:rPr>
          <w:rFonts w:ascii="宋体" w:hAnsi="宋体"/>
        </w:rPr>
      </w:pPr>
      <w:r>
        <w:rPr>
          <w:rFonts w:ascii="宋体" w:hAnsi="宋体"/>
        </w:rPr>
        <w:t>2010年投资10.42万元安装环城路、金叶大道路灯。共计10.42万元。</w:t>
      </w:r>
    </w:p>
    <w:p w14:paraId="396A2D9B">
      <w:pPr>
        <w:ind w:firstLine="420"/>
        <w:rPr>
          <w:rFonts w:ascii="宋体" w:hAnsi="宋体"/>
        </w:rPr>
      </w:pPr>
      <w:r>
        <w:rPr>
          <w:rFonts w:ascii="宋体" w:hAnsi="宋体"/>
        </w:rPr>
        <w:t>2003年至2010年路灯建设投资共计330.75万元。</w:t>
      </w:r>
    </w:p>
    <w:p w14:paraId="467F6E23">
      <w:pPr>
        <w:ind w:firstLine="420"/>
        <w:jc w:val="right"/>
        <w:rPr>
          <w:rFonts w:ascii="宋体" w:hAnsi="宋体"/>
        </w:rPr>
      </w:pPr>
      <w:r>
        <w:rPr>
          <w:rFonts w:ascii="宋体" w:hAnsi="宋体"/>
        </w:rPr>
        <w:t>(聂清清）</w:t>
      </w:r>
    </w:p>
    <w:p w14:paraId="0E2538F8">
      <w:pPr>
        <w:pStyle w:val="3"/>
      </w:pPr>
      <w:r>
        <w:rPr>
          <w:rFonts w:hint="eastAsia"/>
        </w:rPr>
        <w:t>环境保护</w:t>
      </w:r>
    </w:p>
    <w:p w14:paraId="0E80AA94">
      <w:pPr>
        <w:pStyle w:val="4"/>
      </w:pPr>
      <w:r>
        <w:t>【概况】</w:t>
      </w:r>
    </w:p>
    <w:p w14:paraId="6DFD2779">
      <w:pPr>
        <w:ind w:firstLine="420"/>
        <w:rPr>
          <w:rFonts w:ascii="宋体" w:hAnsi="宋体"/>
        </w:rPr>
      </w:pPr>
      <w:r>
        <w:rPr>
          <w:rFonts w:ascii="宋体" w:hAnsi="宋体"/>
        </w:rPr>
        <w:t>2010年，南雄市环保局围绕全市中心工作，坚持环境保护始终服务招商引资和重点项目建设，服务群众身心健康的宗旨，履行职责，促进经济建设，推进污染防治和生态保护工作，取得明显成效。城市建成区空气质量优、良天数比例达100%（API指数≤100），城市环境空气中需检指标（可吸入颗粒物、SO2、NO2）达到省控标准，城区集中饮用水源水质达标率100%，河流水质达标率100%，烟尘控制区覆盖率100%，城市区域声环境质量达标率100%；全年减排化学需氧量942吨。</w:t>
      </w:r>
    </w:p>
    <w:p w14:paraId="6C6A4C40">
      <w:pPr>
        <w:pStyle w:val="4"/>
      </w:pPr>
      <w:r>
        <w:t>【环境保护工程进展】</w:t>
      </w:r>
    </w:p>
    <w:p w14:paraId="3F6C0B39">
      <w:pPr>
        <w:ind w:firstLine="420"/>
        <w:rPr>
          <w:rFonts w:ascii="宋体" w:hAnsi="宋体"/>
        </w:rPr>
      </w:pPr>
      <w:r>
        <w:rPr>
          <w:rFonts w:ascii="宋体" w:hAnsi="宋体"/>
        </w:rPr>
        <w:t>完成韶关市下达南雄市年度减排任务；通过实施乡村“清洁美”工程，农村环境保护特别是畜禽养殖污染防治工作全面启动，全年共投入资金122万元，已完成珠玑、黄坑、古市三个试点先行镇创建，正在开展帽子峰、主田两个先行镇的试点创建。完成年度环保责任考核和“城市环境综合整治定量考核”工作；严格项目审批，全年共审批建设项目17个，颁发排污许可证43份，环评执行率100%。重点把关园区新进项目，自园区建立以来，已有35个符合园区环评要求和招商引资政策的项目执行环评手续；园区污水处理厂建成试用；规范全市环境辐射管理，放射源安全处理率100%；抓好珠江流域环境综合整治，完成100万元对浈江河南雄红砂岭0.6平方公里范围的综合治理，完成140万元城市污水处理厂配套管网建设任务。</w:t>
      </w:r>
    </w:p>
    <w:p w14:paraId="62FC6BB7">
      <w:pPr>
        <w:pStyle w:val="4"/>
      </w:pPr>
      <w:r>
        <w:t>【加强环境监测建设】</w:t>
      </w:r>
    </w:p>
    <w:p w14:paraId="3B64CC10">
      <w:pPr>
        <w:ind w:firstLine="420"/>
        <w:rPr>
          <w:rFonts w:ascii="宋体" w:hAnsi="宋体"/>
        </w:rPr>
      </w:pPr>
      <w:r>
        <w:rPr>
          <w:rFonts w:ascii="宋体" w:hAnsi="宋体"/>
        </w:rPr>
        <w:t>完成一座监测大楼和一套环境空气自动监测系统的建设，添置和更新一批实验仪器设备；综洽、平安建设工作深入开展，环保信访案件处置率100%，无越级上访现象，局内无安全事故发生；加强环保宣传教育，坚持利用6.5环境日等活动宣传“绿色文明、幸福生活”理念，发放（张贴）环保标语读物450册（份），提高群众环保意识。</w:t>
      </w:r>
    </w:p>
    <w:p w14:paraId="680C66D7">
      <w:pPr>
        <w:pStyle w:val="4"/>
      </w:pPr>
      <w:r>
        <w:t>【环境管理】</w:t>
      </w:r>
    </w:p>
    <w:p w14:paraId="6F969932">
      <w:pPr>
        <w:ind w:firstLine="420"/>
        <w:rPr>
          <w:rFonts w:ascii="宋体" w:hAnsi="宋体"/>
        </w:rPr>
      </w:pPr>
      <w:r>
        <w:rPr>
          <w:rFonts w:ascii="宋体" w:hAnsi="宋体"/>
        </w:rPr>
        <w:t>执行《建设项目环境保护管理条例》和《环境影响评价法》等法规，严把建设项目审批关，特别是对进入产业园区的外资项目，按省环保厅批复的园区环评报告书审批入园项目，目前已通过环评审批的项目35个，“三同时”验收的5个。在严格项目把关的同时，服务招商引资和重点项目建设。一是对符合审批的建设项目，搞好后续跟踪管理，主动参与到项目环评和设计施工中，指导企业开展污染治理、落实“三同时”制度。二是跟踪服务重点项目建设，完成华电热电冷联供、水泥厂技改扩建、箭牌陶瓷厂和化工基地二期环评的现状调查与摸底监测。三是园区日处理能力2000吨的污水处理厂建成试用，园区内雨污分流和事故应急池等设施正在督促建设中。</w:t>
      </w:r>
    </w:p>
    <w:p w14:paraId="0A3FD0E2">
      <w:pPr>
        <w:pStyle w:val="4"/>
      </w:pPr>
      <w:r>
        <w:t>【污染防治】</w:t>
      </w:r>
    </w:p>
    <w:p w14:paraId="4B8BE5CB">
      <w:pPr>
        <w:ind w:firstLine="420"/>
        <w:rPr>
          <w:rFonts w:ascii="宋体" w:hAnsi="宋体"/>
        </w:rPr>
      </w:pPr>
      <w:r>
        <w:rPr>
          <w:rFonts w:ascii="宋体" w:hAnsi="宋体"/>
        </w:rPr>
        <w:t>加强对占全市污染负荷70%以上的国控重点排污企业珠玑纸业、城市污水处理厂的污染治理，完善在线监控设施，实现废水达标排放。2010年珠玑纸业投入100多万元治理废气，使燃烧废气达标排放，工艺废气得到有效改善。为彻底消除纸厂外排废臭气的现象，市政府已将纸厂搬迁纳入议事日程，目前正在开展可行性论证工作。</w:t>
      </w:r>
    </w:p>
    <w:p w14:paraId="0C2E30B8">
      <w:pPr>
        <w:pStyle w:val="4"/>
      </w:pPr>
      <w:r>
        <w:t>【加强环保执法监管】</w:t>
      </w:r>
    </w:p>
    <w:p w14:paraId="3F10625C">
      <w:pPr>
        <w:ind w:firstLine="420"/>
        <w:rPr>
          <w:rFonts w:ascii="宋体" w:hAnsi="宋体"/>
        </w:rPr>
      </w:pPr>
      <w:r>
        <w:rPr>
          <w:rFonts w:ascii="宋体" w:hAnsi="宋体"/>
        </w:rPr>
        <w:t>加大对重点流域、区域、行业和排污企业的隐患排查力度，加强</w:t>
      </w:r>
      <w:r>
        <w:rPr>
          <w:rFonts w:hint="eastAsia" w:ascii="宋体" w:hAnsi="宋体"/>
          <w:lang w:eastAsia="zh-CN"/>
        </w:rPr>
        <w:t>两会</w:t>
      </w:r>
      <w:r>
        <w:rPr>
          <w:rFonts w:ascii="宋体" w:hAnsi="宋体"/>
        </w:rPr>
        <w:t>期间环境应急专项检查和饮用水源保护区污染源、危险化学品、重金属与放射性安全隐患以及污染防治设施的重点检查，强化产业园区企业环保措施落实情况的日常检查和现场监管，建立每月定期监察和监测制度，完善一企一档台帐资料。全年检查企业247家次，出动执法人数584人次，下达整改要求的企业24家，取缔4个非法稀土矿点。加强全市医疗废物、工业危险废物规范化管理，督促完善医疗废物、工业危险废物管理档案，执行危险废物转移联单制度，做到集中无害化处置。加强环境辐射管理，定期检查有使用放射源的珠玑纸业、彤置富水泥厂的管理情况，督促涉源单位建立健全放射源档案、日常管理以及事故应急管理制度，设立编码卡，申领辐射安全许可证，专人保管。</w:t>
      </w:r>
    </w:p>
    <w:p w14:paraId="09FF70DD">
      <w:pPr>
        <w:pStyle w:val="4"/>
      </w:pPr>
      <w:r>
        <w:t>【抓好环境信访维稳工作】</w:t>
      </w:r>
    </w:p>
    <w:p w14:paraId="0DFB54C6">
      <w:pPr>
        <w:ind w:firstLine="420"/>
        <w:rPr>
          <w:rFonts w:ascii="宋体" w:hAnsi="宋体"/>
        </w:rPr>
      </w:pPr>
      <w:r>
        <w:rPr>
          <w:rFonts w:ascii="宋体" w:hAnsi="宋体"/>
        </w:rPr>
        <w:t>全年接访103件环保投诉案件全部处理，办结率100%。对群众反复投诉和反映强烈的污染环境问题加大排查处理力度，深入实地调查研究，妥善处理污染投诉，得到群众满意，未发生越级上访现象。</w:t>
      </w:r>
    </w:p>
    <w:p w14:paraId="10623932">
      <w:pPr>
        <w:pStyle w:val="4"/>
      </w:pPr>
      <w:r>
        <w:t>【加强城乡环境综合整治】</w:t>
      </w:r>
    </w:p>
    <w:p w14:paraId="41FD88E2">
      <w:pPr>
        <w:ind w:firstLine="420"/>
        <w:rPr>
          <w:rFonts w:ascii="宋体" w:hAnsi="宋体"/>
        </w:rPr>
      </w:pPr>
      <w:r>
        <w:rPr>
          <w:rFonts w:ascii="宋体" w:hAnsi="宋体"/>
        </w:rPr>
        <w:t>一是珠江流域环境综合整治进展顺利，完成投资100万元、面积0.6平方公里的南雄红砂岭水土流失治理。二是以实施乡村“清洁美”工程促进农村环保工作。实行“以奖代补”激励机制，开展农村生态示范村镇建设，完成全安、湖口两个生态示范村镇创建，乡村“清洁美”工程逐步推向全市所有村镇。</w:t>
      </w:r>
    </w:p>
    <w:p w14:paraId="2D3E09DD">
      <w:pPr>
        <w:pStyle w:val="4"/>
      </w:pPr>
      <w:r>
        <w:t>【抓好污染减排工作】</w:t>
      </w:r>
    </w:p>
    <w:p w14:paraId="18DDFE14">
      <w:pPr>
        <w:ind w:firstLine="420"/>
        <w:rPr>
          <w:rFonts w:ascii="宋体" w:hAnsi="宋体"/>
        </w:rPr>
      </w:pPr>
      <w:r>
        <w:rPr>
          <w:rFonts w:ascii="宋体" w:hAnsi="宋体"/>
        </w:rPr>
        <w:t>根据年度污染减排工作方案，以结构、工程、监督等减排方式推动珠玑纸业废水处理系统升级改造和清洁生产立审核，推动城市污水处理厂完善厂内运营设施管理和污水收集管网配套建设，建立污染减排台帐和在线监控机制，规范企业治污设施运转记录。全年减排化学需氧量942吨，减轻珠江流域浈江河段的污染负荷。</w:t>
      </w:r>
    </w:p>
    <w:p w14:paraId="2737D034">
      <w:pPr>
        <w:pStyle w:val="4"/>
      </w:pPr>
      <w:r>
        <w:t>【环境监测】</w:t>
      </w:r>
    </w:p>
    <w:p w14:paraId="4DA8EB4E">
      <w:pPr>
        <w:ind w:firstLine="420"/>
        <w:rPr>
          <w:rFonts w:ascii="宋体" w:hAnsi="宋体"/>
        </w:rPr>
      </w:pPr>
      <w:r>
        <w:rPr>
          <w:rFonts w:ascii="宋体" w:hAnsi="宋体"/>
        </w:rPr>
        <w:t>环境监测是环保决策与环境监管的“耳目”和“哨兵”。完成辖区水、声、气等项目的常规监测，加强对化工基地和新建项目的环境现场监测工作，完成项目竣工验收的监测、污染与纠纷的应急仲裁监测，重点污染源的监督性监测工作，以及亚运会期间的环境应急排查监测工作，全年出具有效监测数据2000多个。加强监测能力建设，正在新建一套大气环境质量自动监测系统和一座占地270平方米、投资250万元的监测大楼，实验用房1355平方米，添置和更新一批实验仪器设备，通过省市实验室资质认定验收。</w:t>
      </w:r>
    </w:p>
    <w:p w14:paraId="346F8CF5">
      <w:pPr>
        <w:ind w:firstLine="420"/>
        <w:jc w:val="right"/>
        <w:rPr>
          <w:rFonts w:ascii="宋体" w:hAnsi="宋体"/>
        </w:rPr>
      </w:pPr>
      <w:r>
        <w:rPr>
          <w:rFonts w:ascii="宋体" w:hAnsi="宋体"/>
        </w:rPr>
        <w:t>（何高）</w:t>
      </w:r>
    </w:p>
    <w:p w14:paraId="09BDAF09">
      <w:pPr>
        <w:ind w:firstLine="422"/>
        <w:rPr>
          <w:rFonts w:ascii="宋体" w:hAnsi="宋体"/>
          <w:b/>
          <w:bCs/>
        </w:rPr>
      </w:pPr>
      <w:r>
        <w:rPr>
          <w:rFonts w:ascii="宋体" w:hAnsi="宋体"/>
          <w:b/>
          <w:bCs/>
        </w:rPr>
        <w:t>附：2010年环保局领导班子成员名单</w:t>
      </w:r>
    </w:p>
    <w:p w14:paraId="7B3CBDF7">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沈步亮</w:t>
      </w:r>
    </w:p>
    <w:p w14:paraId="179A5093">
      <w:pPr>
        <w:ind w:firstLine="422"/>
        <w:rPr>
          <w:rFonts w:ascii="宋体" w:hAnsi="宋体"/>
        </w:rPr>
      </w:pPr>
      <w:r>
        <w:rPr>
          <w:rFonts w:ascii="宋体" w:hAnsi="宋体"/>
          <w:b/>
          <w:bCs/>
        </w:rPr>
        <w:t>副局长：</w:t>
      </w:r>
      <w:r>
        <w:rPr>
          <w:rFonts w:ascii="宋体" w:hAnsi="宋体"/>
        </w:rPr>
        <w:t>张宗林</w:t>
      </w:r>
      <w:r>
        <w:rPr>
          <w:rFonts w:hint="eastAsia" w:ascii="宋体" w:hAnsi="宋体"/>
        </w:rPr>
        <w:t xml:space="preserve">  </w:t>
      </w:r>
      <w:r>
        <w:rPr>
          <w:rFonts w:ascii="宋体" w:hAnsi="宋体"/>
        </w:rPr>
        <w:t>叶贤银</w:t>
      </w:r>
      <w:r>
        <w:rPr>
          <w:rFonts w:hint="eastAsia" w:ascii="宋体" w:hAnsi="宋体"/>
        </w:rPr>
        <w:t xml:space="preserve">  </w:t>
      </w:r>
      <w:r>
        <w:rPr>
          <w:rFonts w:ascii="宋体" w:hAnsi="宋体"/>
        </w:rPr>
        <w:t>王槐兰</w:t>
      </w:r>
    </w:p>
    <w:p w14:paraId="05C5FADB">
      <w:pPr>
        <w:ind w:firstLine="422"/>
        <w:rPr>
          <w:rFonts w:ascii="宋体" w:hAnsi="宋体"/>
        </w:rPr>
      </w:pPr>
      <w:r>
        <w:rPr>
          <w:rFonts w:ascii="宋体" w:hAnsi="宋体"/>
          <w:b/>
          <w:bCs/>
        </w:rPr>
        <w:t>纪检组长：</w:t>
      </w:r>
      <w:r>
        <w:rPr>
          <w:rFonts w:ascii="宋体" w:hAnsi="宋体"/>
        </w:rPr>
        <w:t>张宗正</w:t>
      </w:r>
    </w:p>
    <w:p w14:paraId="1A108142">
      <w:pPr>
        <w:ind w:firstLine="422"/>
        <w:rPr>
          <w:rFonts w:ascii="宋体" w:hAnsi="宋体"/>
        </w:rPr>
      </w:pPr>
      <w:r>
        <w:rPr>
          <w:rFonts w:ascii="宋体" w:hAnsi="宋体"/>
          <w:b/>
          <w:bCs/>
        </w:rPr>
        <w:t>工会主席：</w:t>
      </w:r>
      <w:r>
        <w:rPr>
          <w:rFonts w:ascii="宋体" w:hAnsi="宋体"/>
        </w:rPr>
        <w:t>刘剑锐</w:t>
      </w:r>
    </w:p>
    <w:p w14:paraId="07B59AA4">
      <w:pPr>
        <w:ind w:firstLine="422"/>
        <w:rPr>
          <w:rFonts w:hint="eastAsia" w:ascii="宋体" w:hAnsi="宋体"/>
        </w:rPr>
      </w:pPr>
      <w:r>
        <w:rPr>
          <w:rFonts w:ascii="宋体" w:hAnsi="宋体"/>
          <w:b/>
          <w:bCs/>
        </w:rPr>
        <w:t>监察分局局长：</w:t>
      </w:r>
      <w:r>
        <w:rPr>
          <w:rFonts w:ascii="宋体" w:hAnsi="宋体"/>
        </w:rPr>
        <w:t>黄海辉</w:t>
      </w:r>
    </w:p>
    <w:p w14:paraId="22C6B751">
      <w:pPr>
        <w:pStyle w:val="2"/>
        <w:rPr>
          <w:rFonts w:hint="eastAsia"/>
        </w:rPr>
      </w:pPr>
      <w:r>
        <w:rPr>
          <w:rFonts w:hint="eastAsia"/>
        </w:rPr>
        <w:t>彩页</w:t>
      </w:r>
    </w:p>
    <w:p w14:paraId="1503899E">
      <w:pPr>
        <w:pStyle w:val="3"/>
        <w:rPr>
          <w:rFonts w:hint="eastAsia"/>
        </w:rPr>
      </w:pPr>
      <w:r>
        <w:rPr>
          <w:rFonts w:hint="eastAsia"/>
        </w:rPr>
        <w:t>南雄市国土资源局</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A295A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15A11CE">
            <w:pPr>
              <w:ind w:firstLine="0" w:firstLineChars="0"/>
              <w:jc w:val="center"/>
              <w:rPr>
                <w:rFonts w:ascii="宋体" w:hAnsi="宋体"/>
              </w:rPr>
            </w:pPr>
            <w:r>
              <w:rPr>
                <w:rFonts w:ascii="宋体" w:hAnsi="宋体"/>
              </w:rPr>
              <w:drawing>
                <wp:inline distT="0" distB="0" distL="114300" distR="114300">
                  <wp:extent cx="5274310" cy="7329805"/>
                  <wp:effectExtent l="0" t="0" r="2540" b="4445"/>
                  <wp:docPr id="127" name="图片 37" descr="南雄年鉴 2011_0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37" descr="南雄年鉴 2011_0301"/>
                          <pic:cNvPicPr>
                            <a:picLocks noChangeAspect="1"/>
                          </pic:cNvPicPr>
                        </pic:nvPicPr>
                        <pic:blipFill>
                          <a:blip r:embed="rId129"/>
                          <a:stretch>
                            <a:fillRect/>
                          </a:stretch>
                        </pic:blipFill>
                        <pic:spPr>
                          <a:xfrm>
                            <a:off x="0" y="0"/>
                            <a:ext cx="5274310" cy="7329805"/>
                          </a:xfrm>
                          <a:prstGeom prst="rect">
                            <a:avLst/>
                          </a:prstGeom>
                          <a:noFill/>
                          <a:ln>
                            <a:noFill/>
                          </a:ln>
                        </pic:spPr>
                      </pic:pic>
                    </a:graphicData>
                  </a:graphic>
                </wp:inline>
              </w:drawing>
            </w:r>
          </w:p>
        </w:tc>
      </w:tr>
    </w:tbl>
    <w:p w14:paraId="07FF32A2">
      <w:pPr>
        <w:pStyle w:val="3"/>
        <w:rPr>
          <w:rFonts w:hint="eastAsia"/>
        </w:rPr>
      </w:pPr>
      <w:r>
        <w:rPr>
          <w:rFonts w:hint="eastAsia"/>
        </w:rPr>
        <w:t>韶关市南雄公路局</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C12F0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ED040D4">
            <w:pPr>
              <w:ind w:firstLine="0" w:firstLineChars="0"/>
              <w:jc w:val="center"/>
              <w:rPr>
                <w:rFonts w:ascii="宋体" w:hAnsi="宋体"/>
              </w:rPr>
            </w:pPr>
            <w:r>
              <w:rPr>
                <w:rFonts w:ascii="宋体" w:hAnsi="宋体"/>
              </w:rPr>
              <w:drawing>
                <wp:inline distT="0" distB="0" distL="114300" distR="114300">
                  <wp:extent cx="5800725" cy="8032115"/>
                  <wp:effectExtent l="0" t="0" r="9525" b="6985"/>
                  <wp:docPr id="138" name="图片 38" descr="南雄年鉴 2011_0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38" descr="南雄年鉴 2011_0302"/>
                          <pic:cNvPicPr>
                            <a:picLocks noChangeAspect="1"/>
                          </pic:cNvPicPr>
                        </pic:nvPicPr>
                        <pic:blipFill>
                          <a:blip r:embed="rId130"/>
                          <a:stretch>
                            <a:fillRect/>
                          </a:stretch>
                        </pic:blipFill>
                        <pic:spPr>
                          <a:xfrm>
                            <a:off x="0" y="0"/>
                            <a:ext cx="5800725" cy="8032115"/>
                          </a:xfrm>
                          <a:prstGeom prst="rect">
                            <a:avLst/>
                          </a:prstGeom>
                          <a:noFill/>
                          <a:ln>
                            <a:noFill/>
                          </a:ln>
                        </pic:spPr>
                      </pic:pic>
                    </a:graphicData>
                  </a:graphic>
                </wp:inline>
              </w:drawing>
            </w:r>
          </w:p>
        </w:tc>
      </w:tr>
    </w:tbl>
    <w:p w14:paraId="7BC259D7">
      <w:pPr>
        <w:ind w:firstLine="420"/>
        <w:rPr>
          <w:rFonts w:hint="eastAsia" w:ascii="宋体" w:hAnsi="宋体"/>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47457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3FAAAFA">
            <w:pPr>
              <w:ind w:firstLine="0" w:firstLineChars="0"/>
              <w:jc w:val="center"/>
              <w:rPr>
                <w:rFonts w:ascii="宋体" w:hAnsi="宋体"/>
              </w:rPr>
            </w:pPr>
            <w:r>
              <w:rPr>
                <w:rFonts w:ascii="宋体" w:hAnsi="宋体"/>
              </w:rPr>
              <w:drawing>
                <wp:inline distT="0" distB="0" distL="114300" distR="114300">
                  <wp:extent cx="5939790" cy="8237220"/>
                  <wp:effectExtent l="0" t="0" r="3810" b="11430"/>
                  <wp:docPr id="126" name="图片 39" descr="南雄年鉴 2011_0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9" descr="南雄年鉴 2011_0303"/>
                          <pic:cNvPicPr>
                            <a:picLocks noChangeAspect="1"/>
                          </pic:cNvPicPr>
                        </pic:nvPicPr>
                        <pic:blipFill>
                          <a:blip r:embed="rId131"/>
                          <a:stretch>
                            <a:fillRect/>
                          </a:stretch>
                        </pic:blipFill>
                        <pic:spPr>
                          <a:xfrm>
                            <a:off x="0" y="0"/>
                            <a:ext cx="5939790" cy="8237220"/>
                          </a:xfrm>
                          <a:prstGeom prst="rect">
                            <a:avLst/>
                          </a:prstGeom>
                          <a:noFill/>
                          <a:ln>
                            <a:noFill/>
                          </a:ln>
                        </pic:spPr>
                      </pic:pic>
                    </a:graphicData>
                  </a:graphic>
                </wp:inline>
              </w:drawing>
            </w:r>
          </w:p>
        </w:tc>
      </w:tr>
    </w:tbl>
    <w:p w14:paraId="4711CD7D">
      <w:pPr>
        <w:pStyle w:val="3"/>
        <w:rPr>
          <w:rFonts w:hint="eastAsia"/>
        </w:rPr>
      </w:pPr>
      <w:r>
        <w:rPr>
          <w:rFonts w:hint="eastAsia"/>
        </w:rPr>
        <w:t>南雄市水务局</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B7D49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214E106">
            <w:pPr>
              <w:ind w:firstLine="0" w:firstLineChars="0"/>
              <w:jc w:val="center"/>
              <w:rPr>
                <w:rFonts w:ascii="宋体" w:hAnsi="宋体"/>
              </w:rPr>
            </w:pPr>
            <w:r>
              <w:rPr>
                <w:rFonts w:ascii="宋体" w:hAnsi="宋体"/>
              </w:rPr>
              <w:drawing>
                <wp:inline distT="0" distB="0" distL="114300" distR="114300">
                  <wp:extent cx="5837555" cy="8098155"/>
                  <wp:effectExtent l="0" t="0" r="10795" b="17145"/>
                  <wp:docPr id="145" name="图片 40" descr="南雄年鉴 2011_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40" descr="南雄年鉴 2011_0304"/>
                          <pic:cNvPicPr>
                            <a:picLocks noChangeAspect="1"/>
                          </pic:cNvPicPr>
                        </pic:nvPicPr>
                        <pic:blipFill>
                          <a:blip r:embed="rId132"/>
                          <a:stretch>
                            <a:fillRect/>
                          </a:stretch>
                        </pic:blipFill>
                        <pic:spPr>
                          <a:xfrm>
                            <a:off x="0" y="0"/>
                            <a:ext cx="5837555" cy="8098155"/>
                          </a:xfrm>
                          <a:prstGeom prst="rect">
                            <a:avLst/>
                          </a:prstGeom>
                          <a:noFill/>
                          <a:ln>
                            <a:noFill/>
                          </a:ln>
                        </pic:spPr>
                      </pic:pic>
                    </a:graphicData>
                  </a:graphic>
                </wp:inline>
              </w:drawing>
            </w:r>
          </w:p>
        </w:tc>
      </w:tr>
    </w:tbl>
    <w:p w14:paraId="4A534F75">
      <w:pPr>
        <w:ind w:firstLine="420"/>
        <w:rPr>
          <w:rFonts w:hint="eastAsia" w:ascii="宋体" w:hAnsi="宋体"/>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B28F8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36BB98C">
            <w:pPr>
              <w:ind w:firstLine="0" w:firstLineChars="0"/>
              <w:jc w:val="center"/>
              <w:rPr>
                <w:rFonts w:ascii="宋体" w:hAnsi="宋体"/>
              </w:rPr>
            </w:pPr>
            <w:r>
              <w:rPr>
                <w:rFonts w:ascii="宋体" w:hAnsi="宋体"/>
              </w:rPr>
              <w:drawing>
                <wp:inline distT="0" distB="0" distL="114300" distR="114300">
                  <wp:extent cx="5925185" cy="8214995"/>
                  <wp:effectExtent l="0" t="0" r="18415" b="14605"/>
                  <wp:docPr id="80" name="图片 41" descr="南雄年鉴 2011_0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1" descr="南雄年鉴 2011_0305"/>
                          <pic:cNvPicPr>
                            <a:picLocks noChangeAspect="1"/>
                          </pic:cNvPicPr>
                        </pic:nvPicPr>
                        <pic:blipFill>
                          <a:blip r:embed="rId133"/>
                          <a:stretch>
                            <a:fillRect/>
                          </a:stretch>
                        </pic:blipFill>
                        <pic:spPr>
                          <a:xfrm>
                            <a:off x="0" y="0"/>
                            <a:ext cx="5925185" cy="8214995"/>
                          </a:xfrm>
                          <a:prstGeom prst="rect">
                            <a:avLst/>
                          </a:prstGeom>
                          <a:noFill/>
                          <a:ln>
                            <a:noFill/>
                          </a:ln>
                        </pic:spPr>
                      </pic:pic>
                    </a:graphicData>
                  </a:graphic>
                </wp:inline>
              </w:drawing>
            </w:r>
          </w:p>
        </w:tc>
      </w:tr>
    </w:tbl>
    <w:p w14:paraId="71A2702A">
      <w:pPr>
        <w:pStyle w:val="3"/>
        <w:rPr>
          <w:rFonts w:hint="eastAsia"/>
        </w:rPr>
      </w:pPr>
      <w:r>
        <w:rPr>
          <w:rFonts w:hint="eastAsia"/>
        </w:rPr>
        <w:t>南雄市总工会</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85561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3D78374">
            <w:pPr>
              <w:ind w:firstLine="0" w:firstLineChars="0"/>
              <w:jc w:val="center"/>
              <w:rPr>
                <w:rFonts w:ascii="宋体" w:hAnsi="宋体"/>
              </w:rPr>
            </w:pPr>
            <w:r>
              <w:rPr>
                <w:rFonts w:ascii="宋体" w:hAnsi="宋体"/>
              </w:rPr>
              <w:drawing>
                <wp:inline distT="0" distB="0" distL="114300" distR="114300">
                  <wp:extent cx="5720715" cy="7929880"/>
                  <wp:effectExtent l="0" t="0" r="13335" b="13970"/>
                  <wp:docPr id="124" name="图片 42" descr="南雄年鉴 2011_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42" descr="南雄年鉴 2011_0306"/>
                          <pic:cNvPicPr>
                            <a:picLocks noChangeAspect="1"/>
                          </pic:cNvPicPr>
                        </pic:nvPicPr>
                        <pic:blipFill>
                          <a:blip r:embed="rId134"/>
                          <a:stretch>
                            <a:fillRect/>
                          </a:stretch>
                        </pic:blipFill>
                        <pic:spPr>
                          <a:xfrm>
                            <a:off x="0" y="0"/>
                            <a:ext cx="5720715" cy="7929880"/>
                          </a:xfrm>
                          <a:prstGeom prst="rect">
                            <a:avLst/>
                          </a:prstGeom>
                          <a:noFill/>
                          <a:ln>
                            <a:noFill/>
                          </a:ln>
                        </pic:spPr>
                      </pic:pic>
                    </a:graphicData>
                  </a:graphic>
                </wp:inline>
              </w:drawing>
            </w:r>
          </w:p>
        </w:tc>
      </w:tr>
    </w:tbl>
    <w:p w14:paraId="35CAEF92">
      <w:pPr>
        <w:pStyle w:val="3"/>
        <w:rPr>
          <w:rFonts w:hint="eastAsia"/>
        </w:rPr>
      </w:pPr>
      <w:r>
        <w:rPr>
          <w:rFonts w:hint="eastAsia"/>
        </w:rPr>
        <w:t>南雄市教育局</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CEAD3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50E079E">
            <w:pPr>
              <w:ind w:firstLine="0" w:firstLineChars="0"/>
              <w:jc w:val="center"/>
              <w:rPr>
                <w:rFonts w:ascii="宋体" w:hAnsi="宋体"/>
              </w:rPr>
            </w:pPr>
            <w:r>
              <w:rPr>
                <w:rFonts w:ascii="宋体" w:hAnsi="宋体"/>
              </w:rPr>
              <w:drawing>
                <wp:inline distT="0" distB="0" distL="114300" distR="114300">
                  <wp:extent cx="5742305" cy="7959090"/>
                  <wp:effectExtent l="0" t="0" r="10795" b="3810"/>
                  <wp:docPr id="136" name="图片 43" descr="南雄年鉴 2011_0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43" descr="南雄年鉴 2011_0307"/>
                          <pic:cNvPicPr>
                            <a:picLocks noChangeAspect="1"/>
                          </pic:cNvPicPr>
                        </pic:nvPicPr>
                        <pic:blipFill>
                          <a:blip r:embed="rId135"/>
                          <a:stretch>
                            <a:fillRect/>
                          </a:stretch>
                        </pic:blipFill>
                        <pic:spPr>
                          <a:xfrm>
                            <a:off x="0" y="0"/>
                            <a:ext cx="5742305" cy="7959090"/>
                          </a:xfrm>
                          <a:prstGeom prst="rect">
                            <a:avLst/>
                          </a:prstGeom>
                          <a:noFill/>
                          <a:ln>
                            <a:noFill/>
                          </a:ln>
                        </pic:spPr>
                      </pic:pic>
                    </a:graphicData>
                  </a:graphic>
                </wp:inline>
              </w:drawing>
            </w:r>
          </w:p>
        </w:tc>
      </w:tr>
    </w:tbl>
    <w:p w14:paraId="7EB849F0">
      <w:pPr>
        <w:pStyle w:val="3"/>
        <w:rPr>
          <w:rFonts w:hint="eastAsia"/>
        </w:rPr>
      </w:pPr>
      <w:r>
        <w:rPr>
          <w:rFonts w:hint="eastAsia"/>
        </w:rPr>
        <w:t>南雄市交通运输局</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944EE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B7F1DED">
            <w:pPr>
              <w:ind w:firstLine="0" w:firstLineChars="0"/>
              <w:jc w:val="center"/>
              <w:rPr>
                <w:rFonts w:ascii="宋体" w:hAnsi="宋体"/>
              </w:rPr>
            </w:pPr>
            <w:r>
              <w:rPr>
                <w:rFonts w:ascii="宋体" w:hAnsi="宋体"/>
              </w:rPr>
              <w:drawing>
                <wp:inline distT="0" distB="0" distL="114300" distR="114300">
                  <wp:extent cx="5713095" cy="7915275"/>
                  <wp:effectExtent l="0" t="0" r="1905" b="9525"/>
                  <wp:docPr id="139" name="图片 44" descr="南雄年鉴 2011_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44" descr="南雄年鉴 2011_0308"/>
                          <pic:cNvPicPr>
                            <a:picLocks noChangeAspect="1"/>
                          </pic:cNvPicPr>
                        </pic:nvPicPr>
                        <pic:blipFill>
                          <a:blip r:embed="rId136"/>
                          <a:stretch>
                            <a:fillRect/>
                          </a:stretch>
                        </pic:blipFill>
                        <pic:spPr>
                          <a:xfrm>
                            <a:off x="0" y="0"/>
                            <a:ext cx="5713095" cy="7915275"/>
                          </a:xfrm>
                          <a:prstGeom prst="rect">
                            <a:avLst/>
                          </a:prstGeom>
                          <a:noFill/>
                          <a:ln>
                            <a:noFill/>
                          </a:ln>
                        </pic:spPr>
                      </pic:pic>
                    </a:graphicData>
                  </a:graphic>
                </wp:inline>
              </w:drawing>
            </w:r>
          </w:p>
        </w:tc>
      </w:tr>
    </w:tbl>
    <w:p w14:paraId="625B29ED">
      <w:pPr>
        <w:pStyle w:val="3"/>
        <w:rPr>
          <w:rFonts w:hint="eastAsia"/>
        </w:rPr>
      </w:pPr>
      <w:r>
        <w:rPr>
          <w:rFonts w:hint="eastAsia"/>
        </w:rPr>
        <w:t>南雄市卫生局</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F2605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50953BB">
            <w:pPr>
              <w:ind w:firstLine="0" w:firstLineChars="0"/>
              <w:jc w:val="center"/>
              <w:rPr>
                <w:rFonts w:ascii="宋体" w:hAnsi="宋体"/>
              </w:rPr>
            </w:pPr>
            <w:r>
              <w:rPr>
                <w:rFonts w:ascii="宋体" w:hAnsi="宋体"/>
              </w:rPr>
              <w:drawing>
                <wp:inline distT="0" distB="0" distL="114300" distR="114300">
                  <wp:extent cx="5698490" cy="7907655"/>
                  <wp:effectExtent l="0" t="0" r="16510" b="17145"/>
                  <wp:docPr id="140" name="图片 45" descr="南雄年鉴 2011_0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45" descr="南雄年鉴 2011_0309"/>
                          <pic:cNvPicPr>
                            <a:picLocks noChangeAspect="1"/>
                          </pic:cNvPicPr>
                        </pic:nvPicPr>
                        <pic:blipFill>
                          <a:blip r:embed="rId137"/>
                          <a:stretch>
                            <a:fillRect/>
                          </a:stretch>
                        </pic:blipFill>
                        <pic:spPr>
                          <a:xfrm>
                            <a:off x="0" y="0"/>
                            <a:ext cx="5698490" cy="7907655"/>
                          </a:xfrm>
                          <a:prstGeom prst="rect">
                            <a:avLst/>
                          </a:prstGeom>
                          <a:noFill/>
                          <a:ln>
                            <a:noFill/>
                          </a:ln>
                        </pic:spPr>
                      </pic:pic>
                    </a:graphicData>
                  </a:graphic>
                </wp:inline>
              </w:drawing>
            </w:r>
          </w:p>
        </w:tc>
      </w:tr>
    </w:tbl>
    <w:p w14:paraId="14A4D942">
      <w:pPr>
        <w:pStyle w:val="3"/>
        <w:rPr>
          <w:rFonts w:hint="eastAsia"/>
        </w:rPr>
      </w:pPr>
      <w:r>
        <w:rPr>
          <w:rFonts w:hint="eastAsia"/>
        </w:rPr>
        <w:t>南雄市人口和计划生育局</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B2C75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F8CF159">
            <w:pPr>
              <w:ind w:firstLine="0" w:firstLineChars="0"/>
              <w:jc w:val="center"/>
              <w:rPr>
                <w:rFonts w:ascii="宋体" w:hAnsi="宋体"/>
              </w:rPr>
            </w:pPr>
            <w:r>
              <w:rPr>
                <w:rFonts w:ascii="宋体" w:hAnsi="宋体"/>
              </w:rPr>
              <w:drawing>
                <wp:inline distT="0" distB="0" distL="114300" distR="114300">
                  <wp:extent cx="5640070" cy="7812405"/>
                  <wp:effectExtent l="0" t="0" r="17780" b="17145"/>
                  <wp:docPr id="137" name="图片 46" descr="南雄年鉴 2011_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46" descr="南雄年鉴 2011_0310"/>
                          <pic:cNvPicPr>
                            <a:picLocks noChangeAspect="1"/>
                          </pic:cNvPicPr>
                        </pic:nvPicPr>
                        <pic:blipFill>
                          <a:blip r:embed="rId138"/>
                          <a:stretch>
                            <a:fillRect/>
                          </a:stretch>
                        </pic:blipFill>
                        <pic:spPr>
                          <a:xfrm>
                            <a:off x="0" y="0"/>
                            <a:ext cx="5640070" cy="7812405"/>
                          </a:xfrm>
                          <a:prstGeom prst="rect">
                            <a:avLst/>
                          </a:prstGeom>
                          <a:noFill/>
                          <a:ln>
                            <a:noFill/>
                          </a:ln>
                        </pic:spPr>
                      </pic:pic>
                    </a:graphicData>
                  </a:graphic>
                </wp:inline>
              </w:drawing>
            </w:r>
          </w:p>
        </w:tc>
      </w:tr>
    </w:tbl>
    <w:p w14:paraId="0FE11C14">
      <w:pPr>
        <w:pStyle w:val="3"/>
        <w:rPr>
          <w:rFonts w:hint="eastAsia"/>
        </w:rPr>
      </w:pPr>
      <w:r>
        <w:rPr>
          <w:rFonts w:hint="eastAsia"/>
        </w:rPr>
        <w:t>南雄市广播电视台</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C0F6F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2FDCE03E">
            <w:pPr>
              <w:ind w:firstLine="0" w:firstLineChars="0"/>
              <w:jc w:val="center"/>
              <w:rPr>
                <w:rFonts w:ascii="宋体" w:hAnsi="宋体"/>
              </w:rPr>
            </w:pPr>
            <w:r>
              <w:rPr>
                <w:rFonts w:ascii="宋体" w:hAnsi="宋体"/>
              </w:rPr>
              <w:drawing>
                <wp:inline distT="0" distB="0" distL="114300" distR="114300">
                  <wp:extent cx="5844540" cy="8119745"/>
                  <wp:effectExtent l="0" t="0" r="3810" b="14605"/>
                  <wp:docPr id="128" name="图片 47" descr="南雄年鉴 2011_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47" descr="南雄年鉴 2011_0311"/>
                          <pic:cNvPicPr>
                            <a:picLocks noChangeAspect="1"/>
                          </pic:cNvPicPr>
                        </pic:nvPicPr>
                        <pic:blipFill>
                          <a:blip r:embed="rId139"/>
                          <a:stretch>
                            <a:fillRect/>
                          </a:stretch>
                        </pic:blipFill>
                        <pic:spPr>
                          <a:xfrm>
                            <a:off x="0" y="0"/>
                            <a:ext cx="5844540" cy="8119745"/>
                          </a:xfrm>
                          <a:prstGeom prst="rect">
                            <a:avLst/>
                          </a:prstGeom>
                          <a:noFill/>
                          <a:ln>
                            <a:noFill/>
                          </a:ln>
                        </pic:spPr>
                      </pic:pic>
                    </a:graphicData>
                  </a:graphic>
                </wp:inline>
              </w:drawing>
            </w:r>
          </w:p>
        </w:tc>
      </w:tr>
    </w:tbl>
    <w:p w14:paraId="66BDCCD8">
      <w:pPr>
        <w:pStyle w:val="3"/>
        <w:rPr>
          <w:rFonts w:hint="eastAsia"/>
        </w:rPr>
      </w:pPr>
      <w:r>
        <w:rPr>
          <w:rFonts w:hint="eastAsia"/>
        </w:rPr>
        <w:t>南雄市公安消防大队</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E7096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3A763BF0">
            <w:pPr>
              <w:ind w:firstLine="0" w:firstLineChars="0"/>
              <w:jc w:val="center"/>
              <w:rPr>
                <w:rFonts w:ascii="宋体" w:hAnsi="宋体"/>
              </w:rPr>
            </w:pPr>
            <w:r>
              <w:rPr>
                <w:rFonts w:ascii="宋体" w:hAnsi="宋体"/>
              </w:rPr>
              <w:drawing>
                <wp:inline distT="0" distB="0" distL="114300" distR="114300">
                  <wp:extent cx="5713095" cy="7929880"/>
                  <wp:effectExtent l="0" t="0" r="1905" b="13970"/>
                  <wp:docPr id="149" name="图片 48" descr="南雄年鉴 2011_0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48" descr="南雄年鉴 2011_0312"/>
                          <pic:cNvPicPr>
                            <a:picLocks noChangeAspect="1"/>
                          </pic:cNvPicPr>
                        </pic:nvPicPr>
                        <pic:blipFill>
                          <a:blip r:embed="rId140"/>
                          <a:stretch>
                            <a:fillRect/>
                          </a:stretch>
                        </pic:blipFill>
                        <pic:spPr>
                          <a:xfrm>
                            <a:off x="0" y="0"/>
                            <a:ext cx="5713095" cy="7929880"/>
                          </a:xfrm>
                          <a:prstGeom prst="rect">
                            <a:avLst/>
                          </a:prstGeom>
                          <a:noFill/>
                          <a:ln>
                            <a:noFill/>
                          </a:ln>
                        </pic:spPr>
                      </pic:pic>
                    </a:graphicData>
                  </a:graphic>
                </wp:inline>
              </w:drawing>
            </w:r>
          </w:p>
        </w:tc>
      </w:tr>
    </w:tbl>
    <w:p w14:paraId="3BAD3A57">
      <w:pPr>
        <w:pStyle w:val="3"/>
        <w:rPr>
          <w:rFonts w:hint="eastAsia"/>
        </w:rPr>
      </w:pPr>
      <w:r>
        <w:rPr>
          <w:rFonts w:hint="eastAsia"/>
        </w:rPr>
        <w:t>南雄市人力资源和社会保障局</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713C6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52EE1F1">
            <w:pPr>
              <w:ind w:firstLine="0" w:firstLineChars="0"/>
              <w:jc w:val="center"/>
              <w:rPr>
                <w:rFonts w:ascii="宋体" w:hAnsi="宋体"/>
              </w:rPr>
            </w:pPr>
            <w:r>
              <w:rPr>
                <w:rFonts w:ascii="宋体" w:hAnsi="宋体"/>
              </w:rPr>
              <w:drawing>
                <wp:inline distT="0" distB="0" distL="114300" distR="114300">
                  <wp:extent cx="5727700" cy="7936865"/>
                  <wp:effectExtent l="0" t="0" r="6350" b="6985"/>
                  <wp:docPr id="144" name="图片 49" descr="南雄年鉴 2011_0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49" descr="南雄年鉴 2011_0313"/>
                          <pic:cNvPicPr>
                            <a:picLocks noChangeAspect="1"/>
                          </pic:cNvPicPr>
                        </pic:nvPicPr>
                        <pic:blipFill>
                          <a:blip r:embed="rId141"/>
                          <a:stretch>
                            <a:fillRect/>
                          </a:stretch>
                        </pic:blipFill>
                        <pic:spPr>
                          <a:xfrm>
                            <a:off x="0" y="0"/>
                            <a:ext cx="5727700" cy="7936865"/>
                          </a:xfrm>
                          <a:prstGeom prst="rect">
                            <a:avLst/>
                          </a:prstGeom>
                          <a:noFill/>
                          <a:ln>
                            <a:noFill/>
                          </a:ln>
                        </pic:spPr>
                      </pic:pic>
                    </a:graphicData>
                  </a:graphic>
                </wp:inline>
              </w:drawing>
            </w:r>
          </w:p>
        </w:tc>
      </w:tr>
    </w:tbl>
    <w:p w14:paraId="2A6BEE26">
      <w:pPr>
        <w:pStyle w:val="3"/>
        <w:rPr>
          <w:rFonts w:hint="eastAsia"/>
        </w:rPr>
      </w:pPr>
      <w:r>
        <w:rPr>
          <w:rFonts w:hint="eastAsia"/>
        </w:rPr>
        <w:t>南雄市民政局</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6A663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EB378BA">
            <w:pPr>
              <w:ind w:firstLine="0" w:firstLineChars="0"/>
              <w:jc w:val="center"/>
              <w:rPr>
                <w:rFonts w:ascii="宋体" w:hAnsi="宋体"/>
              </w:rPr>
            </w:pPr>
            <w:r>
              <w:rPr>
                <w:rFonts w:ascii="宋体" w:hAnsi="宋体"/>
              </w:rPr>
              <w:drawing>
                <wp:inline distT="0" distB="0" distL="114300" distR="114300">
                  <wp:extent cx="5742305" cy="7966075"/>
                  <wp:effectExtent l="0" t="0" r="10795" b="15875"/>
                  <wp:docPr id="123" name="图片 50" descr="南雄年鉴 2011_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50" descr="南雄年鉴 2011_0314"/>
                          <pic:cNvPicPr>
                            <a:picLocks noChangeAspect="1"/>
                          </pic:cNvPicPr>
                        </pic:nvPicPr>
                        <pic:blipFill>
                          <a:blip r:embed="rId142"/>
                          <a:stretch>
                            <a:fillRect/>
                          </a:stretch>
                        </pic:blipFill>
                        <pic:spPr>
                          <a:xfrm>
                            <a:off x="0" y="0"/>
                            <a:ext cx="5742305" cy="7966075"/>
                          </a:xfrm>
                          <a:prstGeom prst="rect">
                            <a:avLst/>
                          </a:prstGeom>
                          <a:noFill/>
                          <a:ln>
                            <a:noFill/>
                          </a:ln>
                        </pic:spPr>
                      </pic:pic>
                    </a:graphicData>
                  </a:graphic>
                </wp:inline>
              </w:drawing>
            </w:r>
          </w:p>
        </w:tc>
      </w:tr>
    </w:tbl>
    <w:p w14:paraId="04FA99FA">
      <w:pPr>
        <w:pStyle w:val="3"/>
        <w:rPr>
          <w:rFonts w:hint="eastAsia"/>
        </w:rPr>
      </w:pPr>
      <w:r>
        <w:rPr>
          <w:rFonts w:hint="eastAsia"/>
        </w:rPr>
        <w:t>南雄市发展和改革局</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538F4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2842C8E9">
            <w:pPr>
              <w:ind w:firstLine="0" w:firstLineChars="0"/>
              <w:jc w:val="center"/>
              <w:rPr>
                <w:rFonts w:ascii="宋体" w:hAnsi="宋体"/>
              </w:rPr>
            </w:pPr>
            <w:r>
              <w:rPr>
                <w:rFonts w:ascii="宋体" w:hAnsi="宋体"/>
              </w:rPr>
              <w:drawing>
                <wp:inline distT="0" distB="0" distL="114300" distR="114300">
                  <wp:extent cx="5713095" cy="7915275"/>
                  <wp:effectExtent l="0" t="0" r="1905" b="9525"/>
                  <wp:docPr id="130" name="图片 51" descr="南雄年鉴 2011_0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51" descr="南雄年鉴 2011_0315"/>
                          <pic:cNvPicPr>
                            <a:picLocks noChangeAspect="1"/>
                          </pic:cNvPicPr>
                        </pic:nvPicPr>
                        <pic:blipFill>
                          <a:blip r:embed="rId143"/>
                          <a:stretch>
                            <a:fillRect/>
                          </a:stretch>
                        </pic:blipFill>
                        <pic:spPr>
                          <a:xfrm>
                            <a:off x="0" y="0"/>
                            <a:ext cx="5713095" cy="7915275"/>
                          </a:xfrm>
                          <a:prstGeom prst="rect">
                            <a:avLst/>
                          </a:prstGeom>
                          <a:noFill/>
                          <a:ln>
                            <a:noFill/>
                          </a:ln>
                        </pic:spPr>
                      </pic:pic>
                    </a:graphicData>
                  </a:graphic>
                </wp:inline>
              </w:drawing>
            </w:r>
          </w:p>
        </w:tc>
      </w:tr>
    </w:tbl>
    <w:p w14:paraId="6E52840F">
      <w:pPr>
        <w:pStyle w:val="3"/>
        <w:rPr>
          <w:rFonts w:hint="eastAsia"/>
        </w:rPr>
      </w:pPr>
      <w:r>
        <w:rPr>
          <w:rFonts w:hint="eastAsia"/>
        </w:rPr>
        <w:t>南雄市气象局</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793AD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EDE5EBE">
            <w:pPr>
              <w:ind w:firstLine="0" w:firstLineChars="0"/>
              <w:jc w:val="center"/>
              <w:rPr>
                <w:rFonts w:ascii="宋体" w:hAnsi="宋体"/>
              </w:rPr>
            </w:pPr>
            <w:r>
              <w:rPr>
                <w:rFonts w:ascii="宋体" w:hAnsi="宋体"/>
              </w:rPr>
              <w:drawing>
                <wp:inline distT="0" distB="0" distL="114300" distR="114300">
                  <wp:extent cx="5771515" cy="8002905"/>
                  <wp:effectExtent l="0" t="0" r="635" b="17145"/>
                  <wp:docPr id="150" name="图片 52" descr="南雄年鉴 2011_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52" descr="南雄年鉴 2011_0316"/>
                          <pic:cNvPicPr>
                            <a:picLocks noChangeAspect="1"/>
                          </pic:cNvPicPr>
                        </pic:nvPicPr>
                        <pic:blipFill>
                          <a:blip r:embed="rId144"/>
                          <a:stretch>
                            <a:fillRect/>
                          </a:stretch>
                        </pic:blipFill>
                        <pic:spPr>
                          <a:xfrm>
                            <a:off x="0" y="0"/>
                            <a:ext cx="5771515" cy="8002905"/>
                          </a:xfrm>
                          <a:prstGeom prst="rect">
                            <a:avLst/>
                          </a:prstGeom>
                          <a:noFill/>
                          <a:ln>
                            <a:noFill/>
                          </a:ln>
                        </pic:spPr>
                      </pic:pic>
                    </a:graphicData>
                  </a:graphic>
                </wp:inline>
              </w:drawing>
            </w:r>
          </w:p>
        </w:tc>
      </w:tr>
    </w:tbl>
    <w:p w14:paraId="7658A6F0">
      <w:pPr>
        <w:pStyle w:val="3"/>
        <w:rPr>
          <w:rFonts w:hint="eastAsia"/>
        </w:rPr>
      </w:pPr>
      <w:r>
        <w:rPr>
          <w:rFonts w:hint="eastAsia"/>
        </w:rPr>
        <w:t>南雄市科学技术局</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D8469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EE4639C">
            <w:pPr>
              <w:ind w:firstLine="0" w:firstLineChars="0"/>
              <w:jc w:val="center"/>
              <w:rPr>
                <w:rFonts w:ascii="宋体" w:hAnsi="宋体"/>
              </w:rPr>
            </w:pPr>
            <w:r>
              <w:rPr>
                <w:rFonts w:ascii="宋体" w:hAnsi="宋体"/>
              </w:rPr>
              <w:drawing>
                <wp:inline distT="0" distB="0" distL="114300" distR="114300">
                  <wp:extent cx="5749925" cy="7966075"/>
                  <wp:effectExtent l="0" t="0" r="3175" b="15875"/>
                  <wp:docPr id="146" name="图片 53" descr="南雄年鉴 2011_0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53" descr="南雄年鉴 2011_0317"/>
                          <pic:cNvPicPr>
                            <a:picLocks noChangeAspect="1"/>
                          </pic:cNvPicPr>
                        </pic:nvPicPr>
                        <pic:blipFill>
                          <a:blip r:embed="rId145"/>
                          <a:stretch>
                            <a:fillRect/>
                          </a:stretch>
                        </pic:blipFill>
                        <pic:spPr>
                          <a:xfrm>
                            <a:off x="0" y="0"/>
                            <a:ext cx="5749925" cy="7966075"/>
                          </a:xfrm>
                          <a:prstGeom prst="rect">
                            <a:avLst/>
                          </a:prstGeom>
                          <a:noFill/>
                          <a:ln>
                            <a:noFill/>
                          </a:ln>
                        </pic:spPr>
                      </pic:pic>
                    </a:graphicData>
                  </a:graphic>
                </wp:inline>
              </w:drawing>
            </w:r>
          </w:p>
        </w:tc>
      </w:tr>
    </w:tbl>
    <w:p w14:paraId="65B7A9C0">
      <w:pPr>
        <w:pStyle w:val="3"/>
        <w:rPr>
          <w:rFonts w:hint="eastAsia"/>
        </w:rPr>
      </w:pPr>
      <w:r>
        <w:rPr>
          <w:rFonts w:hint="eastAsia"/>
        </w:rPr>
        <w:t>韶关市社会保险南雄办事处</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7911E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B73EA4B">
            <w:pPr>
              <w:ind w:firstLine="0" w:firstLineChars="0"/>
              <w:jc w:val="center"/>
              <w:rPr>
                <w:rFonts w:ascii="宋体" w:hAnsi="宋体"/>
              </w:rPr>
            </w:pPr>
            <w:r>
              <w:rPr>
                <w:rFonts w:ascii="宋体" w:hAnsi="宋体"/>
              </w:rPr>
              <w:drawing>
                <wp:inline distT="0" distB="0" distL="114300" distR="114300">
                  <wp:extent cx="5713095" cy="7929880"/>
                  <wp:effectExtent l="0" t="0" r="1905" b="13970"/>
                  <wp:docPr id="141" name="图片 54" descr="南雄年鉴 2011_0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54" descr="南雄年鉴 2011_0318"/>
                          <pic:cNvPicPr>
                            <a:picLocks noChangeAspect="1"/>
                          </pic:cNvPicPr>
                        </pic:nvPicPr>
                        <pic:blipFill>
                          <a:blip r:embed="rId146"/>
                          <a:stretch>
                            <a:fillRect/>
                          </a:stretch>
                        </pic:blipFill>
                        <pic:spPr>
                          <a:xfrm>
                            <a:off x="0" y="0"/>
                            <a:ext cx="5713095" cy="7929880"/>
                          </a:xfrm>
                          <a:prstGeom prst="rect">
                            <a:avLst/>
                          </a:prstGeom>
                          <a:noFill/>
                          <a:ln>
                            <a:noFill/>
                          </a:ln>
                        </pic:spPr>
                      </pic:pic>
                    </a:graphicData>
                  </a:graphic>
                </wp:inline>
              </w:drawing>
            </w:r>
          </w:p>
        </w:tc>
      </w:tr>
    </w:tbl>
    <w:p w14:paraId="163B6C0C">
      <w:pPr>
        <w:pStyle w:val="3"/>
        <w:rPr>
          <w:rFonts w:hint="eastAsia"/>
        </w:rPr>
      </w:pPr>
      <w:r>
        <w:rPr>
          <w:rFonts w:hint="eastAsia"/>
        </w:rPr>
        <w:t>南雄市农村信用合作联社</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3A9C0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365C59C">
            <w:pPr>
              <w:ind w:firstLine="0" w:firstLineChars="0"/>
              <w:jc w:val="center"/>
              <w:rPr>
                <w:rFonts w:ascii="宋体" w:hAnsi="宋体"/>
              </w:rPr>
            </w:pPr>
            <w:r>
              <w:rPr>
                <w:rFonts w:ascii="宋体" w:hAnsi="宋体"/>
              </w:rPr>
              <w:drawing>
                <wp:inline distT="0" distB="0" distL="114300" distR="114300">
                  <wp:extent cx="5706110" cy="7907655"/>
                  <wp:effectExtent l="0" t="0" r="8890" b="17145"/>
                  <wp:docPr id="151" name="图片 55" descr="南雄年鉴 2011_0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55" descr="南雄年鉴 2011_0319"/>
                          <pic:cNvPicPr>
                            <a:picLocks noChangeAspect="1"/>
                          </pic:cNvPicPr>
                        </pic:nvPicPr>
                        <pic:blipFill>
                          <a:blip r:embed="rId147"/>
                          <a:stretch>
                            <a:fillRect/>
                          </a:stretch>
                        </pic:blipFill>
                        <pic:spPr>
                          <a:xfrm>
                            <a:off x="0" y="0"/>
                            <a:ext cx="5706110" cy="7907655"/>
                          </a:xfrm>
                          <a:prstGeom prst="rect">
                            <a:avLst/>
                          </a:prstGeom>
                          <a:noFill/>
                          <a:ln>
                            <a:noFill/>
                          </a:ln>
                        </pic:spPr>
                      </pic:pic>
                    </a:graphicData>
                  </a:graphic>
                </wp:inline>
              </w:drawing>
            </w:r>
          </w:p>
        </w:tc>
      </w:tr>
    </w:tbl>
    <w:p w14:paraId="73DD4071">
      <w:pPr>
        <w:pStyle w:val="3"/>
        <w:rPr>
          <w:rFonts w:hint="eastAsia"/>
        </w:rPr>
      </w:pPr>
      <w:r>
        <w:rPr>
          <w:rFonts w:hint="eastAsia"/>
        </w:rPr>
        <w:t>南雄市人民医院</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F39A1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365B84F8">
            <w:pPr>
              <w:ind w:firstLine="0" w:firstLineChars="0"/>
              <w:jc w:val="center"/>
              <w:rPr>
                <w:rFonts w:ascii="宋体" w:hAnsi="宋体"/>
              </w:rPr>
            </w:pPr>
            <w:r>
              <w:rPr>
                <w:rFonts w:ascii="宋体" w:hAnsi="宋体"/>
              </w:rPr>
              <w:drawing>
                <wp:inline distT="0" distB="0" distL="114300" distR="114300">
                  <wp:extent cx="5669280" cy="7863840"/>
                  <wp:effectExtent l="0" t="0" r="7620" b="3810"/>
                  <wp:docPr id="142" name="图片 56" descr="南雄年鉴 2011_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56" descr="南雄年鉴 2011_0320"/>
                          <pic:cNvPicPr>
                            <a:picLocks noChangeAspect="1"/>
                          </pic:cNvPicPr>
                        </pic:nvPicPr>
                        <pic:blipFill>
                          <a:blip r:embed="rId148"/>
                          <a:stretch>
                            <a:fillRect/>
                          </a:stretch>
                        </pic:blipFill>
                        <pic:spPr>
                          <a:xfrm>
                            <a:off x="0" y="0"/>
                            <a:ext cx="5669280" cy="7863840"/>
                          </a:xfrm>
                          <a:prstGeom prst="rect">
                            <a:avLst/>
                          </a:prstGeom>
                          <a:noFill/>
                          <a:ln>
                            <a:noFill/>
                          </a:ln>
                        </pic:spPr>
                      </pic:pic>
                    </a:graphicData>
                  </a:graphic>
                </wp:inline>
              </w:drawing>
            </w:r>
          </w:p>
        </w:tc>
      </w:tr>
    </w:tbl>
    <w:p w14:paraId="1BE0EDDF">
      <w:pPr>
        <w:pStyle w:val="3"/>
        <w:rPr>
          <w:rFonts w:hint="eastAsia"/>
        </w:rPr>
      </w:pPr>
      <w:r>
        <w:rPr>
          <w:rFonts w:hint="eastAsia"/>
        </w:rPr>
        <w:t>南雄市第一中学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9DDC5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395B117">
            <w:pPr>
              <w:ind w:firstLine="0" w:firstLineChars="0"/>
              <w:jc w:val="center"/>
              <w:rPr>
                <w:rFonts w:ascii="宋体" w:hAnsi="宋体"/>
              </w:rPr>
            </w:pPr>
            <w:r>
              <w:rPr>
                <w:rFonts w:ascii="宋体" w:hAnsi="宋体"/>
              </w:rPr>
              <w:drawing>
                <wp:inline distT="0" distB="0" distL="114300" distR="114300">
                  <wp:extent cx="5822950" cy="8075930"/>
                  <wp:effectExtent l="0" t="0" r="6350" b="1270"/>
                  <wp:docPr id="143" name="图片 57" descr="南雄年鉴 2011_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57" descr="南雄年鉴 2011_0321"/>
                          <pic:cNvPicPr>
                            <a:picLocks noChangeAspect="1"/>
                          </pic:cNvPicPr>
                        </pic:nvPicPr>
                        <pic:blipFill>
                          <a:blip r:embed="rId149"/>
                          <a:stretch>
                            <a:fillRect/>
                          </a:stretch>
                        </pic:blipFill>
                        <pic:spPr>
                          <a:xfrm>
                            <a:off x="0" y="0"/>
                            <a:ext cx="5822950" cy="8075930"/>
                          </a:xfrm>
                          <a:prstGeom prst="rect">
                            <a:avLst/>
                          </a:prstGeom>
                          <a:noFill/>
                          <a:ln>
                            <a:noFill/>
                          </a:ln>
                        </pic:spPr>
                      </pic:pic>
                    </a:graphicData>
                  </a:graphic>
                </wp:inline>
              </w:drawing>
            </w:r>
          </w:p>
        </w:tc>
      </w:tr>
    </w:tbl>
    <w:p w14:paraId="21A28E8D">
      <w:pPr>
        <w:pStyle w:val="3"/>
        <w:rPr>
          <w:rFonts w:hint="eastAsia"/>
        </w:rPr>
      </w:pPr>
      <w:r>
        <w:rPr>
          <w:rFonts w:hint="eastAsia"/>
        </w:rPr>
        <w:t>乌迳中学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61AF6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5482222">
            <w:pPr>
              <w:ind w:firstLine="0" w:firstLineChars="0"/>
              <w:jc w:val="center"/>
              <w:rPr>
                <w:rFonts w:ascii="宋体" w:hAnsi="宋体"/>
              </w:rPr>
            </w:pPr>
            <w:r>
              <w:rPr>
                <w:rFonts w:ascii="宋体" w:hAnsi="宋体"/>
              </w:rPr>
              <w:drawing>
                <wp:inline distT="0" distB="0" distL="114300" distR="114300">
                  <wp:extent cx="5808345" cy="8054340"/>
                  <wp:effectExtent l="0" t="0" r="1905" b="3810"/>
                  <wp:docPr id="152" name="图片 58" descr="南雄年鉴 2011_0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58" descr="南雄年鉴 2011_0322"/>
                          <pic:cNvPicPr>
                            <a:picLocks noChangeAspect="1"/>
                          </pic:cNvPicPr>
                        </pic:nvPicPr>
                        <pic:blipFill>
                          <a:blip r:embed="rId150"/>
                          <a:stretch>
                            <a:fillRect/>
                          </a:stretch>
                        </pic:blipFill>
                        <pic:spPr>
                          <a:xfrm>
                            <a:off x="0" y="0"/>
                            <a:ext cx="5808345" cy="8054340"/>
                          </a:xfrm>
                          <a:prstGeom prst="rect">
                            <a:avLst/>
                          </a:prstGeom>
                          <a:noFill/>
                          <a:ln>
                            <a:noFill/>
                          </a:ln>
                        </pic:spPr>
                      </pic:pic>
                    </a:graphicData>
                  </a:graphic>
                </wp:inline>
              </w:drawing>
            </w:r>
          </w:p>
        </w:tc>
      </w:tr>
    </w:tbl>
    <w:p w14:paraId="337BA115">
      <w:pPr>
        <w:pStyle w:val="3"/>
        <w:rPr>
          <w:rFonts w:hint="eastAsia"/>
        </w:rPr>
      </w:pPr>
      <w:r>
        <w:rPr>
          <w:rFonts w:hint="eastAsia"/>
        </w:rPr>
        <w:t>南雄市雄州中学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516AB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C0D48DE">
            <w:pPr>
              <w:ind w:firstLine="0" w:firstLineChars="0"/>
              <w:jc w:val="center"/>
              <w:rPr>
                <w:rFonts w:ascii="宋体" w:hAnsi="宋体"/>
              </w:rPr>
            </w:pPr>
            <w:r>
              <w:rPr>
                <w:rFonts w:ascii="宋体" w:hAnsi="宋体"/>
              </w:rPr>
              <w:drawing>
                <wp:inline distT="0" distB="0" distL="114300" distR="114300">
                  <wp:extent cx="5852160" cy="8119745"/>
                  <wp:effectExtent l="0" t="0" r="15240" b="14605"/>
                  <wp:docPr id="79" name="图片 59" descr="南雄年鉴 2011_0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9" descr="南雄年鉴 2011_0323"/>
                          <pic:cNvPicPr>
                            <a:picLocks noChangeAspect="1"/>
                          </pic:cNvPicPr>
                        </pic:nvPicPr>
                        <pic:blipFill>
                          <a:blip r:embed="rId151"/>
                          <a:stretch>
                            <a:fillRect/>
                          </a:stretch>
                        </pic:blipFill>
                        <pic:spPr>
                          <a:xfrm>
                            <a:off x="0" y="0"/>
                            <a:ext cx="5852160" cy="8119745"/>
                          </a:xfrm>
                          <a:prstGeom prst="rect">
                            <a:avLst/>
                          </a:prstGeom>
                          <a:noFill/>
                          <a:ln>
                            <a:noFill/>
                          </a:ln>
                        </pic:spPr>
                      </pic:pic>
                    </a:graphicData>
                  </a:graphic>
                </wp:inline>
              </w:drawing>
            </w:r>
          </w:p>
        </w:tc>
      </w:tr>
    </w:tbl>
    <w:p w14:paraId="1DA17618">
      <w:pPr>
        <w:pStyle w:val="3"/>
        <w:rPr>
          <w:rFonts w:hint="eastAsia"/>
        </w:rPr>
      </w:pPr>
      <w:r>
        <w:rPr>
          <w:rFonts w:hint="eastAsia"/>
        </w:rPr>
        <w:t>广东省南雄市黎灿学校</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74FA0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B9F8A21">
            <w:pPr>
              <w:ind w:firstLine="0" w:firstLineChars="0"/>
              <w:jc w:val="center"/>
              <w:rPr>
                <w:rFonts w:ascii="宋体" w:hAnsi="宋体"/>
              </w:rPr>
            </w:pPr>
            <w:r>
              <w:rPr>
                <w:rFonts w:ascii="宋体" w:hAnsi="宋体"/>
              </w:rPr>
              <w:drawing>
                <wp:inline distT="0" distB="0" distL="114300" distR="114300">
                  <wp:extent cx="5786120" cy="8032115"/>
                  <wp:effectExtent l="0" t="0" r="5080" b="6985"/>
                  <wp:docPr id="135" name="图片 60" descr="南雄年鉴 2011_0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60" descr="南雄年鉴 2011_0324"/>
                          <pic:cNvPicPr>
                            <a:picLocks noChangeAspect="1"/>
                          </pic:cNvPicPr>
                        </pic:nvPicPr>
                        <pic:blipFill>
                          <a:blip r:embed="rId152"/>
                          <a:stretch>
                            <a:fillRect/>
                          </a:stretch>
                        </pic:blipFill>
                        <pic:spPr>
                          <a:xfrm>
                            <a:off x="0" y="0"/>
                            <a:ext cx="5786120" cy="8032115"/>
                          </a:xfrm>
                          <a:prstGeom prst="rect">
                            <a:avLst/>
                          </a:prstGeom>
                          <a:noFill/>
                          <a:ln>
                            <a:noFill/>
                          </a:ln>
                        </pic:spPr>
                      </pic:pic>
                    </a:graphicData>
                  </a:graphic>
                </wp:inline>
              </w:drawing>
            </w:r>
          </w:p>
        </w:tc>
      </w:tr>
    </w:tbl>
    <w:p w14:paraId="4D47B73D">
      <w:pPr>
        <w:pStyle w:val="3"/>
        <w:rPr>
          <w:rFonts w:hint="eastAsia"/>
        </w:rPr>
      </w:pPr>
      <w:r>
        <w:rPr>
          <w:rFonts w:hint="eastAsia"/>
        </w:rPr>
        <w:t>新城王锦辉中学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AB5D9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67C1167">
            <w:pPr>
              <w:ind w:firstLine="0" w:firstLineChars="0"/>
              <w:jc w:val="center"/>
              <w:rPr>
                <w:rFonts w:ascii="宋体" w:hAnsi="宋体"/>
              </w:rPr>
            </w:pPr>
            <w:r>
              <w:rPr>
                <w:rFonts w:ascii="宋体" w:hAnsi="宋体"/>
              </w:rPr>
              <w:drawing>
                <wp:inline distT="0" distB="0" distL="114300" distR="114300">
                  <wp:extent cx="5822950" cy="8075930"/>
                  <wp:effectExtent l="0" t="0" r="6350" b="1270"/>
                  <wp:docPr id="147" name="图片 61" descr="南雄年鉴 2011_0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61" descr="南雄年鉴 2011_0325"/>
                          <pic:cNvPicPr>
                            <a:picLocks noChangeAspect="1"/>
                          </pic:cNvPicPr>
                        </pic:nvPicPr>
                        <pic:blipFill>
                          <a:blip r:embed="rId153"/>
                          <a:stretch>
                            <a:fillRect/>
                          </a:stretch>
                        </pic:blipFill>
                        <pic:spPr>
                          <a:xfrm>
                            <a:off x="0" y="0"/>
                            <a:ext cx="5822950" cy="8075930"/>
                          </a:xfrm>
                          <a:prstGeom prst="rect">
                            <a:avLst/>
                          </a:prstGeom>
                          <a:noFill/>
                          <a:ln>
                            <a:noFill/>
                          </a:ln>
                        </pic:spPr>
                      </pic:pic>
                    </a:graphicData>
                  </a:graphic>
                </wp:inline>
              </w:drawing>
            </w:r>
          </w:p>
        </w:tc>
      </w:tr>
    </w:tbl>
    <w:p w14:paraId="212BD047">
      <w:pPr>
        <w:pStyle w:val="3"/>
        <w:rPr>
          <w:rFonts w:hint="eastAsia"/>
        </w:rPr>
      </w:pPr>
      <w:r>
        <w:rPr>
          <w:rFonts w:hint="eastAsia"/>
        </w:rPr>
        <w:t>黄坑中学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C8FDB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53BA229">
            <w:pPr>
              <w:ind w:firstLine="0" w:firstLineChars="0"/>
              <w:jc w:val="center"/>
              <w:rPr>
                <w:rFonts w:ascii="宋体" w:hAnsi="宋体"/>
              </w:rPr>
            </w:pPr>
            <w:r>
              <w:rPr>
                <w:rFonts w:ascii="宋体" w:hAnsi="宋体"/>
              </w:rPr>
              <w:drawing>
                <wp:inline distT="0" distB="0" distL="114300" distR="114300">
                  <wp:extent cx="5764530" cy="8002905"/>
                  <wp:effectExtent l="0" t="0" r="7620" b="17145"/>
                  <wp:docPr id="155" name="图片 62" descr="南雄年鉴 2011_0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62" descr="南雄年鉴 2011_0326"/>
                          <pic:cNvPicPr>
                            <a:picLocks noChangeAspect="1"/>
                          </pic:cNvPicPr>
                        </pic:nvPicPr>
                        <pic:blipFill>
                          <a:blip r:embed="rId154"/>
                          <a:stretch>
                            <a:fillRect/>
                          </a:stretch>
                        </pic:blipFill>
                        <pic:spPr>
                          <a:xfrm>
                            <a:off x="0" y="0"/>
                            <a:ext cx="5764530" cy="8002905"/>
                          </a:xfrm>
                          <a:prstGeom prst="rect">
                            <a:avLst/>
                          </a:prstGeom>
                          <a:noFill/>
                          <a:ln>
                            <a:noFill/>
                          </a:ln>
                        </pic:spPr>
                      </pic:pic>
                    </a:graphicData>
                  </a:graphic>
                </wp:inline>
              </w:drawing>
            </w:r>
          </w:p>
        </w:tc>
      </w:tr>
    </w:tbl>
    <w:p w14:paraId="6C7D6FF8">
      <w:pPr>
        <w:pStyle w:val="3"/>
        <w:rPr>
          <w:rFonts w:hint="eastAsia"/>
        </w:rPr>
      </w:pPr>
      <w:r>
        <w:rPr>
          <w:rFonts w:hint="eastAsia"/>
        </w:rPr>
        <w:t>南雄市浈江电业有限责任公司</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09046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1B2801CB">
            <w:pPr>
              <w:ind w:firstLine="0" w:firstLineChars="0"/>
              <w:jc w:val="center"/>
              <w:rPr>
                <w:rFonts w:ascii="宋体" w:hAnsi="宋体"/>
              </w:rPr>
            </w:pPr>
            <w:r>
              <w:rPr>
                <w:rFonts w:ascii="宋体" w:hAnsi="宋体"/>
              </w:rPr>
              <w:drawing>
                <wp:inline distT="0" distB="0" distL="114300" distR="114300">
                  <wp:extent cx="5829935" cy="8083550"/>
                  <wp:effectExtent l="0" t="0" r="18415" b="12700"/>
                  <wp:docPr id="148" name="图片 63" descr="南雄年鉴 2011_0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63" descr="南雄年鉴 2011_0327"/>
                          <pic:cNvPicPr>
                            <a:picLocks noChangeAspect="1"/>
                          </pic:cNvPicPr>
                        </pic:nvPicPr>
                        <pic:blipFill>
                          <a:blip r:embed="rId155"/>
                          <a:stretch>
                            <a:fillRect/>
                          </a:stretch>
                        </pic:blipFill>
                        <pic:spPr>
                          <a:xfrm>
                            <a:off x="0" y="0"/>
                            <a:ext cx="5829935" cy="8083550"/>
                          </a:xfrm>
                          <a:prstGeom prst="rect">
                            <a:avLst/>
                          </a:prstGeom>
                          <a:noFill/>
                          <a:ln>
                            <a:noFill/>
                          </a:ln>
                        </pic:spPr>
                      </pic:pic>
                    </a:graphicData>
                  </a:graphic>
                </wp:inline>
              </w:drawing>
            </w:r>
          </w:p>
        </w:tc>
      </w:tr>
    </w:tbl>
    <w:p w14:paraId="6B382698">
      <w:pPr>
        <w:pStyle w:val="3"/>
        <w:rPr>
          <w:rFonts w:hint="eastAsia"/>
        </w:rPr>
      </w:pPr>
      <w:r>
        <w:rPr>
          <w:rFonts w:hint="eastAsia"/>
        </w:rPr>
        <w:t>南雄市远大（广州）胶黏制品有限公司</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3EF3D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237C3E9">
            <w:pPr>
              <w:ind w:firstLine="0" w:firstLineChars="0"/>
              <w:jc w:val="center"/>
              <w:rPr>
                <w:rFonts w:ascii="宋体" w:hAnsi="宋体"/>
              </w:rPr>
            </w:pPr>
            <w:r>
              <w:rPr>
                <w:rFonts w:ascii="宋体" w:hAnsi="宋体"/>
              </w:rPr>
              <w:drawing>
                <wp:inline distT="0" distB="0" distL="114300" distR="114300">
                  <wp:extent cx="5829935" cy="8061325"/>
                  <wp:effectExtent l="0" t="0" r="18415" b="15875"/>
                  <wp:docPr id="156" name="图片 64" descr="南雄年鉴 2011_0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64" descr="南雄年鉴 2011_0328"/>
                          <pic:cNvPicPr>
                            <a:picLocks noChangeAspect="1"/>
                          </pic:cNvPicPr>
                        </pic:nvPicPr>
                        <pic:blipFill>
                          <a:blip r:embed="rId156"/>
                          <a:stretch>
                            <a:fillRect/>
                          </a:stretch>
                        </pic:blipFill>
                        <pic:spPr>
                          <a:xfrm>
                            <a:off x="0" y="0"/>
                            <a:ext cx="5829935" cy="8061325"/>
                          </a:xfrm>
                          <a:prstGeom prst="rect">
                            <a:avLst/>
                          </a:prstGeom>
                          <a:noFill/>
                          <a:ln>
                            <a:noFill/>
                          </a:ln>
                        </pic:spPr>
                      </pic:pic>
                    </a:graphicData>
                  </a:graphic>
                </wp:inline>
              </w:drawing>
            </w:r>
          </w:p>
        </w:tc>
      </w:tr>
    </w:tbl>
    <w:p w14:paraId="312995FA">
      <w:pPr>
        <w:pStyle w:val="3"/>
        <w:rPr>
          <w:rFonts w:hint="eastAsia"/>
        </w:rPr>
      </w:pPr>
      <w:r>
        <w:rPr>
          <w:rFonts w:hint="eastAsia"/>
        </w:rPr>
        <w:t>南雄市供销合作社联合社</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74675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7A8AA7C">
            <w:pPr>
              <w:ind w:firstLine="0" w:firstLineChars="0"/>
              <w:jc w:val="center"/>
              <w:rPr>
                <w:rFonts w:ascii="宋体" w:hAnsi="宋体"/>
              </w:rPr>
            </w:pPr>
            <w:r>
              <w:rPr>
                <w:rFonts w:ascii="宋体" w:hAnsi="宋体"/>
              </w:rPr>
              <w:drawing>
                <wp:inline distT="0" distB="0" distL="114300" distR="114300">
                  <wp:extent cx="5829935" cy="8075930"/>
                  <wp:effectExtent l="0" t="0" r="18415" b="1270"/>
                  <wp:docPr id="153" name="图片 65" descr="南雄年鉴 2011_0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65" descr="南雄年鉴 2011_0329"/>
                          <pic:cNvPicPr>
                            <a:picLocks noChangeAspect="1"/>
                          </pic:cNvPicPr>
                        </pic:nvPicPr>
                        <pic:blipFill>
                          <a:blip r:embed="rId157"/>
                          <a:stretch>
                            <a:fillRect/>
                          </a:stretch>
                        </pic:blipFill>
                        <pic:spPr>
                          <a:xfrm>
                            <a:off x="0" y="0"/>
                            <a:ext cx="5829935" cy="8075930"/>
                          </a:xfrm>
                          <a:prstGeom prst="rect">
                            <a:avLst/>
                          </a:prstGeom>
                          <a:noFill/>
                          <a:ln>
                            <a:noFill/>
                          </a:ln>
                        </pic:spPr>
                      </pic:pic>
                    </a:graphicData>
                  </a:graphic>
                </wp:inline>
              </w:drawing>
            </w:r>
          </w:p>
        </w:tc>
      </w:tr>
    </w:tbl>
    <w:p w14:paraId="712E2DB5">
      <w:pPr>
        <w:pStyle w:val="3"/>
        <w:rPr>
          <w:rFonts w:hint="eastAsia"/>
        </w:rPr>
      </w:pPr>
      <w:r>
        <w:rPr>
          <w:rFonts w:hint="eastAsia"/>
        </w:rPr>
        <w:t>南雄市富源特色养殖有限公司</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AEC52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84CEF23">
            <w:pPr>
              <w:ind w:firstLine="0" w:firstLineChars="0"/>
              <w:jc w:val="center"/>
              <w:rPr>
                <w:rFonts w:ascii="宋体" w:hAnsi="宋体"/>
              </w:rPr>
            </w:pPr>
            <w:r>
              <w:rPr>
                <w:rFonts w:ascii="宋体" w:hAnsi="宋体"/>
              </w:rPr>
              <w:drawing>
                <wp:inline distT="0" distB="0" distL="114300" distR="114300">
                  <wp:extent cx="5837555" cy="8098155"/>
                  <wp:effectExtent l="0" t="0" r="10795" b="17145"/>
                  <wp:docPr id="154" name="图片 66" descr="南雄年鉴 2011_0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66" descr="南雄年鉴 2011_0330"/>
                          <pic:cNvPicPr>
                            <a:picLocks noChangeAspect="1"/>
                          </pic:cNvPicPr>
                        </pic:nvPicPr>
                        <pic:blipFill>
                          <a:blip r:embed="rId158"/>
                          <a:stretch>
                            <a:fillRect/>
                          </a:stretch>
                        </pic:blipFill>
                        <pic:spPr>
                          <a:xfrm>
                            <a:off x="0" y="0"/>
                            <a:ext cx="5837555" cy="8098155"/>
                          </a:xfrm>
                          <a:prstGeom prst="rect">
                            <a:avLst/>
                          </a:prstGeom>
                          <a:noFill/>
                          <a:ln>
                            <a:noFill/>
                          </a:ln>
                        </pic:spPr>
                      </pic:pic>
                    </a:graphicData>
                  </a:graphic>
                </wp:inline>
              </w:drawing>
            </w:r>
          </w:p>
        </w:tc>
      </w:tr>
    </w:tbl>
    <w:p w14:paraId="40D5087A">
      <w:pPr>
        <w:pStyle w:val="3"/>
        <w:rPr>
          <w:rFonts w:hint="eastAsia"/>
        </w:rPr>
      </w:pPr>
      <w:r>
        <w:rPr>
          <w:rFonts w:hint="eastAsia"/>
        </w:rPr>
        <w:t>开心大药房</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ECAF4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E77BDB5">
            <w:pPr>
              <w:ind w:firstLine="0" w:firstLineChars="0"/>
              <w:jc w:val="center"/>
              <w:rPr>
                <w:rFonts w:ascii="宋体" w:hAnsi="宋体"/>
              </w:rPr>
            </w:pPr>
            <w:r>
              <w:rPr>
                <w:rFonts w:ascii="宋体" w:hAnsi="宋体"/>
              </w:rPr>
              <w:drawing>
                <wp:inline distT="0" distB="0" distL="114300" distR="114300">
                  <wp:extent cx="5866765" cy="8119745"/>
                  <wp:effectExtent l="0" t="0" r="635" b="14605"/>
                  <wp:docPr id="157" name="图片 67" descr="南雄年鉴 2011_0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67" descr="南雄年鉴 2011_0331"/>
                          <pic:cNvPicPr>
                            <a:picLocks noChangeAspect="1"/>
                          </pic:cNvPicPr>
                        </pic:nvPicPr>
                        <pic:blipFill>
                          <a:blip r:embed="rId159"/>
                          <a:stretch>
                            <a:fillRect/>
                          </a:stretch>
                        </pic:blipFill>
                        <pic:spPr>
                          <a:xfrm>
                            <a:off x="0" y="0"/>
                            <a:ext cx="5866765" cy="8119745"/>
                          </a:xfrm>
                          <a:prstGeom prst="rect">
                            <a:avLst/>
                          </a:prstGeom>
                          <a:noFill/>
                          <a:ln>
                            <a:noFill/>
                          </a:ln>
                        </pic:spPr>
                      </pic:pic>
                    </a:graphicData>
                  </a:graphic>
                </wp:inline>
              </w:drawing>
            </w:r>
          </w:p>
        </w:tc>
      </w:tr>
    </w:tbl>
    <w:p w14:paraId="0E69EE4A">
      <w:pPr>
        <w:pStyle w:val="3"/>
        <w:rPr>
          <w:rFonts w:hint="eastAsia"/>
        </w:rPr>
      </w:pPr>
      <w:r>
        <w:rPr>
          <w:rFonts w:hint="eastAsia"/>
        </w:rPr>
        <w:t>韶能集团广东绿洲纸膜包装制品有限公司</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133D8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B2A3B9C">
            <w:pPr>
              <w:ind w:firstLine="0" w:firstLineChars="0"/>
              <w:jc w:val="center"/>
              <w:rPr>
                <w:rFonts w:ascii="宋体" w:hAnsi="宋体"/>
              </w:rPr>
            </w:pPr>
            <w:r>
              <w:rPr>
                <w:rFonts w:ascii="宋体" w:hAnsi="宋体"/>
              </w:rPr>
              <w:drawing>
                <wp:inline distT="0" distB="0" distL="114300" distR="114300">
                  <wp:extent cx="5859780" cy="8119745"/>
                  <wp:effectExtent l="0" t="0" r="7620" b="14605"/>
                  <wp:docPr id="125" name="图片 68" descr="南雄年鉴 2011_0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68" descr="南雄年鉴 2011_0332"/>
                          <pic:cNvPicPr>
                            <a:picLocks noChangeAspect="1"/>
                          </pic:cNvPicPr>
                        </pic:nvPicPr>
                        <pic:blipFill>
                          <a:blip r:embed="rId160"/>
                          <a:stretch>
                            <a:fillRect/>
                          </a:stretch>
                        </pic:blipFill>
                        <pic:spPr>
                          <a:xfrm>
                            <a:off x="0" y="0"/>
                            <a:ext cx="5859780" cy="8119745"/>
                          </a:xfrm>
                          <a:prstGeom prst="rect">
                            <a:avLst/>
                          </a:prstGeom>
                          <a:noFill/>
                          <a:ln>
                            <a:noFill/>
                          </a:ln>
                        </pic:spPr>
                      </pic:pic>
                    </a:graphicData>
                  </a:graphic>
                </wp:inline>
              </w:drawing>
            </w:r>
          </w:p>
        </w:tc>
      </w:tr>
    </w:tbl>
    <w:p w14:paraId="74DF78F6">
      <w:pPr>
        <w:pStyle w:val="3"/>
        <w:rPr>
          <w:rFonts w:hint="eastAsia"/>
        </w:rPr>
      </w:pPr>
      <w:r>
        <w:rPr>
          <w:rFonts w:hint="eastAsia"/>
        </w:rPr>
        <w:t>南雄市永骏食品罐头厂</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39E2B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594A8E1">
            <w:pPr>
              <w:ind w:firstLine="0" w:firstLineChars="0"/>
              <w:jc w:val="center"/>
              <w:rPr>
                <w:rFonts w:ascii="宋体" w:hAnsi="宋体"/>
              </w:rPr>
            </w:pPr>
            <w:r>
              <w:rPr>
                <w:rFonts w:ascii="宋体" w:hAnsi="宋体"/>
              </w:rPr>
              <w:drawing>
                <wp:inline distT="0" distB="0" distL="114300" distR="114300">
                  <wp:extent cx="5829935" cy="8075930"/>
                  <wp:effectExtent l="0" t="0" r="18415" b="1270"/>
                  <wp:docPr id="4" name="图片 69" descr="南雄年鉴 2011_0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9" descr="南雄年鉴 2011_0333"/>
                          <pic:cNvPicPr>
                            <a:picLocks noChangeAspect="1"/>
                          </pic:cNvPicPr>
                        </pic:nvPicPr>
                        <pic:blipFill>
                          <a:blip r:embed="rId161"/>
                          <a:stretch>
                            <a:fillRect/>
                          </a:stretch>
                        </pic:blipFill>
                        <pic:spPr>
                          <a:xfrm>
                            <a:off x="0" y="0"/>
                            <a:ext cx="5829935" cy="8075930"/>
                          </a:xfrm>
                          <a:prstGeom prst="rect">
                            <a:avLst/>
                          </a:prstGeom>
                          <a:noFill/>
                          <a:ln>
                            <a:noFill/>
                          </a:ln>
                        </pic:spPr>
                      </pic:pic>
                    </a:graphicData>
                  </a:graphic>
                </wp:inline>
              </w:drawing>
            </w:r>
          </w:p>
        </w:tc>
      </w:tr>
    </w:tbl>
    <w:p w14:paraId="316A0FAB">
      <w:pPr>
        <w:pStyle w:val="3"/>
        <w:rPr>
          <w:rFonts w:hint="eastAsia"/>
        </w:rPr>
      </w:pPr>
      <w:r>
        <w:rPr>
          <w:rFonts w:hint="eastAsia"/>
        </w:rPr>
        <w:t>南雄市合盈金属制罐有限公司</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44CD2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4EC21F3">
            <w:pPr>
              <w:ind w:firstLine="0" w:firstLineChars="0"/>
              <w:jc w:val="center"/>
              <w:rPr>
                <w:rFonts w:ascii="宋体" w:hAnsi="宋体"/>
              </w:rPr>
            </w:pPr>
            <w:r>
              <w:rPr>
                <w:rFonts w:ascii="宋体" w:hAnsi="宋体"/>
              </w:rPr>
              <w:drawing>
                <wp:inline distT="0" distB="0" distL="114300" distR="114300">
                  <wp:extent cx="5859780" cy="8119745"/>
                  <wp:effectExtent l="0" t="0" r="7620" b="14605"/>
                  <wp:docPr id="5" name="图片 70" descr="南雄年鉴 2011_0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70" descr="南雄年鉴 2011_0334"/>
                          <pic:cNvPicPr>
                            <a:picLocks noChangeAspect="1"/>
                          </pic:cNvPicPr>
                        </pic:nvPicPr>
                        <pic:blipFill>
                          <a:blip r:embed="rId162"/>
                          <a:stretch>
                            <a:fillRect/>
                          </a:stretch>
                        </pic:blipFill>
                        <pic:spPr>
                          <a:xfrm>
                            <a:off x="0" y="0"/>
                            <a:ext cx="5859780" cy="8119745"/>
                          </a:xfrm>
                          <a:prstGeom prst="rect">
                            <a:avLst/>
                          </a:prstGeom>
                          <a:noFill/>
                          <a:ln>
                            <a:noFill/>
                          </a:ln>
                        </pic:spPr>
                      </pic:pic>
                    </a:graphicData>
                  </a:graphic>
                </wp:inline>
              </w:drawing>
            </w:r>
          </w:p>
        </w:tc>
      </w:tr>
    </w:tbl>
    <w:p w14:paraId="40C169D7">
      <w:pPr>
        <w:pStyle w:val="3"/>
        <w:rPr>
          <w:rFonts w:hint="eastAsia"/>
        </w:rPr>
      </w:pPr>
      <w:r>
        <w:rPr>
          <w:rFonts w:hint="eastAsia"/>
        </w:rPr>
        <w:t>广东金友集团有限公司  黎口中学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2E9AD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A024D76">
            <w:pPr>
              <w:ind w:firstLine="0" w:firstLineChars="0"/>
              <w:jc w:val="center"/>
              <w:rPr>
                <w:rFonts w:ascii="宋体" w:hAnsi="宋体"/>
              </w:rPr>
            </w:pPr>
            <w:r>
              <w:rPr>
                <w:rFonts w:ascii="宋体" w:hAnsi="宋体"/>
              </w:rPr>
              <w:drawing>
                <wp:inline distT="0" distB="0" distL="114300" distR="114300">
                  <wp:extent cx="5742305" cy="7966075"/>
                  <wp:effectExtent l="0" t="0" r="10795" b="15875"/>
                  <wp:docPr id="19" name="图片 71" descr="南雄年鉴 2011_0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1" descr="南雄年鉴 2011_0335"/>
                          <pic:cNvPicPr>
                            <a:picLocks noChangeAspect="1"/>
                          </pic:cNvPicPr>
                        </pic:nvPicPr>
                        <pic:blipFill>
                          <a:blip r:embed="rId163"/>
                          <a:stretch>
                            <a:fillRect/>
                          </a:stretch>
                        </pic:blipFill>
                        <pic:spPr>
                          <a:xfrm>
                            <a:off x="0" y="0"/>
                            <a:ext cx="5742305" cy="7966075"/>
                          </a:xfrm>
                          <a:prstGeom prst="rect">
                            <a:avLst/>
                          </a:prstGeom>
                          <a:noFill/>
                          <a:ln>
                            <a:noFill/>
                          </a:ln>
                        </pic:spPr>
                      </pic:pic>
                    </a:graphicData>
                  </a:graphic>
                </wp:inline>
              </w:drawing>
            </w:r>
          </w:p>
        </w:tc>
      </w:tr>
    </w:tbl>
    <w:p w14:paraId="38255E8A">
      <w:pPr>
        <w:pStyle w:val="3"/>
        <w:rPr>
          <w:rFonts w:hint="eastAsia"/>
        </w:rPr>
      </w:pPr>
      <w:r>
        <w:rPr>
          <w:rFonts w:hint="eastAsia"/>
        </w:rPr>
        <w:t>食为先大酒楼</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67EEC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C4E720B">
            <w:pPr>
              <w:ind w:firstLine="0" w:firstLineChars="0"/>
              <w:jc w:val="center"/>
              <w:rPr>
                <w:rFonts w:ascii="宋体" w:hAnsi="宋体"/>
              </w:rPr>
            </w:pPr>
            <w:r>
              <w:rPr>
                <w:rFonts w:ascii="宋体" w:hAnsi="宋体"/>
              </w:rPr>
              <w:drawing>
                <wp:inline distT="0" distB="0" distL="114300" distR="114300">
                  <wp:extent cx="5837555" cy="8075930"/>
                  <wp:effectExtent l="0" t="0" r="10795" b="1270"/>
                  <wp:docPr id="7" name="图片 72" descr="南雄年鉴 2011_0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2" descr="南雄年鉴 2011_0336"/>
                          <pic:cNvPicPr>
                            <a:picLocks noChangeAspect="1"/>
                          </pic:cNvPicPr>
                        </pic:nvPicPr>
                        <pic:blipFill>
                          <a:blip r:embed="rId164"/>
                          <a:stretch>
                            <a:fillRect/>
                          </a:stretch>
                        </pic:blipFill>
                        <pic:spPr>
                          <a:xfrm>
                            <a:off x="0" y="0"/>
                            <a:ext cx="5837555" cy="8075930"/>
                          </a:xfrm>
                          <a:prstGeom prst="rect">
                            <a:avLst/>
                          </a:prstGeom>
                          <a:noFill/>
                          <a:ln>
                            <a:noFill/>
                          </a:ln>
                        </pic:spPr>
                      </pic:pic>
                    </a:graphicData>
                  </a:graphic>
                </wp:inline>
              </w:drawing>
            </w:r>
          </w:p>
        </w:tc>
      </w:tr>
    </w:tbl>
    <w:p w14:paraId="49FF95E1">
      <w:pPr>
        <w:pStyle w:val="3"/>
        <w:rPr>
          <w:rFonts w:hint="eastAsia"/>
        </w:rPr>
      </w:pPr>
      <w:r>
        <w:rPr>
          <w:rFonts w:hint="eastAsia"/>
        </w:rPr>
        <w:t>南雄迎宾馆  金珠酒店</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A7F23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294061A">
            <w:pPr>
              <w:ind w:firstLine="0" w:firstLineChars="0"/>
              <w:jc w:val="center"/>
              <w:rPr>
                <w:rFonts w:ascii="宋体" w:hAnsi="宋体"/>
              </w:rPr>
            </w:pPr>
            <w:r>
              <w:rPr>
                <w:rFonts w:ascii="宋体" w:hAnsi="宋体"/>
              </w:rPr>
              <w:drawing>
                <wp:inline distT="0" distB="0" distL="114300" distR="114300">
                  <wp:extent cx="5800725" cy="8039100"/>
                  <wp:effectExtent l="0" t="0" r="9525" b="0"/>
                  <wp:docPr id="6" name="图片 73" descr="南雄年鉴 2011_0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3" descr="南雄年鉴 2011_0337"/>
                          <pic:cNvPicPr>
                            <a:picLocks noChangeAspect="1"/>
                          </pic:cNvPicPr>
                        </pic:nvPicPr>
                        <pic:blipFill>
                          <a:blip r:embed="rId165"/>
                          <a:stretch>
                            <a:fillRect/>
                          </a:stretch>
                        </pic:blipFill>
                        <pic:spPr>
                          <a:xfrm>
                            <a:off x="0" y="0"/>
                            <a:ext cx="5800725" cy="8039100"/>
                          </a:xfrm>
                          <a:prstGeom prst="rect">
                            <a:avLst/>
                          </a:prstGeom>
                          <a:noFill/>
                          <a:ln>
                            <a:noFill/>
                          </a:ln>
                        </pic:spPr>
                      </pic:pic>
                    </a:graphicData>
                  </a:graphic>
                </wp:inline>
              </w:drawing>
            </w:r>
          </w:p>
        </w:tc>
      </w:tr>
    </w:tbl>
    <w:p w14:paraId="69774A81">
      <w:pPr>
        <w:pStyle w:val="3"/>
        <w:rPr>
          <w:rFonts w:hint="eastAsia"/>
        </w:rPr>
      </w:pPr>
      <w:r>
        <w:rPr>
          <w:rFonts w:hint="eastAsia"/>
        </w:rPr>
        <w:t>中国工商银行股份有限公司南雄支行                             祝贺《南雄年鉴（2011）》出版发行</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43197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CEF7B94">
            <w:pPr>
              <w:ind w:firstLine="0" w:firstLineChars="0"/>
              <w:jc w:val="center"/>
              <w:rPr>
                <w:rFonts w:ascii="宋体" w:hAnsi="宋体"/>
              </w:rPr>
            </w:pPr>
            <w:r>
              <w:rPr>
                <w:rFonts w:ascii="宋体" w:hAnsi="宋体"/>
              </w:rPr>
              <w:drawing>
                <wp:inline distT="0" distB="0" distL="114300" distR="114300">
                  <wp:extent cx="5552440" cy="7703185"/>
                  <wp:effectExtent l="0" t="0" r="10160" b="12065"/>
                  <wp:docPr id="18" name="图片 74" descr="南雄年鉴 2011_0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4" descr="南雄年鉴 2011_0338"/>
                          <pic:cNvPicPr>
                            <a:picLocks noChangeAspect="1"/>
                          </pic:cNvPicPr>
                        </pic:nvPicPr>
                        <pic:blipFill>
                          <a:blip r:embed="rId166"/>
                          <a:stretch>
                            <a:fillRect/>
                          </a:stretch>
                        </pic:blipFill>
                        <pic:spPr>
                          <a:xfrm>
                            <a:off x="0" y="0"/>
                            <a:ext cx="5552440" cy="7703185"/>
                          </a:xfrm>
                          <a:prstGeom prst="rect">
                            <a:avLst/>
                          </a:prstGeom>
                          <a:noFill/>
                          <a:ln>
                            <a:noFill/>
                          </a:ln>
                        </pic:spPr>
                      </pic:pic>
                    </a:graphicData>
                  </a:graphic>
                </wp:inline>
              </w:drawing>
            </w:r>
          </w:p>
        </w:tc>
      </w:tr>
    </w:tbl>
    <w:p w14:paraId="47CB577C">
      <w:pPr>
        <w:pStyle w:val="2"/>
      </w:pPr>
      <w:r>
        <w:t>商业</w:t>
      </w:r>
      <w:r>
        <w:rPr>
          <w:rFonts w:hint="eastAsia"/>
        </w:rPr>
        <w:t>·贸易</w:t>
      </w:r>
    </w:p>
    <w:p w14:paraId="30A4E2C0">
      <w:pPr>
        <w:pStyle w:val="3"/>
      </w:pPr>
      <w:r>
        <w:rPr>
          <w:rFonts w:hint="eastAsia"/>
        </w:rPr>
        <w:t>经信</w:t>
      </w:r>
    </w:p>
    <w:p w14:paraId="7C55E6DA">
      <w:pPr>
        <w:pStyle w:val="4"/>
      </w:pPr>
      <w:r>
        <w:t>【概况】</w:t>
      </w:r>
    </w:p>
    <w:p w14:paraId="3E0B43A8">
      <w:pPr>
        <w:ind w:firstLine="420"/>
        <w:rPr>
          <w:rFonts w:ascii="宋体" w:hAnsi="宋体"/>
        </w:rPr>
      </w:pPr>
      <w:r>
        <w:rPr>
          <w:rFonts w:ascii="宋体" w:hAnsi="宋体"/>
        </w:rPr>
        <w:t>南雄市经济和信息化局是南雄市工业、商贸和信息化的业务主管部门，前身是南雄市经济贸易局。内设机构有7个，分别为办公室、人事信访股、经济运行股、科技能源股、贸易市场股、民营股（兼挂中小企业局）、信息管理股，总编制20名。</w:t>
      </w:r>
    </w:p>
    <w:p w14:paraId="0F2497D9">
      <w:pPr>
        <w:ind w:firstLine="420"/>
        <w:rPr>
          <w:rFonts w:ascii="宋体" w:hAnsi="宋体"/>
        </w:rPr>
      </w:pPr>
      <w:r>
        <w:rPr>
          <w:rFonts w:ascii="宋体" w:hAnsi="宋体"/>
        </w:rPr>
        <w:t>2010年完成工业总产值44.33亿元，同比增长47.1%；实现工业增加值11.54亿元，同比增长75.8%。其中规模以上工业企业完成工业总产值29.43亿元，同比增长90.6%；实现工业增加值8.15亿元，同比增长124.3%。规模以下工业总产值14.9亿元，实现工业增加值3.4亿元，同比均增长13.2%。规模以上企业户数达到46户。产值超亿元的企业4家。社会消费品零售总额24.53亿元，同比增长18.2%。</w:t>
      </w:r>
    </w:p>
    <w:p w14:paraId="7A7234BE">
      <w:pPr>
        <w:pStyle w:val="4"/>
      </w:pPr>
      <w:r>
        <w:t>【技改创新工作】</w:t>
      </w:r>
    </w:p>
    <w:p w14:paraId="23B51BF4">
      <w:pPr>
        <w:ind w:firstLine="420"/>
        <w:rPr>
          <w:rFonts w:ascii="宋体" w:hAnsi="宋体"/>
        </w:rPr>
      </w:pPr>
      <w:r>
        <w:rPr>
          <w:rFonts w:ascii="宋体" w:hAnsi="宋体"/>
        </w:rPr>
        <w:t>根据国家、省、市有关政策，加大技改创新工作力度，组织绿洲公司、金叶包装、金友集团、南雄志一精细化工有限公司、南雄市松林树脂有限公司等企业申报6个技术改造项目，5个技术创新项目，1个国家中小企业担保机构担保业务补助项目，项目总投资45060万元，至12月底已获批项目8个，获省财政资金300多万元。</w:t>
      </w:r>
    </w:p>
    <w:p w14:paraId="4CF46D58">
      <w:pPr>
        <w:pStyle w:val="4"/>
      </w:pPr>
      <w:r>
        <w:t>【促进民营经济发展】</w:t>
      </w:r>
    </w:p>
    <w:p w14:paraId="204A5768">
      <w:pPr>
        <w:ind w:firstLine="420"/>
        <w:rPr>
          <w:rFonts w:ascii="宋体" w:hAnsi="宋体"/>
        </w:rPr>
      </w:pPr>
      <w:r>
        <w:rPr>
          <w:rFonts w:ascii="宋体" w:hAnsi="宋体"/>
        </w:rPr>
        <w:t>一是制定政策。2010年3月起草《关于进一步促进民营经济贸易发展的若干意见》，在征求意见的基础上，经报市政府常务会议讨论，5月23日印发至各镇（街道）、相关单位。二是抓政策落实。通过调查摸底，选定10家具有高成长潜力企业为重点扶持对象，并对选定的扶持企业落实具体的帮扶措施，促进扶持企业做强做大。截止2010年12月31日，全市共有个体工商户9402户，注册资金2.34亿元，从业人员12411人，分别比上年同期增长11.33%，16.6%，8.7%；私营企业650户，注册资金8.33亿元，分别比上年同期增长28.97%，16.33%。</w:t>
      </w:r>
    </w:p>
    <w:p w14:paraId="31F27CB3">
      <w:pPr>
        <w:pStyle w:val="4"/>
      </w:pPr>
      <w:r>
        <w:t>【节能预警调控】</w:t>
      </w:r>
    </w:p>
    <w:p w14:paraId="6B8C8D4E">
      <w:pPr>
        <w:ind w:firstLine="420"/>
        <w:rPr>
          <w:rFonts w:ascii="宋体" w:hAnsi="宋体"/>
        </w:rPr>
      </w:pPr>
      <w:r>
        <w:rPr>
          <w:rFonts w:ascii="宋体" w:hAnsi="宋体"/>
        </w:rPr>
        <w:t>按韶关市统一安排部署，南雄市制定《2010年南雄市节能预警调控方案》，于2010年9月13日起先后启动节能预警调控三级应急响应和一级应急响应，以抓高耗能企业为着力点，制定高耗能企业限产、停产计划，控制高耗能行业能耗总量与增量，综合运用法律，经济和必要的行政手段，依法实施节能预警调控，调控目标得以实现。</w:t>
      </w:r>
    </w:p>
    <w:p w14:paraId="3321E45E">
      <w:pPr>
        <w:pStyle w:val="4"/>
      </w:pPr>
      <w:r>
        <w:t>【信访维稳】</w:t>
      </w:r>
    </w:p>
    <w:p w14:paraId="03E6881A">
      <w:pPr>
        <w:ind w:firstLine="420"/>
        <w:rPr>
          <w:rFonts w:ascii="宋体" w:hAnsi="宋体"/>
        </w:rPr>
      </w:pPr>
      <w:r>
        <w:rPr>
          <w:rFonts w:ascii="宋体" w:hAnsi="宋体"/>
        </w:rPr>
        <w:t>市经信局信访维稳工作制定和实行领导包案负责制，定期分析排查重点信访案件，并实行领导接访及下厂进家“走访”的形式，做好维稳工作。全年接待来访373人次，来信22件（次），做到件件有登记，事事有答复。</w:t>
      </w:r>
    </w:p>
    <w:p w14:paraId="7ABBF703">
      <w:pPr>
        <w:pStyle w:val="4"/>
      </w:pPr>
      <w:r>
        <w:t>【扶贫双到】</w:t>
      </w:r>
    </w:p>
    <w:p w14:paraId="272D3060">
      <w:pPr>
        <w:ind w:firstLine="420"/>
        <w:rPr>
          <w:rFonts w:ascii="宋体" w:hAnsi="宋体"/>
        </w:rPr>
      </w:pPr>
      <w:r>
        <w:rPr>
          <w:rFonts w:ascii="宋体" w:hAnsi="宋体"/>
        </w:rPr>
        <w:t>经信局按照全市扶贫开发“规划到户、责任到人”工作会议精神，把扶贫工作作为2010年全局工作的一个重点来抓，通过成立扶贫开发“规划到户责任到人”工作领导小组，召开动员大会，明确工作责任，完善帮扶规划，制定帮扶工作方案和完善建档立卡等一系列举措，狠抓扶贫工作的落实。截止2010年12月31日，已投入扶贫资金3万元。</w:t>
      </w:r>
    </w:p>
    <w:p w14:paraId="64741E43">
      <w:pPr>
        <w:pStyle w:val="4"/>
      </w:pPr>
      <w:r>
        <w:t>【被认定为省级产业转移工业园】</w:t>
      </w:r>
    </w:p>
    <w:p w14:paraId="21E81A1C">
      <w:pPr>
        <w:ind w:firstLine="420"/>
        <w:rPr>
          <w:rFonts w:ascii="宋体" w:hAnsi="宋体"/>
        </w:rPr>
      </w:pPr>
      <w:r>
        <w:rPr>
          <w:rFonts w:ascii="宋体" w:hAnsi="宋体"/>
        </w:rPr>
        <w:t>经信局做好产业转移工业园申报认定工作。2010年3月23日，东莞大岭山（南雄）产业转移工业园，经广东省政府认定为“省级产业转移工业园”。</w:t>
      </w:r>
    </w:p>
    <w:p w14:paraId="3E8750B9">
      <w:pPr>
        <w:pStyle w:val="4"/>
      </w:pPr>
      <w:r>
        <w:t>【省产业转移工作经验会】</w:t>
      </w:r>
    </w:p>
    <w:p w14:paraId="03A090EC">
      <w:pPr>
        <w:ind w:firstLine="420"/>
        <w:rPr>
          <w:rFonts w:ascii="宋体" w:hAnsi="宋体"/>
        </w:rPr>
      </w:pPr>
      <w:r>
        <w:rPr>
          <w:rFonts w:ascii="宋体" w:hAnsi="宋体"/>
        </w:rPr>
        <w:t>经信局做好省产业转移工作经验会的各项准备工作。5月14日，全省产业转移工作经验交流会在南雄市顺利召开，会上总结交流东莞大岭山（南雄）产业转移工业园开发建设和招商引资先进经验，南雄市作典型经验介绍。</w:t>
      </w:r>
    </w:p>
    <w:p w14:paraId="37000398">
      <w:pPr>
        <w:pStyle w:val="4"/>
      </w:pPr>
      <w:r>
        <w:t>【产业转移工业园竞得一亿元扶持资金】</w:t>
      </w:r>
    </w:p>
    <w:p w14:paraId="7EB3768B">
      <w:pPr>
        <w:ind w:firstLine="420"/>
        <w:rPr>
          <w:rFonts w:ascii="宋体" w:hAnsi="宋体"/>
        </w:rPr>
      </w:pPr>
      <w:r>
        <w:rPr>
          <w:rFonts w:ascii="宋体" w:hAnsi="宋体"/>
        </w:rPr>
        <w:t>经信局牵头做好省专业性产业转移工业园建设竞争性扶持资金申报工作。11月25日，在参与省专业性产业转移工业园建设扶持资金的竞标中取得成功，以总分第一名的成绩获省1亿元资金。</w:t>
      </w:r>
    </w:p>
    <w:p w14:paraId="1E186270">
      <w:pPr>
        <w:pStyle w:val="3"/>
      </w:pPr>
      <w:r>
        <w:rPr>
          <w:rFonts w:hint="eastAsia"/>
        </w:rPr>
        <w:t>商贸流通</w:t>
      </w:r>
    </w:p>
    <w:p w14:paraId="71E2D19E">
      <w:pPr>
        <w:pStyle w:val="4"/>
      </w:pPr>
      <w:r>
        <w:t>【家电下乡、以旧换新】</w:t>
      </w:r>
    </w:p>
    <w:p w14:paraId="0F05F432">
      <w:pPr>
        <w:ind w:firstLine="420"/>
        <w:rPr>
          <w:rFonts w:ascii="宋体" w:hAnsi="宋体"/>
        </w:rPr>
      </w:pPr>
      <w:r>
        <w:rPr>
          <w:rFonts w:ascii="宋体" w:hAnsi="宋体"/>
        </w:rPr>
        <w:t>继续落实“家电下乡以旧换新”政策。2010年，家电下乡销售网点新增备案24个，全市共补贴各类家电19554台，补贴资金576.69万元，家电以旧换新补贴各类家电2285台，补贴资金64.9万元。因工作成绩突出，南雄市被评为“全国家电下乡工作先进县”。</w:t>
      </w:r>
    </w:p>
    <w:p w14:paraId="0331853B">
      <w:pPr>
        <w:pStyle w:val="4"/>
      </w:pPr>
      <w:r>
        <w:t>【万村千乡市场工程】</w:t>
      </w:r>
    </w:p>
    <w:p w14:paraId="386E5064">
      <w:pPr>
        <w:ind w:firstLine="420"/>
        <w:rPr>
          <w:rFonts w:ascii="宋体" w:hAnsi="宋体"/>
        </w:rPr>
      </w:pPr>
      <w:r>
        <w:rPr>
          <w:rFonts w:ascii="宋体" w:hAnsi="宋体"/>
        </w:rPr>
        <w:t>经信局帮助商贸企业申报“万村千乡市场工程”专项资金，支持商贸流通企业通过连锁加盟、统一配送的模式做强做大，2010年来，南雄农业生产资料有限公司已申报到国家级商品配送中心项目一个，农家店79个，争取国家扶持资金56.6万元。南雄一通商贸有限公司和南雄市万安日用杂品有限责任公司争取到省级“万村千乡市场工程”资金48万元，推动市商贸企业的发展。</w:t>
      </w:r>
    </w:p>
    <w:p w14:paraId="2DE7F98F">
      <w:pPr>
        <w:ind w:firstLine="420"/>
        <w:jc w:val="right"/>
        <w:rPr>
          <w:rFonts w:ascii="宋体" w:hAnsi="宋体"/>
        </w:rPr>
      </w:pPr>
      <w:r>
        <w:rPr>
          <w:rFonts w:ascii="宋体" w:hAnsi="宋体"/>
        </w:rPr>
        <w:t>（邓国彬）</w:t>
      </w:r>
    </w:p>
    <w:p w14:paraId="38F26725">
      <w:pPr>
        <w:ind w:firstLine="422"/>
        <w:rPr>
          <w:rFonts w:ascii="宋体" w:hAnsi="宋体"/>
          <w:b/>
          <w:bCs/>
        </w:rPr>
      </w:pPr>
      <w:r>
        <w:rPr>
          <w:rFonts w:ascii="宋体" w:hAnsi="宋体"/>
          <w:b/>
          <w:bCs/>
        </w:rPr>
        <w:t>附：2010年经信局领导班子成员名单</w:t>
      </w:r>
    </w:p>
    <w:p w14:paraId="66F75EC9">
      <w:pPr>
        <w:ind w:firstLine="422"/>
        <w:rPr>
          <w:rFonts w:ascii="宋体" w:hAnsi="宋体"/>
        </w:rPr>
      </w:pPr>
      <w:r>
        <w:rPr>
          <w:rFonts w:ascii="宋体" w:hAnsi="宋体"/>
          <w:b/>
          <w:bCs/>
        </w:rPr>
        <w:t>局长：</w:t>
      </w:r>
      <w:r>
        <w:rPr>
          <w:rFonts w:ascii="宋体" w:hAnsi="宋体"/>
        </w:rPr>
        <w:t>廖声华</w:t>
      </w:r>
    </w:p>
    <w:p w14:paraId="47016304">
      <w:pPr>
        <w:ind w:firstLine="422"/>
        <w:rPr>
          <w:rFonts w:ascii="宋体" w:hAnsi="宋体"/>
        </w:rPr>
      </w:pPr>
      <w:r>
        <w:rPr>
          <w:rFonts w:ascii="宋体" w:hAnsi="宋体"/>
          <w:b/>
          <w:bCs/>
        </w:rPr>
        <w:t>副局长：</w:t>
      </w:r>
      <w:r>
        <w:rPr>
          <w:rFonts w:ascii="宋体" w:hAnsi="宋体"/>
        </w:rPr>
        <w:t>陈军</w:t>
      </w:r>
      <w:r>
        <w:rPr>
          <w:rFonts w:hint="eastAsia" w:ascii="宋体" w:hAnsi="宋体"/>
        </w:rPr>
        <w:t xml:space="preserve">  </w:t>
      </w:r>
      <w:r>
        <w:rPr>
          <w:rFonts w:ascii="宋体" w:hAnsi="宋体"/>
        </w:rPr>
        <w:t>曾开寿</w:t>
      </w:r>
      <w:r>
        <w:rPr>
          <w:rFonts w:hint="eastAsia" w:ascii="宋体" w:hAnsi="宋体"/>
        </w:rPr>
        <w:t xml:space="preserve">  </w:t>
      </w:r>
      <w:r>
        <w:rPr>
          <w:rFonts w:ascii="宋体" w:hAnsi="宋体"/>
        </w:rPr>
        <w:t>周华</w:t>
      </w:r>
    </w:p>
    <w:p w14:paraId="7DDCF4D5">
      <w:pPr>
        <w:ind w:firstLine="422"/>
        <w:rPr>
          <w:rFonts w:ascii="宋体" w:hAnsi="宋体"/>
        </w:rPr>
      </w:pPr>
      <w:r>
        <w:rPr>
          <w:rFonts w:ascii="宋体" w:hAnsi="宋体"/>
          <w:b/>
          <w:bCs/>
        </w:rPr>
        <w:t>纪检组长：</w:t>
      </w:r>
      <w:r>
        <w:rPr>
          <w:rFonts w:ascii="宋体" w:hAnsi="宋体"/>
        </w:rPr>
        <w:t>张邦民</w:t>
      </w:r>
    </w:p>
    <w:p w14:paraId="2491286A">
      <w:pPr>
        <w:ind w:firstLine="422"/>
        <w:rPr>
          <w:rFonts w:ascii="宋体" w:hAnsi="宋体"/>
        </w:rPr>
      </w:pPr>
      <w:r>
        <w:rPr>
          <w:rFonts w:ascii="宋体" w:hAnsi="宋体"/>
          <w:b/>
          <w:bCs/>
        </w:rPr>
        <w:t>工会主席：</w:t>
      </w:r>
      <w:r>
        <w:rPr>
          <w:rFonts w:ascii="宋体" w:hAnsi="宋体"/>
        </w:rPr>
        <w:t>王福连</w:t>
      </w:r>
    </w:p>
    <w:p w14:paraId="1AB23E9C">
      <w:pPr>
        <w:pStyle w:val="3"/>
      </w:pPr>
      <w:r>
        <w:rPr>
          <w:rFonts w:hint="eastAsia"/>
        </w:rPr>
        <w:t>供销</w:t>
      </w:r>
    </w:p>
    <w:p w14:paraId="176B95B7">
      <w:pPr>
        <w:pStyle w:val="4"/>
      </w:pPr>
      <w:r>
        <w:t>【概况】</w:t>
      </w:r>
    </w:p>
    <w:p w14:paraId="79C9B639">
      <w:pPr>
        <w:ind w:firstLine="420"/>
        <w:rPr>
          <w:rFonts w:ascii="宋体" w:hAnsi="宋体"/>
        </w:rPr>
      </w:pPr>
      <w:r>
        <w:rPr>
          <w:rFonts w:ascii="宋体" w:hAnsi="宋体"/>
        </w:rPr>
        <w:t>2010年，南雄市供销合作联社全系统有干部职工101人，市社本部27人，离退休人员453人。2010年供销合作社机关参照公务员法管理后，设办公室、财会统计股、人事监察股、业务基层股。</w:t>
      </w:r>
    </w:p>
    <w:p w14:paraId="08D5CD3B">
      <w:pPr>
        <w:pStyle w:val="4"/>
      </w:pPr>
      <w:r>
        <w:t>【农业生产资料购销】</w:t>
      </w:r>
    </w:p>
    <w:p w14:paraId="7A16F340">
      <w:pPr>
        <w:ind w:firstLine="420"/>
        <w:rPr>
          <w:rFonts w:ascii="宋体" w:hAnsi="宋体"/>
        </w:rPr>
      </w:pPr>
      <w:r>
        <w:rPr>
          <w:rFonts w:ascii="宋体" w:hAnsi="宋体"/>
        </w:rPr>
        <w:t>南雄市农业生产资料有限责任公司于2003年11月注册成立的股份公司，是承担全市化肥、农药救灾储备和化肥淡季储备任务的主要企业，承担着全市化肥、农药救灾储备，每年平均承储化肥淡季储备量的20%，至2010年12月，发展自营连锁店45间，加盟连锁店55间、配送直销点76个，组建农资专业合作社16个，销售点193个，网点覆盖率75%。采取“宣传、示范、解难”三位一体的服务方式，做好服务工作。公司为农民提供各种农业咨询20000人次，田头巡回服务7000人次，为农民送肥送药到田头12000多吨，年销售肥料28000多吨、农药200多吨。</w:t>
      </w:r>
    </w:p>
    <w:p w14:paraId="59736436">
      <w:pPr>
        <w:pStyle w:val="4"/>
      </w:pPr>
      <w:r>
        <w:t>【农产品购销】</w:t>
      </w:r>
    </w:p>
    <w:p w14:paraId="29A01492">
      <w:pPr>
        <w:ind w:firstLine="420"/>
        <w:rPr>
          <w:rFonts w:ascii="宋体" w:hAnsi="宋体"/>
        </w:rPr>
      </w:pPr>
      <w:r>
        <w:rPr>
          <w:rFonts w:ascii="宋体" w:hAnsi="宋体"/>
        </w:rPr>
        <w:t>南雄市供销社每年完成订单种植甜玉米3000多亩。直接带动农户2860户，实现助农增收390万元。2010年新办野山椒、蔬菜、花生、果树等类型的16个专业合作社。发展月饼加工、板鸭等特产肉制腊味业务，拓展销售市场，年营业额达到100多万元。</w:t>
      </w:r>
    </w:p>
    <w:p w14:paraId="3067961B">
      <w:pPr>
        <w:pStyle w:val="4"/>
      </w:pPr>
      <w:r>
        <w:t>【生活资料购销】</w:t>
      </w:r>
    </w:p>
    <w:p w14:paraId="596B73F3">
      <w:pPr>
        <w:ind w:firstLine="420"/>
        <w:rPr>
          <w:rFonts w:ascii="宋体" w:hAnsi="宋体"/>
        </w:rPr>
      </w:pPr>
      <w:r>
        <w:rPr>
          <w:rFonts w:ascii="宋体" w:hAnsi="宋体"/>
        </w:rPr>
        <w:t>南雄市万安日用杂品有限责任公司主要经营日用杂品、烟花爆竹。2010年12月，全系统建立日用消费品“万村千乡”市场工程农家店35个，配送中心1个，销售网点250多个，实现销售415万元，同比增长9.2%。</w:t>
      </w:r>
    </w:p>
    <w:p w14:paraId="5788B1E3">
      <w:pPr>
        <w:pStyle w:val="4"/>
      </w:pPr>
      <w:r>
        <w:t>【废品经营】</w:t>
      </w:r>
    </w:p>
    <w:p w14:paraId="0C1BC94F">
      <w:pPr>
        <w:ind w:firstLine="420"/>
        <w:rPr>
          <w:rFonts w:ascii="宋体" w:hAnsi="宋体"/>
        </w:rPr>
      </w:pPr>
      <w:r>
        <w:rPr>
          <w:rFonts w:ascii="宋体" w:hAnsi="宋体"/>
        </w:rPr>
        <w:t>2010年全市对再生资源回收站网点53个全面进行统一标识、统一管理，同时筹集资金建设再生资源分拣储存中心项目，形成较为完善的再生资源产业链，逐步实现全市再生能源产业化、资源化和无害化的目标。</w:t>
      </w:r>
    </w:p>
    <w:p w14:paraId="3893CA27">
      <w:pPr>
        <w:pStyle w:val="4"/>
      </w:pPr>
      <w:r>
        <w:t>【协会工作】</w:t>
      </w:r>
    </w:p>
    <w:p w14:paraId="3871F50E">
      <w:pPr>
        <w:ind w:firstLine="420"/>
        <w:rPr>
          <w:rFonts w:ascii="宋体" w:hAnsi="宋体"/>
        </w:rPr>
      </w:pPr>
      <w:r>
        <w:rPr>
          <w:rFonts w:ascii="宋体" w:hAnsi="宋体"/>
        </w:rPr>
        <w:t>发展农资、再生资源、烟花爆竹等行业协会。利用供销合作社的信息优势、流通网络优势，帮助协会会员开拓市场，扩大销售。完善行业协会的服务功能，加强内部管理，规范行业行为。行业自律和价格、品种、流向、行业准入标准、统一标识、服务规范的制定。</w:t>
      </w:r>
    </w:p>
    <w:p w14:paraId="32F0345F">
      <w:pPr>
        <w:ind w:firstLine="420"/>
        <w:jc w:val="right"/>
        <w:rPr>
          <w:rFonts w:ascii="宋体" w:hAnsi="宋体"/>
        </w:rPr>
      </w:pPr>
      <w:r>
        <w:rPr>
          <w:rFonts w:ascii="宋体" w:hAnsi="宋体"/>
        </w:rPr>
        <w:t>（张涛）</w:t>
      </w:r>
    </w:p>
    <w:p w14:paraId="7E6C5603">
      <w:pPr>
        <w:ind w:firstLine="422"/>
        <w:rPr>
          <w:rFonts w:ascii="宋体" w:hAnsi="宋体"/>
          <w:b/>
          <w:bCs/>
        </w:rPr>
      </w:pPr>
      <w:r>
        <w:rPr>
          <w:rFonts w:ascii="宋体" w:hAnsi="宋体"/>
          <w:b/>
          <w:bCs/>
        </w:rPr>
        <w:t>附：2010年供销合作联社领导班子成员名单</w:t>
      </w:r>
    </w:p>
    <w:p w14:paraId="3906157B">
      <w:pPr>
        <w:ind w:firstLine="422"/>
        <w:rPr>
          <w:rFonts w:ascii="宋体" w:hAnsi="宋体"/>
        </w:rPr>
      </w:pPr>
      <w:r>
        <w:rPr>
          <w:rFonts w:ascii="宋体" w:hAnsi="宋体"/>
          <w:b/>
          <w:bCs/>
        </w:rPr>
        <w:t>理事会主任：</w:t>
      </w:r>
      <w:r>
        <w:rPr>
          <w:rFonts w:ascii="宋体" w:hAnsi="宋体"/>
        </w:rPr>
        <w:t>刘富平</w:t>
      </w:r>
    </w:p>
    <w:p w14:paraId="0F634946">
      <w:pPr>
        <w:ind w:firstLine="422"/>
        <w:rPr>
          <w:rFonts w:ascii="宋体" w:hAnsi="宋体"/>
        </w:rPr>
      </w:pPr>
      <w:r>
        <w:rPr>
          <w:rFonts w:ascii="宋体" w:hAnsi="宋体"/>
          <w:b/>
          <w:bCs/>
        </w:rPr>
        <w:t>理事会副主任：</w:t>
      </w:r>
      <w:r>
        <w:rPr>
          <w:rFonts w:ascii="宋体" w:hAnsi="宋体"/>
        </w:rPr>
        <w:t>刘光明</w:t>
      </w:r>
      <w:r>
        <w:rPr>
          <w:rFonts w:hint="eastAsia" w:ascii="宋体" w:hAnsi="宋体"/>
        </w:rPr>
        <w:t xml:space="preserve">  </w:t>
      </w:r>
      <w:r>
        <w:rPr>
          <w:rFonts w:ascii="宋体" w:hAnsi="宋体"/>
        </w:rPr>
        <w:t>卢德文</w:t>
      </w:r>
      <w:r>
        <w:rPr>
          <w:rFonts w:hint="eastAsia" w:ascii="宋体" w:hAnsi="宋体"/>
        </w:rPr>
        <w:t xml:space="preserve">  </w:t>
      </w:r>
      <w:r>
        <w:rPr>
          <w:rFonts w:ascii="宋体" w:hAnsi="宋体"/>
        </w:rPr>
        <w:t>张岳桦</w:t>
      </w:r>
    </w:p>
    <w:p w14:paraId="47A4F3F2">
      <w:pPr>
        <w:ind w:firstLine="422"/>
        <w:rPr>
          <w:rFonts w:ascii="宋体" w:hAnsi="宋体"/>
        </w:rPr>
      </w:pPr>
      <w:r>
        <w:rPr>
          <w:rFonts w:ascii="宋体" w:hAnsi="宋体"/>
          <w:b/>
          <w:bCs/>
        </w:rPr>
        <w:t>工会主席：</w:t>
      </w:r>
      <w:r>
        <w:rPr>
          <w:rFonts w:ascii="宋体" w:hAnsi="宋体"/>
        </w:rPr>
        <w:t>陈亿红</w:t>
      </w:r>
    </w:p>
    <w:p w14:paraId="437C5538">
      <w:pPr>
        <w:pStyle w:val="3"/>
      </w:pPr>
      <w:r>
        <w:rPr>
          <w:rFonts w:hint="eastAsia"/>
        </w:rPr>
        <w:t>粮油</w:t>
      </w:r>
    </w:p>
    <w:p w14:paraId="012861B9">
      <w:pPr>
        <w:pStyle w:val="4"/>
      </w:pPr>
      <w:r>
        <w:t>【概况】</w:t>
      </w:r>
    </w:p>
    <w:p w14:paraId="4CB90DC4">
      <w:pPr>
        <w:ind w:firstLine="420"/>
        <w:rPr>
          <w:rFonts w:ascii="宋体" w:hAnsi="宋体"/>
        </w:rPr>
      </w:pPr>
      <w:r>
        <w:rPr>
          <w:rFonts w:ascii="宋体" w:hAnsi="宋体"/>
        </w:rPr>
        <w:t>南雄市粮食管理储备局（以下简称“粮食局”）是市政府赋予粮食行政管理职能机构，属市副科级单位。局下设人秘股、储备管理股、财会股、计划综合股4个股室，现有干部职工32人，南雄市粮食购销有限公司（下简称“购销公司”）隶属粮食局，购销公司实行独立核算，自负盈亏，现有员工58人，购销公司主要职责是承担各级储备粮油轮换、仓储管理。</w:t>
      </w:r>
    </w:p>
    <w:p w14:paraId="65B73AB4">
      <w:pPr>
        <w:pStyle w:val="4"/>
      </w:pPr>
      <w:r>
        <w:t>【粮食体制改革】</w:t>
      </w:r>
    </w:p>
    <w:p w14:paraId="65E27906">
      <w:pPr>
        <w:ind w:firstLine="420"/>
        <w:rPr>
          <w:rFonts w:ascii="宋体" w:hAnsi="宋体"/>
        </w:rPr>
      </w:pPr>
      <w:r>
        <w:rPr>
          <w:rFonts w:ascii="宋体" w:hAnsi="宋体"/>
        </w:rPr>
        <w:t>2004年6月，经调整，把雄州、全安、古市、水口、南亩、珠玑、湖口、乌迳、黄坑、油山10个基层粮所重组为雄州、全安、南亩、珠玑、乌迳、黄坑6个中心粮所，返聘员工138人减至88人，到2010年，购销公司返聘员工为60人。</w:t>
      </w:r>
    </w:p>
    <w:p w14:paraId="3BA37567">
      <w:pPr>
        <w:pStyle w:val="4"/>
      </w:pPr>
      <w:r>
        <w:t>【粮油储运】</w:t>
      </w:r>
    </w:p>
    <w:p w14:paraId="0D75079E">
      <w:pPr>
        <w:ind w:firstLine="420"/>
        <w:rPr>
          <w:rFonts w:ascii="宋体" w:hAnsi="宋体"/>
        </w:rPr>
      </w:pPr>
      <w:r>
        <w:rPr>
          <w:rFonts w:ascii="宋体" w:hAnsi="宋体"/>
        </w:rPr>
        <w:t>南雄市储备粮食仓储管理规范、安全。南雄市粮食清仓查库工作按照国务院提出的“有仓必到、有粮必查、有账必核、查必彻底”要求，对辖区内纳入检查范围的所有储粮库点进行全面清查，检查结果表明，南雄市粮食库存实物账、保管账、统计账、会计账账实相符、账账相符；农发行与企业库贷挂钩实际情况一致；储备粮轮换计划管理规范；全市储备粮管理规范、数量真实、质量良好，储粮安全。</w:t>
      </w:r>
    </w:p>
    <w:p w14:paraId="3EFAFC2C">
      <w:pPr>
        <w:pStyle w:val="4"/>
      </w:pPr>
      <w:r>
        <w:t>【粮油购销】</w:t>
      </w:r>
    </w:p>
    <w:p w14:paraId="0D25E1CA">
      <w:pPr>
        <w:ind w:firstLine="420"/>
        <w:rPr>
          <w:rFonts w:ascii="宋体" w:hAnsi="宋体"/>
        </w:rPr>
      </w:pPr>
      <w:r>
        <w:rPr>
          <w:rFonts w:ascii="宋体" w:hAnsi="宋体"/>
        </w:rPr>
        <w:t>购销公司承储省、市、县三级储备粮，负责各级储备粮的收购、保管、轮换。粮食购销实行市场经济运作，2003年以来粮食收购主要立足本地早稻，从江西、湖南购进部分，粮食收购价格均高于国家粮食收购最低保护价，根据各级储备粮要求2003年以来，每年收购轮换粮食达10000多吨。储备轮换的粮食主要销售往韶关及珠三角。</w:t>
      </w:r>
    </w:p>
    <w:p w14:paraId="27D1457A">
      <w:pPr>
        <w:pStyle w:val="4"/>
      </w:pPr>
      <w:r>
        <w:t>【粮油安全】</w:t>
      </w:r>
    </w:p>
    <w:p w14:paraId="6B4EFA91">
      <w:pPr>
        <w:ind w:firstLine="420"/>
        <w:rPr>
          <w:rFonts w:ascii="宋体" w:hAnsi="宋体"/>
        </w:rPr>
      </w:pPr>
      <w:r>
        <w:rPr>
          <w:rFonts w:ascii="宋体" w:hAnsi="宋体"/>
        </w:rPr>
        <w:t>2009年初，韶关市政府组织韶关粮食局牵头与韶关市农业局、物价局等部门开展对市政府粮食安全届中责任考核工作，2010年9月开展政府粮食安全届满前考核工作，市的粮食安全政府责任制考核成绩，名列全韶关县（市）首位。2010年6月，韶关市政府下达市食用植物油储备任务60吨，南雄市政府安全粮食局粮食购销公司承储。2009年7月，《广东省粮食安全保障条例》颁布实施，2010年7月，市粮食局举办以“关注粮食安全，共创和谐社会”为主题的大型宣传活动。</w:t>
      </w:r>
    </w:p>
    <w:p w14:paraId="45E2288B">
      <w:pPr>
        <w:pStyle w:val="4"/>
      </w:pPr>
      <w:r>
        <w:t>【粮食应急】</w:t>
      </w:r>
    </w:p>
    <w:p w14:paraId="4B197494">
      <w:pPr>
        <w:ind w:firstLine="420"/>
        <w:rPr>
          <w:rFonts w:ascii="宋体" w:hAnsi="宋体"/>
        </w:rPr>
      </w:pPr>
      <w:r>
        <w:rPr>
          <w:rFonts w:ascii="宋体" w:hAnsi="宋体"/>
        </w:rPr>
        <w:t>2008年3月，南雄市人民政府成立《南雄市粮食安全应急供应指挥部》（雄府[2008]17号），加强对粮食安全应急工作的指挥领导，完善《南雄市粮食应急预案》，健全粮食应急保障机制。2008年初，市遭遇八十年一遇的低温、雨雪、冰冻灾害，启动粮食应急预案，发放大米92吨，食用油1300公斤。至2010年，市已建立粮食应急加工企业3家，粮食应急供应企业3家，粮食应急运输企业1家。</w:t>
      </w:r>
    </w:p>
    <w:p w14:paraId="74ECF5FD">
      <w:pPr>
        <w:pStyle w:val="4"/>
      </w:pPr>
      <w:r>
        <w:t>【粮油加工】</w:t>
      </w:r>
    </w:p>
    <w:p w14:paraId="7D47B4F0">
      <w:pPr>
        <w:ind w:firstLine="420"/>
        <w:rPr>
          <w:rFonts w:ascii="宋体" w:hAnsi="宋体"/>
        </w:rPr>
      </w:pPr>
      <w:r>
        <w:rPr>
          <w:rFonts w:ascii="宋体" w:hAnsi="宋体"/>
        </w:rPr>
        <w:t>广东省金友集团有限公司，是市从事粮食生产、加工和经营的广东省、韶关市农业龙头企业，其前身属粮食局辖管。2007年12月，南雄市金友粮食企业进行体制改革，转制为民营企业，改组成立广东省金友集团有限公司。公司生产的“金友”牌优质米先后获得“中国国际农业博览会名牌产品”、“广东省名牌产品”、“放心米”等荣誉称号；“金友”有机米通过香港有机认证中心认证；“金友”商标被评为“广东省著名商标”。</w:t>
      </w:r>
    </w:p>
    <w:p w14:paraId="121EB7D7">
      <w:pPr>
        <w:pStyle w:val="4"/>
      </w:pPr>
      <w:r>
        <w:t>【粮油销售网点】</w:t>
      </w:r>
    </w:p>
    <w:p w14:paraId="782534EA">
      <w:pPr>
        <w:ind w:firstLine="420"/>
        <w:rPr>
          <w:rFonts w:ascii="宋体" w:hAnsi="宋体"/>
        </w:rPr>
      </w:pPr>
      <w:r>
        <w:rPr>
          <w:rFonts w:ascii="宋体" w:hAnsi="宋体"/>
        </w:rPr>
        <w:t>南雄市各乡镇分布有粮油销售网点，各大型超市均设粮油销售专柜，南雄市粮油应急销售供应主要有金友门店、八一宾阳粮油门店、金友粮油加工厂门店等三家。</w:t>
      </w:r>
    </w:p>
    <w:p w14:paraId="71059CA7">
      <w:pPr>
        <w:pStyle w:val="4"/>
      </w:pPr>
      <w:r>
        <w:t>【粮食基础设施建设】</w:t>
      </w:r>
    </w:p>
    <w:p w14:paraId="63E0B921">
      <w:pPr>
        <w:ind w:firstLine="420"/>
        <w:rPr>
          <w:rFonts w:ascii="宋体" w:hAnsi="宋体"/>
        </w:rPr>
      </w:pPr>
      <w:r>
        <w:rPr>
          <w:rFonts w:ascii="宋体" w:hAnsi="宋体"/>
        </w:rPr>
        <w:t>2006年以来，市投入仓库维修资金258万元，累计维修仓容4.87万吨。2009年规划建设新粮食仓库，2009年10月，大城门粮库拍卖，筹集的资金用于建设新粮库，全安5.2万吨新粮食仓储设施2010年9月17日完成立项，2010年10月26日完成工程招标，首期工程3万吨，计划2011年底完工。工程总量为：粮食仓库7座、建筑面积11088平方米；值班室68平方米；大门及围墙工程676米；仓库之间钢罩棚3个1998平方米；备品库及药品库297平方米；功能楼1170平方米；库内道路、站台、堆场、室外水电管线及消防设施、绿化工程等。</w:t>
      </w:r>
    </w:p>
    <w:p w14:paraId="09E4870E">
      <w:pPr>
        <w:ind w:firstLine="420"/>
        <w:jc w:val="right"/>
        <w:rPr>
          <w:rFonts w:ascii="宋体" w:hAnsi="宋体"/>
        </w:rPr>
      </w:pPr>
      <w:r>
        <w:rPr>
          <w:rFonts w:ascii="宋体" w:hAnsi="宋体"/>
        </w:rPr>
        <w:t>（张升金）</w:t>
      </w:r>
    </w:p>
    <w:p w14:paraId="072560D8">
      <w:pPr>
        <w:ind w:firstLine="422"/>
        <w:rPr>
          <w:rFonts w:ascii="宋体" w:hAnsi="宋体"/>
          <w:b/>
          <w:bCs/>
        </w:rPr>
      </w:pPr>
      <w:r>
        <w:rPr>
          <w:rFonts w:ascii="宋体" w:hAnsi="宋体"/>
          <w:b/>
          <w:bCs/>
        </w:rPr>
        <w:t>附：2010年粮食储备局领导班子成员名单</w:t>
      </w:r>
    </w:p>
    <w:p w14:paraId="144CF9E8">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李锦峰</w:t>
      </w:r>
    </w:p>
    <w:p w14:paraId="58725364">
      <w:pPr>
        <w:ind w:firstLine="422"/>
        <w:rPr>
          <w:rFonts w:ascii="宋体" w:hAnsi="宋体"/>
        </w:rPr>
      </w:pPr>
      <w:r>
        <w:rPr>
          <w:rFonts w:ascii="宋体" w:hAnsi="宋体"/>
          <w:b/>
          <w:bCs/>
        </w:rPr>
        <w:t>副局长：</w:t>
      </w:r>
      <w:r>
        <w:rPr>
          <w:rFonts w:ascii="宋体" w:hAnsi="宋体"/>
        </w:rPr>
        <w:t>曾</w:t>
      </w:r>
      <w:r>
        <w:rPr>
          <w:rFonts w:hint="eastAsia" w:ascii="宋体" w:hAnsi="宋体"/>
        </w:rPr>
        <w:t xml:space="preserve">  </w:t>
      </w:r>
      <w:r>
        <w:rPr>
          <w:rFonts w:ascii="宋体" w:hAnsi="宋体"/>
        </w:rPr>
        <w:t>智</w:t>
      </w:r>
    </w:p>
    <w:p w14:paraId="0DDEEE9D">
      <w:pPr>
        <w:pStyle w:val="3"/>
      </w:pPr>
      <w:r>
        <w:rPr>
          <w:rFonts w:hint="eastAsia"/>
        </w:rPr>
        <w:t>烟草</w:t>
      </w:r>
    </w:p>
    <w:p w14:paraId="72E920EB">
      <w:pPr>
        <w:pStyle w:val="4"/>
      </w:pPr>
      <w:r>
        <w:t>【概况】</w:t>
      </w:r>
    </w:p>
    <w:p w14:paraId="46751CBF">
      <w:pPr>
        <w:ind w:firstLine="420"/>
        <w:rPr>
          <w:rFonts w:ascii="宋体" w:hAnsi="宋体"/>
        </w:rPr>
      </w:pPr>
      <w:r>
        <w:rPr>
          <w:rFonts w:ascii="宋体" w:hAnsi="宋体"/>
        </w:rPr>
        <w:t>广东省南雄市烟草专卖局成立于1983年12月，受南雄市人民政府和广东省烟草专卖局双重领导，主要职能是行使全市烟草专卖行政管理权力和贯彻执行《中华人民共和国烟草专卖法》及上级主管部门制定的烟草政策、规章制度。南雄市烟草公司成立于1983年10月，1987年更名为广东省烟草公司南雄市公司，2000年12月改制组建广东烟草南雄市有限公司，下辖广东南雄烟叶复烤有限公司，代管省公司直属的广东省烟草南雄科学研究所。广东省南雄市烟草专卖局与广东烟草南雄市有限公司合署办公[简称南雄市烟草专卖局（公司）]，实行两块牌子、一套人马的管理体制，是南雄市对全市烟草市场实行专卖专营集中统一管理和卷烟经营、烟叶生产经营的机构，有员工525人。</w:t>
      </w:r>
    </w:p>
    <w:p w14:paraId="371911E8">
      <w:pPr>
        <w:ind w:firstLine="420"/>
        <w:rPr>
          <w:rFonts w:ascii="宋体" w:hAnsi="宋体"/>
        </w:rPr>
      </w:pPr>
      <w:r>
        <w:rPr>
          <w:rFonts w:ascii="宋体" w:hAnsi="宋体"/>
        </w:rPr>
        <w:t>2010年，实现税利2.44亿元（含广东南雄烟叶复烤有限公司），实现利润1.27亿元。销售卷烟7.51亿支，同比增长4.79%，卷烟销售收入2.97亿元，全市种植烟叶11.5万亩，收购烟叶30.62万担，完成烟叶购销合同30.4万担。推进特色优质烟叶开发，建成国家局安排的南雄市特色优质烟叶开发点3个。开展紫色土旱坡地改造示范，规模2800亩。在基地单元内启动建设特色区域单元2个，基本实现基地单元内基础设施、专业化服务配套。</w:t>
      </w:r>
    </w:p>
    <w:p w14:paraId="14086393">
      <w:pPr>
        <w:pStyle w:val="4"/>
      </w:pPr>
      <w:r>
        <w:t>【黄烟生产与烟叶购销】</w:t>
      </w:r>
    </w:p>
    <w:p w14:paraId="45D9D382">
      <w:pPr>
        <w:ind w:firstLine="420"/>
        <w:rPr>
          <w:rFonts w:ascii="宋体" w:hAnsi="宋体"/>
        </w:rPr>
      </w:pPr>
      <w:r>
        <w:rPr>
          <w:rFonts w:ascii="宋体" w:hAnsi="宋体"/>
        </w:rPr>
        <w:t>2010年国家局安排南雄市特色优质烟叶开发点3个，即黄坑、古市、水口特色优质烟叶基地，分别对应广东中烟、湖北中烟和川渝中烟3家工业企业，种植面积3.76万亩，收购量11.37万担。2010年实现标准化烟叶生产11.5万亩，实现100%覆盖。完成烟叶基础设施建设项目7个，总投资3863.85万元，建设沟渠59.1千米，提灌站10座，小塘坝18个，机耕路6.1千米，密集式烤房600座，育苗大棚9个，农用机械170台。实现“零库存”烟叶销售任务，在2010年度全国烟叶网上集中交易中，签订年度购销协议6份，33.5万担，实际签订购销合同291份，完成购销合同30.4万担。</w:t>
      </w:r>
    </w:p>
    <w:p w14:paraId="7A03E8C4">
      <w:pPr>
        <w:pStyle w:val="4"/>
      </w:pPr>
      <w:r>
        <w:t>【科技兴烟】</w:t>
      </w:r>
    </w:p>
    <w:p w14:paraId="42A7FE05">
      <w:pPr>
        <w:ind w:firstLine="420"/>
        <w:rPr>
          <w:rFonts w:ascii="宋体" w:hAnsi="宋体"/>
        </w:rPr>
      </w:pPr>
      <w:r>
        <w:rPr>
          <w:rFonts w:ascii="宋体" w:hAnsi="宋体"/>
        </w:rPr>
        <w:t>会同工业企业和科研单位三方共同商榷制定年度生产技术方案，覆盖烟叶生产全过程。烟叶技术管理员在生产过程中对烟农加强备耕、烤烟，漂浮（湿润）育苗、移栽、平衡施肥、大田管理、病虫害综合防治、烟叶成熟采收、科学烘烤和分级等方面的技术指导，推广合理轮作、测土配方施肥、稻草覆盖、前膜后草、顶叶4~6片充分成熟一次性采收等技术，烟农严格按照技术标准执行，田间操作规范，技术落实到位率高，烟株营养均衡，田间长势好，整齐度高。举办烟叶标准化生产培训班，提高烟叶技术管理员业务水平和烟农种烟技术。</w:t>
      </w:r>
    </w:p>
    <w:p w14:paraId="49899F4E">
      <w:pPr>
        <w:pStyle w:val="4"/>
      </w:pPr>
      <w:r>
        <w:t>【企业内部管理】</w:t>
      </w:r>
    </w:p>
    <w:p w14:paraId="1342499A">
      <w:pPr>
        <w:ind w:firstLine="420"/>
        <w:rPr>
          <w:rFonts w:ascii="宋体" w:hAnsi="宋体"/>
        </w:rPr>
      </w:pPr>
      <w:r>
        <w:rPr>
          <w:rFonts w:ascii="宋体" w:hAnsi="宋体"/>
        </w:rPr>
        <w:t>围绕提升内部效率和规范水平，实行办事公开民主管理，开展预算编制和审核工作，建立分级、分类、分项管理和控制运行体系；加强成本费用、资产和资金管理，实现管理日常化、程序化、制度化。扎实推进贯标、对标和基层创优工作。开展接访工作，深入排查化解矛盾，办理信访案件，落实安全生产责任制，开展“安全生产月”活动，实现“六个为零”的安全管理目标。充实人才队伍，公开向社会招聘20名卷烟营销、生产技术、专卖稽查等岗位“三员”人员。加强党风廉政建设，贯彻落实党风廉政建设责任制，完善惩治和预防腐败体系，贯彻学习廉政准则，加强政风行风建设，促进领导干部廉洁自律。</w:t>
      </w:r>
    </w:p>
    <w:p w14:paraId="137293F5">
      <w:pPr>
        <w:ind w:firstLine="420"/>
        <w:rPr>
          <w:rFonts w:ascii="宋体" w:hAnsi="宋体"/>
        </w:rPr>
      </w:pPr>
      <w:r>
        <w:rPr>
          <w:rFonts w:ascii="宋体" w:hAnsi="宋体"/>
        </w:rPr>
        <w:t>2010年，南雄烟草被评为“广东省烟草商业系统‘十一五’期间技术创新工作先进集体”“2009年度宣传报道工作先进单位”“韶关市2008年至2009年度文明单位”“韶关市依法治市工作先进单位”“南雄市2007年至2009依法治市工作先进单位”“创建广东省教育强镇工作先进单位”，获“2009年度烟叶生产、收购、调拨、基础设施建设责任目标考核一类一等奖”。</w:t>
      </w:r>
    </w:p>
    <w:p w14:paraId="171401B0">
      <w:pPr>
        <w:pStyle w:val="4"/>
      </w:pPr>
      <w:r>
        <w:t>【企业改革】</w:t>
      </w:r>
    </w:p>
    <w:p w14:paraId="39329B4D">
      <w:pPr>
        <w:ind w:firstLine="420"/>
        <w:rPr>
          <w:rFonts w:ascii="宋体" w:hAnsi="宋体"/>
        </w:rPr>
      </w:pPr>
      <w:r>
        <w:rPr>
          <w:rFonts w:ascii="宋体" w:hAnsi="宋体"/>
        </w:rPr>
        <w:t>2010年8月，发布ISO9000质量管理体系文件，质量管理体系进入试运行阶段，理顺企业管理细则，健全和完善各项管理、技术、工作标准，形成有效的规章制度、清晰的岗位职责、健全的标准体系，促进企业管理上水平。</w:t>
      </w:r>
    </w:p>
    <w:p w14:paraId="35ED14E3">
      <w:pPr>
        <w:ind w:firstLine="420"/>
        <w:rPr>
          <w:rFonts w:ascii="宋体" w:hAnsi="宋体"/>
        </w:rPr>
      </w:pPr>
      <w:r>
        <w:rPr>
          <w:rFonts w:ascii="宋体" w:hAnsi="宋体"/>
        </w:rPr>
        <w:t>2010年，南雄市被列为首批整县（市）推进现代烟草农业建设产区，现代烟草农业建设工作首先在湖口、水口、江头、南亩四镇和雄州街道的勋口、荆岗村委会开展。南雄市将在2010年至2012年整合农口所有建设项目和资源，统筹资金安排，条块结合，系统配套设计，投入规划建设资金4.48亿元，分6个基地单元，全面推进南雄市16个（街道）烟区现代烟草农业建设工作。至2012年，全面完成南雄市20.17万亩基本烟田规划、烟水、烟路、烘烤工场、育苗工场、农机具、防灾减灾、标准化烟站等基础设施建设，逐步实现烟叶基础设施整体配套，专业化服务全覆盖，烟叶生产技术集成化，主要劳动过程机械化，全市烟叶生产条件明显改善，综合生产能力明显提高，抗御自然灾害能力明显增强的整县推进现代烟草农业总体目标任务。</w:t>
      </w:r>
    </w:p>
    <w:p w14:paraId="09B20BC1">
      <w:pPr>
        <w:ind w:firstLine="420"/>
        <w:rPr>
          <w:rFonts w:ascii="宋体" w:hAnsi="宋体"/>
        </w:rPr>
      </w:pPr>
      <w:r>
        <w:rPr>
          <w:rFonts w:ascii="宋体" w:hAnsi="宋体"/>
        </w:rPr>
        <w:t>创新烟叶生产组织与专业化服务体系，以适应现代烟草农业发展要求。在依法、自愿、有偿的原则上，加大土地流转工作力度，着力发展种植专业户、家庭农场、种植专业合作社等烟叶生产组织体系。在农村家庭承包经营的基础上，重点发展以烟农为主体的互助型专业合作社，合作社通过民主选举社长，实行统一生产、统一服务、分户经营，合作社成员自行承担种植风险。在试点的湖口、水口基地单元成立2个综合服务社，实现机耕、育苗、植保、烘烤、分级五个专业化服务运作，推广专业化分工和社会化服务。</w:t>
      </w:r>
    </w:p>
    <w:p w14:paraId="5E517ED0">
      <w:pPr>
        <w:pStyle w:val="4"/>
      </w:pPr>
      <w:r>
        <w:t>【专卖管理】</w:t>
      </w:r>
    </w:p>
    <w:p w14:paraId="05D8A3F5">
      <w:pPr>
        <w:ind w:firstLine="420"/>
        <w:rPr>
          <w:rFonts w:ascii="宋体" w:hAnsi="宋体"/>
        </w:rPr>
      </w:pPr>
      <w:r>
        <w:rPr>
          <w:rFonts w:ascii="宋体" w:hAnsi="宋体"/>
        </w:rPr>
        <w:t>内部专卖管理监督工作以全省内部专卖管理监督信息平台为依托，狠抓烟叶生产收购、烟叶经营和卷烟经营规范问题，促进企业自律。2010年，查处涉烟案件118宗，涉案金额158.88万元，查获涉案烟叶38039.7公斤，卷烟81.084万支，制假烟丝4240公斤，水松纸172.7公斤，滤嘴棒30万支。清理无证经营户193户，新办烟草专卖零售许可证161份，截至2010年底，有效持证户1528户，“两烟”生产经营依法依规开展，规范有序。</w:t>
      </w:r>
    </w:p>
    <w:p w14:paraId="650D6CBF">
      <w:pPr>
        <w:pStyle w:val="4"/>
      </w:pPr>
      <w:r>
        <w:t>【卷烟经营】</w:t>
      </w:r>
    </w:p>
    <w:p w14:paraId="6BBF8692">
      <w:pPr>
        <w:ind w:firstLine="420"/>
        <w:rPr>
          <w:rFonts w:ascii="宋体" w:hAnsi="宋体"/>
        </w:rPr>
      </w:pPr>
      <w:r>
        <w:rPr>
          <w:rFonts w:ascii="宋体" w:hAnsi="宋体"/>
        </w:rPr>
        <w:t>2010年，南雄烟草围绕“卷烟上水平”目标任务，执行“按客户订单组织货源”工作要求，实现货源由信息系统自动分配，紧俏品牌根据实际货源情况合理限量供应，顺销品牌基本满足市场需求。全面提升网建管理水平，执行全市统一的客户服务项目、服务程序、服务标准、服务监督和服务评价体系。实现零售客户综合毛利率12.3%，零售客户满意度96.14%，零售客户投诉回访率100%。</w:t>
      </w:r>
    </w:p>
    <w:p w14:paraId="413A3563">
      <w:pPr>
        <w:pStyle w:val="4"/>
      </w:pPr>
      <w:r>
        <w:t>【物流配送】</w:t>
      </w:r>
    </w:p>
    <w:p w14:paraId="5E498FE6">
      <w:pPr>
        <w:ind w:firstLine="420"/>
        <w:rPr>
          <w:rFonts w:ascii="宋体" w:hAnsi="宋体"/>
        </w:rPr>
      </w:pPr>
      <w:r>
        <w:rPr>
          <w:rFonts w:ascii="宋体" w:hAnsi="宋体"/>
        </w:rPr>
        <w:t>加强卷烟配送管理，配送到户率99.48%，达到全省平均水平以上。优化配送线路，节约配送成本。完成送货线路的信息采集与配送车辆的GPS卫星定位系统的安装，对配送车辆全程实时监控，每日送货车辆送货完成后归位按要求进行例行“三检”，有效保证全年卷烟配送工作安全。</w:t>
      </w:r>
    </w:p>
    <w:p w14:paraId="5813D7EF">
      <w:pPr>
        <w:ind w:firstLine="420"/>
        <w:jc w:val="right"/>
        <w:rPr>
          <w:rFonts w:ascii="宋体" w:hAnsi="宋体"/>
        </w:rPr>
      </w:pPr>
      <w:r>
        <w:rPr>
          <w:rFonts w:ascii="宋体" w:hAnsi="宋体"/>
        </w:rPr>
        <w:t>(胡燕)</w:t>
      </w:r>
    </w:p>
    <w:p w14:paraId="4B75AD7B">
      <w:pPr>
        <w:ind w:firstLine="422"/>
        <w:rPr>
          <w:rFonts w:ascii="宋体" w:hAnsi="宋体"/>
          <w:b/>
          <w:bCs/>
        </w:rPr>
      </w:pPr>
      <w:r>
        <w:rPr>
          <w:rFonts w:ascii="宋体" w:hAnsi="宋体"/>
          <w:b/>
          <w:bCs/>
        </w:rPr>
        <w:t>附：2010年烟草专卖局（公司）领导班子成员名单</w:t>
      </w:r>
    </w:p>
    <w:p w14:paraId="19F8FC1B">
      <w:pPr>
        <w:ind w:firstLine="422"/>
        <w:rPr>
          <w:rFonts w:ascii="宋体" w:hAnsi="宋体"/>
        </w:rPr>
      </w:pPr>
      <w:r>
        <w:rPr>
          <w:rFonts w:ascii="宋体" w:hAnsi="宋体"/>
          <w:b/>
          <w:bCs/>
        </w:rPr>
        <w:t>专卖局长、总经理：</w:t>
      </w:r>
      <w:r>
        <w:rPr>
          <w:rFonts w:ascii="宋体" w:hAnsi="宋体"/>
        </w:rPr>
        <w:t>尹本良</w:t>
      </w:r>
    </w:p>
    <w:p w14:paraId="3DEA69A4">
      <w:pPr>
        <w:ind w:firstLine="422"/>
        <w:rPr>
          <w:rFonts w:ascii="宋体" w:hAnsi="宋体"/>
        </w:rPr>
      </w:pPr>
      <w:r>
        <w:rPr>
          <w:rFonts w:ascii="宋体" w:hAnsi="宋体"/>
          <w:b/>
          <w:bCs/>
        </w:rPr>
        <w:t>副局长、纪检书记：</w:t>
      </w:r>
      <w:r>
        <w:rPr>
          <w:rFonts w:ascii="宋体" w:hAnsi="宋体"/>
        </w:rPr>
        <w:t>彭志忠</w:t>
      </w:r>
    </w:p>
    <w:p w14:paraId="6C435AFE">
      <w:pPr>
        <w:ind w:firstLine="422"/>
        <w:rPr>
          <w:rFonts w:ascii="宋体" w:hAnsi="宋体"/>
        </w:rPr>
      </w:pPr>
      <w:r>
        <w:rPr>
          <w:rFonts w:ascii="宋体" w:hAnsi="宋体"/>
          <w:b/>
          <w:bCs/>
        </w:rPr>
        <w:t>副总经理、工会主席：</w:t>
      </w:r>
      <w:r>
        <w:rPr>
          <w:rFonts w:ascii="宋体" w:hAnsi="宋体"/>
        </w:rPr>
        <w:t>柯油松</w:t>
      </w:r>
    </w:p>
    <w:p w14:paraId="09B70034">
      <w:pPr>
        <w:ind w:firstLine="422"/>
        <w:rPr>
          <w:rFonts w:ascii="宋体" w:hAnsi="宋体"/>
        </w:rPr>
      </w:pPr>
      <w:r>
        <w:rPr>
          <w:rFonts w:ascii="宋体" w:hAnsi="宋体"/>
          <w:b/>
          <w:bCs/>
        </w:rPr>
        <w:t>副总经理：</w:t>
      </w:r>
      <w:r>
        <w:rPr>
          <w:rFonts w:ascii="宋体" w:hAnsi="宋体"/>
        </w:rPr>
        <w:t>肖国军</w:t>
      </w:r>
    </w:p>
    <w:p w14:paraId="2FAADCED">
      <w:pPr>
        <w:pStyle w:val="3"/>
      </w:pPr>
      <w:r>
        <w:rPr>
          <w:rFonts w:hint="eastAsia"/>
        </w:rPr>
        <w:t>食盐流通领域</w:t>
      </w:r>
    </w:p>
    <w:p w14:paraId="530467CE">
      <w:pPr>
        <w:pStyle w:val="4"/>
      </w:pPr>
      <w:r>
        <w:t>概况</w:t>
      </w:r>
    </w:p>
    <w:p w14:paraId="6FFCE64F">
      <w:pPr>
        <w:ind w:firstLine="420"/>
        <w:rPr>
          <w:rFonts w:ascii="宋体" w:hAnsi="宋体"/>
        </w:rPr>
      </w:pPr>
      <w:r>
        <w:rPr>
          <w:rFonts w:ascii="宋体" w:hAnsi="宋体"/>
        </w:rPr>
        <w:t>南雄市供销合作社联合社负责全市的食盐流通领域盐业行政管理，食盐批发和零售市场的监督检查，做好全市食盐专营工作。2006年，食盐专营管理体制转变，全市的食盐专营工作归口韶关盐业公司管理。</w:t>
      </w:r>
    </w:p>
    <w:p w14:paraId="4A385DAD">
      <w:pPr>
        <w:pStyle w:val="4"/>
      </w:pPr>
      <w:r>
        <w:t>【产品质量监控】</w:t>
      </w:r>
    </w:p>
    <w:p w14:paraId="728F55A7">
      <w:pPr>
        <w:ind w:firstLine="420"/>
        <w:rPr>
          <w:rFonts w:ascii="宋体" w:hAnsi="宋体"/>
        </w:rPr>
      </w:pPr>
      <w:r>
        <w:rPr>
          <w:rFonts w:ascii="宋体" w:hAnsi="宋体"/>
        </w:rPr>
        <w:t>按照中盐总公司下达的《加碘盐质量监测办法》要求，韶关盐业公司，除负责成品检验及出厂食用盐的质量把关以外，库存食用盐每月抽检2次，企业生产线每2小时进行一次碘含量测定。销区化验室对商业库存食用盐，入库必检一次，库存食盐每月抽检2次。南雄供销社每年定期抽样食盐检验，产品抽样合格率为100%，保证消费者的身体健康。</w:t>
      </w:r>
    </w:p>
    <w:p w14:paraId="403CFD4B">
      <w:pPr>
        <w:pStyle w:val="4"/>
      </w:pPr>
      <w:r>
        <w:t>【完善食盐销售网络】</w:t>
      </w:r>
    </w:p>
    <w:p w14:paraId="296BB4F2">
      <w:pPr>
        <w:ind w:firstLine="420"/>
        <w:rPr>
          <w:rFonts w:ascii="宋体" w:hAnsi="宋体"/>
        </w:rPr>
      </w:pPr>
      <w:r>
        <w:rPr>
          <w:rFonts w:ascii="宋体" w:hAnsi="宋体"/>
        </w:rPr>
        <w:t>南雄市食盐实现“级批发、直达零售”的销售模式。在原有销售网点建设的基础上，对全市销售网点进行科学合理布局，进一步把加碘盐销售网点向镇、村（居）委会下移延伸，拓宽农村食盐市场，方便群众购买。并着力完善销售网络功能配套建设，逐步形成互补互助的销售网络，年销售在2000吨以上。</w:t>
      </w:r>
    </w:p>
    <w:p w14:paraId="7AD5EBFD">
      <w:pPr>
        <w:pStyle w:val="4"/>
      </w:pPr>
      <w:r>
        <w:t>【维护食盐市场稳定】</w:t>
      </w:r>
    </w:p>
    <w:p w14:paraId="2C340065">
      <w:pPr>
        <w:ind w:firstLine="420"/>
        <w:rPr>
          <w:rFonts w:ascii="宋体" w:hAnsi="宋体"/>
        </w:rPr>
      </w:pPr>
      <w:r>
        <w:rPr>
          <w:rFonts w:ascii="宋体" w:hAnsi="宋体"/>
        </w:rPr>
        <w:t>南雄市供销合作社联合社与韶关盐业部门衔接，合理安排调动保证食盐库存充足，加强市场巡查和监测，掌握市场动态，防止私盐冲销市场，确保合格碘盐供应。掌握当地食盐供应和库存情况，针对2003年非碘期间市场出现食盐抢购现象，影响了人民群众正常生活和正常的市场交易秩序。南雄供销社以民生为重，加强辖区市场监管，配合工商等有关部门坚决制止和打击囤积居奇、哄抬盐价等扰乱市场的行为，维护正常的食盐流通秩序。</w:t>
      </w:r>
    </w:p>
    <w:p w14:paraId="162DBFD5">
      <w:pPr>
        <w:pStyle w:val="4"/>
      </w:pPr>
      <w:r>
        <w:t>【行业改革与企业内部管理】</w:t>
      </w:r>
    </w:p>
    <w:p w14:paraId="21263B6C">
      <w:pPr>
        <w:ind w:firstLine="420"/>
        <w:rPr>
          <w:rFonts w:ascii="宋体" w:hAnsi="宋体"/>
        </w:rPr>
      </w:pPr>
      <w:r>
        <w:rPr>
          <w:rFonts w:ascii="宋体" w:hAnsi="宋体"/>
        </w:rPr>
        <w:t>全市的盐业体制改革充分考虑食盐的特殊性，理性决策，坚持食盐专营、巩固食盐专营、维护食盐专营。供销社食盐经营管理实行“三统一”：统一专营资产、统一经营管理、统一食盐品牌。加速盐品流通现代化，规范流通秩序，提高盐品质量，增加品种，实现盐业产销一体化、流通现代化的目标，最大限度地保障人民生产生活的需求。</w:t>
      </w:r>
    </w:p>
    <w:p w14:paraId="220415D6">
      <w:pPr>
        <w:pStyle w:val="4"/>
      </w:pPr>
      <w:r>
        <w:t>【生猪定点屠宰】</w:t>
      </w:r>
    </w:p>
    <w:p w14:paraId="0BFB999E">
      <w:pPr>
        <w:ind w:firstLine="420"/>
        <w:rPr>
          <w:rFonts w:ascii="宋体" w:hAnsi="宋体"/>
        </w:rPr>
      </w:pPr>
      <w:r>
        <w:rPr>
          <w:rFonts w:ascii="宋体" w:hAnsi="宋体"/>
        </w:rPr>
        <w:t>经信局帮助屠宰场争取生猪屠宰专项资金，推进南雄市生猪定点屠宰工作的开展。帮助市利民肉联厂争取50万元生猪定点屠宰专项技改资金，使投产近10年的利民生猪定点屠宰场，实现升级改造。</w:t>
      </w:r>
    </w:p>
    <w:p w14:paraId="26D02467">
      <w:pPr>
        <w:ind w:firstLine="420"/>
        <w:jc w:val="right"/>
        <w:rPr>
          <w:rFonts w:ascii="宋体" w:hAnsi="宋体"/>
        </w:rPr>
      </w:pPr>
      <w:r>
        <w:rPr>
          <w:rFonts w:ascii="宋体" w:hAnsi="宋体"/>
        </w:rPr>
        <w:t>（张涛）</w:t>
      </w:r>
    </w:p>
    <w:p w14:paraId="0451EFD6">
      <w:pPr>
        <w:pStyle w:val="3"/>
      </w:pPr>
      <w:r>
        <w:rPr>
          <w:rFonts w:hint="eastAsia"/>
        </w:rPr>
        <w:t>燃料贸易</w:t>
      </w:r>
    </w:p>
    <w:p w14:paraId="36192C44">
      <w:pPr>
        <w:pStyle w:val="4"/>
      </w:pPr>
      <w:r>
        <w:t>【概况】</w:t>
      </w:r>
    </w:p>
    <w:p w14:paraId="374ABB8F">
      <w:pPr>
        <w:ind w:firstLine="420"/>
        <w:rPr>
          <w:rFonts w:ascii="宋体" w:hAnsi="宋体"/>
        </w:rPr>
      </w:pPr>
      <w:r>
        <w:rPr>
          <w:rFonts w:ascii="宋体" w:hAnsi="宋体"/>
        </w:rPr>
        <w:t>中国石油股份有限公司广东韶关南雄石油分公司的前身是广东省石油企业集团南雄市公司，是国有正科级企业单位，位于广东省南雄市雄州镇水南花苑13-14号。2010年在岗员工84人，离退休22人。加油站情况</w:t>
      </w:r>
    </w:p>
    <w:p w14:paraId="3BB20FC1">
      <w:pPr>
        <w:ind w:firstLine="420"/>
        <w:rPr>
          <w:rFonts w:ascii="宋体" w:hAnsi="宋体"/>
        </w:rPr>
      </w:pPr>
      <w:r>
        <w:rPr>
          <w:rFonts w:ascii="宋体" w:hAnsi="宋体"/>
        </w:rPr>
        <w:t>2010年1月在韶赣高速公路全安服务区新增加油站2座。分别为韶赣高速全安服务区南站、北站。雄东加油站位于南雄市雄东路262号，雄南加油站位于南雄市河南管理区157号，乌迳加油站位于乌迳镇孔江路口。城区加油站位于南雄市小梅关，2009年6月份石油公司和金友集团公司经过协商后，由金友公司租赁城区加油站给石油公司经营的加油站。2010年雄东加油站有员工14人，站长1人；雄南加油站油员工14人，站长1人；乌迳加油站有员工7人，站长1人；全安服务区加油站有员工45人，站长1人。</w:t>
      </w:r>
    </w:p>
    <w:p w14:paraId="1C476ACA">
      <w:pPr>
        <w:pStyle w:val="4"/>
      </w:pPr>
      <w:r>
        <w:t>【经营状况】</w:t>
      </w:r>
    </w:p>
    <w:p w14:paraId="07EF0114">
      <w:pPr>
        <w:ind w:firstLine="420"/>
        <w:rPr>
          <w:rFonts w:ascii="宋体" w:hAnsi="宋体"/>
        </w:rPr>
      </w:pPr>
      <w:r>
        <w:rPr>
          <w:rFonts w:ascii="宋体" w:hAnsi="宋体"/>
        </w:rPr>
        <w:t>2010年公司的财务由上级公司（韶关公司）统一核算；固定资产折旧方法是：直线法；纳税人资格是一般纳税人资格。在业务上，2010年南雄地区的消费量为3.70万吨，成品油的零售量为3.20万吨。人事管理由上级公司统一主管。</w:t>
      </w:r>
    </w:p>
    <w:p w14:paraId="3DC5CA5B">
      <w:pPr>
        <w:ind w:firstLine="420"/>
        <w:jc w:val="right"/>
        <w:rPr>
          <w:rFonts w:ascii="宋体" w:hAnsi="宋体"/>
        </w:rPr>
      </w:pPr>
      <w:r>
        <w:rPr>
          <w:rFonts w:ascii="宋体" w:hAnsi="宋体"/>
        </w:rPr>
        <w:t>（黄纲维）</w:t>
      </w:r>
    </w:p>
    <w:p w14:paraId="70AE22BC">
      <w:pPr>
        <w:ind w:firstLine="422"/>
        <w:rPr>
          <w:rFonts w:ascii="宋体" w:hAnsi="宋体"/>
          <w:b/>
          <w:bCs/>
        </w:rPr>
      </w:pPr>
      <w:r>
        <w:rPr>
          <w:rFonts w:ascii="宋体" w:hAnsi="宋体"/>
          <w:b/>
          <w:bCs/>
        </w:rPr>
        <w:t>附：2010年南雄石油分公司领导班子成员名单</w:t>
      </w:r>
    </w:p>
    <w:p w14:paraId="58EBD343">
      <w:pPr>
        <w:ind w:firstLine="422"/>
        <w:rPr>
          <w:rFonts w:ascii="宋体" w:hAnsi="宋体"/>
        </w:rPr>
      </w:pPr>
      <w:r>
        <w:rPr>
          <w:rFonts w:ascii="宋体" w:hAnsi="宋体"/>
          <w:b/>
          <w:bCs/>
        </w:rPr>
        <w:t>经理：</w:t>
      </w:r>
      <w:r>
        <w:rPr>
          <w:rFonts w:ascii="宋体" w:hAnsi="宋体"/>
        </w:rPr>
        <w:t>陈书榕</w:t>
      </w:r>
    </w:p>
    <w:p w14:paraId="2B765C34">
      <w:pPr>
        <w:pStyle w:val="3"/>
      </w:pPr>
      <w:r>
        <w:rPr>
          <w:rFonts w:hint="eastAsia"/>
        </w:rPr>
        <w:t>对外贸易</w:t>
      </w:r>
    </w:p>
    <w:p w14:paraId="386F06E5">
      <w:pPr>
        <w:pStyle w:val="4"/>
      </w:pPr>
      <w:r>
        <w:t>【概况】</w:t>
      </w:r>
    </w:p>
    <w:p w14:paraId="3F504934">
      <w:pPr>
        <w:ind w:firstLine="420"/>
        <w:rPr>
          <w:rFonts w:ascii="宋体" w:hAnsi="宋体"/>
        </w:rPr>
      </w:pPr>
      <w:r>
        <w:rPr>
          <w:rFonts w:ascii="宋体" w:hAnsi="宋体"/>
        </w:rPr>
        <w:t>南雄市外经局成立于1982年，其前身是南雄县外经委。是市政府工作部门之一．现有在编人员8名，其中行政编制7名，工勤编制1名，内设办公室、外资股、贸易发展股、口岸办。负责南雄市利用外资、出口创汇、劳务输出及进出口贸易工作。管理、协调全市举办或参与境内外各类外经贸交易会、展销会、洽谈会，协同有关部门进行经济贸易合作谈判、签约，指导协调全市招商引资投资促进和引进外资工作，组织承办全市性招商引资活动，指导和管理全市外商投资企业的合同章程及其变更事项审批，协调解决外资企业在生产经营中的重大问题。下辖：进出口贸易公司、对外贸易公司、粤华经贸实业公司。</w:t>
      </w:r>
    </w:p>
    <w:p w14:paraId="17353BFA">
      <w:pPr>
        <w:pStyle w:val="4"/>
      </w:pPr>
      <w:r>
        <w:t>【重大项目招商】</w:t>
      </w:r>
    </w:p>
    <w:p w14:paraId="5BF87B58">
      <w:pPr>
        <w:ind w:firstLine="420"/>
        <w:rPr>
          <w:rFonts w:ascii="宋体" w:hAnsi="宋体"/>
        </w:rPr>
      </w:pPr>
      <w:r>
        <w:rPr>
          <w:rFonts w:ascii="宋体" w:hAnsi="宋体"/>
        </w:rPr>
        <w:t>2010年，签订投资合同项目16个，投资金额达41.25亿元，其中，新引进外资项目2个，合同资金1535万美元，实际吸收外资1376万美元。成功引进总投资6.6亿元的康绿宝（南雄）科技园项目和中山大桥化工集团项目；引进上市公司一广州阳普医疗有限公司、广东巴德士化工有限公司、广东新协力集团、天威保变电气股份有限公司、广药集团、中顺洁柔等60多家国内外知名企业的投资项目。</w:t>
      </w:r>
    </w:p>
    <w:p w14:paraId="4A64B90E">
      <w:pPr>
        <w:pStyle w:val="4"/>
      </w:pPr>
      <w:r>
        <w:t>【对外贸易交流活动】</w:t>
      </w:r>
    </w:p>
    <w:p w14:paraId="7278EEAA">
      <w:pPr>
        <w:ind w:firstLine="420"/>
        <w:rPr>
          <w:rFonts w:ascii="宋体" w:hAnsi="宋体"/>
        </w:rPr>
      </w:pPr>
      <w:r>
        <w:rPr>
          <w:rFonts w:ascii="宋体" w:hAnsi="宋体"/>
        </w:rPr>
        <w:t>南雄市在竣东莞大岭山（南雄）产业转移工业园隆重举行10家企业竣工投产庆典仪式。此次竣工投产的10家企业，总资额4.03亿元。</w:t>
      </w:r>
    </w:p>
    <w:p w14:paraId="5ED0C5EF">
      <w:pPr>
        <w:pStyle w:val="4"/>
      </w:pPr>
      <w:r>
        <w:t>【服务环境建设】</w:t>
      </w:r>
    </w:p>
    <w:p w14:paraId="0067AC5B">
      <w:pPr>
        <w:ind w:firstLine="420"/>
        <w:rPr>
          <w:rFonts w:ascii="宋体" w:hAnsi="宋体"/>
        </w:rPr>
      </w:pPr>
      <w:r>
        <w:rPr>
          <w:rFonts w:ascii="宋体" w:hAnsi="宋体"/>
        </w:rPr>
        <w:t>成立招商办和精细化工基地管理处，并对招商办、外经局、投资服务中心人力资源进行优化整合，成立外来投资服务中心，为企业提供优质高效的服务；贯彻落实市委、市政府关于实施“工业绿灯工程”，各职能部门广开“绿灯”，优先解决外商的户口、子女读书等实际问题。全面推行限时办结制，投资在1000万元以下项目，3天内办好一切审批手续；1000万元以上（含1000万元）项目，7天内办好一切相关手续；出台外来投资企业优惠政策，对精细化工企业用地、用工、规划、建设、工商登记等全面实行优惠让利政策，免收费、减半收费项目达40多项，降低企业的投资成本；对外来投资企业实行“一牌一证一卡”重点保护制度，严禁对持证投资企业乱检查、乱收费、乱罚款，严禁干扰企业的正常生产经营活动。</w:t>
      </w:r>
    </w:p>
    <w:p w14:paraId="6A828E93">
      <w:pPr>
        <w:pStyle w:val="4"/>
      </w:pPr>
      <w:r>
        <w:t>【创新招商方式】</w:t>
      </w:r>
    </w:p>
    <w:p w14:paraId="42800097">
      <w:pPr>
        <w:ind w:firstLine="420"/>
        <w:rPr>
          <w:rFonts w:ascii="宋体" w:hAnsi="宋体"/>
        </w:rPr>
      </w:pPr>
      <w:r>
        <w:rPr>
          <w:rFonts w:ascii="宋体" w:hAnsi="宋体"/>
        </w:rPr>
        <w:t>1、实行“双向承诺”，服务外来投资企业。2、培育优势企业，推进企业改制上市。3、建立招商项目准入评价体系。</w:t>
      </w:r>
    </w:p>
    <w:p w14:paraId="79418E14">
      <w:pPr>
        <w:pStyle w:val="4"/>
      </w:pPr>
      <w:r>
        <w:t>【招商宣传】</w:t>
      </w:r>
    </w:p>
    <w:p w14:paraId="1E6339A7">
      <w:pPr>
        <w:ind w:firstLine="420"/>
        <w:rPr>
          <w:rFonts w:ascii="宋体" w:hAnsi="宋体"/>
        </w:rPr>
      </w:pPr>
      <w:r>
        <w:rPr>
          <w:rFonts w:ascii="宋体" w:hAnsi="宋体"/>
        </w:rPr>
        <w:t>编制《南雄市投资指南》，对南雄实行整体包装、宣传和推介。在韶关日报、南雄电视台、广播电台、以新闻稿件、系列专栏、滚动字幕等形式介绍市情、优势资源、招商项目、重点企业，播放介绍南雄市情的电视专题片，营造良好的氛围。在东莞、深圳、珠海等地发布大型推介南雄市精细化工广告。在南雄市政府信息网等网站开辟招商项目网页，建立信息发布平台，推介优势资源和重点项目，为外界搭建一条了解南雄的快速通道。组团参加“广东省产业转移工业园开放周活动”、东莞“交流会”、粤北片会等各类重点招商活动，与市内外客商广交朋友，共叙友情，为开展招商引资工作奠定基础。</w:t>
      </w:r>
    </w:p>
    <w:p w14:paraId="46DACD77">
      <w:pPr>
        <w:pStyle w:val="4"/>
      </w:pPr>
      <w:r>
        <w:t>【招商引资】</w:t>
      </w:r>
    </w:p>
    <w:p w14:paraId="66A3F08E">
      <w:pPr>
        <w:ind w:firstLine="420"/>
        <w:rPr>
          <w:rFonts w:ascii="宋体" w:hAnsi="宋体"/>
        </w:rPr>
      </w:pPr>
      <w:r>
        <w:rPr>
          <w:rFonts w:ascii="宋体" w:hAnsi="宋体"/>
        </w:rPr>
        <w:t>进入园区的精细化工及配套企业有96家，投产企业35家，在建、筹建企业61家，总投资达37.45亿元，预计全部投产后产值可达90亿元）；2010年，与外来客商洽谈项目共80多个，园区内已签约39个项目，投资总额17亿元，预计产值24.35亿元。实际利用外资1713万美元，外贸出口1876万美元，新签外资项目5个，分别同比增长51.59%、6.02%、150%。此外，通过招商引资，开展韶关地区首笔人民币跨境结算业务，引进了投资4000万港币的香港辉晋电子项目。</w:t>
      </w:r>
    </w:p>
    <w:p w14:paraId="2EA0E436">
      <w:pPr>
        <w:pStyle w:val="4"/>
      </w:pPr>
      <w:r>
        <w:t>【出口贸易方式结构】</w:t>
      </w:r>
    </w:p>
    <w:p w14:paraId="6EFE24A8">
      <w:pPr>
        <w:ind w:firstLine="420"/>
        <w:rPr>
          <w:rFonts w:ascii="宋体" w:hAnsi="宋体"/>
        </w:rPr>
      </w:pPr>
      <w:r>
        <w:rPr>
          <w:rFonts w:ascii="宋体" w:hAnsi="宋体"/>
        </w:rPr>
        <w:t>1、是加强与上级海关、技监等有关部门的联系，搞好外贸出口。2、是实施以进带出战略，抓好新的出口增长点。3、是实行重点突破战略，抓好重点出口企业和重点出口市场。4、是引导鼓励外贸企业积极开拓创新，不断拓宽出口业务。</w:t>
      </w:r>
    </w:p>
    <w:p w14:paraId="1B6C0122">
      <w:pPr>
        <w:pStyle w:val="4"/>
      </w:pPr>
      <w:r>
        <w:t>【出口主要商品结构】</w:t>
      </w:r>
    </w:p>
    <w:p w14:paraId="362619CF">
      <w:pPr>
        <w:ind w:firstLine="420"/>
        <w:rPr>
          <w:rFonts w:ascii="宋体" w:hAnsi="宋体"/>
        </w:rPr>
      </w:pPr>
      <w:r>
        <w:rPr>
          <w:rFonts w:ascii="宋体" w:hAnsi="宋体"/>
        </w:rPr>
        <w:t>出口腾竹制品（竹筷子）、一次性餐具、圣诞礼品袋、化工产品。</w:t>
      </w:r>
    </w:p>
    <w:p w14:paraId="268DC134">
      <w:pPr>
        <w:ind w:firstLine="420"/>
        <w:jc w:val="right"/>
        <w:rPr>
          <w:rFonts w:ascii="宋体" w:hAnsi="宋体"/>
        </w:rPr>
      </w:pPr>
      <w:r>
        <w:rPr>
          <w:rFonts w:ascii="宋体" w:hAnsi="宋体"/>
        </w:rPr>
        <w:t>（陈如亮）</w:t>
      </w:r>
    </w:p>
    <w:p w14:paraId="5372BE33">
      <w:pPr>
        <w:ind w:firstLine="422"/>
        <w:rPr>
          <w:rFonts w:ascii="宋体" w:hAnsi="宋体"/>
          <w:b/>
          <w:bCs/>
        </w:rPr>
      </w:pPr>
      <w:r>
        <w:rPr>
          <w:rFonts w:ascii="宋体" w:hAnsi="宋体"/>
          <w:b/>
          <w:bCs/>
        </w:rPr>
        <w:t>附：2010年外经局领导班子成员名单</w:t>
      </w:r>
    </w:p>
    <w:p w14:paraId="35E9DEA1">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李祥</w:t>
      </w:r>
    </w:p>
    <w:p w14:paraId="34C351B2">
      <w:pPr>
        <w:ind w:firstLine="422"/>
        <w:rPr>
          <w:rFonts w:ascii="宋体" w:hAnsi="宋体"/>
        </w:rPr>
      </w:pPr>
      <w:r>
        <w:rPr>
          <w:rFonts w:ascii="宋体" w:hAnsi="宋体"/>
          <w:b/>
          <w:bCs/>
        </w:rPr>
        <w:t>副局长：</w:t>
      </w:r>
      <w:r>
        <w:rPr>
          <w:rFonts w:ascii="宋体" w:hAnsi="宋体"/>
        </w:rPr>
        <w:t>李宇</w:t>
      </w:r>
      <w:r>
        <w:rPr>
          <w:rFonts w:hint="eastAsia" w:ascii="宋体" w:hAnsi="宋体"/>
        </w:rPr>
        <w:t xml:space="preserve">  </w:t>
      </w:r>
      <w:r>
        <w:rPr>
          <w:rFonts w:ascii="宋体" w:hAnsi="宋体"/>
        </w:rPr>
        <w:t>叶世明</w:t>
      </w:r>
    </w:p>
    <w:p w14:paraId="7050D522">
      <w:pPr>
        <w:ind w:firstLine="422"/>
        <w:rPr>
          <w:rFonts w:ascii="宋体" w:hAnsi="宋体"/>
        </w:rPr>
      </w:pPr>
      <w:r>
        <w:rPr>
          <w:rFonts w:ascii="宋体" w:hAnsi="宋体"/>
          <w:b/>
          <w:bCs/>
        </w:rPr>
        <w:t>纪检组长：</w:t>
      </w:r>
      <w:r>
        <w:rPr>
          <w:rFonts w:ascii="宋体" w:hAnsi="宋体"/>
        </w:rPr>
        <w:t>吴良勇</w:t>
      </w:r>
    </w:p>
    <w:p w14:paraId="7D34EEA4">
      <w:pPr>
        <w:pStyle w:val="4"/>
      </w:pPr>
      <w:r>
        <w:t>【外贸总公司】</w:t>
      </w:r>
    </w:p>
    <w:p w14:paraId="756D02D1">
      <w:pPr>
        <w:ind w:firstLine="420"/>
        <w:rPr>
          <w:rFonts w:ascii="宋体" w:hAnsi="宋体"/>
        </w:rPr>
      </w:pPr>
      <w:r>
        <w:rPr>
          <w:rFonts w:ascii="宋体" w:hAnsi="宋体"/>
        </w:rPr>
        <w:t>南雄市对外贸易总公司于1984年根据南雄县人民政府雄府[84]88号文成立，（全称为南雄县外贸局，属正科级行政编制，核定在编人数21人）。1988年南雄县人民政府通过机构改革将外贸局由行政编制转制为全民所有制企业，更名为对外贸易总公司至今，在册职工52人，离休干部3人，退休职工25人，由于国家调整由计划经济转为市场经济，受此影响和经营管理等因素，对外贸易总公司一直处于亏损状态。</w:t>
      </w:r>
    </w:p>
    <w:p w14:paraId="0C77792E">
      <w:pPr>
        <w:ind w:firstLine="422"/>
        <w:rPr>
          <w:rFonts w:ascii="宋体" w:hAnsi="宋体"/>
          <w:b/>
          <w:bCs/>
        </w:rPr>
      </w:pPr>
      <w:r>
        <w:rPr>
          <w:rFonts w:ascii="宋体" w:hAnsi="宋体"/>
          <w:b/>
          <w:bCs/>
        </w:rPr>
        <w:t>附：2010年外贸总公司领导班子成员名单</w:t>
      </w:r>
    </w:p>
    <w:p w14:paraId="74D0A317">
      <w:pPr>
        <w:ind w:firstLine="422"/>
        <w:rPr>
          <w:rFonts w:ascii="宋体" w:hAnsi="宋体"/>
        </w:rPr>
      </w:pPr>
      <w:r>
        <w:rPr>
          <w:rFonts w:ascii="宋体" w:hAnsi="宋体"/>
          <w:b/>
          <w:bCs/>
        </w:rPr>
        <w:t>副总经理：</w:t>
      </w:r>
      <w:r>
        <w:rPr>
          <w:rFonts w:ascii="宋体" w:hAnsi="宋体"/>
        </w:rPr>
        <w:t>叶伟存财税</w:t>
      </w:r>
    </w:p>
    <w:p w14:paraId="1485BB30">
      <w:pPr>
        <w:pStyle w:val="2"/>
      </w:pPr>
      <w:r>
        <w:rPr>
          <w:rFonts w:hint="eastAsia"/>
        </w:rPr>
        <w:t>财税</w:t>
      </w:r>
    </w:p>
    <w:p w14:paraId="7AD7EB47">
      <w:pPr>
        <w:pStyle w:val="3"/>
      </w:pPr>
      <w:r>
        <w:rPr>
          <w:rFonts w:hint="eastAsia"/>
        </w:rPr>
        <w:t>财政</w:t>
      </w:r>
    </w:p>
    <w:p w14:paraId="75B9907E">
      <w:pPr>
        <w:pStyle w:val="4"/>
      </w:pPr>
      <w:r>
        <w:t>【概况】</w:t>
      </w:r>
    </w:p>
    <w:p w14:paraId="2641F3F3">
      <w:pPr>
        <w:ind w:firstLine="420"/>
        <w:rPr>
          <w:rFonts w:ascii="宋体" w:hAnsi="宋体"/>
        </w:rPr>
      </w:pPr>
      <w:r>
        <w:rPr>
          <w:rFonts w:ascii="宋体" w:hAnsi="宋体"/>
        </w:rPr>
        <w:t>2003年，设立财政局党组。同年成立南雄市公共资产管理中心。2004年，将南雄市政府招标采购中心更名为南雄市政府采购管理办公室。2005年，成立南雄市财政局国库支付中心。2005年财政局成立契税工作小组，具体负责契税征收。2005年9月成立财政局党总支，下设局机关党支部、国库支付中心党支部、公共资产管理中心党支部、政府采购办党支部、老干部党支部等5个党支部，党员68人。2006年成立财政局投资评审中心，为正股级事业单位，2010年升格为副科级事业单位。全市地方一般预算收入由2005年的9386万元增长到2010年2.83亿元，年均增长25%，实现财政收入持续快速增长的目标。2010年荣获国家“家电下乡工作”先进集体。</w:t>
      </w:r>
    </w:p>
    <w:p w14:paraId="7B48161B">
      <w:pPr>
        <w:pStyle w:val="4"/>
      </w:pPr>
      <w:r>
        <w:t>【财政收入】</w:t>
      </w:r>
    </w:p>
    <w:p w14:paraId="4E293386">
      <w:pPr>
        <w:ind w:firstLine="420"/>
        <w:rPr>
          <w:rFonts w:ascii="宋体" w:hAnsi="宋体"/>
        </w:rPr>
      </w:pPr>
      <w:r>
        <w:rPr>
          <w:rFonts w:ascii="宋体" w:hAnsi="宋体"/>
        </w:rPr>
        <w:t>2010年，全市财政一般预算收入完成28302万元，完成年度预算的108.7%，比上年增长25.1%；财政总收入完成9.35亿元。实现非税收入5.6亿元，非税收入纳入财政预算管理的比例达100%。</w:t>
      </w:r>
    </w:p>
    <w:p w14:paraId="503F8D7F">
      <w:pPr>
        <w:ind w:firstLine="420"/>
        <w:rPr>
          <w:rFonts w:ascii="宋体" w:hAnsi="宋体"/>
        </w:rPr>
      </w:pPr>
      <w:r>
        <w:rPr>
          <w:rFonts w:ascii="宋体" w:hAnsi="宋体"/>
        </w:rPr>
        <w:t>坚持财税工作联席会议制度，加强部门协调配合，发挥协税护税作用，开展依法治税专项行动，加大欠税清缴力度，加强重点税源监控，防偷堵漏，联手治理税收环境，对砖瓦窑等纳税经营单位，采取“以电控税”、“以药控税”等办法，强化税收征管，做到应收尽收。重点加强城建税、土地使用税、车船税、资源税、印花税等地方小税种的征管，积极探讨精细化工园区企业的税收征管办法。2010年7月1日，由财政局牵头成立南雄市房地产一体化管理中心，加强房地产税费征管，堵塞房地产税费征管漏洞。完善税收代征机制，加强对国有土地使用权出让金和散装水泥专项基金的征管。以票据管理为抓手，以票款分离为手段，深入开展非税收入稽查年活动，强化“收支两条线”管理，严格以收定支，促进非税收入及时入库。</w:t>
      </w:r>
    </w:p>
    <w:p w14:paraId="5C437230">
      <w:pPr>
        <w:pStyle w:val="4"/>
      </w:pPr>
      <w:r>
        <w:t>【财政支出结构】</w:t>
      </w:r>
    </w:p>
    <w:p w14:paraId="0533766D">
      <w:pPr>
        <w:ind w:firstLine="420"/>
        <w:rPr>
          <w:rFonts w:ascii="宋体" w:hAnsi="宋体"/>
        </w:rPr>
      </w:pPr>
      <w:r>
        <w:rPr>
          <w:rFonts w:ascii="宋体" w:hAnsi="宋体"/>
        </w:rPr>
        <w:t>2010年，全市一般预算支出完成83313万元，完成年度预算的168.7%，同比增长27.8%。</w:t>
      </w:r>
    </w:p>
    <w:p w14:paraId="13B5E09A">
      <w:pPr>
        <w:ind w:firstLine="420"/>
        <w:rPr>
          <w:rFonts w:ascii="宋体" w:hAnsi="宋体"/>
        </w:rPr>
      </w:pPr>
      <w:r>
        <w:rPr>
          <w:rFonts w:ascii="宋体" w:hAnsi="宋体"/>
        </w:rPr>
        <w:t>统筹兼顾做好支出项目安排，做到有保有压，适度从紧，最大限度地集中财力保增长、保重点、保民生、保稳定。在财政支出有效控制的同时，进一步调整优化支出结构，确保重点项目支出，努力实现基本公共服务均等化。严把支出“审核关”，从严控制一般性行政经费支出，对公务购车和用车经费、会议经费、公务接待费用、党政机关出国（境）费用、办公经费实行“五个零增长”。严格执行“收支两条线”管理，实行收支脱钩的办法。</w:t>
      </w:r>
    </w:p>
    <w:p w14:paraId="76ABD260">
      <w:pPr>
        <w:pStyle w:val="4"/>
      </w:pPr>
      <w:r>
        <w:t>【项目联系】</w:t>
      </w:r>
    </w:p>
    <w:p w14:paraId="7427D59D">
      <w:pPr>
        <w:ind w:firstLine="420"/>
        <w:rPr>
          <w:rFonts w:ascii="宋体" w:hAnsi="宋体"/>
        </w:rPr>
      </w:pPr>
      <w:r>
        <w:rPr>
          <w:rFonts w:ascii="宋体" w:hAnsi="宋体"/>
        </w:rPr>
        <w:t>2010年初，财政局成立跑项目争资金工作小组，抓住南雄市被确认为中央苏区县、省级产业转移园和省财政直管契机，谋划对接项目，争取上级政策资金支持，加大项目联系力度，加强与省财厅和有关部门的联系，做好项目资金申报工作。2010年争取到省市农业、林业、水利和扶贫资金分别为3435万元、3370万元、3972万元、1653万元，有力地促进南雄的“三农”发展；争取上级资金212万元，对松林树脂公司、金叶包装公司、金友集团、圣邦精细化工有限公司、迎宾馆和浈江电业公司等6户企业给予财政贴息，帮助企业做大做强。用好用足“双转移”政策，支持精细化工基地建设，2010年投入园区建设资金3650万元。利用生态功能区，向上级争取更多转移性财政补助。</w:t>
      </w:r>
    </w:p>
    <w:p w14:paraId="09C41DF5">
      <w:pPr>
        <w:pStyle w:val="4"/>
      </w:pPr>
      <w:r>
        <w:t>【落实强农惠民政策】</w:t>
      </w:r>
    </w:p>
    <w:p w14:paraId="5FDA3B1F">
      <w:pPr>
        <w:ind w:firstLine="420"/>
        <w:rPr>
          <w:rFonts w:ascii="宋体" w:hAnsi="宋体"/>
        </w:rPr>
      </w:pPr>
      <w:r>
        <w:rPr>
          <w:rFonts w:ascii="宋体" w:hAnsi="宋体"/>
        </w:rPr>
        <w:t>落实好强农惠民政策，着力保障和改善民生。2010年拨付农口专项资金38825万元、本级农口资金10051万元、大中型水库移民后期扶持资金589万元、扶贫“双到”资金714万元；拨付农村合作医疗支出4941万元；发放粮种补贴1026万元，农资综合直补和种粮直补资金2261万元；兑付家电下乡补贴资金569万元，汽车下乡补贴资金376万元，家电以旧换新补贴资金64万元；抓好社保基金扩面征缴工作，做到收支平衡；配合有关部门搞好城镇居民基本医疗保险，理顺新型农村合作医疗资金管理，开展农村养老保险前期调研工作；加强公共卫生和基本医疗服务体系建设，完善医疗救助和医疗保险制度，深化医疗卫生体制改革。</w:t>
      </w:r>
    </w:p>
    <w:p w14:paraId="1CC4794C">
      <w:pPr>
        <w:pStyle w:val="4"/>
      </w:pPr>
      <w:r>
        <w:t>【财政体制改革】</w:t>
      </w:r>
    </w:p>
    <w:p w14:paraId="76F3EA46">
      <w:pPr>
        <w:ind w:firstLine="420"/>
        <w:rPr>
          <w:rFonts w:ascii="宋体" w:hAnsi="宋体"/>
        </w:rPr>
      </w:pPr>
      <w:r>
        <w:rPr>
          <w:rFonts w:ascii="宋体" w:hAnsi="宋体"/>
        </w:rPr>
        <w:t>2010年处置公共资产159宗，处置价值2576万元，对比评估价2143万元增加433万元，增长20.2%。拓宽融资方式和融资渠道，2010年6月注资1500万元成立城市建设投资有限责任公司，还为雄健担保公司争取到担保补助资金302万元，向省农业发展银行实现融资8000万元。主动参与地方金融改革，落实农信社改革的各项政策规定，做好增资扩股补贴资金和压降不良贷款奖励资金的审核上报工作，扶持农信社发展。</w:t>
      </w:r>
    </w:p>
    <w:p w14:paraId="7E9FE044">
      <w:pPr>
        <w:pStyle w:val="4"/>
      </w:pPr>
      <w:r>
        <w:t>【财政管理】</w:t>
      </w:r>
    </w:p>
    <w:p w14:paraId="5A04AA83">
      <w:pPr>
        <w:ind w:firstLine="420"/>
        <w:rPr>
          <w:rFonts w:ascii="宋体" w:hAnsi="宋体"/>
        </w:rPr>
      </w:pPr>
      <w:r>
        <w:rPr>
          <w:rFonts w:ascii="宋体" w:hAnsi="宋体"/>
        </w:rPr>
        <w:t>按照科学化、精细化管理要求，强化财政资金监管，确保财政资金安全有效。进一步完善专项资金管理办法，规范资金拨付程序，做到环环监控，互相监督。深化国库集中支付，扩大直接支付比例，减少授权支付，2010年全市国库集中支付资金11.4亿元，直接支付率达84%；搞好政府采购工作，实行“阳光采购”。2010年完成政府采购408宗，实现采购金额2.7亿元，节约资金1389万元，节约率5.06%；按照财政投资评审要求，审核建设工程项目预、结算。2010年审核工程项目446个，审定金额3亿元，节约资金2232万元，核减率为6.9%。</w:t>
      </w:r>
    </w:p>
    <w:p w14:paraId="512817CA">
      <w:pPr>
        <w:pStyle w:val="4"/>
      </w:pPr>
      <w:r>
        <w:t>【队伍素质】</w:t>
      </w:r>
    </w:p>
    <w:p w14:paraId="0CA691C5">
      <w:pPr>
        <w:ind w:firstLine="420"/>
        <w:rPr>
          <w:rFonts w:ascii="宋体" w:hAnsi="宋体"/>
        </w:rPr>
      </w:pPr>
      <w:r>
        <w:rPr>
          <w:rFonts w:ascii="宋体" w:hAnsi="宋体"/>
        </w:rPr>
        <w:t>组织各股室股长、中心主任和财政所长参加财经“沙龙”活动，共同探讨搞好财政工作。组织全体党员参加南雄市党员干部远程教育网的学习和考试，组织公务员培训。邀请广州用友公司工程师，对有关业务股人员进行国库支付平台培训。组织财政所经办员到韶关财政局进行农民补贴管理软件和家电以旧换新业务培训。开展“一诺千金为发展”承诺活动，制定《南雄市财政局服务承诺实施细则》，落实插红旗倒逼机制，提高执行力。实行权力运行“阳光工程”，打造“阳光财政”。6月25日，在全市率先进行“阳光工程”民主推荐股级干部工作，邀请市有关单位10名“阳光使者”参与全程跟踪监督，现场票决。改善基层财政所的办公环境，新建2个财政所办公楼，修缮4个财政所办公楼。对基层财政所全面实行绩效考核，考核结果直接与干部职工的绩效津补贴挂钩。设立健康活动基金，鼓励干部职工开展各种健康有益的活动，构建和谐财政。举办全市财政支农政策培训班，对代理记账员、财政所会计、208个村委会党支部书记、村级报帐员等460多人进行培训，推动农村财会管理工作规范化、制度化，提高农村财会人员落实强农惠民政策的执行力。</w:t>
      </w:r>
    </w:p>
    <w:p w14:paraId="4E484FF7">
      <w:pPr>
        <w:ind w:firstLine="420"/>
        <w:jc w:val="right"/>
        <w:rPr>
          <w:rFonts w:ascii="宋体" w:hAnsi="宋体"/>
        </w:rPr>
      </w:pPr>
      <w:r>
        <w:rPr>
          <w:rFonts w:ascii="宋体" w:hAnsi="宋体"/>
        </w:rPr>
        <w:t>（邓志翔）</w:t>
      </w:r>
    </w:p>
    <w:p w14:paraId="2330F26D">
      <w:pPr>
        <w:ind w:firstLine="422"/>
        <w:rPr>
          <w:rFonts w:ascii="宋体" w:hAnsi="宋体"/>
          <w:b/>
          <w:bCs/>
        </w:rPr>
      </w:pPr>
      <w:r>
        <w:rPr>
          <w:rFonts w:ascii="宋体" w:hAnsi="宋体"/>
          <w:b/>
          <w:bCs/>
        </w:rPr>
        <w:t>附：2010年财政局领导班子成员名单</w:t>
      </w:r>
    </w:p>
    <w:p w14:paraId="09614A4E">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袁元桃</w:t>
      </w:r>
    </w:p>
    <w:p w14:paraId="04F021D6">
      <w:pPr>
        <w:ind w:firstLine="422"/>
        <w:rPr>
          <w:rFonts w:ascii="宋体" w:hAnsi="宋体"/>
        </w:rPr>
      </w:pPr>
      <w:r>
        <w:rPr>
          <w:rFonts w:ascii="宋体" w:hAnsi="宋体"/>
          <w:b/>
          <w:bCs/>
        </w:rPr>
        <w:t>纪检监察组组长：</w:t>
      </w:r>
      <w:r>
        <w:rPr>
          <w:rFonts w:ascii="宋体" w:hAnsi="宋体"/>
        </w:rPr>
        <w:t>曾冠华</w:t>
      </w:r>
    </w:p>
    <w:p w14:paraId="1159001E">
      <w:pPr>
        <w:ind w:firstLine="422"/>
        <w:rPr>
          <w:rFonts w:ascii="宋体" w:hAnsi="宋体"/>
        </w:rPr>
      </w:pPr>
      <w:r>
        <w:rPr>
          <w:rFonts w:ascii="宋体" w:hAnsi="宋体"/>
          <w:b/>
          <w:bCs/>
        </w:rPr>
        <w:t>副局长：</w:t>
      </w:r>
      <w:r>
        <w:rPr>
          <w:rFonts w:ascii="宋体" w:hAnsi="宋体"/>
        </w:rPr>
        <w:t>邱隆全</w:t>
      </w:r>
      <w:r>
        <w:rPr>
          <w:rFonts w:hint="eastAsia" w:ascii="宋体" w:hAnsi="宋体"/>
        </w:rPr>
        <w:t xml:space="preserve">  </w:t>
      </w:r>
      <w:r>
        <w:rPr>
          <w:rFonts w:ascii="宋体" w:hAnsi="宋体"/>
        </w:rPr>
        <w:t>杨建雄</w:t>
      </w:r>
      <w:r>
        <w:rPr>
          <w:rFonts w:hint="eastAsia" w:ascii="宋体" w:hAnsi="宋体"/>
        </w:rPr>
        <w:t xml:space="preserve">  </w:t>
      </w:r>
      <w:r>
        <w:rPr>
          <w:rFonts w:ascii="宋体" w:hAnsi="宋体"/>
        </w:rPr>
        <w:t>马新路</w:t>
      </w:r>
    </w:p>
    <w:p w14:paraId="7B964A88">
      <w:pPr>
        <w:ind w:firstLine="422"/>
        <w:rPr>
          <w:rFonts w:ascii="宋体" w:hAnsi="宋体"/>
        </w:rPr>
      </w:pPr>
      <w:r>
        <w:rPr>
          <w:rFonts w:ascii="宋体" w:hAnsi="宋体"/>
          <w:b/>
          <w:bCs/>
        </w:rPr>
        <w:t>纪检监察组副组长：</w:t>
      </w:r>
      <w:r>
        <w:rPr>
          <w:rFonts w:ascii="宋体" w:hAnsi="宋体"/>
        </w:rPr>
        <w:t>刘宗煌</w:t>
      </w:r>
    </w:p>
    <w:p w14:paraId="7BECCEE8">
      <w:pPr>
        <w:ind w:firstLine="422"/>
        <w:rPr>
          <w:rFonts w:ascii="宋体" w:hAnsi="宋体"/>
        </w:rPr>
      </w:pPr>
      <w:r>
        <w:rPr>
          <w:rFonts w:ascii="宋体" w:hAnsi="宋体"/>
          <w:b/>
          <w:bCs/>
        </w:rPr>
        <w:t>工会主席：</w:t>
      </w:r>
      <w:r>
        <w:rPr>
          <w:rFonts w:ascii="宋体" w:hAnsi="宋体"/>
        </w:rPr>
        <w:t>王功林</w:t>
      </w:r>
    </w:p>
    <w:p w14:paraId="1E02C880">
      <w:pPr>
        <w:pStyle w:val="3"/>
      </w:pPr>
      <w:r>
        <w:rPr>
          <w:rFonts w:hint="eastAsia"/>
        </w:rPr>
        <w:t>国家税务</w:t>
      </w:r>
    </w:p>
    <w:p w14:paraId="6A0E91D4">
      <w:pPr>
        <w:pStyle w:val="4"/>
      </w:pPr>
      <w:r>
        <w:t>【概况】</w:t>
      </w:r>
    </w:p>
    <w:p w14:paraId="4A20E4B2">
      <w:pPr>
        <w:ind w:firstLine="420"/>
        <w:rPr>
          <w:rFonts w:ascii="宋体" w:hAnsi="宋体"/>
        </w:rPr>
      </w:pPr>
      <w:r>
        <w:rPr>
          <w:rFonts w:ascii="宋体" w:hAnsi="宋体"/>
        </w:rPr>
        <w:t>南雄市国家税务局（以下简称“国税局”），是南雄市主管国家税收工作的职能部门，为正科级全职能局，系驻南雄市垂直管理单位。2005年，国税局实施机构改革，由原来的全安税务分局、澜河税务分局、珠玑税务分局、黄坑税务分局、乌迳税务分局、水口税务分局6个分局精减为全安税务分局、珠玑税务分局、黄坑税务分局，税务分局内设3个机构：办税服务厅、税源管理股、综表22-12003年至</w:t>
      </w:r>
    </w:p>
    <w:p w14:paraId="3C7E6FD2">
      <w:pPr>
        <w:pStyle w:val="4"/>
      </w:pPr>
      <w:r>
        <w:t>【征管工作】</w:t>
      </w:r>
    </w:p>
    <w:p w14:paraId="3E9D8AFD">
      <w:pPr>
        <w:ind w:firstLine="420"/>
        <w:rPr>
          <w:rFonts w:ascii="宋体" w:hAnsi="宋体"/>
        </w:rPr>
      </w:pPr>
      <w:r>
        <w:rPr>
          <w:rFonts w:ascii="宋体" w:hAnsi="宋体"/>
        </w:rPr>
        <w:t>该局设立征收管理科对征管工作实施专门管理。制定和完善各项征管管理合业务股。2009年，该局对机构设置进行调整，将原税源管理科分设为税源管理一科、税源管理二科，对全市税源进行分类管理；将原办税服务大厅改为纳税服务科，负责全市税收征收、纳税服务、税务咨询等业务工作。现在，该局共下设9个职能部门：办公室、人事教育科、监察室、征收管理科、政策法规科、收入核算科、纳税服务科、税源管理一科、税源管理二科；1个直属机构：稽查局；3个派出机构：全安税务分局、珠玑税务分局、黄坑税务分局；1个事业单位：信息中心。该局共有干部职工149人，其中在职人员118人，离退休人员31人。其中：中专以上学历的118人，占总人数的100%；大专以上学历的111人，占总人数的94%；党团员人数98人。</w:t>
      </w:r>
    </w:p>
    <w:p w14:paraId="4D16A062">
      <w:pPr>
        <w:pStyle w:val="4"/>
      </w:pPr>
      <w:r>
        <w:t>【税收收入、税源情况】</w:t>
      </w:r>
    </w:p>
    <w:p w14:paraId="713724CB">
      <w:pPr>
        <w:ind w:firstLine="420"/>
        <w:rPr>
          <w:rFonts w:ascii="宋体" w:hAnsi="宋体"/>
        </w:rPr>
      </w:pPr>
      <w:r>
        <w:rPr>
          <w:rFonts w:ascii="宋体" w:hAnsi="宋体"/>
        </w:rPr>
        <w:t>国税局主要负责增值税、消费税、企业所得税、个人储蓄利息所得税、机动车辆购置税等税种的征收。南雄市整体税源单一，支柱企业少。八年间，南雄国税为地方组织财政收入7.1亿元，税收增收4230万元，增幅达63%。在近年税源形势不景气的情况下，平均每年递增600多万元。2010年税收收入情况制度。形成与地税、公、检、法等部门的联席会议制度，加强工作的沟通协调。2009年，南雄市政府成立以市长为组长的协税护税领导小组，支持国税工作。加强与地方相关部门的信息交流，形成良好的协税护税网络。多个信息化系统运用到征管工作中，逐步实现征管信息化。实施“以电控税”、“以药控税”、税收代扣代缴等一系列征管措施，税收征管质量和效率明显提高。</w:t>
      </w:r>
    </w:p>
    <w:p w14:paraId="6729A90C">
      <w:pPr>
        <w:ind w:firstLine="422"/>
        <w:jc w:val="center"/>
        <w:rPr>
          <w:rFonts w:ascii="宋体" w:hAnsi="宋体"/>
          <w:b/>
        </w:rPr>
      </w:pPr>
      <w:r>
        <w:rPr>
          <w:rFonts w:hint="eastAsia" w:ascii="宋体" w:hAnsi="宋体"/>
          <w:b/>
        </w:rPr>
        <w:t>表22-1  2003年至2010年税收收入情况</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58"/>
        <w:gridCol w:w="924"/>
        <w:gridCol w:w="926"/>
        <w:gridCol w:w="924"/>
        <w:gridCol w:w="926"/>
        <w:gridCol w:w="925"/>
        <w:gridCol w:w="927"/>
        <w:gridCol w:w="925"/>
        <w:gridCol w:w="927"/>
      </w:tblGrid>
      <w:tr w14:paraId="2549E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pct"/>
            <w:vAlign w:val="center"/>
          </w:tcPr>
          <w:p w14:paraId="04E760D5">
            <w:pPr>
              <w:pStyle w:val="13"/>
              <w:jc w:val="center"/>
              <w:rPr>
                <w:rFonts w:hint="eastAsia"/>
                <w:b/>
              </w:rPr>
            </w:pPr>
            <w:r>
              <w:rPr>
                <w:rFonts w:hint="eastAsia"/>
                <w:b/>
              </w:rPr>
              <w:t>年度(年)</w:t>
            </w:r>
          </w:p>
        </w:tc>
        <w:tc>
          <w:tcPr>
            <w:tcW w:w="464" w:type="pct"/>
            <w:vAlign w:val="center"/>
          </w:tcPr>
          <w:p w14:paraId="6C67D632">
            <w:pPr>
              <w:pStyle w:val="13"/>
              <w:jc w:val="center"/>
              <w:rPr>
                <w:rFonts w:hint="eastAsia"/>
                <w:b/>
              </w:rPr>
            </w:pPr>
            <w:r>
              <w:rPr>
                <w:rFonts w:hint="eastAsia"/>
                <w:b/>
              </w:rPr>
              <w:t>2003</w:t>
            </w:r>
          </w:p>
        </w:tc>
        <w:tc>
          <w:tcPr>
            <w:tcW w:w="465" w:type="pct"/>
            <w:vAlign w:val="center"/>
          </w:tcPr>
          <w:p w14:paraId="7B511969">
            <w:pPr>
              <w:pStyle w:val="13"/>
              <w:jc w:val="center"/>
              <w:rPr>
                <w:rFonts w:hint="eastAsia"/>
                <w:b/>
              </w:rPr>
            </w:pPr>
            <w:r>
              <w:rPr>
                <w:rFonts w:hint="eastAsia"/>
                <w:b/>
              </w:rPr>
              <w:t>2004</w:t>
            </w:r>
          </w:p>
        </w:tc>
        <w:tc>
          <w:tcPr>
            <w:tcW w:w="464" w:type="pct"/>
            <w:vAlign w:val="center"/>
          </w:tcPr>
          <w:p w14:paraId="32A549BB">
            <w:pPr>
              <w:pStyle w:val="13"/>
              <w:jc w:val="center"/>
              <w:rPr>
                <w:rFonts w:hint="eastAsia"/>
                <w:b/>
              </w:rPr>
            </w:pPr>
            <w:r>
              <w:rPr>
                <w:rFonts w:hint="eastAsia"/>
                <w:b/>
              </w:rPr>
              <w:t>2005</w:t>
            </w:r>
          </w:p>
        </w:tc>
        <w:tc>
          <w:tcPr>
            <w:tcW w:w="465" w:type="pct"/>
            <w:vAlign w:val="center"/>
          </w:tcPr>
          <w:p w14:paraId="5E6C71A9">
            <w:pPr>
              <w:pStyle w:val="13"/>
              <w:jc w:val="center"/>
              <w:rPr>
                <w:rFonts w:hint="eastAsia"/>
                <w:b/>
              </w:rPr>
            </w:pPr>
            <w:r>
              <w:rPr>
                <w:rFonts w:hint="eastAsia"/>
                <w:b/>
              </w:rPr>
              <w:t>2006</w:t>
            </w:r>
          </w:p>
        </w:tc>
        <w:tc>
          <w:tcPr>
            <w:tcW w:w="464" w:type="pct"/>
            <w:vAlign w:val="center"/>
          </w:tcPr>
          <w:p w14:paraId="75E09556">
            <w:pPr>
              <w:pStyle w:val="13"/>
              <w:jc w:val="center"/>
              <w:rPr>
                <w:rFonts w:hint="eastAsia"/>
                <w:b/>
              </w:rPr>
            </w:pPr>
            <w:r>
              <w:rPr>
                <w:rFonts w:hint="eastAsia"/>
                <w:b/>
              </w:rPr>
              <w:t>2007</w:t>
            </w:r>
          </w:p>
        </w:tc>
        <w:tc>
          <w:tcPr>
            <w:tcW w:w="465" w:type="pct"/>
            <w:vAlign w:val="center"/>
          </w:tcPr>
          <w:p w14:paraId="335C90A0">
            <w:pPr>
              <w:pStyle w:val="13"/>
              <w:jc w:val="center"/>
              <w:rPr>
                <w:rFonts w:hint="eastAsia"/>
                <w:b/>
              </w:rPr>
            </w:pPr>
            <w:r>
              <w:rPr>
                <w:rFonts w:hint="eastAsia"/>
                <w:b/>
              </w:rPr>
              <w:t>2008</w:t>
            </w:r>
          </w:p>
        </w:tc>
        <w:tc>
          <w:tcPr>
            <w:tcW w:w="464" w:type="pct"/>
            <w:vAlign w:val="center"/>
          </w:tcPr>
          <w:p w14:paraId="1DD584D8">
            <w:pPr>
              <w:pStyle w:val="13"/>
              <w:jc w:val="center"/>
              <w:rPr>
                <w:rFonts w:hint="eastAsia"/>
                <w:b/>
              </w:rPr>
            </w:pPr>
            <w:r>
              <w:rPr>
                <w:rFonts w:hint="eastAsia"/>
                <w:b/>
              </w:rPr>
              <w:t>2009</w:t>
            </w:r>
          </w:p>
        </w:tc>
        <w:tc>
          <w:tcPr>
            <w:tcW w:w="465" w:type="pct"/>
            <w:vAlign w:val="center"/>
          </w:tcPr>
          <w:p w14:paraId="2AE8C3E4">
            <w:pPr>
              <w:pStyle w:val="13"/>
              <w:jc w:val="center"/>
              <w:rPr>
                <w:rFonts w:hint="eastAsia"/>
                <w:b/>
              </w:rPr>
            </w:pPr>
            <w:r>
              <w:rPr>
                <w:rFonts w:hint="eastAsia"/>
                <w:b/>
              </w:rPr>
              <w:t>2010</w:t>
            </w:r>
          </w:p>
        </w:tc>
      </w:tr>
      <w:tr w14:paraId="33D4E2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pct"/>
            <w:vAlign w:val="center"/>
          </w:tcPr>
          <w:p w14:paraId="64E5067D">
            <w:pPr>
              <w:pStyle w:val="13"/>
              <w:jc w:val="center"/>
              <w:rPr>
                <w:rFonts w:hint="eastAsia"/>
              </w:rPr>
            </w:pPr>
            <w:r>
              <w:rPr>
                <w:rFonts w:hint="eastAsia"/>
              </w:rPr>
              <w:t>税收收入(万元)</w:t>
            </w:r>
          </w:p>
        </w:tc>
        <w:tc>
          <w:tcPr>
            <w:tcW w:w="464" w:type="pct"/>
            <w:vAlign w:val="center"/>
          </w:tcPr>
          <w:p w14:paraId="6896FEE0">
            <w:pPr>
              <w:pStyle w:val="13"/>
              <w:jc w:val="center"/>
              <w:rPr>
                <w:rFonts w:hint="eastAsia"/>
              </w:rPr>
            </w:pPr>
            <w:r>
              <w:rPr>
                <w:rFonts w:hint="eastAsia"/>
              </w:rPr>
              <w:t>6718</w:t>
            </w:r>
          </w:p>
        </w:tc>
        <w:tc>
          <w:tcPr>
            <w:tcW w:w="465" w:type="pct"/>
            <w:vAlign w:val="center"/>
          </w:tcPr>
          <w:p w14:paraId="1630B630">
            <w:pPr>
              <w:pStyle w:val="13"/>
              <w:jc w:val="center"/>
              <w:rPr>
                <w:rFonts w:hint="eastAsia"/>
              </w:rPr>
            </w:pPr>
            <w:r>
              <w:rPr>
                <w:rFonts w:hint="eastAsia"/>
              </w:rPr>
              <w:t>7870</w:t>
            </w:r>
          </w:p>
        </w:tc>
        <w:tc>
          <w:tcPr>
            <w:tcW w:w="464" w:type="pct"/>
            <w:vAlign w:val="center"/>
          </w:tcPr>
          <w:p w14:paraId="6829EFDB">
            <w:pPr>
              <w:pStyle w:val="13"/>
              <w:jc w:val="center"/>
              <w:rPr>
                <w:rFonts w:hint="eastAsia"/>
              </w:rPr>
            </w:pPr>
            <w:r>
              <w:rPr>
                <w:rFonts w:hint="eastAsia"/>
              </w:rPr>
              <w:t>7018</w:t>
            </w:r>
          </w:p>
        </w:tc>
        <w:tc>
          <w:tcPr>
            <w:tcW w:w="465" w:type="pct"/>
            <w:vAlign w:val="center"/>
          </w:tcPr>
          <w:p w14:paraId="70EB46C8">
            <w:pPr>
              <w:pStyle w:val="13"/>
              <w:jc w:val="center"/>
              <w:rPr>
                <w:rFonts w:hint="eastAsia"/>
              </w:rPr>
            </w:pPr>
            <w:r>
              <w:rPr>
                <w:rFonts w:hint="eastAsia"/>
              </w:rPr>
              <w:t>8293</w:t>
            </w:r>
          </w:p>
        </w:tc>
        <w:tc>
          <w:tcPr>
            <w:tcW w:w="464" w:type="pct"/>
            <w:vAlign w:val="center"/>
          </w:tcPr>
          <w:p w14:paraId="66F589AB">
            <w:pPr>
              <w:pStyle w:val="13"/>
              <w:jc w:val="center"/>
              <w:rPr>
                <w:rFonts w:hint="eastAsia"/>
              </w:rPr>
            </w:pPr>
            <w:r>
              <w:rPr>
                <w:rFonts w:hint="eastAsia"/>
              </w:rPr>
              <w:t>9291</w:t>
            </w:r>
          </w:p>
        </w:tc>
        <w:tc>
          <w:tcPr>
            <w:tcW w:w="465" w:type="pct"/>
            <w:vAlign w:val="center"/>
          </w:tcPr>
          <w:p w14:paraId="748FD84B">
            <w:pPr>
              <w:pStyle w:val="13"/>
              <w:jc w:val="center"/>
              <w:rPr>
                <w:rFonts w:hint="eastAsia"/>
              </w:rPr>
            </w:pPr>
            <w:r>
              <w:rPr>
                <w:rFonts w:hint="eastAsia"/>
              </w:rPr>
              <w:t>10660</w:t>
            </w:r>
          </w:p>
        </w:tc>
        <w:tc>
          <w:tcPr>
            <w:tcW w:w="464" w:type="pct"/>
            <w:vAlign w:val="center"/>
          </w:tcPr>
          <w:p w14:paraId="70808CE8">
            <w:pPr>
              <w:pStyle w:val="13"/>
              <w:jc w:val="center"/>
              <w:rPr>
                <w:rFonts w:hint="eastAsia"/>
              </w:rPr>
            </w:pPr>
            <w:r>
              <w:rPr>
                <w:rFonts w:hint="eastAsia"/>
              </w:rPr>
              <w:t>10565</w:t>
            </w:r>
          </w:p>
        </w:tc>
        <w:tc>
          <w:tcPr>
            <w:tcW w:w="465" w:type="pct"/>
            <w:vAlign w:val="center"/>
          </w:tcPr>
          <w:p w14:paraId="59FF67C4">
            <w:pPr>
              <w:pStyle w:val="13"/>
              <w:jc w:val="center"/>
              <w:rPr>
                <w:rFonts w:hint="eastAsia"/>
              </w:rPr>
            </w:pPr>
            <w:r>
              <w:rPr>
                <w:rFonts w:hint="eastAsia"/>
              </w:rPr>
              <w:t>10948</w:t>
            </w:r>
          </w:p>
        </w:tc>
      </w:tr>
      <w:tr w14:paraId="03FBC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pct"/>
            <w:vAlign w:val="center"/>
          </w:tcPr>
          <w:p w14:paraId="7A0016D6">
            <w:pPr>
              <w:pStyle w:val="13"/>
              <w:jc w:val="center"/>
              <w:rPr>
                <w:rFonts w:hint="eastAsia"/>
              </w:rPr>
            </w:pPr>
            <w:r>
              <w:rPr>
                <w:rFonts w:hint="eastAsia"/>
              </w:rPr>
              <w:t>完成韶关市局任务（％）</w:t>
            </w:r>
          </w:p>
        </w:tc>
        <w:tc>
          <w:tcPr>
            <w:tcW w:w="464" w:type="pct"/>
            <w:vAlign w:val="center"/>
          </w:tcPr>
          <w:p w14:paraId="7E191DE5">
            <w:pPr>
              <w:pStyle w:val="13"/>
              <w:jc w:val="center"/>
              <w:rPr>
                <w:rFonts w:hint="eastAsia"/>
              </w:rPr>
            </w:pPr>
            <w:r>
              <w:rPr>
                <w:rFonts w:hint="eastAsia"/>
              </w:rPr>
              <w:t>100.6</w:t>
            </w:r>
          </w:p>
        </w:tc>
        <w:tc>
          <w:tcPr>
            <w:tcW w:w="465" w:type="pct"/>
            <w:vAlign w:val="center"/>
          </w:tcPr>
          <w:p w14:paraId="72B71A41">
            <w:pPr>
              <w:pStyle w:val="13"/>
              <w:jc w:val="center"/>
              <w:rPr>
                <w:rFonts w:hint="eastAsia"/>
              </w:rPr>
            </w:pPr>
            <w:r>
              <w:rPr>
                <w:rFonts w:hint="eastAsia"/>
              </w:rPr>
              <w:t>108.9</w:t>
            </w:r>
          </w:p>
        </w:tc>
        <w:tc>
          <w:tcPr>
            <w:tcW w:w="464" w:type="pct"/>
            <w:vAlign w:val="center"/>
          </w:tcPr>
          <w:p w14:paraId="2F8A8475">
            <w:pPr>
              <w:pStyle w:val="13"/>
              <w:jc w:val="center"/>
              <w:rPr>
                <w:rFonts w:hint="eastAsia"/>
              </w:rPr>
            </w:pPr>
            <w:r>
              <w:rPr>
                <w:rFonts w:hint="eastAsia"/>
              </w:rPr>
              <w:t>106.7</w:t>
            </w:r>
          </w:p>
        </w:tc>
        <w:tc>
          <w:tcPr>
            <w:tcW w:w="465" w:type="pct"/>
            <w:vAlign w:val="center"/>
          </w:tcPr>
          <w:p w14:paraId="2243B89A">
            <w:pPr>
              <w:pStyle w:val="13"/>
              <w:jc w:val="center"/>
              <w:rPr>
                <w:rFonts w:hint="eastAsia"/>
              </w:rPr>
            </w:pPr>
            <w:r>
              <w:rPr>
                <w:rFonts w:hint="eastAsia"/>
              </w:rPr>
              <w:t>109.2</w:t>
            </w:r>
          </w:p>
        </w:tc>
        <w:tc>
          <w:tcPr>
            <w:tcW w:w="464" w:type="pct"/>
            <w:vAlign w:val="center"/>
          </w:tcPr>
          <w:p w14:paraId="720BCBD5">
            <w:pPr>
              <w:pStyle w:val="13"/>
              <w:jc w:val="center"/>
              <w:rPr>
                <w:rFonts w:hint="eastAsia"/>
              </w:rPr>
            </w:pPr>
            <w:r>
              <w:rPr>
                <w:rFonts w:hint="eastAsia"/>
              </w:rPr>
              <w:t>101.9</w:t>
            </w:r>
          </w:p>
        </w:tc>
        <w:tc>
          <w:tcPr>
            <w:tcW w:w="465" w:type="pct"/>
            <w:vAlign w:val="center"/>
          </w:tcPr>
          <w:p w14:paraId="656149FF">
            <w:pPr>
              <w:pStyle w:val="13"/>
              <w:jc w:val="center"/>
              <w:rPr>
                <w:rFonts w:hint="eastAsia"/>
              </w:rPr>
            </w:pPr>
            <w:r>
              <w:rPr>
                <w:rFonts w:hint="eastAsia"/>
              </w:rPr>
              <w:t>100.9</w:t>
            </w:r>
          </w:p>
        </w:tc>
        <w:tc>
          <w:tcPr>
            <w:tcW w:w="464" w:type="pct"/>
            <w:vAlign w:val="center"/>
          </w:tcPr>
          <w:p w14:paraId="24397389">
            <w:pPr>
              <w:pStyle w:val="13"/>
              <w:jc w:val="center"/>
              <w:rPr>
                <w:rFonts w:hint="eastAsia"/>
              </w:rPr>
            </w:pPr>
            <w:r>
              <w:rPr>
                <w:rFonts w:hint="eastAsia"/>
              </w:rPr>
              <w:t>104.1</w:t>
            </w:r>
          </w:p>
        </w:tc>
        <w:tc>
          <w:tcPr>
            <w:tcW w:w="465" w:type="pct"/>
            <w:vAlign w:val="center"/>
          </w:tcPr>
          <w:p w14:paraId="48AD83F3">
            <w:pPr>
              <w:pStyle w:val="13"/>
              <w:jc w:val="center"/>
              <w:rPr>
                <w:rFonts w:hint="eastAsia"/>
              </w:rPr>
            </w:pPr>
            <w:r>
              <w:rPr>
                <w:rFonts w:hint="eastAsia"/>
              </w:rPr>
              <w:t>100.4</w:t>
            </w:r>
          </w:p>
        </w:tc>
      </w:tr>
      <w:tr w14:paraId="46C79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4" w:type="pct"/>
            <w:vAlign w:val="center"/>
          </w:tcPr>
          <w:p w14:paraId="55D59497">
            <w:pPr>
              <w:pStyle w:val="13"/>
              <w:jc w:val="center"/>
              <w:rPr>
                <w:rFonts w:hint="eastAsia"/>
              </w:rPr>
            </w:pPr>
            <w:r>
              <w:rPr>
                <w:rFonts w:hint="eastAsia"/>
              </w:rPr>
              <w:t>与上年度同比增长(%)</w:t>
            </w:r>
          </w:p>
        </w:tc>
        <w:tc>
          <w:tcPr>
            <w:tcW w:w="464" w:type="pct"/>
            <w:vAlign w:val="center"/>
          </w:tcPr>
          <w:p w14:paraId="08E37F26">
            <w:pPr>
              <w:pStyle w:val="13"/>
              <w:jc w:val="center"/>
              <w:rPr>
                <w:rFonts w:hint="eastAsia"/>
              </w:rPr>
            </w:pPr>
            <w:r>
              <w:rPr>
                <w:rFonts w:hint="eastAsia"/>
              </w:rPr>
              <w:t>4.6</w:t>
            </w:r>
          </w:p>
        </w:tc>
        <w:tc>
          <w:tcPr>
            <w:tcW w:w="465" w:type="pct"/>
            <w:vAlign w:val="center"/>
          </w:tcPr>
          <w:p w14:paraId="009A7EE8">
            <w:pPr>
              <w:pStyle w:val="13"/>
              <w:jc w:val="center"/>
              <w:rPr>
                <w:rFonts w:hint="eastAsia"/>
              </w:rPr>
            </w:pPr>
            <w:r>
              <w:rPr>
                <w:rFonts w:hint="eastAsia"/>
              </w:rPr>
              <w:t>17.1</w:t>
            </w:r>
          </w:p>
        </w:tc>
        <w:tc>
          <w:tcPr>
            <w:tcW w:w="464" w:type="pct"/>
            <w:vAlign w:val="center"/>
          </w:tcPr>
          <w:p w14:paraId="22632BE6">
            <w:pPr>
              <w:pStyle w:val="13"/>
              <w:jc w:val="center"/>
              <w:rPr>
                <w:rFonts w:hint="eastAsia"/>
              </w:rPr>
            </w:pPr>
            <w:r>
              <w:rPr>
                <w:rFonts w:hint="eastAsia"/>
              </w:rPr>
              <w:t>-10.8</w:t>
            </w:r>
          </w:p>
        </w:tc>
        <w:tc>
          <w:tcPr>
            <w:tcW w:w="465" w:type="pct"/>
            <w:vAlign w:val="center"/>
          </w:tcPr>
          <w:p w14:paraId="47376B6B">
            <w:pPr>
              <w:pStyle w:val="13"/>
              <w:jc w:val="center"/>
              <w:rPr>
                <w:rFonts w:hint="eastAsia"/>
              </w:rPr>
            </w:pPr>
            <w:r>
              <w:rPr>
                <w:rFonts w:hint="eastAsia"/>
              </w:rPr>
              <w:t>18.2</w:t>
            </w:r>
          </w:p>
        </w:tc>
        <w:tc>
          <w:tcPr>
            <w:tcW w:w="464" w:type="pct"/>
            <w:vAlign w:val="center"/>
          </w:tcPr>
          <w:p w14:paraId="01EF0023">
            <w:pPr>
              <w:pStyle w:val="13"/>
              <w:jc w:val="center"/>
              <w:rPr>
                <w:rFonts w:hint="eastAsia"/>
              </w:rPr>
            </w:pPr>
            <w:r>
              <w:rPr>
                <w:rFonts w:hint="eastAsia"/>
              </w:rPr>
              <w:t>12</w:t>
            </w:r>
          </w:p>
        </w:tc>
        <w:tc>
          <w:tcPr>
            <w:tcW w:w="465" w:type="pct"/>
            <w:vAlign w:val="center"/>
          </w:tcPr>
          <w:p w14:paraId="6B60F62B">
            <w:pPr>
              <w:pStyle w:val="13"/>
              <w:jc w:val="center"/>
              <w:rPr>
                <w:rFonts w:hint="eastAsia"/>
              </w:rPr>
            </w:pPr>
            <w:r>
              <w:rPr>
                <w:rFonts w:hint="eastAsia"/>
              </w:rPr>
              <w:t>14.7</w:t>
            </w:r>
          </w:p>
        </w:tc>
        <w:tc>
          <w:tcPr>
            <w:tcW w:w="464" w:type="pct"/>
            <w:vAlign w:val="center"/>
          </w:tcPr>
          <w:p w14:paraId="0C17117C">
            <w:pPr>
              <w:pStyle w:val="13"/>
              <w:jc w:val="center"/>
              <w:rPr>
                <w:rFonts w:hint="eastAsia"/>
              </w:rPr>
            </w:pPr>
            <w:r>
              <w:rPr>
                <w:rFonts w:hint="eastAsia"/>
              </w:rPr>
              <w:t>-0.9</w:t>
            </w:r>
          </w:p>
        </w:tc>
        <w:tc>
          <w:tcPr>
            <w:tcW w:w="465" w:type="pct"/>
            <w:vAlign w:val="center"/>
          </w:tcPr>
          <w:p w14:paraId="02618061">
            <w:pPr>
              <w:pStyle w:val="13"/>
              <w:jc w:val="center"/>
              <w:rPr>
                <w:rFonts w:hint="eastAsia"/>
              </w:rPr>
            </w:pPr>
            <w:r>
              <w:rPr>
                <w:rFonts w:hint="eastAsia"/>
              </w:rPr>
              <w:t>3.6</w:t>
            </w:r>
          </w:p>
        </w:tc>
      </w:tr>
    </w:tbl>
    <w:p w14:paraId="2FABBD4E">
      <w:pPr>
        <w:pStyle w:val="4"/>
      </w:pPr>
      <w:r>
        <w:t>【税收执法】</w:t>
      </w:r>
    </w:p>
    <w:p w14:paraId="7F97DB36">
      <w:pPr>
        <w:ind w:firstLine="420"/>
        <w:rPr>
          <w:rFonts w:ascii="宋体" w:hAnsi="宋体"/>
        </w:rPr>
      </w:pPr>
      <w:r>
        <w:rPr>
          <w:rFonts w:ascii="宋体" w:hAnsi="宋体"/>
        </w:rPr>
        <w:t>坚持依法征收、依法行政。落实各项税收方针政策，始终坚持“聚财为国、执法为民”的工作宗旨，坚持以“依法征收、应收尽收，坚决不收过头税，坚决防止和制止越权减免税”为组织收入原则。加强干部依法行政教育，推进依法治税。加强执法监督，每年从社会各界聘请特邀监察员，对国税廉政、执法等情况进行监督。对加强纳税评估和纳税检查，挖潜堵漏。发挥税务稽查的税收卫士作用，依法查处各类涉税案件，八年间累计查处案件274宗，共查补税款755万元，维护税收秩序。</w:t>
      </w:r>
    </w:p>
    <w:p w14:paraId="6A6D5396">
      <w:pPr>
        <w:pStyle w:val="4"/>
      </w:pPr>
      <w:r>
        <w:t>【税收服务】</w:t>
      </w:r>
    </w:p>
    <w:p w14:paraId="2090D9E8">
      <w:pPr>
        <w:ind w:firstLine="420"/>
        <w:rPr>
          <w:rFonts w:ascii="宋体" w:hAnsi="宋体"/>
        </w:rPr>
      </w:pPr>
      <w:r>
        <w:rPr>
          <w:rFonts w:ascii="宋体" w:hAnsi="宋体"/>
        </w:rPr>
        <w:t>纳税服务意识进一步提高，纳税服务形式多样化，该局健全和完善各项纳税服务制度，实施“一站式”服务，推行首问责任制、提醒服务制、预约服务制、延时服务制等人性化、个性化的服务方式，为纳税人提供高效、便捷纳税服务。通过开展“文明示范窗口”、“优质服务窗口”“巾帼文明岗”等创先争优活动，不断提高纳税服务质量和效率。</w:t>
      </w:r>
    </w:p>
    <w:p w14:paraId="3ED2C74D">
      <w:pPr>
        <w:pStyle w:val="4"/>
      </w:pPr>
      <w:r>
        <w:t>【科技兴税】</w:t>
      </w:r>
    </w:p>
    <w:p w14:paraId="636B48B1">
      <w:pPr>
        <w:ind w:firstLine="420"/>
        <w:rPr>
          <w:rFonts w:ascii="宋体" w:hAnsi="宋体"/>
        </w:rPr>
      </w:pPr>
      <w:r>
        <w:rPr>
          <w:rFonts w:ascii="宋体" w:hAnsi="宋体"/>
        </w:rPr>
        <w:t>科技兴税取得重大进展，信息化在征管工作中快速发展并普及应用，“金税一期工程”从1995年实施后，至2005年已发展到第二期，2005年国家税务总局征管软件Ctais2.0系统上线后，税收征管辅助系统、个体工商户计算机核定定额系统、税收执法管理信息系统、网上办税系统、办公自动化系统等应用软件迅速在税收工作中推广运用，逐步实现办公自动化、办公无纸化，推进税收现代化进程，税收工作效率显著提高。</w:t>
      </w:r>
    </w:p>
    <w:p w14:paraId="5E3792C6">
      <w:pPr>
        <w:pStyle w:val="4"/>
      </w:pPr>
      <w:r>
        <w:t>【廉政建设】</w:t>
      </w:r>
    </w:p>
    <w:p w14:paraId="2CDA3472">
      <w:pPr>
        <w:ind w:firstLine="420"/>
        <w:rPr>
          <w:rFonts w:ascii="宋体" w:hAnsi="宋体"/>
        </w:rPr>
      </w:pPr>
      <w:r>
        <w:rPr>
          <w:rFonts w:ascii="宋体" w:hAnsi="宋体"/>
        </w:rPr>
        <w:t>抓队伍作风廉政建设，健全和完善党风廉政制度、队伍教育机制，执法监督机制，加强考核监督，加强制度的落实，实施“阳光工程”，保持队伍的廉洁健康和稳定。队伍廉政建设成效得到了省、市国税系统的肯定，2006年，刘运财局长代表该局参加省局举办的精神文明建设和党风廉政建设先进事变报告团，在全省、市级国税系统进行巡回报告，介绍南雄市国税局党廉建设的经验。连续17年没有发生干部职工违法违纪和涉税案件，队伍健康稳定。</w:t>
      </w:r>
    </w:p>
    <w:p w14:paraId="745B3FF1">
      <w:pPr>
        <w:ind w:firstLine="420"/>
        <w:jc w:val="right"/>
        <w:rPr>
          <w:rFonts w:ascii="宋体" w:hAnsi="宋体"/>
        </w:rPr>
      </w:pPr>
      <w:r>
        <w:rPr>
          <w:rFonts w:ascii="宋体" w:hAnsi="宋体"/>
        </w:rPr>
        <w:t>（钟娇娇）</w:t>
      </w:r>
    </w:p>
    <w:p w14:paraId="5862C5E2">
      <w:pPr>
        <w:ind w:firstLine="422"/>
        <w:rPr>
          <w:rFonts w:ascii="宋体" w:hAnsi="宋体"/>
          <w:b/>
          <w:bCs/>
        </w:rPr>
      </w:pPr>
      <w:r>
        <w:rPr>
          <w:rFonts w:ascii="宋体" w:hAnsi="宋体"/>
          <w:b/>
          <w:bCs/>
        </w:rPr>
        <w:t>附：2010年国税局领导班子成员名单</w:t>
      </w:r>
    </w:p>
    <w:p w14:paraId="083EF6BE">
      <w:pPr>
        <w:ind w:firstLine="422"/>
        <w:rPr>
          <w:rFonts w:ascii="宋体" w:hAnsi="宋体"/>
        </w:rPr>
      </w:pPr>
      <w:r>
        <w:rPr>
          <w:rFonts w:ascii="宋体" w:hAnsi="宋体"/>
          <w:b/>
          <w:bCs/>
        </w:rPr>
        <w:t>局长：</w:t>
      </w:r>
      <w:r>
        <w:rPr>
          <w:rFonts w:ascii="宋体" w:hAnsi="宋体"/>
        </w:rPr>
        <w:t>刘运财</w:t>
      </w:r>
    </w:p>
    <w:p w14:paraId="4A7C2C6E">
      <w:pPr>
        <w:ind w:firstLine="422"/>
        <w:rPr>
          <w:rFonts w:ascii="宋体" w:hAnsi="宋体"/>
        </w:rPr>
      </w:pPr>
      <w:r>
        <w:rPr>
          <w:rFonts w:ascii="宋体" w:hAnsi="宋体"/>
          <w:b/>
          <w:bCs/>
        </w:rPr>
        <w:t>副局长：</w:t>
      </w:r>
      <w:r>
        <w:rPr>
          <w:rFonts w:ascii="宋体" w:hAnsi="宋体"/>
        </w:rPr>
        <w:t>陈彝连</w:t>
      </w:r>
      <w:r>
        <w:rPr>
          <w:rFonts w:hint="eastAsia" w:ascii="宋体" w:hAnsi="宋体"/>
        </w:rPr>
        <w:t xml:space="preserve">  </w:t>
      </w:r>
      <w:r>
        <w:rPr>
          <w:rFonts w:ascii="宋体" w:hAnsi="宋体"/>
        </w:rPr>
        <w:t>李贤明</w:t>
      </w:r>
      <w:r>
        <w:rPr>
          <w:rFonts w:hint="eastAsia" w:ascii="宋体" w:hAnsi="宋体"/>
        </w:rPr>
        <w:t xml:space="preserve">  </w:t>
      </w:r>
      <w:r>
        <w:rPr>
          <w:rFonts w:ascii="宋体" w:hAnsi="宋体"/>
        </w:rPr>
        <w:t>凌寿青</w:t>
      </w:r>
      <w:r>
        <w:rPr>
          <w:rFonts w:hint="eastAsia" w:ascii="宋体" w:hAnsi="宋体"/>
        </w:rPr>
        <w:t xml:space="preserve">  </w:t>
      </w:r>
      <w:r>
        <w:rPr>
          <w:rFonts w:ascii="宋体" w:hAnsi="宋体"/>
        </w:rPr>
        <w:t>梁高明</w:t>
      </w:r>
    </w:p>
    <w:p w14:paraId="6F9AF4BB">
      <w:pPr>
        <w:ind w:firstLine="422"/>
        <w:rPr>
          <w:rFonts w:ascii="宋体" w:hAnsi="宋体"/>
        </w:rPr>
      </w:pPr>
      <w:r>
        <w:rPr>
          <w:rFonts w:ascii="宋体" w:hAnsi="宋体"/>
          <w:b/>
          <w:bCs/>
        </w:rPr>
        <w:t>纪检组长：</w:t>
      </w:r>
      <w:r>
        <w:rPr>
          <w:rFonts w:ascii="宋体" w:hAnsi="宋体"/>
        </w:rPr>
        <w:t>董绳南</w:t>
      </w:r>
    </w:p>
    <w:p w14:paraId="45F71A18">
      <w:pPr>
        <w:ind w:firstLine="422"/>
        <w:rPr>
          <w:rFonts w:ascii="宋体" w:hAnsi="宋体"/>
        </w:rPr>
      </w:pPr>
      <w:r>
        <w:rPr>
          <w:rFonts w:ascii="宋体" w:hAnsi="宋体"/>
          <w:b/>
          <w:bCs/>
        </w:rPr>
        <w:t>工会主席：</w:t>
      </w:r>
      <w:r>
        <w:rPr>
          <w:rFonts w:ascii="宋体" w:hAnsi="宋体"/>
        </w:rPr>
        <w:t>沈世昌</w:t>
      </w:r>
    </w:p>
    <w:p w14:paraId="5F3C62F1">
      <w:pPr>
        <w:pStyle w:val="3"/>
      </w:pPr>
      <w:r>
        <w:rPr>
          <w:rFonts w:hint="eastAsia"/>
        </w:rPr>
        <w:t>地方税务</w:t>
      </w:r>
    </w:p>
    <w:p w14:paraId="64A14945">
      <w:pPr>
        <w:pStyle w:val="4"/>
      </w:pPr>
      <w:r>
        <w:t>【概况】</w:t>
      </w:r>
    </w:p>
    <w:p w14:paraId="5A01A1C6">
      <w:pPr>
        <w:ind w:firstLine="420"/>
        <w:rPr>
          <w:rFonts w:ascii="宋体" w:hAnsi="宋体"/>
        </w:rPr>
      </w:pPr>
      <w:r>
        <w:rPr>
          <w:rFonts w:ascii="宋体" w:hAnsi="宋体"/>
        </w:rPr>
        <w:t>南雄市地方税务局1995年1月1日正式挂牌，为正科级单位，实行上级地税机关和同级人民政府双重领导，以上级地税机关垂直领导为主的管理体制。负责地方各税、教育费附加、社会保险费、文化事业建设费和省人民政府规定的其他规费的征收管理工作。现有干部职工114人，机关内设5个股室，即：办公室、税政股、征收管理股、人事教育股和监察室；1个直属事业单位：纳税人服务中心；下设稽查局和5个基层税务分局，为副科级单位。乌迳税务分局负责乌迳、坪田、界址、油山镇；珠玑税务分局负责珠玑、湖口、黄坑、邓坊镇；澜河税务分局负责澜河、百顺、帽子峰镇；附城税务分局负责全安、古市、江头、水口、南亩镇；城区税务分局负责雄州街道。全市组织税费收入4.79亿元，同比增收1.12亿元，增长30.65%。其中：地方税收收入2.96亿元，同比增收5903万元，增长24.94%；其它收入0.05亿元，同比增收75万元，增长15.99%；社保费收入1.78亿元，同比增收5266万元，增长41.98%。</w:t>
      </w:r>
    </w:p>
    <w:p w14:paraId="45A56D68">
      <w:pPr>
        <w:pStyle w:val="4"/>
      </w:pPr>
      <w:r>
        <w:t>【税收收入分析】</w:t>
      </w:r>
    </w:p>
    <w:p w14:paraId="1314993C">
      <w:pPr>
        <w:ind w:firstLine="420"/>
        <w:rPr>
          <w:rFonts w:ascii="宋体" w:hAnsi="宋体"/>
        </w:rPr>
      </w:pPr>
      <w:r>
        <w:rPr>
          <w:rFonts w:ascii="宋体" w:hAnsi="宋体"/>
        </w:rPr>
        <w:t>从产业结构看，第一产业完成税收47万元，比上年同期减收7万元，下降12.96%；第二产业税收7016万元，同比增收614万元，增长9.59%；第三产业税收2.25亿元，同比增收5296万元，增长30.76%。</w:t>
      </w:r>
    </w:p>
    <w:p w14:paraId="6FD460DB">
      <w:pPr>
        <w:ind w:firstLine="420"/>
        <w:rPr>
          <w:rFonts w:ascii="宋体" w:hAnsi="宋体"/>
        </w:rPr>
      </w:pPr>
      <w:r>
        <w:rPr>
          <w:rFonts w:ascii="宋体" w:hAnsi="宋体"/>
        </w:rPr>
        <w:t>从各税种来看，企业所得税、个人所得税、土地增值税、房产税、城镇土地使用税和烟叶税是主要税源。除房产税、印花税和烟叶税收入与上年同期对比下降外，其它各税种收入与上年同期对比都有不同幅度的增长。营业税收入8853万元，同比增收2223万元，增长33.53%；企业所得税收入5925万元，同比增收824万元，增长16.15%；个人所得税收入2495万元，同比增收423万元，增长20.42%；资源税收入856万元，同比增收246万元，增长40.33%；车船使用税收入234万元，同比增收48万元，增长25.81%；土地增值税收入2728万元，同比增收2190万元，增长407.06%；城建税收入1163万元，同比增收136万元，增长13.24%；城镇土地使用税收入1316万元，同比增收137万元，增长11.62%；房产税收入698万元，同比减收45万元，下降6.06%；印花税收入141万元，同比减收23万元，下降14.02%。</w:t>
      </w:r>
    </w:p>
    <w:p w14:paraId="2C61525B">
      <w:pPr>
        <w:pStyle w:val="4"/>
      </w:pPr>
      <w:r>
        <w:t>【税收征管】</w:t>
      </w:r>
    </w:p>
    <w:p w14:paraId="6C7E6764">
      <w:pPr>
        <w:ind w:firstLine="420"/>
        <w:rPr>
          <w:rFonts w:ascii="宋体" w:hAnsi="宋体"/>
        </w:rPr>
      </w:pPr>
      <w:r>
        <w:rPr>
          <w:rFonts w:ascii="宋体" w:hAnsi="宋体"/>
        </w:rPr>
        <w:t>率先探索专业化税源管理新模式，成立税收督导组办公室，全面加强税源控管，重点抓住房地产和建筑安装税收征管；抓好竹木加工业、石场资源税、小水电站等行业税源监控；竹木加工制品行业实行“以电控税”；采石场实行“以药核税”；全面掌握珠玑工业园开始生产的企业、彤置富水泥厂、乐华陶瓷等，抓好新办企业生产流程、材料购销和销售渠道等征收管理。深化纳税评估，制定评估工作实施方案，成立4个纳税评估小组，开展以房地产和建筑安装为重点全市80多家企业纳税评估工作，针对评估发现的问题，及时进行质疑约谈，并督促自查及补缴税款。继续加强日常管理，全面清理漏征漏管户，长期拒缴税款“钉子户”移交司法部门强制执行。加强高收入行业个人所得税管理，进一步做好企业所得税预缴工作。重新调整城镇土地使用税税额标准，强化土地增值税清算管理和车船税征管。强化发票管理，严格发票领购和使用管理制度，完成发票换版工作。积极协调各部门开展协税护税，最大限度拓展地方税收收入渠道。</w:t>
      </w:r>
    </w:p>
    <w:p w14:paraId="65846CAC">
      <w:pPr>
        <w:pStyle w:val="4"/>
      </w:pPr>
      <w:r>
        <w:t>【税源涵养】</w:t>
      </w:r>
    </w:p>
    <w:p w14:paraId="191D963C">
      <w:pPr>
        <w:ind w:firstLine="420"/>
        <w:rPr>
          <w:rFonts w:ascii="宋体" w:hAnsi="宋体"/>
        </w:rPr>
      </w:pPr>
      <w:r>
        <w:rPr>
          <w:rFonts w:ascii="宋体" w:hAnsi="宋体"/>
        </w:rPr>
        <w:t>一是探索和实施税源管理有效办法，完善重点税源监控体系，做好监控分析工作；二是加强经济税收分析，提出加快全市经济发展工作建议。三是强化税收优惠政策落实，培植和涵养后续税源。及时掌握重大项目投资建设情况与进度，加强税收计划执行情况及时跟踪落实。房地产开发企业实施全程跟踪服务，从办理税务登记证到税收筹划以及会计人员培训等，提供最直接便利服务。四是配合招商引资，开辟经济税源。主动做好招商引资工作，从提高工作效率、简化办税手续入手，全面提高服务质量。以计算机网络为依托，实现咨询服务信息化、纳税申报无纸化、税款解缴电子化。</w:t>
      </w:r>
    </w:p>
    <w:p w14:paraId="1FAD0A64">
      <w:pPr>
        <w:pStyle w:val="4"/>
      </w:pPr>
      <w:r>
        <w:t>【依法行政】</w:t>
      </w:r>
    </w:p>
    <w:p w14:paraId="5DA0829D">
      <w:pPr>
        <w:ind w:firstLine="420"/>
        <w:rPr>
          <w:rFonts w:ascii="宋体" w:hAnsi="宋体"/>
        </w:rPr>
      </w:pPr>
      <w:r>
        <w:rPr>
          <w:rFonts w:ascii="宋体" w:hAnsi="宋体"/>
        </w:rPr>
        <w:t>加强干部职工法制学习教育，组织税收执法人员培训和考试，增强依法行政意识。打造“阳光执法”机关，实行“文明办税八公开”，凡是与纳税人密切相关内容，只要不涉及国家机密，都通过局域网、地税局网站和政府OA办公系统进行信息发布、政策解读和业务咨询，限时办结并及时回复。落实税收执法责任追究制，建立统一的事前、事中、事后执法监督机制。开展执法检查，组织开展发票、税款票证、税收优惠政策、综合管理等专项行政执法检查，发现问题，及时解决。</w:t>
      </w:r>
    </w:p>
    <w:p w14:paraId="7FE65B18">
      <w:pPr>
        <w:pStyle w:val="4"/>
      </w:pPr>
      <w:r>
        <w:t>【依法治税】</w:t>
      </w:r>
    </w:p>
    <w:p w14:paraId="12EA6AFD">
      <w:pPr>
        <w:ind w:firstLine="420"/>
        <w:rPr>
          <w:rFonts w:ascii="宋体" w:hAnsi="宋体"/>
        </w:rPr>
      </w:pPr>
      <w:r>
        <w:rPr>
          <w:rFonts w:ascii="宋体" w:hAnsi="宋体"/>
        </w:rPr>
        <w:t>落实组织收入原则。面对2010年严峻的经济税收形势，始终坚持依法征收，应收尽收，坚决不收过头税，不混库、截留、不空转。贯彻执行促进中小企业平稳健康发展8项税收优惠政策以及促进再就业税收优惠政策；特别是落实困难企业房产税、城镇土地使用税的减免审批，按规定减免。整顿税收秩序，坚持以查促管，以查促收，开展建筑安装、房地产、餐饮、娱乐等行业税收专项检查。成立税警联合执法办公室，共收缴《广东省地方税收通用定额发票》1248份，票面金额26.9万元。</w:t>
      </w:r>
    </w:p>
    <w:p w14:paraId="602F2B15">
      <w:pPr>
        <w:pStyle w:val="4"/>
      </w:pPr>
      <w:r>
        <w:t>【税法宣传】</w:t>
      </w:r>
    </w:p>
    <w:p w14:paraId="7AFEDC99">
      <w:pPr>
        <w:ind w:firstLine="420"/>
        <w:rPr>
          <w:rFonts w:ascii="宋体" w:hAnsi="宋体"/>
        </w:rPr>
      </w:pPr>
      <w:r>
        <w:rPr>
          <w:rFonts w:ascii="宋体" w:hAnsi="宋体"/>
        </w:rPr>
        <w:t>四月，联合国税局在三影塔广场开展全国第19个税法宣传月活动，设置咨询台和流动宣传点，发放税法宣传资料2000份、宣传手册300本、接受群众咨询1000人次。组织开展“12.4”全国法制宣传日活动。派出6名干部参加市政府门口前举行的宣传活动，发出社保费知识和税法宣传资料，耐心解答问题咨询。利用电视、地税宣传栏、门户网站等广泛宣传税收政策法规，普及税法知识，使税收宣传工作深入到广大纳税人，提高税法遵从度，营造依法治税、诚信纳税良好环境。</w:t>
      </w:r>
    </w:p>
    <w:p w14:paraId="56EE3200">
      <w:pPr>
        <w:pStyle w:val="4"/>
      </w:pPr>
      <w:r>
        <w:t>【信息化建设】</w:t>
      </w:r>
    </w:p>
    <w:p w14:paraId="405498F7">
      <w:pPr>
        <w:ind w:firstLine="420"/>
        <w:rPr>
          <w:rFonts w:ascii="宋体" w:hAnsi="宋体"/>
        </w:rPr>
      </w:pPr>
      <w:r>
        <w:rPr>
          <w:rFonts w:ascii="宋体" w:hAnsi="宋体"/>
        </w:rPr>
        <w:t>加强信息化建设，全局计算机配比达到人均1台标准，建成视频会议系统，形成省、市、县、镇四级计算机联网。实现网上纳税申报、税款征收、税务稽查、发票缴销、定额核定等计算机管理，人事管理、财务管理、公文处理全面实现办公自动化。加强应用系统运行和日常维护，及时提供各类计算机设备维修服务，强化系统安全管理。</w:t>
      </w:r>
    </w:p>
    <w:p w14:paraId="2CDEA442">
      <w:pPr>
        <w:pStyle w:val="4"/>
      </w:pPr>
      <w:r>
        <w:t>【纳税服务】</w:t>
      </w:r>
    </w:p>
    <w:p w14:paraId="030AD6F5">
      <w:pPr>
        <w:ind w:firstLine="420"/>
        <w:rPr>
          <w:rFonts w:ascii="宋体" w:hAnsi="宋体"/>
        </w:rPr>
      </w:pPr>
      <w:r>
        <w:rPr>
          <w:rFonts w:ascii="宋体" w:hAnsi="宋体"/>
        </w:rPr>
        <w:t>创新纳税服务手段和方式。举办有关企业财务人员纳税辅导，全年举办网上纳税申报、发票在线系统上线等培训班六期，培训企业人员400人次。组织开展“送税法进企业”纳税服务活动，加强新办企业和重点企业个性化服务。规范办税服务大厅基础设施建设，简化办税程序，优化办税流程。一是从硬件入手，在办税服务大厅统一窗口建设标准和制作办税服务标识，设立纳税人休息茶水区、纳税宣传资料、表格存取柜；开通12366纳税服务热线，利用办税服务窗口面对面现场咨询以及税企联席制度开展便民、利民、惠民活动，在城区税务分局和附城税务分局开通2台POS刷卡机，方便纳税人缴税（费），实现服务便捷、高效。二是抓好软件建设，规范干部职工服务行为。统一按规定着装，持证上岗，使用文明用语，建立健全“服务承诺制”和“首问责任制”，积极为纳税人提供简便、快捷、文明、优质服务。</w:t>
      </w:r>
    </w:p>
    <w:p w14:paraId="14C91444">
      <w:pPr>
        <w:ind w:firstLine="420"/>
        <w:jc w:val="right"/>
        <w:rPr>
          <w:rFonts w:ascii="宋体" w:hAnsi="宋体"/>
        </w:rPr>
      </w:pPr>
      <w:r>
        <w:rPr>
          <w:rFonts w:ascii="宋体" w:hAnsi="宋体"/>
        </w:rPr>
        <w:t>（贾保平）</w:t>
      </w:r>
    </w:p>
    <w:p w14:paraId="41350BAA">
      <w:pPr>
        <w:ind w:firstLine="422"/>
        <w:rPr>
          <w:rFonts w:ascii="宋体" w:hAnsi="宋体"/>
          <w:b/>
          <w:bCs/>
        </w:rPr>
      </w:pPr>
      <w:r>
        <w:rPr>
          <w:rFonts w:ascii="宋体" w:hAnsi="宋体"/>
          <w:b/>
          <w:bCs/>
        </w:rPr>
        <w:t>附：2010年地方税务局领导班子成员名单</w:t>
      </w:r>
    </w:p>
    <w:p w14:paraId="3C24A089">
      <w:pPr>
        <w:ind w:firstLine="422"/>
        <w:rPr>
          <w:rFonts w:ascii="宋体" w:hAnsi="宋体"/>
        </w:rPr>
      </w:pPr>
      <w:r>
        <w:rPr>
          <w:rFonts w:ascii="宋体" w:hAnsi="宋体"/>
          <w:b/>
          <w:bCs/>
        </w:rPr>
        <w:t>局长：</w:t>
      </w:r>
      <w:r>
        <w:rPr>
          <w:rFonts w:ascii="宋体" w:hAnsi="宋体"/>
        </w:rPr>
        <w:t>罗少林</w:t>
      </w:r>
    </w:p>
    <w:p w14:paraId="3A253C3B">
      <w:pPr>
        <w:ind w:firstLine="422"/>
        <w:rPr>
          <w:rFonts w:ascii="宋体" w:hAnsi="宋体"/>
        </w:rPr>
      </w:pPr>
      <w:r>
        <w:rPr>
          <w:rFonts w:ascii="宋体" w:hAnsi="宋体"/>
          <w:b/>
          <w:bCs/>
        </w:rPr>
        <w:t>副局长：</w:t>
      </w:r>
      <w:r>
        <w:rPr>
          <w:rFonts w:ascii="宋体" w:hAnsi="宋体"/>
        </w:rPr>
        <w:t>陈耀全</w:t>
      </w:r>
      <w:r>
        <w:rPr>
          <w:rFonts w:hint="eastAsia" w:ascii="宋体" w:hAnsi="宋体"/>
        </w:rPr>
        <w:t xml:space="preserve">  </w:t>
      </w:r>
      <w:r>
        <w:rPr>
          <w:rFonts w:ascii="宋体" w:hAnsi="宋体"/>
        </w:rPr>
        <w:t>肖祝林</w:t>
      </w:r>
    </w:p>
    <w:p w14:paraId="6BB95BA9">
      <w:pPr>
        <w:ind w:firstLine="422"/>
        <w:rPr>
          <w:rFonts w:ascii="宋体" w:hAnsi="宋体"/>
        </w:rPr>
      </w:pPr>
      <w:r>
        <w:rPr>
          <w:rFonts w:ascii="宋体" w:hAnsi="宋体"/>
          <w:b/>
          <w:bCs/>
        </w:rPr>
        <w:t>纪检组长：</w:t>
      </w:r>
      <w:r>
        <w:rPr>
          <w:rFonts w:ascii="宋体" w:hAnsi="宋体"/>
        </w:rPr>
        <w:t>郭慧虹</w:t>
      </w:r>
    </w:p>
    <w:p w14:paraId="049C3515">
      <w:pPr>
        <w:pStyle w:val="2"/>
      </w:pPr>
      <w:r>
        <w:t>银行</w:t>
      </w:r>
    </w:p>
    <w:p w14:paraId="20ACDFCD">
      <w:pPr>
        <w:pStyle w:val="3"/>
      </w:pPr>
      <w:r>
        <w:t>【概况】</w:t>
      </w:r>
    </w:p>
    <w:p w14:paraId="0C8F1BE1">
      <w:pPr>
        <w:ind w:firstLine="420"/>
        <w:rPr>
          <w:rFonts w:ascii="宋体" w:hAnsi="宋体"/>
        </w:rPr>
      </w:pPr>
      <w:r>
        <w:rPr>
          <w:rFonts w:ascii="宋体" w:hAnsi="宋体"/>
        </w:rPr>
        <w:t>南雄市金融机构包括工商银行南雄支行、农业银行南雄支行、中国银行南雄支行、建设银行南雄支行、南雄市农村信用联社及邮政储蓄银行南雄支行等银行业金融机构6个，营业网点34个，从业人员426人。2010年末银行业金融机构本外币存款余额56.63亿元，同比增长17.05%；贷款余额14.94亿元，同比增长28.35%，存贷比为26.39%，同比提高2.3个百分点。</w:t>
      </w:r>
    </w:p>
    <w:p w14:paraId="23056E77">
      <w:pPr>
        <w:pStyle w:val="3"/>
      </w:pPr>
      <w:r>
        <w:t>【货币政策】</w:t>
      </w:r>
    </w:p>
    <w:p w14:paraId="73AB77D7">
      <w:pPr>
        <w:ind w:firstLine="420"/>
        <w:rPr>
          <w:rFonts w:ascii="宋体" w:hAnsi="宋体"/>
        </w:rPr>
      </w:pPr>
      <w:r>
        <w:rPr>
          <w:rFonts w:ascii="宋体" w:hAnsi="宋体"/>
        </w:rPr>
        <w:t>贯彻执行适度宽松货币政策，完善统计监测系统，建立辖内重点企业和金融机构信贷投向监测等制度，开展扩大内需政策效应评估调查，疏通货币政策传导渠道，发挥央行“窗口”指导作用，引导金融机构，合理把握贷款投放总量、投向和节奏，落实好“有扶有控”信贷政策，提高货币政策预见性、针对性和有效性。提升宏观调控效果。加强与政府部门沟通，着力推动解决困扰小额担保贷款中风险补偿、贷款担保等问题，加大对中小企业发展支持力度。按季召开经济金融形势分析会，引导金融机构主动适应宏观调控政策，配合国家出台扩大内需促进经济增长的一系列措施，加大信贷投放力度，调整优化信贷结构。截止2010年末，南雄市本外币各项存款余额56.63亿元，同比增长17.05%；各项贷款余额14.94亿元，同比增长28.35%。</w:t>
      </w:r>
    </w:p>
    <w:p w14:paraId="188FCD3C">
      <w:pPr>
        <w:pStyle w:val="3"/>
      </w:pPr>
      <w:r>
        <w:t>【金融支持】</w:t>
      </w:r>
    </w:p>
    <w:p w14:paraId="49A8B7D6">
      <w:pPr>
        <w:ind w:firstLine="420"/>
        <w:rPr>
          <w:rFonts w:ascii="宋体" w:hAnsi="宋体"/>
        </w:rPr>
      </w:pPr>
      <w:r>
        <w:rPr>
          <w:rFonts w:ascii="宋体" w:hAnsi="宋体"/>
        </w:rPr>
        <w:t>落实国家货币信贷政策，促进县域经济结构调整，信贷投向中小企业、房地产贷款、三农贷款、小水电贷款力度不断加大。截止2010年末，引导全市金融机构对中小企业信贷投放33666万元，占当年累放总额47.72%；房地产贷款15177万元，占当年累放总额21.52%；农业贷款17063万元，占当年累放总额24.19%；小水电贷款3829万元，占当年累放总额5.43%。</w:t>
      </w:r>
    </w:p>
    <w:p w14:paraId="6E969C0D">
      <w:pPr>
        <w:pStyle w:val="3"/>
      </w:pPr>
      <w:r>
        <w:t>【外汇管理】</w:t>
      </w:r>
    </w:p>
    <w:p w14:paraId="33E8BC82">
      <w:pPr>
        <w:ind w:firstLine="420"/>
        <w:rPr>
          <w:rFonts w:ascii="宋体" w:hAnsi="宋体"/>
        </w:rPr>
      </w:pPr>
      <w:r>
        <w:rPr>
          <w:rFonts w:ascii="宋体" w:hAnsi="宋体"/>
        </w:rPr>
        <w:t>截止2010年末，南雄市进出口总额2095万美元，同比增长21.03%；其中出口2003万美元，同比增长16.79%，进口92万美元，同比增长475%。实际利用外资1803万美元，同比增长10.21%。放宽贸易信贷比例管理审核权限，指导企业做好网上核销工作，解决多家企业核销问题，简化办理手续，推动贸易和投资便利化，支持地方外贸经济发展；推广跨境贸易人民币结算业务，成功办理跨境贸易人民币业务8笔，金额1114万元。</w:t>
      </w:r>
    </w:p>
    <w:p w14:paraId="2F3EBF93">
      <w:pPr>
        <w:pStyle w:val="3"/>
      </w:pPr>
      <w:r>
        <w:t>【金融风险管理】</w:t>
      </w:r>
    </w:p>
    <w:p w14:paraId="44A0E275">
      <w:pPr>
        <w:ind w:firstLine="420"/>
        <w:rPr>
          <w:rFonts w:ascii="宋体" w:hAnsi="宋体"/>
        </w:rPr>
      </w:pPr>
      <w:r>
        <w:rPr>
          <w:rFonts w:ascii="宋体" w:hAnsi="宋体"/>
        </w:rPr>
        <w:t>抓住辖区信贷风险点问题，开展对地方中小法人金融机构风险监测，关注其贷款投向和贷款集中度情况，跟踪监测农信社可能发生风险问题，做好贷款大户风险监测，评估全市金融稳定各项指标及基本状况，做好金融稳定工作。关注担保公司及小额贷款公司经营及风险状况，制定和提出稳定措施。组织开展南雄市农村信贷担保情况和小额贷款公司经营情况等多个专题调研，为上级及地方党政决策提供信息依据。强化已兑付专项票据农信社监测考核，加大不良贷款压降、法人治理结构、内控制度建设等力度，推动农信社改革。</w:t>
      </w:r>
    </w:p>
    <w:p w14:paraId="340CEDAF">
      <w:pPr>
        <w:pStyle w:val="3"/>
      </w:pPr>
      <w:r>
        <w:t>【缓解中小企业融资难】</w:t>
      </w:r>
    </w:p>
    <w:p w14:paraId="4E1F0C80">
      <w:pPr>
        <w:ind w:firstLine="420"/>
        <w:rPr>
          <w:rFonts w:ascii="宋体" w:hAnsi="宋体"/>
        </w:rPr>
      </w:pPr>
      <w:r>
        <w:rPr>
          <w:rFonts w:ascii="宋体" w:hAnsi="宋体"/>
        </w:rPr>
        <w:t>一是以南雄市政府名义转发《关于进一步促进民营经济发展若干补充意见》、《关于南雄市金融支持中小企业发展实施意见》等有关促进地方经济金融发展实施规定办法；二是为南雄市经济全面协调发展提供金融支持意见，制定《二○一○年金融支持中小企业发展实施意见》；三是按季召开金融联系会议。加强政府、经济部门、企业、证券、保险与金融机构的沟通、联系，充分发挥会议作用，提高货币政策传导实效；四是促成韶关辖区首个信贷服务中心成立，开展“三个十”（十家中小企业专营中心、十家“三农”服务中心、十个信贷创新产品）信贷创新工程、青年创业贷款、农村专业合作社+农户+信贷、精英时贷等重点产品创新工作。五是南雄市人民政府与人民银行南雄支行成功举办辖区金融产品推介联席会，金融机构与7家企业现场签订2.7亿元贷款协议；六是促成担保公司扶持外企发展。2010年南雄市雄健担保有限公司已为南雄市精细化工业园40多个外商企业提供担保，担保额度达9750万元。</w:t>
      </w:r>
    </w:p>
    <w:p w14:paraId="43B0F0AB">
      <w:pPr>
        <w:pStyle w:val="3"/>
      </w:pPr>
      <w:r>
        <w:t>【做好小额贷款公司试点工作】</w:t>
      </w:r>
    </w:p>
    <w:p w14:paraId="2EC21138">
      <w:pPr>
        <w:ind w:firstLine="420"/>
        <w:rPr>
          <w:rFonts w:ascii="宋体" w:hAnsi="宋体"/>
        </w:rPr>
      </w:pPr>
      <w:r>
        <w:rPr>
          <w:rFonts w:ascii="宋体" w:hAnsi="宋体"/>
        </w:rPr>
        <w:t>4月19日成立南雄市首家小额贷款公司—南雄市金友小额贷款有限公司，成为全省首批小额贷款公司试点单位。小额贷款公司开业以来坚持不非法集资、不放高利贷、不以非法手段收贷“三不”原则，为南雄市“三农”和中小企业提供金融服务。截止2010年末，南雄市金友小额贷款有限公司贷款余额1440万元，累计投放贷款1812万元。</w:t>
      </w:r>
    </w:p>
    <w:p w14:paraId="1FB61739">
      <w:pPr>
        <w:pStyle w:val="3"/>
      </w:pPr>
      <w:r>
        <w:t>【加强对已兑付票据农村信用社的监测】</w:t>
      </w:r>
    </w:p>
    <w:p w14:paraId="4CB40F7B">
      <w:pPr>
        <w:ind w:firstLine="420"/>
        <w:rPr>
          <w:rFonts w:ascii="宋体" w:hAnsi="宋体"/>
        </w:rPr>
      </w:pPr>
      <w:r>
        <w:rPr>
          <w:rFonts w:ascii="宋体" w:hAnsi="宋体"/>
        </w:rPr>
        <w:t>是做好日常监测考核工作。对辖内农村信用社资产负债、信贷收支、经营财务变化情况和风险状况进行全面监测与分析；二是加强对农信社改革情况的动态监测，密切关注其新增贷款投向；三是约见南雄农信社主要负责人谈话，增强工作的主动性、针对性；四是开展农信社现场检查工作。</w:t>
      </w:r>
    </w:p>
    <w:p w14:paraId="21A15689">
      <w:pPr>
        <w:pStyle w:val="3"/>
      </w:pPr>
      <w:r>
        <w:t>【推进全市政策性农村住房保险】</w:t>
      </w:r>
    </w:p>
    <w:p w14:paraId="22FE850E">
      <w:pPr>
        <w:ind w:firstLine="420"/>
        <w:rPr>
          <w:rFonts w:ascii="宋体" w:hAnsi="宋体"/>
        </w:rPr>
      </w:pPr>
      <w:r>
        <w:rPr>
          <w:rFonts w:ascii="宋体" w:hAnsi="宋体"/>
        </w:rPr>
        <w:t>按照“政府推动、共同承办、市场运作”原则，制定出台《南雄市政策性农村住房保险实施方案》，政策性农村住房保险在全市铺开，为农民防灾减灾提供保障。截止2010年末，全市政策性农房保险参保农户7.2848万户，农户参保率100%，保险保障金额72848万元，已赔付率110%。农户自愿参保、政府和农户共用承担农房保费的支农、惠农政策得到推行。</w:t>
      </w:r>
    </w:p>
    <w:p w14:paraId="49F6EEB7">
      <w:pPr>
        <w:pStyle w:val="3"/>
      </w:pPr>
      <w:r>
        <w:t>【金融生态环境不断优化】</w:t>
      </w:r>
    </w:p>
    <w:p w14:paraId="3FFA290E">
      <w:pPr>
        <w:ind w:firstLine="420"/>
        <w:rPr>
          <w:rFonts w:ascii="宋体" w:hAnsi="宋体"/>
        </w:rPr>
      </w:pPr>
      <w:r>
        <w:rPr>
          <w:rFonts w:ascii="宋体" w:hAnsi="宋体"/>
        </w:rPr>
        <w:t>一是银行业不良贷款有所下降。2010年12月末，南雄市商业银行不良贷款额同比下降0.26%；二是创新“扶贫双到”与农村信用体系建设相结合，采集到农户征信信息1105户，对99户贫困农民发放扶贫贷款154万元，营造良好会信用环境，维护辖区金融秩序。三是2011年9月21日成功举办诚信兴商外汇政策宣传暨金融产品推介活动，四是加大对反洗钱宣传力度。为增强证券、保险业金融机构及社会各界反洗钱意识，提高证券、保险业金融机构从业人员反洗钱工作技能和法制观念，以“创争”活动为契机，召开辖区证券、保险业反洗钱宣传月工作会议，推动反洗钱宣传工作开展。五是支持金融机构维权工作。定期组织召开由政府相关部门、金融机构、企业参加不良贷款金融联席会，帮助农村信用社清收不良贷款。2010年南雄市农村信用社起诉案件25件，依法执行案件13件，清收不良贷款本金624万元，利息125万元。六是人民币流通环境有效改善。人民银行南雄支行加强反假货币工作，组织反假币宣传活动，发挥各单位优势，协助公安机关严厉打击制假贩假等违法犯罪活动。</w:t>
      </w:r>
    </w:p>
    <w:p w14:paraId="39DA1D2F">
      <w:pPr>
        <w:ind w:firstLine="420"/>
        <w:jc w:val="right"/>
        <w:rPr>
          <w:rFonts w:ascii="宋体" w:hAnsi="宋体"/>
        </w:rPr>
      </w:pPr>
      <w:r>
        <w:rPr>
          <w:rFonts w:ascii="宋体" w:hAnsi="宋体"/>
        </w:rPr>
        <w:t>（谢强）</w:t>
      </w:r>
    </w:p>
    <w:p w14:paraId="40F83BA4">
      <w:pPr>
        <w:pStyle w:val="3"/>
      </w:pPr>
      <w:r>
        <w:rPr>
          <w:rFonts w:hint="eastAsia"/>
        </w:rPr>
        <w:t>银行机构选介</w:t>
      </w:r>
    </w:p>
    <w:p w14:paraId="3191E1C2">
      <w:pPr>
        <w:pStyle w:val="4"/>
      </w:pPr>
      <w:r>
        <w:t>【中国人民银行南雄市支行】</w:t>
      </w:r>
    </w:p>
    <w:p w14:paraId="585A4391">
      <w:pPr>
        <w:ind w:firstLine="420"/>
        <w:rPr>
          <w:rFonts w:ascii="宋体" w:hAnsi="宋体"/>
        </w:rPr>
      </w:pPr>
      <w:r>
        <w:rPr>
          <w:rFonts w:ascii="宋体" w:hAnsi="宋体"/>
        </w:rPr>
        <w:t>中国人民银行南雄市支行2010年，中国人民银行南雄市支行在职员工24人，其中行长1人，副行长2人，副主任科员1人，科员20人。内设“三股一室”四个职能部门，分别是办公室、综合业务股、外汇管理股和会计国库股。依法履行中央银行职能，负责对南雄市金融机构贯彻执行货币政策，防范系统性金融风险及其支付结算、票据清算、经理国库、反洗钱、征信、反假货币、现金、外汇等业务管理和金融服务工作。</w:t>
      </w:r>
    </w:p>
    <w:p w14:paraId="4DEBB77B">
      <w:pPr>
        <w:ind w:firstLine="420"/>
        <w:jc w:val="right"/>
        <w:rPr>
          <w:rFonts w:ascii="宋体" w:hAnsi="宋体"/>
        </w:rPr>
      </w:pPr>
      <w:r>
        <w:rPr>
          <w:rFonts w:ascii="宋体" w:hAnsi="宋体"/>
        </w:rPr>
        <w:t>（谢强）</w:t>
      </w:r>
    </w:p>
    <w:p w14:paraId="4A4ED0FA">
      <w:pPr>
        <w:ind w:firstLine="422"/>
        <w:rPr>
          <w:rFonts w:ascii="宋体" w:hAnsi="宋体"/>
          <w:b/>
          <w:bCs/>
        </w:rPr>
      </w:pPr>
      <w:r>
        <w:rPr>
          <w:rFonts w:ascii="宋体" w:hAnsi="宋体"/>
          <w:b/>
          <w:bCs/>
        </w:rPr>
        <w:t>附：2010年人民银行南雄市支行领导班子成员名单</w:t>
      </w:r>
    </w:p>
    <w:p w14:paraId="02EB9EF7">
      <w:pPr>
        <w:ind w:firstLine="422"/>
        <w:rPr>
          <w:rFonts w:ascii="宋体" w:hAnsi="宋体"/>
        </w:rPr>
      </w:pPr>
      <w:r>
        <w:rPr>
          <w:rFonts w:ascii="宋体" w:hAnsi="宋体"/>
          <w:b/>
          <w:bCs/>
        </w:rPr>
        <w:t>行</w:t>
      </w:r>
      <w:r>
        <w:rPr>
          <w:rFonts w:hint="eastAsia" w:ascii="宋体" w:hAnsi="宋体"/>
          <w:b/>
          <w:bCs/>
        </w:rPr>
        <w:t xml:space="preserve">  </w:t>
      </w:r>
      <w:r>
        <w:rPr>
          <w:rFonts w:ascii="宋体" w:hAnsi="宋体"/>
          <w:b/>
          <w:bCs/>
        </w:rPr>
        <w:t>长：</w:t>
      </w:r>
      <w:r>
        <w:rPr>
          <w:rFonts w:ascii="宋体" w:hAnsi="宋体"/>
        </w:rPr>
        <w:t>张鹏良</w:t>
      </w:r>
    </w:p>
    <w:p w14:paraId="2D787C03">
      <w:pPr>
        <w:ind w:firstLine="422"/>
        <w:rPr>
          <w:rFonts w:ascii="宋体" w:hAnsi="宋体"/>
        </w:rPr>
      </w:pPr>
      <w:r>
        <w:rPr>
          <w:rFonts w:ascii="宋体" w:hAnsi="宋体"/>
          <w:b/>
          <w:bCs/>
        </w:rPr>
        <w:t>副行长：</w:t>
      </w:r>
      <w:r>
        <w:rPr>
          <w:rFonts w:ascii="宋体" w:hAnsi="宋体"/>
        </w:rPr>
        <w:t>利保健</w:t>
      </w:r>
      <w:r>
        <w:rPr>
          <w:rFonts w:hint="eastAsia" w:ascii="宋体" w:hAnsi="宋体"/>
        </w:rPr>
        <w:t xml:space="preserve">  </w:t>
      </w:r>
      <w:r>
        <w:rPr>
          <w:rFonts w:ascii="宋体" w:hAnsi="宋体"/>
        </w:rPr>
        <w:t>温为阳</w:t>
      </w:r>
    </w:p>
    <w:p w14:paraId="0A68A070">
      <w:pPr>
        <w:pStyle w:val="4"/>
      </w:pPr>
      <w:r>
        <w:t>【中国工商银行股份有限公司南雄支行】</w:t>
      </w:r>
    </w:p>
    <w:p w14:paraId="350144DF">
      <w:pPr>
        <w:ind w:firstLine="420"/>
        <w:rPr>
          <w:rFonts w:ascii="宋体" w:hAnsi="宋体"/>
        </w:rPr>
      </w:pPr>
      <w:r>
        <w:rPr>
          <w:rFonts w:ascii="宋体" w:hAnsi="宋体"/>
        </w:rPr>
        <w:t>中国工商银行，全称：中国工商银行股份有限公司（IndustrialandCommercialBankof-ChinaLimited，ICBC），成立于1984年，是中国最大的商业银行，是中国五大银行之首，世界五百强企业之一，上市公司，拥有中国最大的客户群。2011年业绩继续保持较高的增长速度。工商银行为客户提供的金融产品丰富，有存款、贷款、银行卡服务、个人理财、个人贷款，贷款融资、票据业务，结算服务，企业理财，企业年金业务、网上银行、电话银行、手机银行、分期付款、网贷通等各种金融服务。中国工商银行南雄支行位处南雄市繁华街区，南雄支行营业部为南雄最具现代化的金融网点。全体同仁将秉承“以客户为中心”的服务理念，为促进地方经济发展服务。</w:t>
      </w:r>
    </w:p>
    <w:p w14:paraId="18CD5888">
      <w:pPr>
        <w:ind w:firstLine="420"/>
        <w:jc w:val="right"/>
        <w:rPr>
          <w:rFonts w:ascii="宋体" w:hAnsi="宋体"/>
        </w:rPr>
      </w:pPr>
      <w:r>
        <w:rPr>
          <w:rFonts w:ascii="宋体" w:hAnsi="宋体"/>
        </w:rPr>
        <w:t>（刘奇勇）</w:t>
      </w:r>
    </w:p>
    <w:p w14:paraId="28886942">
      <w:pPr>
        <w:ind w:firstLine="422"/>
        <w:rPr>
          <w:rFonts w:ascii="宋体" w:hAnsi="宋体"/>
          <w:b/>
          <w:bCs/>
        </w:rPr>
      </w:pPr>
      <w:r>
        <w:rPr>
          <w:rFonts w:ascii="宋体" w:hAnsi="宋体"/>
          <w:b/>
          <w:bCs/>
        </w:rPr>
        <w:t>附：2010年工商银行股份有限公司南雄支行领导班子成员名单</w:t>
      </w:r>
    </w:p>
    <w:p w14:paraId="055E5E02">
      <w:pPr>
        <w:ind w:firstLine="422"/>
        <w:rPr>
          <w:rFonts w:ascii="宋体" w:hAnsi="宋体"/>
        </w:rPr>
      </w:pPr>
      <w:r>
        <w:rPr>
          <w:rFonts w:ascii="宋体" w:hAnsi="宋体"/>
          <w:b/>
          <w:bCs/>
        </w:rPr>
        <w:t>行</w:t>
      </w:r>
      <w:r>
        <w:rPr>
          <w:rFonts w:hint="eastAsia" w:ascii="宋体" w:hAnsi="宋体"/>
          <w:b/>
          <w:bCs/>
        </w:rPr>
        <w:t xml:space="preserve">  </w:t>
      </w:r>
      <w:r>
        <w:rPr>
          <w:rFonts w:ascii="宋体" w:hAnsi="宋体"/>
          <w:b/>
          <w:bCs/>
        </w:rPr>
        <w:t>长：</w:t>
      </w:r>
      <w:r>
        <w:rPr>
          <w:rFonts w:ascii="宋体" w:hAnsi="宋体"/>
        </w:rPr>
        <w:t>邱志雄</w:t>
      </w:r>
    </w:p>
    <w:p w14:paraId="75C0F6B4">
      <w:pPr>
        <w:ind w:firstLine="422"/>
        <w:rPr>
          <w:rFonts w:ascii="宋体" w:hAnsi="宋体"/>
        </w:rPr>
      </w:pPr>
      <w:r>
        <w:rPr>
          <w:rFonts w:ascii="宋体" w:hAnsi="宋体"/>
          <w:b/>
          <w:bCs/>
        </w:rPr>
        <w:t>副行长：</w:t>
      </w:r>
      <w:r>
        <w:rPr>
          <w:rFonts w:ascii="宋体" w:hAnsi="宋体"/>
        </w:rPr>
        <w:t>黄静</w:t>
      </w:r>
    </w:p>
    <w:p w14:paraId="15E8F373">
      <w:pPr>
        <w:ind w:firstLine="422"/>
        <w:rPr>
          <w:rFonts w:ascii="宋体" w:hAnsi="宋体"/>
        </w:rPr>
      </w:pPr>
      <w:r>
        <w:rPr>
          <w:rFonts w:ascii="宋体" w:hAnsi="宋体"/>
          <w:b/>
          <w:bCs/>
        </w:rPr>
        <w:t>内控主管：</w:t>
      </w:r>
      <w:r>
        <w:rPr>
          <w:rFonts w:ascii="宋体" w:hAnsi="宋体"/>
        </w:rPr>
        <w:t>刘奇勇</w:t>
      </w:r>
    </w:p>
    <w:p w14:paraId="2E94D776">
      <w:pPr>
        <w:pStyle w:val="4"/>
      </w:pPr>
      <w:r>
        <w:t>【中国农业银行股份有限公司南雄市支行】</w:t>
      </w:r>
    </w:p>
    <w:p w14:paraId="09B7CAEF">
      <w:pPr>
        <w:ind w:firstLine="420"/>
        <w:rPr>
          <w:rFonts w:ascii="宋体" w:hAnsi="宋体"/>
        </w:rPr>
      </w:pPr>
      <w:r>
        <w:rPr>
          <w:rFonts w:ascii="宋体" w:hAnsi="宋体"/>
        </w:rPr>
        <w:t>中国农业银行股份有限公司南雄市支行（简称：中国农业银行南雄市支行），辖属支行营业部和3个二级支行（雄州支行、雄东支行和沿江支行），全行在职员工84人，辖内网点ATM自助银行设施8台（含全安金融服务点1台）。2010年，南雄农行紧紧围绕“对公、零售、三农”三大业务转型升级的总体目标，深入推进经营战略转型和精细化管理，积极拓展县域“蓝海”市场，稳步持续发展“三农”业务，不断强化风险管控手段和效果，综合竞争力和盈利能力明显提高，并实现全年安全运营“双零”（零责任事故、零案件）目标。截2010年12月末，全行各项存款88326万元，比年初净增12751万元，市场存量占比达36%；各项贷款余额24860万元，比年初净增8046万元，市场增量占比为48%，各项存贷款存、增量占比，均位居当地四大行排名之首，支持并促进南雄社会和经济全面发展。先后分别荣获第五届“全国农行精神文明建设先进单位”、第二届“广东省分行文明单位”和农行广东省分行2007-2010年度“先进单位”以及农行韶关分行2010年度“先进单位”荣誉称号。</w:t>
      </w:r>
    </w:p>
    <w:p w14:paraId="563FD657">
      <w:pPr>
        <w:ind w:firstLine="420"/>
        <w:jc w:val="right"/>
        <w:rPr>
          <w:rFonts w:ascii="宋体" w:hAnsi="宋体"/>
        </w:rPr>
      </w:pPr>
      <w:r>
        <w:rPr>
          <w:rFonts w:ascii="宋体" w:hAnsi="宋体"/>
        </w:rPr>
        <w:t>（董书罗）</w:t>
      </w:r>
    </w:p>
    <w:p w14:paraId="70F32199">
      <w:pPr>
        <w:ind w:firstLine="422"/>
        <w:rPr>
          <w:rFonts w:ascii="宋体" w:hAnsi="宋体"/>
          <w:b/>
          <w:bCs/>
        </w:rPr>
      </w:pPr>
      <w:r>
        <w:rPr>
          <w:rFonts w:ascii="宋体" w:hAnsi="宋体"/>
          <w:b/>
          <w:bCs/>
        </w:rPr>
        <w:t>附：2010年农业银行南雄市支行领导班子成员名单</w:t>
      </w:r>
    </w:p>
    <w:p w14:paraId="0D12D9C4">
      <w:pPr>
        <w:ind w:firstLine="422"/>
        <w:rPr>
          <w:rFonts w:ascii="宋体" w:hAnsi="宋体"/>
        </w:rPr>
      </w:pPr>
      <w:r>
        <w:rPr>
          <w:rFonts w:ascii="宋体" w:hAnsi="宋体"/>
          <w:b/>
          <w:bCs/>
        </w:rPr>
        <w:t>行</w:t>
      </w:r>
      <w:r>
        <w:rPr>
          <w:rFonts w:hint="eastAsia" w:ascii="宋体" w:hAnsi="宋体"/>
          <w:b/>
          <w:bCs/>
        </w:rPr>
        <w:t xml:space="preserve">  </w:t>
      </w:r>
      <w:r>
        <w:rPr>
          <w:rFonts w:ascii="宋体" w:hAnsi="宋体"/>
          <w:b/>
          <w:bCs/>
        </w:rPr>
        <w:t>长：</w:t>
      </w:r>
      <w:r>
        <w:rPr>
          <w:rFonts w:ascii="宋体" w:hAnsi="宋体"/>
        </w:rPr>
        <w:t>唐建华</w:t>
      </w:r>
    </w:p>
    <w:p w14:paraId="066D8840">
      <w:pPr>
        <w:ind w:firstLine="422"/>
        <w:rPr>
          <w:rFonts w:ascii="宋体" w:hAnsi="宋体"/>
        </w:rPr>
      </w:pPr>
      <w:r>
        <w:rPr>
          <w:rFonts w:ascii="宋体" w:hAnsi="宋体"/>
          <w:b/>
          <w:bCs/>
        </w:rPr>
        <w:t>副行长：</w:t>
      </w:r>
      <w:r>
        <w:rPr>
          <w:rFonts w:ascii="宋体" w:hAnsi="宋体"/>
        </w:rPr>
        <w:t>聂郁龙</w:t>
      </w:r>
      <w:r>
        <w:rPr>
          <w:rFonts w:hint="eastAsia" w:ascii="宋体" w:hAnsi="宋体"/>
        </w:rPr>
        <w:t xml:space="preserve">  </w:t>
      </w:r>
      <w:r>
        <w:rPr>
          <w:rFonts w:ascii="宋体" w:hAnsi="宋体"/>
        </w:rPr>
        <w:t>沈世军</w:t>
      </w:r>
    </w:p>
    <w:p w14:paraId="298B4AB7">
      <w:pPr>
        <w:pStyle w:val="4"/>
      </w:pPr>
      <w:r>
        <w:t>【南雄市农村信用合作联社】</w:t>
      </w:r>
    </w:p>
    <w:p w14:paraId="2C487913">
      <w:pPr>
        <w:ind w:firstLine="420"/>
        <w:rPr>
          <w:rFonts w:ascii="宋体" w:hAnsi="宋体"/>
        </w:rPr>
      </w:pPr>
      <w:r>
        <w:rPr>
          <w:rFonts w:ascii="宋体" w:hAnsi="宋体"/>
        </w:rPr>
        <w:t>2003-2010年，南雄市农村信用合作联社（以下简称南雄联社）坚持以服务“三农”、推动南雄农村金融事业的稳健发展和地方经济的发展2005年7月顺利完成增资扩股2208万元。2008年6月成功兑付央行专项票据3052万元；2008年11月26日法人治理工作圆满完成，组建成产权关系明晰的统一法人社-南雄市农村信用合作联社。2010年10月8日，南雄联社数据大集中系统成功上线，实现全省通存通兑。至2010年底，银行卡存量48191万张，共安装自动柜员机（ATM）8台，自助服务终端（BST）10台，发展POS机商户。至2010年末，南雄联社内设管理机构有八部一室；辖6个基层信用社，一个营业部、13个分社共20个营业网点，从业人员211人，各项存款184706万元，各项贷款92824万元，是全市营业网点最多，服务面最广的金融机构。</w:t>
      </w:r>
    </w:p>
    <w:p w14:paraId="48A80D00">
      <w:pPr>
        <w:ind w:firstLine="420"/>
        <w:jc w:val="right"/>
        <w:rPr>
          <w:rFonts w:ascii="宋体" w:hAnsi="宋体"/>
        </w:rPr>
      </w:pPr>
      <w:r>
        <w:rPr>
          <w:rFonts w:ascii="宋体" w:hAnsi="宋体"/>
        </w:rPr>
        <w:t>（李宏）</w:t>
      </w:r>
    </w:p>
    <w:p w14:paraId="5BC2E29D">
      <w:pPr>
        <w:ind w:firstLine="422"/>
        <w:rPr>
          <w:rFonts w:ascii="宋体" w:hAnsi="宋体"/>
          <w:b/>
          <w:bCs/>
        </w:rPr>
      </w:pPr>
      <w:r>
        <w:rPr>
          <w:rFonts w:ascii="宋体" w:hAnsi="宋体"/>
          <w:b/>
          <w:bCs/>
        </w:rPr>
        <w:t>附：2010年南雄市农村信用合作联社领导班子成员名单</w:t>
      </w:r>
    </w:p>
    <w:p w14:paraId="3704B1CE">
      <w:pPr>
        <w:ind w:firstLine="422"/>
        <w:rPr>
          <w:rFonts w:ascii="宋体" w:hAnsi="宋体"/>
        </w:rPr>
      </w:pPr>
      <w:r>
        <w:rPr>
          <w:rFonts w:ascii="宋体" w:hAnsi="宋体"/>
          <w:b/>
          <w:bCs/>
        </w:rPr>
        <w:t>理事长：</w:t>
      </w:r>
      <w:r>
        <w:rPr>
          <w:rFonts w:ascii="宋体" w:hAnsi="宋体"/>
        </w:rPr>
        <w:t>吴新华</w:t>
      </w:r>
    </w:p>
    <w:p w14:paraId="14324F31">
      <w:pPr>
        <w:ind w:firstLine="422"/>
        <w:rPr>
          <w:rFonts w:ascii="宋体" w:hAnsi="宋体"/>
        </w:rPr>
      </w:pPr>
      <w:r>
        <w:rPr>
          <w:rFonts w:ascii="宋体" w:hAnsi="宋体"/>
          <w:b/>
          <w:bCs/>
        </w:rPr>
        <w:t>主任：</w:t>
      </w:r>
      <w:r>
        <w:rPr>
          <w:rFonts w:ascii="宋体" w:hAnsi="宋体"/>
        </w:rPr>
        <w:t>伍时伟</w:t>
      </w:r>
    </w:p>
    <w:p w14:paraId="7575A684">
      <w:pPr>
        <w:ind w:firstLine="422"/>
        <w:rPr>
          <w:rFonts w:ascii="宋体" w:hAnsi="宋体"/>
        </w:rPr>
      </w:pPr>
      <w:r>
        <w:rPr>
          <w:rFonts w:ascii="宋体" w:hAnsi="宋体"/>
          <w:b/>
          <w:bCs/>
        </w:rPr>
        <w:t>监事长：</w:t>
      </w:r>
      <w:r>
        <w:rPr>
          <w:rFonts w:ascii="宋体" w:hAnsi="宋体"/>
        </w:rPr>
        <w:t>朱瑞洪</w:t>
      </w:r>
    </w:p>
    <w:p w14:paraId="2E89EAAC">
      <w:pPr>
        <w:ind w:firstLine="422"/>
        <w:rPr>
          <w:rFonts w:ascii="宋体" w:hAnsi="宋体"/>
        </w:rPr>
      </w:pPr>
      <w:r>
        <w:rPr>
          <w:rFonts w:ascii="宋体" w:hAnsi="宋体"/>
          <w:b/>
          <w:bCs/>
        </w:rPr>
        <w:t>副主任：</w:t>
      </w:r>
      <w:r>
        <w:rPr>
          <w:rFonts w:ascii="宋体" w:hAnsi="宋体"/>
        </w:rPr>
        <w:t>叶志清</w:t>
      </w:r>
    </w:p>
    <w:p w14:paraId="5065AC86">
      <w:pPr>
        <w:pStyle w:val="2"/>
      </w:pPr>
      <w:r>
        <w:t>保险</w:t>
      </w:r>
    </w:p>
    <w:p w14:paraId="1C06C8C3">
      <w:pPr>
        <w:pStyle w:val="3"/>
      </w:pPr>
      <w:r>
        <w:rPr>
          <w:rFonts w:hint="eastAsia"/>
        </w:rPr>
        <w:t>保险机构选介</w:t>
      </w:r>
    </w:p>
    <w:p w14:paraId="7645074C">
      <w:pPr>
        <w:pStyle w:val="4"/>
      </w:pPr>
      <w:r>
        <w:t>【中国人寿保险股份有限公司南雄市支公司】</w:t>
      </w:r>
    </w:p>
    <w:p w14:paraId="4E07E7CD">
      <w:pPr>
        <w:ind w:firstLine="420"/>
        <w:rPr>
          <w:rFonts w:ascii="宋体" w:hAnsi="宋体"/>
        </w:rPr>
      </w:pPr>
      <w:r>
        <w:rPr>
          <w:rFonts w:ascii="宋体" w:hAnsi="宋体"/>
        </w:rPr>
        <w:t>概述中国人寿保险股份有限公司南雄市支公司成立于2003年6月30日，公司前身是原中国人民保险公司，1996年分设为中保人寿保险有限公司，1999年更名为中国人寿保险公司。南雄市支公司内设综合管理部、个人保险业务部、团体保险业务部、银行保险业务部、客户服务部五个部门，在乌迳镇、黄坑镇、湖口镇、水口镇、珠玑镇、百顺镇设有6个营销服务网点。2009年拥有干部员工13人，全部都是大专以上学历，个人代理人179人，全部为高中以上学历。主要业务范围包括人寿保险、健康保险、意外伤害保险等各类人身保险，兼营车辆保险。中国人寿保险股份有限公司南雄市支公司是南雄最大的专业寿险公司。</w:t>
      </w:r>
    </w:p>
    <w:p w14:paraId="682125A7">
      <w:pPr>
        <w:pStyle w:val="4"/>
      </w:pPr>
      <w:r>
        <w:t>【监管部门】</w:t>
      </w:r>
    </w:p>
    <w:p w14:paraId="1735E5E1">
      <w:pPr>
        <w:ind w:firstLine="420"/>
        <w:rPr>
          <w:rFonts w:ascii="宋体" w:hAnsi="宋体"/>
        </w:rPr>
      </w:pPr>
      <w:r>
        <w:rPr>
          <w:rFonts w:ascii="宋体" w:hAnsi="宋体"/>
        </w:rPr>
        <w:t>为中国保险监督管理委员会。</w:t>
      </w:r>
    </w:p>
    <w:p w14:paraId="54336BA5">
      <w:pPr>
        <w:pStyle w:val="4"/>
      </w:pPr>
      <w:r>
        <w:t>【经营理念】</w:t>
      </w:r>
    </w:p>
    <w:p w14:paraId="14061FDC">
      <w:pPr>
        <w:ind w:firstLine="420"/>
        <w:rPr>
          <w:rFonts w:ascii="宋体" w:hAnsi="宋体"/>
        </w:rPr>
      </w:pPr>
      <w:r>
        <w:rPr>
          <w:rFonts w:ascii="宋体" w:hAnsi="宋体"/>
        </w:rPr>
        <w:t>中国人寿保险秉“成已为人、成人达己”的企业文化核心理念，遵循“诚信为本、稳健经营”的企业宗旨，恪守“创新、拼搏、务实、奉献”的企业精神，把“与客户同忧乐”作为企业价值观，以“与时俱进、争创一流”的精神，努力打造国内领先、世界一流的大型现代保险与金融控股集团，致力于造福社会大众，为建设和谐社会贡献更大的力量。公司推行“机制引才、制度用才、培训育才、环境留才”的人才强司战略，坚持“以人为本”的用人理念，着力培养和造就一支结构合理、素质优良、境争力强、与国际一流寿险公司需要相匹配的员工队伍。</w:t>
      </w:r>
    </w:p>
    <w:p w14:paraId="4C9306D0">
      <w:pPr>
        <w:pStyle w:val="4"/>
      </w:pPr>
      <w:r>
        <w:t>【业务发展成果】</w:t>
      </w:r>
    </w:p>
    <w:p w14:paraId="5058FDBD">
      <w:pPr>
        <w:ind w:firstLine="420"/>
        <w:rPr>
          <w:rFonts w:ascii="宋体" w:hAnsi="宋体"/>
        </w:rPr>
      </w:pPr>
      <w:r>
        <w:rPr>
          <w:rFonts w:ascii="宋体" w:hAnsi="宋体"/>
        </w:rPr>
        <w:t>2003年完成总保费3456万元，赔付保险费257万元。</w:t>
      </w:r>
    </w:p>
    <w:p w14:paraId="394E1FB9">
      <w:pPr>
        <w:ind w:firstLine="420"/>
        <w:rPr>
          <w:rFonts w:ascii="宋体" w:hAnsi="宋体"/>
        </w:rPr>
      </w:pPr>
      <w:r>
        <w:rPr>
          <w:rFonts w:ascii="宋体" w:hAnsi="宋体"/>
        </w:rPr>
        <w:t>2004年完成总保费3845万元，赔付保险费203万元。</w:t>
      </w:r>
    </w:p>
    <w:p w14:paraId="3FDE4C67">
      <w:pPr>
        <w:ind w:firstLine="420"/>
        <w:rPr>
          <w:rFonts w:ascii="宋体" w:hAnsi="宋体"/>
        </w:rPr>
      </w:pPr>
      <w:r>
        <w:rPr>
          <w:rFonts w:ascii="宋体" w:hAnsi="宋体"/>
        </w:rPr>
        <w:t>2005年完成总保费4217万元，赔付保险费172万元。</w:t>
      </w:r>
    </w:p>
    <w:p w14:paraId="145FC88F">
      <w:pPr>
        <w:ind w:firstLine="420"/>
        <w:rPr>
          <w:rFonts w:ascii="宋体" w:hAnsi="宋体"/>
        </w:rPr>
      </w:pPr>
      <w:r>
        <w:rPr>
          <w:rFonts w:ascii="宋体" w:hAnsi="宋体"/>
        </w:rPr>
        <w:t>2006年完成总保费3195万元，赔付保险费280万元。</w:t>
      </w:r>
    </w:p>
    <w:p w14:paraId="1344A05D">
      <w:pPr>
        <w:ind w:firstLine="420"/>
        <w:rPr>
          <w:rFonts w:ascii="宋体" w:hAnsi="宋体"/>
        </w:rPr>
      </w:pPr>
      <w:r>
        <w:rPr>
          <w:rFonts w:ascii="宋体" w:hAnsi="宋体"/>
        </w:rPr>
        <w:t>2007年完成总保费3398万元，赔付保险费168万元。</w:t>
      </w:r>
    </w:p>
    <w:p w14:paraId="660DB6A8">
      <w:pPr>
        <w:ind w:firstLine="420"/>
        <w:rPr>
          <w:rFonts w:ascii="宋体" w:hAnsi="宋体"/>
        </w:rPr>
      </w:pPr>
      <w:r>
        <w:rPr>
          <w:rFonts w:ascii="宋体" w:hAnsi="宋体"/>
        </w:rPr>
        <w:t>2008年完成总保费4737万元，赔付保险费206万元。</w:t>
      </w:r>
    </w:p>
    <w:p w14:paraId="32359A5F">
      <w:pPr>
        <w:ind w:firstLine="420"/>
        <w:rPr>
          <w:rFonts w:ascii="宋体" w:hAnsi="宋体"/>
        </w:rPr>
      </w:pPr>
      <w:r>
        <w:rPr>
          <w:rFonts w:ascii="宋体" w:hAnsi="宋体"/>
        </w:rPr>
        <w:t>2009年完成总保费6454万元，赔付保险费73万元。</w:t>
      </w:r>
    </w:p>
    <w:p w14:paraId="0894EC6E">
      <w:pPr>
        <w:ind w:firstLine="420"/>
        <w:rPr>
          <w:rFonts w:ascii="宋体" w:hAnsi="宋体"/>
        </w:rPr>
      </w:pPr>
      <w:r>
        <w:rPr>
          <w:rFonts w:ascii="宋体" w:hAnsi="宋体"/>
        </w:rPr>
        <w:t>2010年完成总保费6103万元，赔付保险费877万元</w:t>
      </w:r>
    </w:p>
    <w:p w14:paraId="3E0BB0EE">
      <w:pPr>
        <w:pStyle w:val="4"/>
      </w:pPr>
      <w:r>
        <w:t>【业务创新发展】</w:t>
      </w:r>
    </w:p>
    <w:p w14:paraId="217BD6AF">
      <w:pPr>
        <w:ind w:firstLine="420"/>
        <w:rPr>
          <w:rFonts w:ascii="宋体" w:hAnsi="宋体"/>
        </w:rPr>
      </w:pPr>
      <w:r>
        <w:rPr>
          <w:rFonts w:ascii="宋体" w:hAnsi="宋体"/>
        </w:rPr>
        <w:t>2003年至2009年期间，业务迅猛发展，业务结构、新产品开发不断创新，共开办各类保险100多个险种，以国寿康宁终身、国寿康宁定期、国寿千禧理财（分红）保险、国寿美满一生两全（分红）保险等为营销主打新产品。并推出了国寿鸿丰、国寿鸿泰、国寿美满人生等（分红型）保险银行网点代理业务，先后与各大商业银行、信用联社、邮政储蓄银行签定了代理销售合作协议。</w:t>
      </w:r>
    </w:p>
    <w:p w14:paraId="5D72D11E">
      <w:pPr>
        <w:ind w:firstLine="420"/>
        <w:jc w:val="right"/>
        <w:rPr>
          <w:rFonts w:ascii="宋体" w:hAnsi="宋体"/>
        </w:rPr>
      </w:pPr>
      <w:r>
        <w:rPr>
          <w:rFonts w:ascii="宋体" w:hAnsi="宋体"/>
        </w:rPr>
        <w:t>（黎盛维）</w:t>
      </w:r>
    </w:p>
    <w:p w14:paraId="34996587">
      <w:pPr>
        <w:ind w:firstLine="422"/>
        <w:rPr>
          <w:rFonts w:ascii="宋体" w:hAnsi="宋体"/>
          <w:b/>
          <w:bCs/>
        </w:rPr>
      </w:pPr>
      <w:r>
        <w:rPr>
          <w:rFonts w:ascii="宋体" w:hAnsi="宋体"/>
          <w:b/>
          <w:bCs/>
        </w:rPr>
        <w:t>附：2010年人寿保险股份有限公司南雄市支公司领导班子成员名单</w:t>
      </w:r>
    </w:p>
    <w:p w14:paraId="30EEE7F3">
      <w:pPr>
        <w:ind w:firstLine="422"/>
        <w:rPr>
          <w:rFonts w:ascii="宋体" w:hAnsi="宋体"/>
        </w:rPr>
      </w:pPr>
      <w:r>
        <w:rPr>
          <w:rFonts w:ascii="宋体" w:hAnsi="宋体"/>
          <w:b/>
          <w:bCs/>
        </w:rPr>
        <w:t>总经理：</w:t>
      </w:r>
      <w:r>
        <w:rPr>
          <w:rFonts w:ascii="宋体" w:hAnsi="宋体"/>
        </w:rPr>
        <w:t>潘祝文</w:t>
      </w:r>
    </w:p>
    <w:p w14:paraId="1A972E2D">
      <w:pPr>
        <w:ind w:firstLine="422"/>
        <w:rPr>
          <w:rFonts w:ascii="宋体" w:hAnsi="宋体"/>
        </w:rPr>
      </w:pPr>
      <w:r>
        <w:rPr>
          <w:rFonts w:ascii="宋体" w:hAnsi="宋体"/>
          <w:b/>
          <w:bCs/>
        </w:rPr>
        <w:t>总经理助理：</w:t>
      </w:r>
      <w:r>
        <w:rPr>
          <w:rFonts w:ascii="宋体" w:hAnsi="宋体"/>
        </w:rPr>
        <w:t>邓功敏</w:t>
      </w:r>
    </w:p>
    <w:p w14:paraId="2F4B1C74">
      <w:pPr>
        <w:pStyle w:val="3"/>
      </w:pPr>
      <w:r>
        <w:rPr>
          <w:rFonts w:hint="eastAsia"/>
        </w:rPr>
        <w:t>中国人民财产股份有限公司南雄支公司</w:t>
      </w:r>
    </w:p>
    <w:p w14:paraId="278584BF">
      <w:pPr>
        <w:pStyle w:val="4"/>
      </w:pPr>
      <w:r>
        <w:t>【公司概况】</w:t>
      </w:r>
    </w:p>
    <w:p w14:paraId="2EAB7104">
      <w:pPr>
        <w:ind w:firstLine="420"/>
        <w:rPr>
          <w:rFonts w:ascii="宋体" w:hAnsi="宋体"/>
        </w:rPr>
      </w:pPr>
      <w:r>
        <w:rPr>
          <w:rFonts w:ascii="宋体" w:hAnsi="宋体"/>
        </w:rPr>
        <w:t>中国人民财产保险股份有限公司南雄支公司成立于1996年4月8日，其前身是中国人民保险公司南雄县支公司。公司内设总经理室、综合部、大客服务部、业务一部和业务二部5个部门，有新城营销服务部、雄东营销服务部和乌迳营销服务部3个业务网点。2010年共有干部职工17人，全部为大专以上学历。个人代理人20人，全部为高中以上学历。拥有一支经验丰富的保险承保、理赔专业技术队伍。</w:t>
      </w:r>
    </w:p>
    <w:p w14:paraId="6EFE384C">
      <w:pPr>
        <w:pStyle w:val="4"/>
      </w:pPr>
      <w:r>
        <w:t>【监管部门】</w:t>
      </w:r>
    </w:p>
    <w:p w14:paraId="137788C6">
      <w:pPr>
        <w:ind w:firstLine="420"/>
        <w:rPr>
          <w:rFonts w:ascii="宋体" w:hAnsi="宋体"/>
        </w:rPr>
      </w:pPr>
      <w:r>
        <w:rPr>
          <w:rFonts w:ascii="宋体" w:hAnsi="宋体"/>
        </w:rPr>
        <w:t>中国保监会广东监管局经营理念</w:t>
      </w:r>
    </w:p>
    <w:p w14:paraId="31C88B41">
      <w:pPr>
        <w:pStyle w:val="4"/>
      </w:pPr>
      <w:r>
        <w:t>【</w:t>
      </w:r>
      <w:r>
        <w:rPr>
          <w:rFonts w:hint="eastAsia"/>
        </w:rPr>
        <w:t>经营理念</w:t>
      </w:r>
      <w:r>
        <w:t>】</w:t>
      </w:r>
    </w:p>
    <w:p w14:paraId="3FDF8D5A">
      <w:pPr>
        <w:ind w:firstLine="420"/>
        <w:rPr>
          <w:rFonts w:ascii="宋体" w:hAnsi="宋体"/>
        </w:rPr>
      </w:pPr>
      <w:r>
        <w:rPr>
          <w:rFonts w:ascii="宋体" w:hAnsi="宋体"/>
        </w:rPr>
        <w:t>坚持“人民保险、服务人民”为使命，秉承“以人为本、诚信服务、价值至上、永续经营”的经营理念，弘扬“求实、诚信、拼搏、创新”的企业精神，坚持以市场为导向、以客户为中心，积极履行优秀企业公民责任，为促进改革、保障经济、稳定社会、造福人民提供了强大的保险保障。业务经营情况</w:t>
      </w:r>
    </w:p>
    <w:p w14:paraId="12892811">
      <w:pPr>
        <w:ind w:firstLine="420"/>
        <w:rPr>
          <w:rFonts w:ascii="宋体" w:hAnsi="宋体"/>
        </w:rPr>
      </w:pPr>
      <w:r>
        <w:rPr>
          <w:rFonts w:ascii="宋体" w:hAnsi="宋体"/>
        </w:rPr>
        <w:t>2003年实现保费收入874万元，赔款支出866万元。</w:t>
      </w:r>
    </w:p>
    <w:p w14:paraId="174CC714">
      <w:pPr>
        <w:ind w:firstLine="420"/>
        <w:rPr>
          <w:rFonts w:ascii="宋体" w:hAnsi="宋体"/>
        </w:rPr>
      </w:pPr>
      <w:r>
        <w:rPr>
          <w:rFonts w:ascii="宋体" w:hAnsi="宋体"/>
        </w:rPr>
        <w:t>2004年实现保费收入1020万元，赔款支出461万元。</w:t>
      </w:r>
    </w:p>
    <w:p w14:paraId="5444FFAC">
      <w:pPr>
        <w:ind w:firstLine="420"/>
        <w:rPr>
          <w:rFonts w:ascii="宋体" w:hAnsi="宋体"/>
        </w:rPr>
      </w:pPr>
      <w:r>
        <w:rPr>
          <w:rFonts w:ascii="宋体" w:hAnsi="宋体"/>
        </w:rPr>
        <w:t>2005年实现保费收入985万元，赔款支出780万元。</w:t>
      </w:r>
    </w:p>
    <w:p w14:paraId="55E2B9A2">
      <w:pPr>
        <w:ind w:firstLine="420"/>
        <w:rPr>
          <w:rFonts w:ascii="宋体" w:hAnsi="宋体"/>
        </w:rPr>
      </w:pPr>
      <w:r>
        <w:rPr>
          <w:rFonts w:ascii="宋体" w:hAnsi="宋体"/>
        </w:rPr>
        <w:t>2006年实现保费收入1010万元，赔款支出629万元。</w:t>
      </w:r>
    </w:p>
    <w:p w14:paraId="43BF899A">
      <w:pPr>
        <w:ind w:firstLine="420"/>
        <w:rPr>
          <w:rFonts w:ascii="宋体" w:hAnsi="宋体"/>
        </w:rPr>
      </w:pPr>
      <w:r>
        <w:rPr>
          <w:rFonts w:ascii="宋体" w:hAnsi="宋体"/>
        </w:rPr>
        <w:t>2007年实现保费收入1118万元，赔款支出537万元。</w:t>
      </w:r>
    </w:p>
    <w:p w14:paraId="3C469136">
      <w:pPr>
        <w:ind w:firstLine="420"/>
        <w:rPr>
          <w:rFonts w:ascii="宋体" w:hAnsi="宋体"/>
        </w:rPr>
      </w:pPr>
      <w:r>
        <w:rPr>
          <w:rFonts w:ascii="宋体" w:hAnsi="宋体"/>
        </w:rPr>
        <w:t>2008年实现保费收入1398万元，赔款支出939万元。</w:t>
      </w:r>
    </w:p>
    <w:p w14:paraId="4C3656B2">
      <w:pPr>
        <w:ind w:firstLine="420"/>
        <w:rPr>
          <w:rFonts w:ascii="宋体" w:hAnsi="宋体"/>
        </w:rPr>
      </w:pPr>
      <w:r>
        <w:rPr>
          <w:rFonts w:ascii="宋体" w:hAnsi="宋体"/>
        </w:rPr>
        <w:t>2009年实现保费收入1514万元，赔款支出1043万元。</w:t>
      </w:r>
    </w:p>
    <w:p w14:paraId="569952FD">
      <w:pPr>
        <w:ind w:firstLine="420"/>
        <w:rPr>
          <w:rFonts w:ascii="宋体" w:hAnsi="宋体"/>
        </w:rPr>
      </w:pPr>
      <w:r>
        <w:rPr>
          <w:rFonts w:ascii="宋体" w:hAnsi="宋体"/>
        </w:rPr>
        <w:t>2010年实现保费收入1631万元，赔款支出1141万元。</w:t>
      </w:r>
    </w:p>
    <w:p w14:paraId="29E5D52A">
      <w:pPr>
        <w:pStyle w:val="4"/>
      </w:pPr>
      <w:r>
        <w:t>【开办业务产品】</w:t>
      </w:r>
    </w:p>
    <w:p w14:paraId="1CFE7E0C">
      <w:pPr>
        <w:ind w:firstLine="420"/>
        <w:rPr>
          <w:rFonts w:ascii="宋体" w:hAnsi="宋体"/>
        </w:rPr>
      </w:pPr>
      <w:r>
        <w:rPr>
          <w:rFonts w:ascii="宋体" w:hAnsi="宋体"/>
        </w:rPr>
        <w:t>涵盖机动车辆保险、财产保险、船舶货运保险、责任信用保险、意外健康保险、能源及航空航天保险、养殖业保险、政策性农房保险和政策性森林保险等，拥有一批行业领先的创新产品。先后与各大商业银行、农村信用联社和各大修理厂签定了代理销售合作协议。</w:t>
      </w:r>
    </w:p>
    <w:p w14:paraId="62D5828F">
      <w:pPr>
        <w:ind w:firstLine="420"/>
        <w:jc w:val="right"/>
        <w:rPr>
          <w:rFonts w:ascii="宋体" w:hAnsi="宋体"/>
        </w:rPr>
      </w:pPr>
      <w:r>
        <w:rPr>
          <w:rFonts w:ascii="宋体" w:hAnsi="宋体"/>
        </w:rPr>
        <w:t>（黄彩明）</w:t>
      </w:r>
    </w:p>
    <w:p w14:paraId="5C25C841">
      <w:pPr>
        <w:ind w:firstLine="422"/>
        <w:rPr>
          <w:rFonts w:ascii="宋体" w:hAnsi="宋体"/>
          <w:b/>
          <w:bCs/>
        </w:rPr>
      </w:pPr>
      <w:r>
        <w:rPr>
          <w:rFonts w:ascii="宋体" w:hAnsi="宋体"/>
          <w:b/>
          <w:bCs/>
        </w:rPr>
        <w:t>附：2010年人民财产股份有限公司南雄市支公司领导班子名单</w:t>
      </w:r>
    </w:p>
    <w:p w14:paraId="36CDEDCF">
      <w:pPr>
        <w:ind w:firstLine="422"/>
        <w:rPr>
          <w:rFonts w:ascii="宋体" w:hAnsi="宋体"/>
        </w:rPr>
      </w:pPr>
      <w:r>
        <w:rPr>
          <w:rFonts w:ascii="宋体" w:hAnsi="宋体"/>
          <w:b/>
          <w:bCs/>
        </w:rPr>
        <w:t>总经理：</w:t>
      </w:r>
      <w:r>
        <w:rPr>
          <w:rFonts w:ascii="宋体" w:hAnsi="宋体"/>
        </w:rPr>
        <w:t>张财</w:t>
      </w:r>
    </w:p>
    <w:p w14:paraId="7E74FD2E">
      <w:pPr>
        <w:ind w:firstLine="422"/>
        <w:rPr>
          <w:rFonts w:ascii="宋体" w:hAnsi="宋体"/>
        </w:rPr>
      </w:pPr>
      <w:r>
        <w:rPr>
          <w:rFonts w:ascii="宋体" w:hAnsi="宋体"/>
          <w:b/>
          <w:bCs/>
        </w:rPr>
        <w:t>总经理助理：</w:t>
      </w:r>
      <w:r>
        <w:rPr>
          <w:rFonts w:ascii="宋体" w:hAnsi="宋体"/>
        </w:rPr>
        <w:t>陈世华旅游</w:t>
      </w:r>
    </w:p>
    <w:p w14:paraId="3B42BE96">
      <w:pPr>
        <w:pStyle w:val="2"/>
      </w:pPr>
      <w:r>
        <w:rPr>
          <w:rFonts w:hint="eastAsia"/>
        </w:rPr>
        <w:t>旅游</w:t>
      </w:r>
    </w:p>
    <w:p w14:paraId="6837DA86">
      <w:pPr>
        <w:pStyle w:val="3"/>
      </w:pPr>
      <w:r>
        <w:rPr>
          <w:rFonts w:hint="eastAsia"/>
        </w:rPr>
        <w:t>旅游管理与开发</w:t>
      </w:r>
    </w:p>
    <w:p w14:paraId="2264D338">
      <w:pPr>
        <w:pStyle w:val="4"/>
      </w:pPr>
      <w:r>
        <w:t>【概况】</w:t>
      </w:r>
    </w:p>
    <w:p w14:paraId="1D88630C">
      <w:pPr>
        <w:ind w:firstLine="420"/>
        <w:rPr>
          <w:rFonts w:ascii="宋体" w:hAnsi="宋体"/>
        </w:rPr>
      </w:pPr>
      <w:r>
        <w:rPr>
          <w:rFonts w:ascii="宋体" w:hAnsi="宋体"/>
        </w:rPr>
        <w:t>南雄市旅游局成立于1986年，行政编制有5人，内设办公室、行业管理股两个职能股室。主要职责：发展南雄市旅游业战略目标和政策，指导全市旅游工作及旅游企业对外交流与合作；组织旅游资源的普查；组织南雄旅游整体形象的对外宣传和重大促销活动；承办上级交办的其他事项。加快奥威斯龙华山五星级国际休闲度假中心、珠玑古巷和梅关古道国家4A级旅游景区建设，主动融入韶关“大丹霞、大南华、大南岭、大珠玑”旅游圈，打造珠玑文化、红色文化、恐龙文化、温泉养生、生态观光五大旅游品牌，努力建成省际旅游休闲度假优选地。南雄市获得中国优秀文化休闲旅游城市、中国文化旅游大县等荣誉，珠玑古巷被评为中华文化传承基地、第二届广东省自驾游最佳目的地、广东最美丽的街区、广东省统一战线基地等称号，梅关古道景区荣获广东省红色旅游示范基地等称号，孔江湿地公园被评为国家湿地公园、帽子峰被评为省级森林公园、青嶂山一小流坑被评为省级自然保护区，乌迳新田、南亩鱼鲜、黄坑溪塘被列入广东省重点古村落。2010年，全市旅游业继续保持良好发展，经济指标稳步增长，全年共接待游客109万人次，旅游总收入</w:t>
      </w:r>
    </w:p>
    <w:p w14:paraId="0E681E87">
      <w:pPr>
        <w:pStyle w:val="4"/>
      </w:pPr>
      <w:r>
        <w:t>【黄坑中学】</w:t>
      </w:r>
    </w:p>
    <w:p w14:paraId="2B667BC6">
      <w:pPr>
        <w:ind w:firstLine="420"/>
        <w:rPr>
          <w:rFonts w:ascii="宋体" w:hAnsi="宋体"/>
        </w:rPr>
      </w:pPr>
      <w:r>
        <w:rPr>
          <w:rFonts w:ascii="宋体" w:hAnsi="宋体"/>
        </w:rPr>
        <w:t>南雄黄坑中学6.94亿元，比去年同期分别增长40.98%和55.45%，继续保持了较快的增长速度。</w:t>
      </w:r>
    </w:p>
    <w:p w14:paraId="2782CA18">
      <w:pPr>
        <w:pStyle w:val="4"/>
      </w:pPr>
      <w:r>
        <w:t>【旅游规划】</w:t>
      </w:r>
    </w:p>
    <w:p w14:paraId="182C624B">
      <w:pPr>
        <w:ind w:firstLine="420"/>
        <w:rPr>
          <w:rFonts w:ascii="宋体" w:hAnsi="宋体"/>
        </w:rPr>
      </w:pPr>
      <w:r>
        <w:rPr>
          <w:rFonts w:ascii="宋体" w:hAnsi="宋体"/>
        </w:rPr>
        <w:t>公开对外招标编制旅游规划，协助规划设计单位到全市各地考察，积极准备旅游规划编制工作所需的资料，并聘请旅游专家着手编制《南雄市珠玑古巷、梅关古道景区景区旅游总体规划》、《南雄市珠玑古巷、梅关古道景区控制性详细规划》，为科学指导南雄市旅游业发展奠定良好基础。</w:t>
      </w:r>
    </w:p>
    <w:p w14:paraId="538EDAC7">
      <w:pPr>
        <w:pStyle w:val="4"/>
      </w:pPr>
      <w:r>
        <w:t>【行业管理】</w:t>
      </w:r>
    </w:p>
    <w:p w14:paraId="385EAFFB">
      <w:pPr>
        <w:ind w:firstLine="420"/>
        <w:rPr>
          <w:rFonts w:ascii="宋体" w:hAnsi="宋体"/>
        </w:rPr>
      </w:pPr>
      <w:r>
        <w:rPr>
          <w:rFonts w:ascii="宋体" w:hAnsi="宋体"/>
        </w:rPr>
        <w:t>加强行业管理，优化旅游环境，规范市场秩序，提高服务质量，协调相关部门到各旅游企业检查指导，及时发现安全隐患，要求企业及时整改，确保游客安全；实施旅游行业标准化管理，做好珠玑古巷和梅关古道创建国家4A级景区工作、做好雄州大酒店和珠玑大酒店四星级饭店申报工作。严格按照4A级景区、四星级饭店评定标准做大量宣传、指导检查、整改工作。</w:t>
      </w:r>
    </w:p>
    <w:p w14:paraId="4AD01E7E">
      <w:pPr>
        <w:pStyle w:val="4"/>
      </w:pPr>
      <w:r>
        <w:t>【景区基础设施建设】</w:t>
      </w:r>
    </w:p>
    <w:p w14:paraId="10287D91">
      <w:pPr>
        <w:ind w:firstLine="420"/>
        <w:rPr>
          <w:rFonts w:ascii="宋体" w:hAnsi="宋体"/>
        </w:rPr>
      </w:pPr>
      <w:r>
        <w:rPr>
          <w:rFonts w:ascii="宋体" w:hAnsi="宋体"/>
        </w:rPr>
        <w:t>珠玑古巷、梅关古道景区投入大量资金完善设施，提升服务水平。一是在珠玑镇卫生院大门至驷马桥铺设地下排水管道，解决沙水湖因防洪防汛、珠玑圩镇生活和生产污水流入沙水湖污染湖水而影响景区形象的问题；二是根据游客反映的珠玑古巷、梅关古道停车场雨天积水多、晴天尘土飞扬的问题，高标准地铺好钢筋水泥混凝土的停车场。三是筹集资金60多万元新建珠玑巷景区大门、值班室。四是在梅关古道种植梅树800株、移植梅树300株，将使梅关古道冬季的梅花开的更多更盛，为梅关古道增添新的色彩。</w:t>
      </w:r>
    </w:p>
    <w:p w14:paraId="0135A516">
      <w:pPr>
        <w:pStyle w:val="4"/>
      </w:pPr>
      <w:r>
        <w:t>【假日旅游】</w:t>
      </w:r>
    </w:p>
    <w:p w14:paraId="38AF1863">
      <w:pPr>
        <w:ind w:firstLine="420"/>
        <w:rPr>
          <w:rFonts w:ascii="宋体" w:hAnsi="宋体"/>
        </w:rPr>
      </w:pPr>
      <w:r>
        <w:rPr>
          <w:rFonts w:ascii="宋体" w:hAnsi="宋体"/>
        </w:rPr>
        <w:t>实行假日值班制度，主动加强与其它相关部门协调配合，按照旅游管理办法，加强对旅游市场的管理，保证旅游市场秩序的全面规范和优化，做好假日各项工作。“”元旦”、“春节”、“清明五一”、“端午”、“十一”六个假日全市接待游客和旅游收入逐年增长，使假日旅游真正实现“安全、秩序、质量、效益”四统一。</w:t>
      </w:r>
    </w:p>
    <w:p w14:paraId="7F40D2A0">
      <w:pPr>
        <w:pStyle w:val="4"/>
      </w:pPr>
      <w:r>
        <w:t>【宣传促销】</w:t>
      </w:r>
    </w:p>
    <w:p w14:paraId="31DA2A60">
      <w:pPr>
        <w:ind w:firstLine="420"/>
        <w:rPr>
          <w:rFonts w:ascii="宋体" w:hAnsi="宋体"/>
        </w:rPr>
      </w:pPr>
      <w:r>
        <w:rPr>
          <w:rFonts w:ascii="宋体" w:hAnsi="宋体"/>
        </w:rPr>
        <w:t>加强旅游宣传促销工作，提升南雄市旅游的影响力和知名度。一是指导南雄市旅游公司与始兴山水旅游开发有限公司签订《南雄、始兴区域旅游合作协议》，启动两地四个景区一票通营销模式，进一步丰富“大丹霞”旅游路线的内涵和增强“大丹霞”东线旅游线路的吸引力和竞争力。二是珠玑巷、梅岭两景区从2010年10月开始，率先在韶关地区旅游景区使用邮政明信片门票。明信片门票的使用不但提升珠玑巷、梅岭景区的品位和创新宣传推广方式，还为今年的创建4A景区工作打下坚实的基础。三是加强与媒体的合作，利用媒体优势，努力开拓旅游市场。积极与中央电视台、香港亚洲电视台、广东电视台、南方电视台、韶关电视台、《南方日报》、《羊城晚报》、《中国旅游报》、《南方都市报》、《香港商务旅游》等媒体合作，充分发挥广播、电视、报纸、网络的优势，宣传推介南雄旅游资源和产品。四是针对不同城市的客源实际，为各地旅行社调整出台不同的景区门票优惠政策和门票奖励政策来调动旅行社组团到南雄旅游的积极性。并密切联系合作时间长、组团能力强的重点旅行社来巩固广州、东莞、深圳等珠三角主要客源市场。五是坚持“走出去”、“请进来”的宣传促销方式。整体打包全市的景区、酒店、温泉等旅游资源，规划设计新线路，到江西、湖南等地宣传促销，开辟新的客源市场；邀请湖南、江西、珠三角的旅行社总经理来南雄市考察踩线，为启动合作双方市场互动迈开坚实的步伐；广泛参加广州、深圳、东莞等地的旅游文化节，通过参与展销，提高南雄市旅游的知名度。六是新建南雄旅游网站。通过网络加强对南雄市旅游资源和产品的宣传，让广大网民更方便解南雄市的特色旅游资源和产品，提高南雄市旅游的知名度。七是重新设计编印南雄自驾车游宝典、南雄与始兴旅游景区等宣传资料。</w:t>
      </w:r>
    </w:p>
    <w:p w14:paraId="03AA216C">
      <w:pPr>
        <w:pStyle w:val="4"/>
      </w:pPr>
      <w:r>
        <w:t>【党风廉政建设】</w:t>
      </w:r>
    </w:p>
    <w:p w14:paraId="22AA5076">
      <w:pPr>
        <w:ind w:firstLine="420"/>
        <w:rPr>
          <w:rFonts w:ascii="宋体" w:hAnsi="宋体"/>
        </w:rPr>
      </w:pPr>
      <w:r>
        <w:rPr>
          <w:rFonts w:ascii="宋体" w:hAnsi="宋体"/>
        </w:rPr>
        <w:t>强化党风廉政建设工作。加强责任意识，全面落实廉政职责。一是在党员干部中扎实开展警示教育活动，通过组织学习指定的学习篇目，观看电教片，自学、写心得体会，讨论交流等形式，筑牢广大党员干部反腐倡廉的思想基础，提高广大党员干部拒腐防变的自觉性，增强自立意识，形成以廉为荣、以贪为耻，干事创业，执政为民的良好氛围。二是落实廉洁的有关规定，对招待费、车辆使用费、会议费用等进行严格控制，从一点一滴，从小事上力行节约。三是通过宣传贯彻两个条例，构建警示训诫防线，健全警示提醒、诫勉督导、责令纠错三项制度和诫勉谈话、提醒谈话、述职述廉等制度，增强广大党员干部，特别是领导干部监督和接受监督的意识。四是局班子领导能够落实党风廉政</w:t>
      </w:r>
      <w:r>
        <w:rPr>
          <w:rFonts w:hint="eastAsia" w:ascii="宋体" w:hAnsi="宋体"/>
          <w:lang w:val="en-US" w:eastAsia="zh-CN"/>
        </w:rPr>
        <w:t>建设</w:t>
      </w:r>
      <w:r>
        <w:rPr>
          <w:rFonts w:ascii="宋体" w:hAnsi="宋体"/>
        </w:rPr>
        <w:t>责任制“五个一”工作，严格按照要求自觉担负起党风廉政建设和反腐败工作任务，以身作则，从严管好自己的家属、子女和身边的工作人员，无违规违纪现象发生。</w:t>
      </w:r>
    </w:p>
    <w:p w14:paraId="082485B2">
      <w:pPr>
        <w:pStyle w:val="4"/>
      </w:pPr>
      <w:r>
        <w:t>【挖掘旅游文化】</w:t>
      </w:r>
    </w:p>
    <w:p w14:paraId="42E712D0">
      <w:pPr>
        <w:ind w:firstLine="420"/>
        <w:rPr>
          <w:rFonts w:ascii="宋体" w:hAnsi="宋体"/>
        </w:rPr>
      </w:pPr>
      <w:r>
        <w:rPr>
          <w:rFonts w:ascii="宋体" w:hAnsi="宋体"/>
        </w:rPr>
        <w:t>通过举办一系列活动，挖掘南雄市的历史文化内涵，丰富市民和游客的游览内容，提升景区的文化品位。举办“珠玑巷姓氏文化节”和“广东南雄珠玑古巷书画作品展”，挖掘和弘扬珠玑文化，打造珠玑文化品牌；挖掘地方传统饮食文化，举办南雄旅游美食节，推出珠玑特色婚宴；每逢节日，采取巡游的形式，在珠玑巷景区内进行舞狮、舞龙、飘色等民间艺术表演；举办“梅关古道青梅酒品尝活动”、“赏梅活动”等活动，提升梅关古道“梅”文化的吸引力和影响力。</w:t>
      </w:r>
    </w:p>
    <w:p w14:paraId="3FE9F322">
      <w:pPr>
        <w:pStyle w:val="4"/>
      </w:pPr>
      <w:r>
        <w:t>【跟踪服务市重点建设项目】</w:t>
      </w:r>
    </w:p>
    <w:p w14:paraId="6F8ED04F">
      <w:pPr>
        <w:ind w:firstLine="420"/>
        <w:rPr>
          <w:rFonts w:ascii="宋体" w:hAnsi="宋体"/>
        </w:rPr>
      </w:pPr>
      <w:r>
        <w:rPr>
          <w:rFonts w:ascii="宋体" w:hAnsi="宋体"/>
        </w:rPr>
        <w:t>跟踪服务奥威斯龙华山温泉休闲度假中心建设项目，建立领导责任制，狠抓工作落实，优化环境，搞好协调服务，加大跟踪落实力度，主动与各相关单位沟通联系、加强与各单位的协调工作，确保奥威斯龙华山温泉建设项目有条不紊地推进。该项目建设已稳步推进，现已协调落实150亩的旅游用地，协助办理征地、用地有关程序；投入160万元的一座更衣室已完工并投入使用；一幢总统别墅（两层）项目已进入装修阶段。一幢九层高级商务套房已建好第四层。修建一条从国道323直达龙华山温泉的道路长度为3.75公里，宽16米，2010年10月开始修路基，12月已修好1公里路基。该建设项目至2010年底共完成投资2100万元。</w:t>
      </w:r>
    </w:p>
    <w:p w14:paraId="7BFB8832">
      <w:pPr>
        <w:ind w:firstLine="420"/>
        <w:jc w:val="right"/>
        <w:rPr>
          <w:rFonts w:ascii="宋体" w:hAnsi="宋体"/>
        </w:rPr>
      </w:pPr>
      <w:r>
        <w:rPr>
          <w:rFonts w:ascii="宋体" w:hAnsi="宋体"/>
        </w:rPr>
        <w:t>（彭禄远）</w:t>
      </w:r>
    </w:p>
    <w:p w14:paraId="7C9F27AA">
      <w:pPr>
        <w:pStyle w:val="3"/>
      </w:pPr>
      <w:r>
        <w:rPr>
          <w:rFonts w:hint="eastAsia"/>
        </w:rPr>
        <w:t>主要旅游景点</w:t>
      </w:r>
    </w:p>
    <w:p w14:paraId="1B595B5D">
      <w:pPr>
        <w:pStyle w:val="4"/>
      </w:pPr>
      <w:r>
        <w:t>【三影古塔】</w:t>
      </w:r>
    </w:p>
    <w:p w14:paraId="61F20338">
      <w:pPr>
        <w:ind w:firstLine="420"/>
        <w:rPr>
          <w:rFonts w:ascii="宋体" w:hAnsi="宋体"/>
        </w:rPr>
      </w:pPr>
      <w:r>
        <w:rPr>
          <w:rFonts w:ascii="宋体" w:hAnsi="宋体"/>
        </w:rPr>
        <w:t>位于南雄市区中心。建于北宋大中祥符二年（1009年），是广东省唯一有绝对年代记载的宋塔，属全国重点文物保护单位。古道上有传说中的三影奇观虽不复见，而宋代建筑艺术风格犹存，一塔古朴雄伟，矗立广场之中，与市博物馆、广场景色、街市风光相衬映。登塔一览，南雄古城风貌尽收眼底。</w:t>
      </w:r>
    </w:p>
    <w:p w14:paraId="057FDC13">
      <w:pPr>
        <w:pStyle w:val="4"/>
      </w:pPr>
      <w:r>
        <w:t>【珠玑古巷】</w:t>
      </w:r>
    </w:p>
    <w:p w14:paraId="228D7385">
      <w:pPr>
        <w:ind w:firstLine="420"/>
        <w:rPr>
          <w:rFonts w:ascii="宋体" w:hAnsi="宋体"/>
        </w:rPr>
      </w:pPr>
      <w:r>
        <w:rPr>
          <w:rFonts w:ascii="宋体" w:hAnsi="宋体"/>
        </w:rPr>
        <w:t>位于南雄城北6公里处的梅关古驿道上，全长1500多米。她是古代中原和江南通往嶺南驿道上的一个商业重镇，100多姓南迁氏族发祥之地，岭南文化源头之一。改革开放以来，经10多年的重建修葺，重现珠玑古巷千年历史文化，有唐宋祖居及先人南迁遗迹，有众多姓氏纪念馆，展现各姓氏宗族文化，成为海内外南迁后裔寻根拜祖、旅游观光胜地。千万南迁后裔在这里找到“根”之源流，瞻仰先祖艰苦创业奇迹，体验桑梓宗亲的温馨，观赏珠玑巷文化特有的风采，增进爱国爱乡情谊。1995年被韶关市人民政府列为爱国主义教育基地。2005年6月，珠玑古巷被《中国地理》杂志社、《南方都市报》举办的“广东省最美的地方”评选活动中评为广东最美的街区。</w:t>
      </w:r>
    </w:p>
    <w:p w14:paraId="747D7938">
      <w:pPr>
        <w:pStyle w:val="4"/>
      </w:pPr>
      <w:r>
        <w:t>【梅关古道】</w:t>
      </w:r>
    </w:p>
    <w:p w14:paraId="01743EC6">
      <w:pPr>
        <w:ind w:firstLine="420"/>
        <w:rPr>
          <w:rFonts w:ascii="宋体" w:hAnsi="宋体"/>
        </w:rPr>
      </w:pPr>
      <w:r>
        <w:rPr>
          <w:rFonts w:ascii="宋体" w:hAnsi="宋体"/>
        </w:rPr>
        <w:t>位于南雄城北28公里，是古代连接长江、珠江水系的陆路交通孔道，广东省重点文物保护单位。古道上有“南粤雄关”、“驿道寒梅”列为南雄十大景点。有秦汉时十万户侯梅鋗故城遗址，唐相张九龄开凿古道的蹄痕足印，宋关残楼、六祖禅宗，犹历历在目。古道旁重立了余靖、苏东坡、朱熹、文天祥、戚继光、何香凝、陈毅、陶铸等名人度岭题写的诗碑。每当寒冬，岭梅盛开，锁关夹道，漫山遍野，十里飘香，为岭南所罕见。</w:t>
      </w:r>
    </w:p>
    <w:p w14:paraId="3720B660">
      <w:pPr>
        <w:pStyle w:val="4"/>
      </w:pPr>
      <w:r>
        <w:t>【莲开净寺】</w:t>
      </w:r>
    </w:p>
    <w:p w14:paraId="4FB52B5F">
      <w:pPr>
        <w:ind w:firstLine="420"/>
        <w:rPr>
          <w:rFonts w:ascii="宋体" w:hAnsi="宋体"/>
        </w:rPr>
      </w:pPr>
      <w:r>
        <w:rPr>
          <w:rFonts w:ascii="宋体" w:hAnsi="宋体"/>
        </w:rPr>
        <w:t>坐落在南雄城南郊1公里浈江河南岸。殿堂庄明精雅，环境优美清静，为岭南尼众学佛修身的最大寺院，也是游人到此悟禅养性、领略佛教文化的好地方。</w:t>
      </w:r>
    </w:p>
    <w:p w14:paraId="054D39C0">
      <w:pPr>
        <w:pStyle w:val="4"/>
      </w:pPr>
      <w:r>
        <w:t>【翠屏钟鼓】</w:t>
      </w:r>
    </w:p>
    <w:p w14:paraId="7A0DCFEE">
      <w:pPr>
        <w:ind w:firstLine="420"/>
        <w:rPr>
          <w:rFonts w:ascii="宋体" w:hAnsi="宋体"/>
        </w:rPr>
      </w:pPr>
      <w:r>
        <w:rPr>
          <w:rFonts w:ascii="宋体" w:hAnsi="宋体"/>
        </w:rPr>
        <w:t>钟鼓岩又称翠屏山，位于南雄城北27公里处，国道323线旁，与梅关相望。山脚下有天然的石灰岩溶洞，一名钟岩，一名鼓岩。岩洞里外摩崖石刻23处，琳琅满目。此处又是岭南道教圣地之一。相传东晋道学家葛洪曾到此采药炼丹。唐贞观六年建洞真观，有道人到此住持。此处还有1937年8月陈毅与国民党代表谈判团结抗日旧址。</w:t>
      </w:r>
    </w:p>
    <w:p w14:paraId="02E32FA7">
      <w:pPr>
        <w:pStyle w:val="4"/>
      </w:pPr>
      <w:r>
        <w:t>【青嶂碧水】</w:t>
      </w:r>
    </w:p>
    <w:p w14:paraId="1D76F771">
      <w:pPr>
        <w:ind w:firstLine="420"/>
        <w:rPr>
          <w:rFonts w:ascii="宋体" w:hAnsi="宋体"/>
        </w:rPr>
      </w:pPr>
      <w:r>
        <w:rPr>
          <w:rFonts w:ascii="宋体" w:hAnsi="宋体"/>
        </w:rPr>
        <w:t>青嶂山在南雄城南，距市区15公里。游客驱车可揽狮子岩、竹海、满山红等优美景色，攀登则可探天池之奇观。山下有硫黄温泉可泡，消除疲劳，保健强身。</w:t>
      </w:r>
    </w:p>
    <w:p w14:paraId="6FF3F902">
      <w:pPr>
        <w:pStyle w:val="4"/>
      </w:pPr>
      <w:r>
        <w:t>【苍石奇谷】</w:t>
      </w:r>
    </w:p>
    <w:p w14:paraId="24F5482A">
      <w:pPr>
        <w:ind w:firstLine="420"/>
        <w:rPr>
          <w:rFonts w:ascii="宋体" w:hAnsi="宋体"/>
        </w:rPr>
      </w:pPr>
      <w:r>
        <w:rPr>
          <w:rFonts w:ascii="宋体" w:hAnsi="宋体"/>
        </w:rPr>
        <w:t>苍石寨位于市区西北15公里，属丹霞地貌自然景区。全寨由9个形态各异的山峰组成，一条大峡谷贯穿于九峰之中。有幽美的情人谷，还有著名的“五龙瀑布”。</w:t>
      </w:r>
    </w:p>
    <w:p w14:paraId="48E65709">
      <w:pPr>
        <w:ind w:firstLine="422"/>
        <w:rPr>
          <w:rFonts w:ascii="宋体" w:hAnsi="宋体"/>
          <w:b/>
          <w:bCs/>
        </w:rPr>
      </w:pPr>
      <w:r>
        <w:rPr>
          <w:rFonts w:ascii="宋体" w:hAnsi="宋体"/>
          <w:b/>
          <w:bCs/>
        </w:rPr>
        <w:t>附：2010年旅游局领导班子成员名单</w:t>
      </w:r>
    </w:p>
    <w:p w14:paraId="3BD2FC82">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黄志星</w:t>
      </w:r>
    </w:p>
    <w:p w14:paraId="019DA06C">
      <w:pPr>
        <w:ind w:firstLine="422"/>
        <w:rPr>
          <w:rFonts w:ascii="宋体" w:hAnsi="宋体"/>
        </w:rPr>
      </w:pPr>
      <w:r>
        <w:rPr>
          <w:rFonts w:ascii="宋体" w:hAnsi="宋体"/>
          <w:b/>
          <w:bCs/>
        </w:rPr>
        <w:t>副局长：</w:t>
      </w:r>
      <w:r>
        <w:rPr>
          <w:rFonts w:ascii="宋体" w:hAnsi="宋体"/>
        </w:rPr>
        <w:t>温世雄</w:t>
      </w:r>
    </w:p>
    <w:p w14:paraId="79CB6C71">
      <w:pPr>
        <w:ind w:firstLine="422"/>
        <w:rPr>
          <w:rFonts w:ascii="宋体" w:hAnsi="宋体"/>
        </w:rPr>
      </w:pPr>
      <w:r>
        <w:rPr>
          <w:rFonts w:ascii="宋体" w:hAnsi="宋体"/>
          <w:b/>
          <w:bCs/>
        </w:rPr>
        <w:t>副局长、工会主席：</w:t>
      </w:r>
      <w:r>
        <w:rPr>
          <w:rFonts w:ascii="宋体" w:hAnsi="宋体"/>
        </w:rPr>
        <w:t>郭秀丽</w:t>
      </w:r>
    </w:p>
    <w:p w14:paraId="300AE82F">
      <w:pPr>
        <w:ind w:firstLine="422"/>
        <w:rPr>
          <w:rFonts w:ascii="宋体" w:hAnsi="宋体"/>
        </w:rPr>
      </w:pPr>
      <w:r>
        <w:rPr>
          <w:rFonts w:ascii="宋体" w:hAnsi="宋体"/>
          <w:b/>
          <w:bCs/>
        </w:rPr>
        <w:t>纪检组长：</w:t>
      </w:r>
      <w:r>
        <w:rPr>
          <w:rFonts w:ascii="宋体" w:hAnsi="宋体"/>
        </w:rPr>
        <w:t>戴卫芳</w:t>
      </w:r>
    </w:p>
    <w:p w14:paraId="20EE8654">
      <w:pPr>
        <w:pStyle w:val="2"/>
      </w:pPr>
      <w:r>
        <w:t>科技</w:t>
      </w:r>
    </w:p>
    <w:p w14:paraId="37B234F2">
      <w:pPr>
        <w:pStyle w:val="3"/>
      </w:pPr>
      <w:r>
        <w:rPr>
          <w:rFonts w:hint="eastAsia"/>
        </w:rPr>
        <w:t>综述</w:t>
      </w:r>
    </w:p>
    <w:p w14:paraId="7A55C54B">
      <w:pPr>
        <w:pStyle w:val="4"/>
      </w:pPr>
      <w:r>
        <w:t>【概况】</w:t>
      </w:r>
    </w:p>
    <w:p w14:paraId="699AAB2C">
      <w:pPr>
        <w:ind w:firstLine="420"/>
        <w:rPr>
          <w:rFonts w:ascii="宋体" w:hAnsi="宋体"/>
        </w:rPr>
      </w:pPr>
      <w:r>
        <w:rPr>
          <w:rFonts w:ascii="宋体" w:hAnsi="宋体"/>
        </w:rPr>
        <w:t>南雄市科技信息局内设机构有办公室、科技计划与成果管理股、信息产业股、知识产权与地震工作股4个职能股室，行政编制6名，后勤编制2名。2005年5月加挂“南雄市知识产权局”牌子，履行南雄市政府在知识产权方面行政管理和保护职能。2010年8月南雄市人民政府机构实行改革，“南雄市科技信息局（南雄市知识产权局）”更名为“南雄市科学技术局（南雄市知识产权局）”，加挂“南雄市地震局”牌子，信息产业管理职能整合划入“南雄市经济和信息化局”。南雄市科学技术开发服务中心与科学技术局合署办公，事业编制9名，内设机构有办公室、开发服务部、科技情报室3个职能股室。2006年4月市科技开发服务中心加挂“南雄市生产力促进中心”牌子。</w:t>
      </w:r>
    </w:p>
    <w:p w14:paraId="02C29FF2">
      <w:pPr>
        <w:pStyle w:val="4"/>
      </w:pPr>
      <w:r>
        <w:t>【主要职能】</w:t>
      </w:r>
    </w:p>
    <w:p w14:paraId="0050FE16">
      <w:pPr>
        <w:ind w:firstLine="420"/>
        <w:rPr>
          <w:rFonts w:ascii="宋体" w:hAnsi="宋体"/>
        </w:rPr>
      </w:pPr>
      <w:r>
        <w:rPr>
          <w:rFonts w:ascii="宋体" w:hAnsi="宋体"/>
        </w:rPr>
        <w:t>贯彻执行国家和省市有关科技发展、知识产权、防震减灾的方针、政策和法规，拟订科技体制改革政策措施并组织实施；研究确定全市科技发展布局、优先领域，促进科技创新体系建设和科技创新能力；参与对经济社会发展有重大影响的跨部门、多学科综合性项目、引进项目的论证与决策；组织制定科技攻关、自然科学基金、重点实验室、星火计划、科技成果重点推广计划、重点新产品计划和软科学研究的科技计划及相关政策措施；强化高新技术产业化及应用技术开发与推广工作，促进科技成果转化，指导各种科技示范推广基地和高新技术开发区的建设，综合管理科技成果、科技奖励、科技保密、科技咨询、科技评估、技术市场、民营科技工作，推动科技服务体系建设；组织和协调知识产权保护与创新体系建立，落实专利申请优惠政策和措施，负责专利市场规范和管理、专利工作对外联络及涉外侵权处理活动；组织实施地震监测、预报、防震、抗震救灾工作。</w:t>
      </w:r>
    </w:p>
    <w:p w14:paraId="46975C32">
      <w:pPr>
        <w:pStyle w:val="3"/>
      </w:pPr>
      <w:r>
        <w:t>科技</w:t>
      </w:r>
      <w:r>
        <w:rPr>
          <w:rFonts w:hint="eastAsia"/>
        </w:rPr>
        <w:t>技术</w:t>
      </w:r>
    </w:p>
    <w:p w14:paraId="40900391">
      <w:pPr>
        <w:pStyle w:val="4"/>
      </w:pPr>
      <w:r>
        <w:t>【科技计划项目】</w:t>
      </w:r>
    </w:p>
    <w:p w14:paraId="6211EA77">
      <w:pPr>
        <w:ind w:firstLine="420"/>
        <w:rPr>
          <w:rFonts w:ascii="宋体" w:hAnsi="宋体"/>
        </w:rPr>
      </w:pPr>
      <w:r>
        <w:rPr>
          <w:rFonts w:ascii="宋体" w:hAnsi="宋体"/>
        </w:rPr>
        <w:t>见表26-1</w:t>
      </w:r>
      <w:r>
        <w:rPr>
          <w:rFonts w:hint="eastAsia" w:ascii="宋体" w:hAnsi="宋体"/>
        </w:rPr>
        <w:t>。</w:t>
      </w:r>
    </w:p>
    <w:p w14:paraId="59407C48">
      <w:pPr>
        <w:ind w:firstLine="422"/>
        <w:jc w:val="center"/>
        <w:rPr>
          <w:rFonts w:ascii="宋体" w:hAnsi="宋体"/>
          <w:b/>
        </w:rPr>
      </w:pPr>
      <w:r>
        <w:rPr>
          <w:rFonts w:hint="eastAsia" w:ascii="宋体" w:hAnsi="宋体"/>
          <w:b/>
        </w:rPr>
        <w:t>表26-1  2003年-2010年南雄市科技计划项目立项统计表</w:t>
      </w:r>
    </w:p>
    <w:p w14:paraId="52137870">
      <w:pPr>
        <w:ind w:firstLine="422"/>
        <w:jc w:val="right"/>
        <w:rPr>
          <w:rFonts w:ascii="宋体" w:hAnsi="宋体"/>
          <w:b/>
        </w:rPr>
      </w:pPr>
      <w:r>
        <w:rPr>
          <w:rFonts w:hint="eastAsia" w:ascii="宋体" w:hAnsi="宋体"/>
          <w:b/>
        </w:rPr>
        <w:t>单位：个</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21"/>
        <w:gridCol w:w="3321"/>
        <w:gridCol w:w="3320"/>
      </w:tblGrid>
      <w:tr w14:paraId="6D212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2B6ECA30">
            <w:pPr>
              <w:pStyle w:val="13"/>
              <w:jc w:val="center"/>
              <w:rPr>
                <w:rFonts w:hint="eastAsia"/>
                <w:b/>
              </w:rPr>
            </w:pPr>
            <w:r>
              <w:rPr>
                <w:rFonts w:hint="eastAsia"/>
                <w:b/>
              </w:rPr>
              <w:t>年份</w:t>
            </w:r>
          </w:p>
        </w:tc>
        <w:tc>
          <w:tcPr>
            <w:tcW w:w="1667" w:type="pct"/>
            <w:vAlign w:val="center"/>
          </w:tcPr>
          <w:p w14:paraId="5148074D">
            <w:pPr>
              <w:pStyle w:val="13"/>
              <w:jc w:val="center"/>
              <w:rPr>
                <w:rFonts w:hint="eastAsia"/>
                <w:b/>
              </w:rPr>
            </w:pPr>
            <w:r>
              <w:rPr>
                <w:rFonts w:hint="eastAsia"/>
                <w:b/>
              </w:rPr>
              <w:t>广东省科技计划项目</w:t>
            </w:r>
          </w:p>
        </w:tc>
        <w:tc>
          <w:tcPr>
            <w:tcW w:w="1667" w:type="pct"/>
            <w:vAlign w:val="center"/>
          </w:tcPr>
          <w:p w14:paraId="4F6085E7">
            <w:pPr>
              <w:pStyle w:val="13"/>
              <w:jc w:val="center"/>
              <w:rPr>
                <w:rFonts w:hint="eastAsia"/>
                <w:b/>
              </w:rPr>
            </w:pPr>
            <w:r>
              <w:rPr>
                <w:rFonts w:hint="eastAsia"/>
                <w:b/>
              </w:rPr>
              <w:t>南雄市科技计划项目</w:t>
            </w:r>
          </w:p>
        </w:tc>
      </w:tr>
      <w:tr w14:paraId="580FD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5DA42E32">
            <w:pPr>
              <w:pStyle w:val="13"/>
              <w:jc w:val="center"/>
            </w:pPr>
            <w:r>
              <w:t>2003</w:t>
            </w:r>
          </w:p>
        </w:tc>
        <w:tc>
          <w:tcPr>
            <w:tcW w:w="1667" w:type="pct"/>
            <w:vAlign w:val="center"/>
          </w:tcPr>
          <w:p w14:paraId="257AAC91">
            <w:pPr>
              <w:pStyle w:val="13"/>
              <w:jc w:val="center"/>
            </w:pPr>
            <w:r>
              <w:t>2</w:t>
            </w:r>
          </w:p>
        </w:tc>
        <w:tc>
          <w:tcPr>
            <w:tcW w:w="1667" w:type="pct"/>
            <w:vAlign w:val="center"/>
          </w:tcPr>
          <w:p w14:paraId="1E08FA55">
            <w:pPr>
              <w:pStyle w:val="13"/>
              <w:jc w:val="center"/>
            </w:pPr>
            <w:r>
              <w:t>11</w:t>
            </w:r>
          </w:p>
        </w:tc>
      </w:tr>
      <w:tr w14:paraId="454E6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5B1AA30C">
            <w:pPr>
              <w:pStyle w:val="13"/>
              <w:jc w:val="center"/>
            </w:pPr>
            <w:r>
              <w:t>2004</w:t>
            </w:r>
          </w:p>
        </w:tc>
        <w:tc>
          <w:tcPr>
            <w:tcW w:w="1667" w:type="pct"/>
            <w:vAlign w:val="center"/>
          </w:tcPr>
          <w:p w14:paraId="0E197067">
            <w:pPr>
              <w:pStyle w:val="13"/>
              <w:jc w:val="center"/>
            </w:pPr>
            <w:r>
              <w:t>3</w:t>
            </w:r>
          </w:p>
        </w:tc>
        <w:tc>
          <w:tcPr>
            <w:tcW w:w="1667" w:type="pct"/>
            <w:vAlign w:val="center"/>
          </w:tcPr>
          <w:p w14:paraId="1C357262">
            <w:pPr>
              <w:pStyle w:val="13"/>
              <w:jc w:val="center"/>
            </w:pPr>
            <w:r>
              <w:t>12</w:t>
            </w:r>
          </w:p>
        </w:tc>
      </w:tr>
      <w:tr w14:paraId="6974D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656E11D4">
            <w:pPr>
              <w:pStyle w:val="13"/>
              <w:jc w:val="center"/>
            </w:pPr>
            <w:r>
              <w:t>2005</w:t>
            </w:r>
          </w:p>
        </w:tc>
        <w:tc>
          <w:tcPr>
            <w:tcW w:w="1667" w:type="pct"/>
            <w:vAlign w:val="center"/>
          </w:tcPr>
          <w:p w14:paraId="507B418C">
            <w:pPr>
              <w:pStyle w:val="13"/>
              <w:jc w:val="center"/>
            </w:pPr>
            <w:r>
              <w:t>3</w:t>
            </w:r>
          </w:p>
        </w:tc>
        <w:tc>
          <w:tcPr>
            <w:tcW w:w="1667" w:type="pct"/>
            <w:vAlign w:val="center"/>
          </w:tcPr>
          <w:p w14:paraId="01298B95">
            <w:pPr>
              <w:pStyle w:val="13"/>
              <w:jc w:val="center"/>
            </w:pPr>
            <w:r>
              <w:t>12</w:t>
            </w:r>
          </w:p>
        </w:tc>
      </w:tr>
      <w:tr w14:paraId="11CC0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733AA0B3">
            <w:pPr>
              <w:pStyle w:val="13"/>
              <w:jc w:val="center"/>
            </w:pPr>
            <w:r>
              <w:t>2006</w:t>
            </w:r>
          </w:p>
        </w:tc>
        <w:tc>
          <w:tcPr>
            <w:tcW w:w="1667" w:type="pct"/>
            <w:vAlign w:val="center"/>
          </w:tcPr>
          <w:p w14:paraId="0A8640CC">
            <w:pPr>
              <w:pStyle w:val="13"/>
              <w:jc w:val="center"/>
            </w:pPr>
            <w:r>
              <w:t>4</w:t>
            </w:r>
          </w:p>
        </w:tc>
        <w:tc>
          <w:tcPr>
            <w:tcW w:w="1667" w:type="pct"/>
            <w:vAlign w:val="center"/>
          </w:tcPr>
          <w:p w14:paraId="02089158">
            <w:pPr>
              <w:pStyle w:val="13"/>
              <w:jc w:val="center"/>
            </w:pPr>
            <w:r>
              <w:t>12</w:t>
            </w:r>
          </w:p>
        </w:tc>
      </w:tr>
      <w:tr w14:paraId="5ADF1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69A42CD2">
            <w:pPr>
              <w:pStyle w:val="13"/>
              <w:jc w:val="center"/>
            </w:pPr>
            <w:r>
              <w:t>2007</w:t>
            </w:r>
          </w:p>
        </w:tc>
        <w:tc>
          <w:tcPr>
            <w:tcW w:w="1667" w:type="pct"/>
            <w:vAlign w:val="center"/>
          </w:tcPr>
          <w:p w14:paraId="2DCB1427">
            <w:pPr>
              <w:pStyle w:val="13"/>
              <w:jc w:val="center"/>
            </w:pPr>
            <w:r>
              <w:t>5</w:t>
            </w:r>
          </w:p>
        </w:tc>
        <w:tc>
          <w:tcPr>
            <w:tcW w:w="1667" w:type="pct"/>
            <w:vAlign w:val="center"/>
          </w:tcPr>
          <w:p w14:paraId="5047C38B">
            <w:pPr>
              <w:pStyle w:val="13"/>
              <w:jc w:val="center"/>
            </w:pPr>
            <w:r>
              <w:t>19</w:t>
            </w:r>
          </w:p>
        </w:tc>
      </w:tr>
      <w:tr w14:paraId="2E242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28E7FB0E">
            <w:pPr>
              <w:pStyle w:val="13"/>
              <w:jc w:val="center"/>
            </w:pPr>
            <w:r>
              <w:t>2008</w:t>
            </w:r>
          </w:p>
        </w:tc>
        <w:tc>
          <w:tcPr>
            <w:tcW w:w="1667" w:type="pct"/>
            <w:vAlign w:val="center"/>
          </w:tcPr>
          <w:p w14:paraId="21EDF378">
            <w:pPr>
              <w:pStyle w:val="13"/>
              <w:jc w:val="center"/>
            </w:pPr>
            <w:r>
              <w:t>6</w:t>
            </w:r>
          </w:p>
        </w:tc>
        <w:tc>
          <w:tcPr>
            <w:tcW w:w="1667" w:type="pct"/>
            <w:vAlign w:val="center"/>
          </w:tcPr>
          <w:p w14:paraId="74584700">
            <w:pPr>
              <w:pStyle w:val="13"/>
              <w:jc w:val="center"/>
            </w:pPr>
            <w:r>
              <w:t>13</w:t>
            </w:r>
          </w:p>
        </w:tc>
      </w:tr>
      <w:tr w14:paraId="09FB4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30B4E49F">
            <w:pPr>
              <w:pStyle w:val="13"/>
              <w:jc w:val="center"/>
            </w:pPr>
            <w:r>
              <w:t>2009</w:t>
            </w:r>
          </w:p>
        </w:tc>
        <w:tc>
          <w:tcPr>
            <w:tcW w:w="1667" w:type="pct"/>
            <w:vAlign w:val="center"/>
          </w:tcPr>
          <w:p w14:paraId="6E2597BC">
            <w:pPr>
              <w:pStyle w:val="13"/>
              <w:jc w:val="center"/>
            </w:pPr>
            <w:r>
              <w:t>4</w:t>
            </w:r>
          </w:p>
        </w:tc>
        <w:tc>
          <w:tcPr>
            <w:tcW w:w="1667" w:type="pct"/>
            <w:vAlign w:val="center"/>
          </w:tcPr>
          <w:p w14:paraId="5B1ADF12">
            <w:pPr>
              <w:pStyle w:val="13"/>
              <w:jc w:val="center"/>
            </w:pPr>
            <w:r>
              <w:t>15</w:t>
            </w:r>
          </w:p>
        </w:tc>
      </w:tr>
      <w:tr w14:paraId="5FFB5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25436501">
            <w:pPr>
              <w:pStyle w:val="13"/>
              <w:jc w:val="center"/>
            </w:pPr>
            <w:r>
              <w:t>2010</w:t>
            </w:r>
          </w:p>
        </w:tc>
        <w:tc>
          <w:tcPr>
            <w:tcW w:w="1667" w:type="pct"/>
            <w:vAlign w:val="center"/>
          </w:tcPr>
          <w:p w14:paraId="1F50CEF8">
            <w:pPr>
              <w:pStyle w:val="13"/>
              <w:jc w:val="center"/>
            </w:pPr>
            <w:r>
              <w:t>5</w:t>
            </w:r>
          </w:p>
        </w:tc>
        <w:tc>
          <w:tcPr>
            <w:tcW w:w="1667" w:type="pct"/>
            <w:vAlign w:val="center"/>
          </w:tcPr>
          <w:p w14:paraId="69832940">
            <w:pPr>
              <w:pStyle w:val="13"/>
              <w:jc w:val="center"/>
              <w:rPr>
                <w:rFonts w:hint="eastAsia"/>
              </w:rPr>
            </w:pPr>
            <w:r>
              <w:t>14</w:t>
            </w:r>
          </w:p>
        </w:tc>
      </w:tr>
    </w:tbl>
    <w:p w14:paraId="74617FF8">
      <w:pPr>
        <w:pStyle w:val="4"/>
      </w:pPr>
      <w:r>
        <w:t>【科技创新体系建设】</w:t>
      </w:r>
    </w:p>
    <w:p w14:paraId="5B678CCE">
      <w:pPr>
        <w:ind w:firstLine="420"/>
        <w:rPr>
          <w:rFonts w:ascii="宋体" w:hAnsi="宋体"/>
        </w:rPr>
      </w:pPr>
      <w:r>
        <w:rPr>
          <w:rFonts w:ascii="宋体" w:hAnsi="宋体"/>
        </w:rPr>
        <w:t>2003年“科技办公网建设及金科分中心网络扩容”和“广东烟草南雄市有限公司农业科技创新中心”立项建设；2004年“南雄金科网建设与电子政务服务体系”立项建设；2005年“南雄市科技管理信息化与干部培训服务体系”立项建设；2006年“南雄市坪田银杏技术创新专业镇”立项建设；2007年南雄市珠玑镇“广东省城镇化技术集成应用试点镇”和“省级可持续发展实验区”以及“南雄市金科网服务平台”立项建设；2008年南雄市古市镇“黄烟技术创新专业镇”立项建设；2010年南雄市“优质稻米健康农业科学示范基地”和“南雄精细化工产业技术创新平台”立项建设。</w:t>
      </w:r>
    </w:p>
    <w:p w14:paraId="5A5C9438">
      <w:pPr>
        <w:pStyle w:val="4"/>
      </w:pPr>
      <w:r>
        <w:t>【科技成果及推广应用】</w:t>
      </w:r>
    </w:p>
    <w:p w14:paraId="6EA6DD70">
      <w:pPr>
        <w:ind w:firstLine="420"/>
        <w:rPr>
          <w:rFonts w:ascii="宋体" w:hAnsi="宋体"/>
        </w:rPr>
      </w:pPr>
      <w:r>
        <w:rPr>
          <w:rFonts w:ascii="宋体" w:hAnsi="宋体"/>
        </w:rPr>
        <w:t>2003年至2010年南雄市科技成果推广应用项目39项，获韶关市科技进步（科技成果）奖励16项，其中特等奖1项、一等奖1项、二等奖7项、三等奖7项。</w:t>
      </w:r>
    </w:p>
    <w:p w14:paraId="20AB26C8">
      <w:pPr>
        <w:pStyle w:val="3"/>
      </w:pPr>
      <w:r>
        <w:rPr>
          <w:rFonts w:hint="eastAsia"/>
        </w:rPr>
        <w:t>知识产权保护</w:t>
      </w:r>
    </w:p>
    <w:p w14:paraId="556C2E08">
      <w:pPr>
        <w:pStyle w:val="4"/>
      </w:pPr>
      <w:r>
        <w:t>【知识产权服务体系】</w:t>
      </w:r>
    </w:p>
    <w:p w14:paraId="58E05052">
      <w:pPr>
        <w:ind w:firstLine="420"/>
        <w:rPr>
          <w:rFonts w:ascii="宋体" w:hAnsi="宋体"/>
        </w:rPr>
      </w:pPr>
      <w:r>
        <w:rPr>
          <w:rFonts w:ascii="宋体" w:hAnsi="宋体"/>
        </w:rPr>
        <w:t>南雄市科学技术局内设知识产权股，其职能是根据知识产权制度，在知识产权、专利申请方面为社会提供无偿服务工作。</w:t>
      </w:r>
    </w:p>
    <w:p w14:paraId="5C6170F0">
      <w:pPr>
        <w:pStyle w:val="4"/>
      </w:pPr>
      <w:r>
        <w:t>【专利申请量】</w:t>
      </w:r>
    </w:p>
    <w:p w14:paraId="3EF5E86A">
      <w:pPr>
        <w:ind w:firstLine="420"/>
        <w:rPr>
          <w:rFonts w:ascii="宋体" w:hAnsi="宋体"/>
        </w:rPr>
      </w:pPr>
      <w:r>
        <w:rPr>
          <w:rFonts w:ascii="宋体" w:hAnsi="宋体"/>
        </w:rPr>
        <w:t>南雄市2003至2006年专利申请量6件，授权3件；2007年专利申请量16件，授权5件；2008年专利申请量24件，授权18件；2009年专利申请量21件，授权18件；2010年专利申请量50件，授权26件。</w:t>
      </w:r>
    </w:p>
    <w:p w14:paraId="11FBE2C2">
      <w:pPr>
        <w:pStyle w:val="4"/>
      </w:pPr>
      <w:r>
        <w:t>【专利版权申请资助工作】</w:t>
      </w:r>
    </w:p>
    <w:p w14:paraId="10BEC427">
      <w:pPr>
        <w:ind w:firstLine="420"/>
        <w:rPr>
          <w:rFonts w:ascii="宋体" w:hAnsi="宋体"/>
        </w:rPr>
      </w:pPr>
      <w:r>
        <w:rPr>
          <w:rFonts w:ascii="宋体" w:hAnsi="宋体"/>
        </w:rPr>
        <w:t>为提高南雄市企事业单位、个人对知识产权保护意识，鼓励从事发明创造者申请专利的积极性，增强专利意识，提高技术创新能力，促进科技进步和经济发展，2009年8月南雄市人民政府制定了《南雄市专利申请费用资助办法》，资助对象是全市的企事业单位、机关、团体、住址在南雄市范围内的合法单位或南雄市居民和本辖区内有经常居住的个人。费用资助范围：发明专利申请费、实审费、专利登记费；实用新型专利和外观设计专利申请费、专利登记费；发明、实用新型和外观设计专利部分代理费。其中，发明专利资助人民币5000元；实用新型专利资助人民币3000元；外观设计专利资助人民币500元。</w:t>
      </w:r>
    </w:p>
    <w:p w14:paraId="38181E01">
      <w:pPr>
        <w:pStyle w:val="4"/>
      </w:pPr>
      <w:r>
        <w:t>【专利获奖项目】</w:t>
      </w:r>
    </w:p>
    <w:p w14:paraId="23C7D0CF">
      <w:pPr>
        <w:ind w:firstLine="420"/>
        <w:rPr>
          <w:rFonts w:ascii="宋体" w:hAnsi="宋体"/>
        </w:rPr>
      </w:pPr>
      <w:r>
        <w:rPr>
          <w:rFonts w:ascii="宋体" w:hAnsi="宋体"/>
        </w:rPr>
        <w:t>2008年南雄市丽康涂料厂发明专利新型环保内外墙“瑞丽康涂料”获得“第六届中国国际发明展览会”银奖。</w:t>
      </w:r>
    </w:p>
    <w:p w14:paraId="7CA7D295">
      <w:pPr>
        <w:pStyle w:val="3"/>
      </w:pPr>
      <w:r>
        <w:rPr>
          <w:rFonts w:hint="eastAsia"/>
        </w:rPr>
        <w:t>信息化建设</w:t>
      </w:r>
    </w:p>
    <w:p w14:paraId="7B889778">
      <w:pPr>
        <w:pStyle w:val="4"/>
      </w:pPr>
      <w:r>
        <w:t>【信息化建设成效】</w:t>
      </w:r>
    </w:p>
    <w:p w14:paraId="6C6A4316">
      <w:pPr>
        <w:ind w:firstLine="420"/>
        <w:rPr>
          <w:rFonts w:ascii="宋体" w:hAnsi="宋体"/>
        </w:rPr>
      </w:pPr>
      <w:r>
        <w:rPr>
          <w:rFonts w:ascii="宋体" w:hAnsi="宋体"/>
        </w:rPr>
        <w:t>2003年11月南雄市召开“关于山区信息化建设”专题工作会议，开始实施广东省科技厅农村重点科技成果推广项目“广东省农村科技信息直通车工程”；2004年5月成立“南雄市广东农村科技信息直通车服务中心”，在雄州、湖口、珠玑、江头、古市、黎口、全安、黄坑8个镇先行建立镇级“广东农村科技信息直通车工程”信息服务站，举办农村信息员培训班3期，培训50人次；2005年完成全市24个镇级“广东农村信息直通车工程”信息服务站建立，举办农村信息员培训班3期，培训60人次；2006年4月南雄市山区信息化培训中心在科技信息局建成正式投入使用，完成培训信息人员、种养大户、流通大户60人次；2007年科技信息局与市农业专业合作社共同建立信息服务站，完成邓坊镇绿园果菜农民专业合作社信息服务站，整合、改造信息服务点16个，完成配备信息员150名，组建市、镇、村三级架构信息员服务队伍，举办农村信息员培训班3期共150人次；2008年完成南雄市果业协会、南雄市江头万顺农民种养合作社“直通车”信息服务站建设，举办培训班2期共60人次；2009年完成南雄市坪田白果专业合作社信息“直通车”服务站、南雄市科协信息“直通车”服务站建设，举办培训班3期共120人次；2010年对原有信息服务站统一换发由省科技厅下发的“广东省信息直通车工程信息服务站”牌匾。</w:t>
      </w:r>
    </w:p>
    <w:p w14:paraId="390AE7DB">
      <w:pPr>
        <w:pStyle w:val="3"/>
      </w:pPr>
      <w:r>
        <w:rPr>
          <w:rFonts w:hint="eastAsia"/>
        </w:rPr>
        <w:t>地震监测</w:t>
      </w:r>
    </w:p>
    <w:p w14:paraId="1F769F01">
      <w:pPr>
        <w:ind w:firstLine="0" w:firstLineChars="0"/>
        <w:rPr>
          <w:rFonts w:ascii="宋体" w:hAnsi="宋体"/>
        </w:rPr>
      </w:pPr>
      <w:r>
        <w:rPr>
          <w:rFonts w:ascii="宋体" w:hAnsi="宋体"/>
        </w:rPr>
        <w:t>贯彻落实防震减灾工作，做到机构健全，人员到位。2003年在科技信息局内设知识产权与地震工作股，在全安镇和江头镇设立地震观察点，2008年7月撤销全安镇地震观察点，投资100万元资金在全安镇苍石建设数字化地震观测站，当年12月投入使用。为进一步提高防震抗震救灾能力，确保人民生命财产安全，2010年8月“南雄市地震局”在科学技术局挂牌成立，内设“地震工作办公室”，并依据《中华人民共和国防震减灾法》、《破坏性地震应急条例》、《广东省防震减灾条例》和《广东省地震应急预案》，结合南雄实际情况，制定了《南雄市地震应急预案》，并相应成立《南雄市防震抗震救灾工作领导小组》，目的是通过制定应急预案，提高人们防震抗震能力和意识，使地震应急能够协调、有序和高效进行，最大程度地减少人员伤亡，减轻经济损失和社会影响。</w:t>
      </w:r>
    </w:p>
    <w:p w14:paraId="19B8B90B">
      <w:pPr>
        <w:ind w:firstLine="0" w:firstLineChars="0"/>
        <w:jc w:val="right"/>
        <w:rPr>
          <w:rFonts w:ascii="宋体" w:hAnsi="宋体"/>
        </w:rPr>
      </w:pPr>
      <w:r>
        <w:rPr>
          <w:rFonts w:ascii="宋体" w:hAnsi="宋体"/>
        </w:rPr>
        <w:t>（梁少雄）</w:t>
      </w:r>
    </w:p>
    <w:p w14:paraId="12E593AE">
      <w:pPr>
        <w:ind w:firstLine="0" w:firstLineChars="0"/>
        <w:rPr>
          <w:rFonts w:ascii="宋体" w:hAnsi="宋体"/>
          <w:b/>
          <w:bCs/>
        </w:rPr>
      </w:pPr>
      <w:r>
        <w:rPr>
          <w:rFonts w:ascii="宋体" w:hAnsi="宋体"/>
          <w:b/>
          <w:bCs/>
        </w:rPr>
        <w:t>附：2010年科技局领导班子成员名单</w:t>
      </w:r>
    </w:p>
    <w:p w14:paraId="63A4EC90">
      <w:pPr>
        <w:ind w:firstLine="0" w:firstLineChars="0"/>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李皋辉</w:t>
      </w:r>
    </w:p>
    <w:p w14:paraId="3F757A12">
      <w:pPr>
        <w:ind w:firstLine="0" w:firstLineChars="0"/>
        <w:rPr>
          <w:rFonts w:ascii="宋体" w:hAnsi="宋体"/>
        </w:rPr>
      </w:pPr>
      <w:r>
        <w:rPr>
          <w:rFonts w:ascii="宋体" w:hAnsi="宋体"/>
          <w:b/>
          <w:bCs/>
        </w:rPr>
        <w:t>副局长：</w:t>
      </w:r>
      <w:r>
        <w:rPr>
          <w:rFonts w:ascii="宋体" w:hAnsi="宋体"/>
        </w:rPr>
        <w:t>张正林</w:t>
      </w:r>
      <w:r>
        <w:rPr>
          <w:rFonts w:hint="eastAsia" w:ascii="宋体" w:hAnsi="宋体"/>
        </w:rPr>
        <w:t xml:space="preserve">  </w:t>
      </w:r>
      <w:r>
        <w:rPr>
          <w:rFonts w:ascii="宋体" w:hAnsi="宋体"/>
        </w:rPr>
        <w:t>叶珍凤</w:t>
      </w:r>
    </w:p>
    <w:p w14:paraId="35FEBAD2">
      <w:pPr>
        <w:pStyle w:val="2"/>
      </w:pPr>
      <w:r>
        <w:t>教育</w:t>
      </w:r>
    </w:p>
    <w:p w14:paraId="1D0DC9E7">
      <w:pPr>
        <w:pStyle w:val="3"/>
      </w:pPr>
      <w:r>
        <w:rPr>
          <w:rFonts w:hint="eastAsia"/>
        </w:rPr>
        <w:t>综述</w:t>
      </w:r>
    </w:p>
    <w:p w14:paraId="1EB11F27">
      <w:pPr>
        <w:pStyle w:val="4"/>
      </w:pPr>
      <w:r>
        <w:t>【概况】</w:t>
      </w:r>
    </w:p>
    <w:p w14:paraId="36B697D9">
      <w:pPr>
        <w:ind w:firstLine="420"/>
        <w:rPr>
          <w:rFonts w:ascii="宋体" w:hAnsi="宋体"/>
        </w:rPr>
      </w:pPr>
      <w:r>
        <w:rPr>
          <w:rFonts w:ascii="宋体" w:hAnsi="宋体"/>
        </w:rPr>
        <w:t>南雄市教育局内设办公室、人事监察股、基础教育股、教育督导室、基建财务股、体育卫生教育股、招生办、仪器站、教研室、勤工办10个股室；行政编制23名，其中领导职数4名（1正4副），其他干部19名；后勤编制2名。事业编制33人，总编制为56人。2009年，招生办上升为副科级单位。2010年增加审核中心、安全办。</w:t>
      </w:r>
    </w:p>
    <w:p w14:paraId="4AB982D7">
      <w:pPr>
        <w:pStyle w:val="4"/>
      </w:pPr>
      <w:r>
        <w:t>【尊师重教蔚然成风】</w:t>
      </w:r>
    </w:p>
    <w:p w14:paraId="3118FCE2">
      <w:pPr>
        <w:ind w:firstLine="420"/>
        <w:rPr>
          <w:rFonts w:ascii="宋体" w:hAnsi="宋体"/>
        </w:rPr>
      </w:pPr>
      <w:r>
        <w:rPr>
          <w:rFonts w:ascii="宋体" w:hAnsi="宋体"/>
        </w:rPr>
        <w:t>2003年以来，市委、市政府坚持把教育列入优先发展战略地位，大力发展基础教育，南雄中学、南雄市第一中学开始初中、高中分离，办独立高中，创建广东省国家级示范性普通高中。市委、市政府充分利用城市经营为契机，将南雄中学周边共2.29万平方米的土地，无偿划拨给学校改善办学条件，使学校占地面积达148亩，2006年底被广东省教育督导室确认为广东省国家级示范性普通高中。为支持南雄第一中学创建广东省国家级示范性普通高中，市政府划拨2万平方米的土地作为学校建设用地，2007年6月被广东省教育督导室确认为广东省国家级示范性普通高中。市委、政府为扩大市中等职业学校的办学规模，将原实验中学无偿划拨中职学校，并在周边征地150亩扩大校园面积。</w:t>
      </w:r>
    </w:p>
    <w:p w14:paraId="2A8CF819">
      <w:pPr>
        <w:pStyle w:val="4"/>
      </w:pPr>
      <w:r>
        <w:t>【义务教育机制及实施】</w:t>
      </w:r>
    </w:p>
    <w:p w14:paraId="58A0478B">
      <w:pPr>
        <w:ind w:firstLine="420"/>
        <w:rPr>
          <w:rFonts w:ascii="宋体" w:hAnsi="宋体"/>
        </w:rPr>
      </w:pPr>
      <w:r>
        <w:rPr>
          <w:rFonts w:ascii="宋体" w:hAnsi="宋体"/>
        </w:rPr>
        <w:t>市委、市政府先后制定《南雄市人民政府关于进一步加强农村教育工作的决定》、《南雄市教育现代化建设纲要（2005-2020年）》、《南雄市关于加快普及高中阶段教育的决定》、《关于大力推进职业教育改革与发展的决定》和《南雄市创建广东省教育强市工作实施方案》，从政策法规制度上提出优先发展教育，2009年，市人民政府确优先发展教育的目标：加强落实优先规划教育发展、优先安排教育经费、优先解决教育问题、优先保证教育用地、优先落实教师待遇、优先兑现优惠政策的“六个优先”。全市高中阶段学校已全部达到优质学位学校，义务教育阶段学校正逐步建设成为规范化学校，加快缩小城乡差距，逐步推进区域内的均衡发展。2006年秋季全省农村全面实施免费义务教育，免收杂费，学生只需缴交课本费。2008年春季起实施城镇免费义务教育，外省户籍学生暂不享受免费，由省财政下拨教育公共经费。2009年春季义务教育阶段学生免收书费，全面停止征收义务教育借读费。</w:t>
      </w:r>
    </w:p>
    <w:p w14:paraId="08B51FC1">
      <w:pPr>
        <w:pStyle w:val="4"/>
      </w:pPr>
      <w:r>
        <w:t>【建立学生扶贫助学体系】</w:t>
      </w:r>
    </w:p>
    <w:p w14:paraId="245C7DAB">
      <w:pPr>
        <w:ind w:firstLine="420"/>
        <w:rPr>
          <w:rFonts w:ascii="宋体" w:hAnsi="宋体"/>
        </w:rPr>
      </w:pPr>
      <w:r>
        <w:rPr>
          <w:rFonts w:ascii="宋体" w:hAnsi="宋体"/>
        </w:rPr>
        <w:t>全面落实教育扶助困难学生政策，市委、市政府建立学生扶贫助学体系。2005年起在市中职学校举办“女子成才班”至2010年有300多名特困家庭的女孩得到扶持。2006年起在南雄一中开办“宏志班”，至2010年400名品学兼优的贫困学生享受了免费就读的待遇。市政府还从事业收入中足额提取5%的经费，用于支助贫困家庭学生，有2930名学生得到资助。</w:t>
      </w:r>
    </w:p>
    <w:p w14:paraId="0F1331FD">
      <w:pPr>
        <w:pStyle w:val="4"/>
      </w:pPr>
      <w:r>
        <w:t>【教育快速发展】</w:t>
      </w:r>
    </w:p>
    <w:p w14:paraId="48C49E96">
      <w:pPr>
        <w:ind w:firstLine="420"/>
        <w:rPr>
          <w:rFonts w:ascii="宋体" w:hAnsi="宋体"/>
        </w:rPr>
      </w:pPr>
      <w:r>
        <w:rPr>
          <w:rFonts w:ascii="宋体" w:hAnsi="宋体"/>
        </w:rPr>
        <w:t>至2010年全市共有中小学（含教学点）188所，有2所广东省国家级示范性高中，5所广东省一级学校（幼儿园），14所韶关市一级学校。全市共有中小学生62945人，在职教职工4448余人。2006年，被省政府多部门联合评为“广东省教育收费规范市”；2009年，被国家教育部评为“义务教育监测工作先进县”。还连续多年被评为“韶关市教育工作先进单位”等荣誉称号。</w:t>
      </w:r>
    </w:p>
    <w:p w14:paraId="37C044F6">
      <w:pPr>
        <w:pStyle w:val="4"/>
      </w:pPr>
      <w:r>
        <w:t>【教师队伍结构及荣誉】</w:t>
      </w:r>
    </w:p>
    <w:p w14:paraId="5B5661E3">
      <w:pPr>
        <w:ind w:firstLine="420"/>
        <w:rPr>
          <w:rFonts w:ascii="宋体" w:hAnsi="宋体"/>
        </w:rPr>
      </w:pPr>
      <w:r>
        <w:rPr>
          <w:rFonts w:ascii="宋体" w:hAnsi="宋体"/>
        </w:rPr>
        <w:t>全市教师共4448人。小学教师2258人。学历达标率97.9%，大专学历以上56.9%；初中1338人，学历达标率96.5%，本科以上41%。高中教师852人，学历达标率98%。有中学高级教师260人，中学一级教师1270人，初级教师580人；小学高级教师1740人，小学一级教师248人，初级教师20人。黄学波，李春明、钟良传、曾凡辉，沈世荣5人授予特级教师称号。曾凡辉被评为广东省名校长，曾令平被评为韶关市名校长。2010年1月，曾凡辉工作室挂牌成立。提升教师整体素质。2003年至2010年，获南雄市级以上荣誉的有3400多人次，其中县级的有2800多人次，地区级的有近400多人次，省级先进个人100余人，国家级10人。如湖口镇新迳小学李锦雄，2007年获国家教育部全国优秀教师，2008年黎灿学校曾凡辉获中央文明委全国未成年人思想道德建设工作先进工作者。</w:t>
      </w:r>
    </w:p>
    <w:p w14:paraId="2AC53588">
      <w:pPr>
        <w:pStyle w:val="4"/>
      </w:pPr>
      <w:r>
        <w:t>【重视教师队伍建设】</w:t>
      </w:r>
    </w:p>
    <w:p w14:paraId="0EDF0C6C">
      <w:pPr>
        <w:ind w:firstLine="420"/>
        <w:rPr>
          <w:rFonts w:ascii="宋体" w:hAnsi="宋体"/>
        </w:rPr>
      </w:pPr>
      <w:r>
        <w:rPr>
          <w:rFonts w:ascii="宋体" w:hAnsi="宋体"/>
        </w:rPr>
        <w:t>2006年起，为缓解全市教师紧缺及结构不合理问题，每年招考（聘）一批新教师充实教师队伍，五年来通过引进、招考588名专任教师，充实到教师队伍．为确保教师队伍稳定，根据省、市有关文件精神，市委、市政府优先落实教师待遇，实施教师与公务员平均工资水平“两相当”，并统一由财政直拨教师工资账户，确保教师工资及时发放。为调动教师的积极性，2007年起，市政府分三年全部解决全市4000多名教师“十年未聘”的职称聘任问题。市政府从2006年开始，增加在职中学高级教师生活津贴每人每月200元。2010年1月开始实施教师绩效工资。每人250元。市委、市政府每年教师节召开座谈会和慰问教师，营造尊师重教的良好氛围。目前，小学教师平均工资1600元，中学教师平均工资1700元。为提升教师队伍的爱岗敬业精神，市加强教师师德师风建设，2005年进一步完善《教师职业道德规范》，2009年颁发《教师职业行为七条禁令》，2010年制定《关于进一步加强学校领导班子建设和学校管理的工作意见》，《教师十不准》、《教师绩效考核方案》。</w:t>
      </w:r>
    </w:p>
    <w:p w14:paraId="271E66A2">
      <w:pPr>
        <w:pStyle w:val="4"/>
      </w:pPr>
      <w:r>
        <w:t>【规范化学校建设】</w:t>
      </w:r>
    </w:p>
    <w:p w14:paraId="08A293EF">
      <w:pPr>
        <w:ind w:firstLine="420"/>
        <w:rPr>
          <w:rFonts w:ascii="宋体" w:hAnsi="宋体"/>
        </w:rPr>
      </w:pPr>
      <w:r>
        <w:rPr>
          <w:rFonts w:ascii="宋体" w:hAnsi="宋体"/>
        </w:rPr>
        <w:t>根据《韶关市“广东省义务教育规范化学校”督导验收办法》，本市出台《关于南雄市“广东省义务教育规范化学校”督导验收的实施意见》。2007年，成立以教育局局长任组长的“南雄市教育局规范化学校建设工作领导小组”，领导小组下设办公室，加强对规范化学校建设的领导，对规范化学校建设提出了具体的工作目标，至2010年有14所学校通过广东省规范化学校评估验收。</w:t>
      </w:r>
    </w:p>
    <w:p w14:paraId="282673BD">
      <w:pPr>
        <w:pStyle w:val="4"/>
      </w:pPr>
      <w:r>
        <w:t>【教育监测成绩喜人】</w:t>
      </w:r>
    </w:p>
    <w:p w14:paraId="58B1610D">
      <w:pPr>
        <w:ind w:firstLine="420"/>
        <w:rPr>
          <w:rFonts w:ascii="宋体" w:hAnsi="宋体"/>
        </w:rPr>
      </w:pPr>
      <w:r>
        <w:rPr>
          <w:rFonts w:ascii="宋体" w:hAnsi="宋体"/>
        </w:rPr>
        <w:t>2005年。广东省人民政府教育督导室《转发教育部督导团办公室关于增补江门市新会区和南雄市为全国义务教育监测项目县的通知》，本市被定为全国72个义务教育监测项目县之一。根据教育部监测办《关于部署2006年上半年义务监测工作的通知》精神，对本市义务教育实施水平进行监测，特别是对一些热点、难点问题进行跟踪监测，为政府和教育部门及时掌握义务教育的动态信息，发现潜在的问题，预测发展趋势，提供决策依据。经过一年多的辛勤工作，圆满地完成对本市义务教育的监测工作，受到上级教育部门的肯定。2009年被评为全国义务教育监测先进单位。</w:t>
      </w:r>
    </w:p>
    <w:p w14:paraId="7DD5655B">
      <w:pPr>
        <w:pStyle w:val="4"/>
      </w:pPr>
      <w:r>
        <w:t>【教育创强】</w:t>
      </w:r>
    </w:p>
    <w:p w14:paraId="458E231D">
      <w:pPr>
        <w:ind w:firstLine="420"/>
        <w:rPr>
          <w:rFonts w:ascii="宋体" w:hAnsi="宋体"/>
        </w:rPr>
      </w:pPr>
      <w:r>
        <w:rPr>
          <w:rFonts w:ascii="宋体" w:hAnsi="宋体"/>
        </w:rPr>
        <w:t>2009年开始，市决定用三年的时间，创建广东省教育强市。通过全市人民的共同努力，2010年，珠玑镇、黄坑镇、古市镇、主田镇通过广东省教育镇评估组专家的验收，确定为广东省教育强镇。</w:t>
      </w:r>
    </w:p>
    <w:p w14:paraId="51D9FC1F">
      <w:pPr>
        <w:pStyle w:val="4"/>
      </w:pPr>
      <w:r>
        <w:t>【老区学校建设】</w:t>
      </w:r>
    </w:p>
    <w:p w14:paraId="0794F739">
      <w:pPr>
        <w:ind w:firstLine="420"/>
        <w:rPr>
          <w:rFonts w:ascii="宋体" w:hAnsi="宋体"/>
        </w:rPr>
      </w:pPr>
      <w:r>
        <w:rPr>
          <w:rFonts w:ascii="宋体" w:hAnsi="宋体"/>
        </w:rPr>
        <w:t>2003年开始，进行老区学校改造。省政府补助资金1860万元、地级市资金60万元及南雄市政府资金5万元，总共2601.6万元，对本市83所革命老区小学进行改造，有教学楼，综合楼，学生宿舍，学生冲凉房、厕所等建筑面积总计48637平方米。南雄市政府各部门大开绿灯，减免资金150.1万元，分三年于2006年底全部完工并投入使用。</w:t>
      </w:r>
    </w:p>
    <w:p w14:paraId="030FB97B">
      <w:pPr>
        <w:pStyle w:val="4"/>
      </w:pPr>
      <w:r>
        <w:t>【学校布局调整】</w:t>
      </w:r>
    </w:p>
    <w:p w14:paraId="3FADC0EF">
      <w:pPr>
        <w:ind w:firstLine="420"/>
        <w:rPr>
          <w:rFonts w:ascii="宋体" w:hAnsi="宋体"/>
        </w:rPr>
      </w:pPr>
      <w:r>
        <w:rPr>
          <w:rFonts w:ascii="宋体" w:hAnsi="宋体"/>
        </w:rPr>
        <w:t>2003年开始，对全市中小学校进行布局调整，改造项目27个，建筑面积70484.5平方米，总投资3570.7万元。其中：省财政投资2700万元，地方及自筹870.7万元。至2007年已全部完成建设并投入使用。</w:t>
      </w:r>
    </w:p>
    <w:p w14:paraId="4E68B3EF">
      <w:pPr>
        <w:pStyle w:val="4"/>
      </w:pPr>
      <w:r>
        <w:t>【八一里东爱民学校】</w:t>
      </w:r>
    </w:p>
    <w:p w14:paraId="0FDFD039">
      <w:pPr>
        <w:ind w:firstLine="420"/>
        <w:rPr>
          <w:rFonts w:ascii="宋体" w:hAnsi="宋体"/>
        </w:rPr>
      </w:pPr>
      <w:r>
        <w:rPr>
          <w:rFonts w:ascii="宋体" w:hAnsi="宋体"/>
        </w:rPr>
        <w:t>2006年6月，由中国人民解放军总后勤部捐资187万元援建，由中共中央总书记、国家主席、军委主席胡锦涛题写的校名八一里东爱民学校动工，当年9月竣工交付使用。</w:t>
      </w:r>
    </w:p>
    <w:p w14:paraId="1651BAD9">
      <w:pPr>
        <w:pStyle w:val="4"/>
      </w:pPr>
      <w:r>
        <w:t>【农村危房学校改造】</w:t>
      </w:r>
    </w:p>
    <w:p w14:paraId="792A280C">
      <w:pPr>
        <w:ind w:firstLine="420"/>
        <w:rPr>
          <w:rFonts w:ascii="宋体" w:hAnsi="宋体"/>
        </w:rPr>
      </w:pPr>
      <w:r>
        <w:rPr>
          <w:rFonts w:ascii="宋体" w:hAnsi="宋体"/>
        </w:rPr>
        <w:t>2007年，市进行农村中小学校危房改造。省政府按500元每平方米的造价，核查本市共有危房4.91万平方米，投入2455万元资金，在市委、市政府的正确领导下，南雄市教育局精密组织，2008年底，所有项目全部投入使用。全市学校校舍基本实现楼房化。</w:t>
      </w:r>
    </w:p>
    <w:p w14:paraId="308FE154">
      <w:pPr>
        <w:pStyle w:val="4"/>
      </w:pPr>
      <w:r>
        <w:t>【校舍安全工程】</w:t>
      </w:r>
    </w:p>
    <w:p w14:paraId="491CB768">
      <w:pPr>
        <w:ind w:firstLine="420"/>
        <w:rPr>
          <w:rFonts w:ascii="宋体" w:hAnsi="宋体"/>
        </w:rPr>
      </w:pPr>
      <w:r>
        <w:rPr>
          <w:rFonts w:ascii="宋体" w:hAnsi="宋体"/>
        </w:rPr>
        <w:t>2009年9月，根据省、市校安办工程“路线图”及时间表安排和有关文件精神，由教育、建设、水利、国土、科技、气象等相关部门技术力量组成的校安办排查组，对已有中小学201所、建筑物1382栋、总面积733500平方米的校舍进行“地毯式”、逐校逐栋全面排查鉴定。经排查鉴定，南雄市1382栋校舍中，安全的有707栋。不安全的675栋，建筑面积240175平方米（其中D级危房596栋，面积142463平方米；C级危房79栋，面积97712平方米）。根据校舍安全排查鉴定结果，结合南雄市学校布局调整规划和教育创强工程及规范化学校建设，依照南雄市校舍安全工程规划原则，规划需要加固79栋，建筑面积9.77万平方米，需要重建44栋，建筑面积4.23万平方米，加固重建资金总需求为7551万元。分三年时间全部完成。</w:t>
      </w:r>
    </w:p>
    <w:p w14:paraId="6D44548E">
      <w:pPr>
        <w:pStyle w:val="3"/>
      </w:pPr>
      <w:r>
        <w:rPr>
          <w:rFonts w:hint="eastAsia"/>
        </w:rPr>
        <w:t>基础教育</w:t>
      </w:r>
    </w:p>
    <w:p w14:paraId="37C543EF">
      <w:pPr>
        <w:pStyle w:val="4"/>
      </w:pPr>
      <w:r>
        <w:t>【学前教育得到快速发展】</w:t>
      </w:r>
    </w:p>
    <w:p w14:paraId="1B09DC9B">
      <w:pPr>
        <w:ind w:firstLine="420"/>
        <w:rPr>
          <w:rFonts w:ascii="宋体" w:hAnsi="宋体"/>
        </w:rPr>
      </w:pPr>
      <w:r>
        <w:rPr>
          <w:rFonts w:ascii="宋体" w:hAnsi="宋体"/>
        </w:rPr>
        <w:t>2003年来，南雄市建立了政府主导、社会参与、公办民办并举的办园体制，吸引民间资本发展学前教育，共投入2000多万元，改善园舍设施，整体促进全市幼儿园的办园水平。目前，全市有幼儿园58间，其中，1间为机关幼儿园、8间为镇中心幼儿园，49间民办幼儿园。全市3-5周岁幼儿毛入园率由2006年的62%，增长到2010年的85%，学前一年入园率由2006年的94%，增长到2010年的100%。市机关幼儿园晋升为广东省一级幼儿园，财贸幼儿园（民办幼儿园）晋升为韶关市一级幼儿园。2010年，国务院出台《三年学前教育发展规划》，南雄市开始发展普惠性幼儿园，规划用三至五年的时间，大发展镇中心幼儿园，以及利用闲置的校舍扶持村级幼儿园。</w:t>
      </w:r>
    </w:p>
    <w:p w14:paraId="23ECF767">
      <w:pPr>
        <w:pStyle w:val="4"/>
      </w:pPr>
      <w:r>
        <w:t>【基础教育办学水平得到提升】</w:t>
      </w:r>
    </w:p>
    <w:p w14:paraId="25769A67">
      <w:pPr>
        <w:ind w:firstLine="420"/>
        <w:rPr>
          <w:rFonts w:ascii="宋体" w:hAnsi="宋体"/>
        </w:rPr>
      </w:pPr>
      <w:r>
        <w:rPr>
          <w:rFonts w:ascii="宋体" w:hAnsi="宋体"/>
        </w:rPr>
        <w:t>近年来，市采取有效措施，抓好防流控辍，确保适龄儿童少年不因家庭贫困、就学困难、学习困难等原因而失学，较好地确保了进城务工随迁子女接受义务教育。2010年，全市小学在校学生30491人，适龄人口入学率为100%，小学六年保留率为100%，“三残”儿童入学率为100%；初中在校生20692人，学龄人口入学率为99.6%，全市初中毕业生升学率为98.5%。高中在校生11762人，毛入学率达到90%。南雄中学、市一中先后晋升为广东省国家级示范性普通高中，黎灿学校、黄坑中学晋升广东省一级学校，市中等职业学校复评为广东省重点中等职业学校。2008年，全市高中阶段毛入学率达到86.2%，基本普及高中阶段教育。</w:t>
      </w:r>
    </w:p>
    <w:p w14:paraId="0B4B005A">
      <w:pPr>
        <w:pStyle w:val="4"/>
      </w:pPr>
      <w:r>
        <w:t>【全市学校办学条件得到明显改善】</w:t>
      </w:r>
    </w:p>
    <w:p w14:paraId="1764B326">
      <w:pPr>
        <w:ind w:firstLine="420"/>
        <w:rPr>
          <w:rFonts w:ascii="宋体" w:hAnsi="宋体"/>
        </w:rPr>
      </w:pPr>
      <w:r>
        <w:rPr>
          <w:rFonts w:ascii="宋体" w:hAnsi="宋体"/>
        </w:rPr>
        <w:t>2003年以来，市筹集经费2.3亿余元，无偿划拨土地7.8万平方米用于建设学校。通过高中扩建、老区学校改造、中小学危房改造、中小学校安工程、规范化学校建设、教育创强等几次大规模校舍建设，改变校舍不足和危旧状况，全市办学条件得到改善。全市小学生均校园面积47.6平方米，生均校舍面积11.3平方米；初中生均占有校园36.9平方米，生均校舍面积11平方米；高中生均占有校园23.2平方米，生均校舍面积分别达到11.3平方米，均达到省政府规定的标准。</w:t>
      </w:r>
    </w:p>
    <w:p w14:paraId="49327481">
      <w:pPr>
        <w:pStyle w:val="4"/>
      </w:pPr>
      <w:r>
        <w:t>【电教仪器装备不断充实】</w:t>
      </w:r>
    </w:p>
    <w:p w14:paraId="6E3990B5">
      <w:pPr>
        <w:ind w:firstLine="420"/>
        <w:rPr>
          <w:rFonts w:ascii="宋体" w:hAnsi="宋体"/>
        </w:rPr>
      </w:pPr>
      <w:r>
        <w:rPr>
          <w:rFonts w:ascii="宋体" w:hAnsi="宋体"/>
        </w:rPr>
        <w:t>2003年以来，市先后筹措经费3600多万元。按照省教育厅颁发的教育装备规范和标准进行教育装备配置，安装校园网100m有4间学校，高中计算机15间，936台；初中计算机19间，961台；小学计算机31间，1331台。实物展示仪数字49台，模拟25台。视听阅览室3间，多媒体教室120间，综合电教室12间，语音室32间，课件制作室8间，投影机118台，电子白板8块，电视机256台，影碟机91台。理化生实验室97间、学科学实验室25间、图书109万册。基本完成初中和乡镇中心完小计算机室和语音室装备任务，基本实现校校有网站、师生有网页、全市中小学实施教育城域网和校讯通，统一在网上发布各种教育信息，初步实现无纸化办公。</w:t>
      </w:r>
    </w:p>
    <w:p w14:paraId="43AF90F5">
      <w:pPr>
        <w:pStyle w:val="4"/>
      </w:pPr>
      <w:r>
        <w:t>【整合资源】</w:t>
      </w:r>
    </w:p>
    <w:p w14:paraId="320BA148">
      <w:pPr>
        <w:ind w:firstLine="420"/>
        <w:rPr>
          <w:rFonts w:ascii="宋体" w:hAnsi="宋体"/>
        </w:rPr>
      </w:pPr>
      <w:r>
        <w:rPr>
          <w:rFonts w:ascii="宋体" w:hAnsi="宋体"/>
        </w:rPr>
        <w:t>2009年，为解决城市日愈紧张的学位，满足农村进城务工、购房的子女入学难的问题，市委、市政府整合城区教育资源，将小学划分为黎灿学校、新城小学永康路中心小学、八一路小学四个分区，进行就近入学。初中以黎口中学为原址，原黎口镇政府及外贸仓库的15亩土地划拨给黎口中学，新建新雄州中学；将原老党校70亩土地划拨给全安中学，在北城区异地新建全安中学。农村以均衡化发展为目的，以黄坑、乌迳、珠玑、湖口、水口为学区，其它乡镇以九年一贯制学校逐步过渡到独立的中心学校的优质规范化学校建设。</w:t>
      </w:r>
    </w:p>
    <w:p w14:paraId="12FFC48D">
      <w:pPr>
        <w:pStyle w:val="4"/>
      </w:pPr>
      <w:r>
        <w:t>【中小学教育教学质量不断提高】</w:t>
      </w:r>
    </w:p>
    <w:p w14:paraId="6ADBC7AC">
      <w:pPr>
        <w:ind w:firstLine="420"/>
        <w:rPr>
          <w:rFonts w:ascii="宋体" w:hAnsi="宋体"/>
        </w:rPr>
      </w:pPr>
      <w:r>
        <w:rPr>
          <w:rFonts w:ascii="宋体" w:hAnsi="宋体"/>
        </w:rPr>
        <w:t>一是高考成绩稳步提升。2003年以来，南雄市高考总入线人数达1.67万余人，其中，本科入线6236人，高考总入线、本科入线人数以及特色高考艺术类入线人数均居韶关市属各县（市、区）前列。其中，2004年李微茜以872的总分夺韶关市高考状元，2005年2人总分在韶关市前十名，2008年文科、理科各一名获韶关市第一名，2010年，市学生洪美连同学以优异成绩考取清华大学。二是教育科研工作成绩显著。全市教师有107项科研课题获韶关市以上立项。其中，有23项科研课题获国家立项，18项科研课题获省立项，66项科研课题获韶关市立项。南雄中学被评为“全国中小学科研兴校示范基地”、市一中被评为“中国教育系统（基础教育）教育科研先进单位”。三是特色教育成效明显。南雄一中充分挖掘体育、艺术特色教育，在近几年的高考取得骄人的成绩；新城王锦辉中学创新学生德育载体，以学习《弟子规》为契机，推进学校德工作，取得明显成效。</w:t>
      </w:r>
    </w:p>
    <w:p w14:paraId="0F19F7D2">
      <w:pPr>
        <w:pStyle w:val="4"/>
      </w:pPr>
      <w:r>
        <w:t>【中职教育】</w:t>
      </w:r>
    </w:p>
    <w:p w14:paraId="22CE645C">
      <w:pPr>
        <w:ind w:firstLine="420"/>
        <w:rPr>
          <w:rFonts w:ascii="宋体" w:hAnsi="宋体"/>
        </w:rPr>
      </w:pPr>
      <w:r>
        <w:rPr>
          <w:rFonts w:ascii="宋体" w:hAnsi="宋体"/>
        </w:rPr>
        <w:t>市中职学校坚持“面向市场需求，造就技能人才”的办学理念，以服务为宗旨，以就业为导向，以技能为核心，以素质为根本，面向市场办学，不断深化教育教学改革，彰显职教特色，建设有市场竞争力的骨干专业，着力培养职业道德好、专业技能强、深受用人单位欢迎的高素质劳动者。推行双证制度，鼓励学生考证（双证率达81.47%以上），从而形成长短结合、学历教育与非学历教育并举的灵活开放的办学模式。加强以“诚信、敬业、协作”为核心内容的职业道德教育，邀请企业家、学校优秀毕业生到校举办专题就业讲座，加强就业指导服务，提高包括学生礼仪内涵的职业道德素质。就业学生供不应求，就业率达98%以上。2010年，该校学生参加韶关市职业学校技能大赛有31人获奖。参加车工、数控、CAD等8项“技能考证”，有427人通过，通过率为78.3%。“3+证书”高职类高考，上线73人，上线率64%，超韶关市平均上线率8个百分点。</w:t>
      </w:r>
    </w:p>
    <w:p w14:paraId="223D3C0D">
      <w:pPr>
        <w:pStyle w:val="4"/>
      </w:pPr>
      <w:r>
        <w:t>【学校思想政治教育】</w:t>
      </w:r>
    </w:p>
    <w:p w14:paraId="69B18324">
      <w:pPr>
        <w:ind w:firstLine="420"/>
        <w:rPr>
          <w:rFonts w:ascii="宋体" w:hAnsi="宋体"/>
        </w:rPr>
      </w:pPr>
      <w:r>
        <w:rPr>
          <w:rFonts w:ascii="宋体" w:hAnsi="宋体"/>
        </w:rPr>
        <w:t>市教育局为加强中小学德育工作，根据上级指示精神，2005年1月南雄市委、市政府印发《关于进一步加强和改进未成年人思想道德建设的实施意见》。2006年9月4日，南雄市作为广东省唯一的承办地，在水口中学举行由中宣部、教育部、团中央开展的“迎天安门国旗，传承长征精神”活动，邀请南雄市老游击战士联谊会会长曾忠讲南雄革命史，使师生受到一次深刻的长征精神教育。同年，举行“我让父母感动的一封信”书信活动，有四万五千名中小学生参与这项活动。经过评审，有51篇作品获奖，并上报21篇到韶关参评。有14篇作品在韶关市获奖，其中，一等奖一篇，二等奖三篇，三等奖五篇，优秀奖五篇。在韶关获奖的14篇作品上报省里参加评选，有六篇作品获奖，其中二等奖一篇，三等奖五篇，名列韶关市前茅。通过这一活动，使全市中小学生受到一次深刻的感恩教育。</w:t>
      </w:r>
    </w:p>
    <w:p w14:paraId="7168DA84">
      <w:pPr>
        <w:ind w:firstLine="420"/>
        <w:rPr>
          <w:rFonts w:ascii="宋体" w:hAnsi="宋体"/>
        </w:rPr>
      </w:pPr>
      <w:r>
        <w:rPr>
          <w:rFonts w:ascii="宋体" w:hAnsi="宋体"/>
        </w:rPr>
        <w:t>2007年1月初，邀请团中央《知心姐姐》杂志社心理健康教育全国巡回报告团讲师、研究员韩丽到本市作心理健康教育报告会11场，共有1.25万名家长和学生参加。4月中下旬邀请北京感恩励志教育中心专家，在本市联合举办“知荣明耻，感恩践行”教育报告会15场。共有3万余名师生和家长听取报告会。</w:t>
      </w:r>
    </w:p>
    <w:p w14:paraId="79C6FE99">
      <w:pPr>
        <w:ind w:firstLine="420"/>
        <w:rPr>
          <w:rFonts w:ascii="宋体" w:hAnsi="宋体"/>
        </w:rPr>
      </w:pPr>
      <w:r>
        <w:rPr>
          <w:rFonts w:ascii="宋体" w:hAnsi="宋体"/>
        </w:rPr>
        <w:t>2009年10月，启动以《弟子规》为载体的德育教育，有些学校结合孝道教育，培养学生爱祖国、爱家乡、努力学习的思想感情。各学校创办校刊校报，营造浓郁的校园文化氛围，藉此达到德育工作的目的。全市有南雄中学创办的《雄声》、《雄中报》；南雄职中创办的《南雄职中》；黎烂学校创办的《蓓蕾》；梅岭中学创办的《梅之韵》；全安中学创办的《龙华山》；油山中学创办的《山茶花》；黄坑中心小学创办的《黄坑新教育》；乌迳中学创办的《花迳》等等校刊校报。</w:t>
      </w:r>
    </w:p>
    <w:p w14:paraId="680506ED">
      <w:pPr>
        <w:ind w:firstLine="420"/>
        <w:rPr>
          <w:rFonts w:ascii="宋体" w:hAnsi="宋体"/>
        </w:rPr>
      </w:pPr>
      <w:r>
        <w:rPr>
          <w:rFonts w:ascii="宋体" w:hAnsi="宋体"/>
        </w:rPr>
        <w:t>由于加强领导，管理健全、措施得力，并注重实效，德育工作取得显著成效。教师在省、韶关市级报刊上发表德育论文130多篇。中小学“三好”率达到25%，德育考核优秀率达到92%，后进生进步率和后进生转化率达到88%；中小学流失率逐年下降，控制在0.7%，小学生流失率控制在0.45%90%以上的学校形成“文明、勤奋、向上”的良好学风。2010年珠玑中心小学评为省级德育工作示范校。</w:t>
      </w:r>
    </w:p>
    <w:p w14:paraId="5F4E899C">
      <w:pPr>
        <w:pStyle w:val="4"/>
      </w:pPr>
      <w:r>
        <w:t>【学校体育、卫生和安全教育】</w:t>
      </w:r>
    </w:p>
    <w:p w14:paraId="3567F1CC">
      <w:pPr>
        <w:numPr>
          <w:ilvl w:val="0"/>
          <w:numId w:val="5"/>
        </w:numPr>
        <w:ind w:firstLine="420"/>
        <w:rPr>
          <w:rFonts w:ascii="宋体" w:hAnsi="宋体"/>
        </w:rPr>
      </w:pPr>
      <w:r>
        <w:rPr>
          <w:rFonts w:ascii="宋体" w:hAnsi="宋体"/>
        </w:rPr>
        <w:t>体育教育。2003年起，南雄市教育局每年举行一次中学生篮球比赛，分甲乙两组进行。同时每年还组织中小学生乒乓球比赛，分中小学男女四组进行。多年来，通过一系列的竞赛，使全市中小学校的体育活动比较活跃，学生的运动水平及身体素质都有一定的提高。</w:t>
      </w:r>
    </w:p>
    <w:p w14:paraId="227D4485">
      <w:pPr>
        <w:ind w:firstLine="420"/>
        <w:rPr>
          <w:rFonts w:ascii="宋体" w:hAnsi="宋体"/>
        </w:rPr>
      </w:pPr>
      <w:r>
        <w:rPr>
          <w:rFonts w:ascii="宋体" w:hAnsi="宋体"/>
        </w:rPr>
        <w:t>2003年7月，广东省传统项目学校田径比赛在广州华师附中举行，本市曾海莲以2’14”49获得800米高中女子甲组第一名，以4’38”41获得1500米高中女子甲组第一名。同年11月，广东省少年田径公开赛在广州伟伦体校举行，本市曾海莲再获1500米女子组第一名。</w:t>
      </w:r>
    </w:p>
    <w:p w14:paraId="0EEEB46C">
      <w:pPr>
        <w:ind w:firstLine="420"/>
        <w:rPr>
          <w:rFonts w:ascii="宋体" w:hAnsi="宋体"/>
        </w:rPr>
      </w:pPr>
      <w:r>
        <w:rPr>
          <w:rFonts w:ascii="宋体" w:hAnsi="宋体"/>
        </w:rPr>
        <w:t>2007年，国家针对学生体能体质情况，在全国提出“阳光体育”活动。要求全国中小生每天锻炼不少于一小时，实行大课间。本市中小学校根据国家要求调整作息时间，积极推行“阳光体育”活动。</w:t>
      </w:r>
    </w:p>
    <w:p w14:paraId="15297666">
      <w:pPr>
        <w:ind w:firstLine="420"/>
        <w:rPr>
          <w:rFonts w:ascii="宋体" w:hAnsi="宋体"/>
        </w:rPr>
      </w:pPr>
      <w:r>
        <w:rPr>
          <w:rFonts w:ascii="宋体" w:hAnsi="宋体"/>
        </w:rPr>
        <w:t>2008年，全市有专职体育教师147人，其中本科73人，专科56人，中专17人，一人参加研究课程班。体育教师的数量和质量都有较大的提高。市体育运动水平不断提高，2010年11月，在广州举行的亚运会，马丽云获得女子小轮车项目冠军，为南雄争得荣誉。</w:t>
      </w:r>
    </w:p>
    <w:p w14:paraId="41EEFFB6">
      <w:pPr>
        <w:numPr>
          <w:ilvl w:val="0"/>
          <w:numId w:val="5"/>
        </w:numPr>
        <w:ind w:firstLine="420"/>
        <w:rPr>
          <w:rFonts w:ascii="宋体" w:hAnsi="宋体"/>
        </w:rPr>
      </w:pPr>
      <w:r>
        <w:rPr>
          <w:rFonts w:ascii="宋体" w:hAnsi="宋体"/>
        </w:rPr>
        <w:t>卫生教育。2003年，学校增设青春期卫生教育和健康教育，对全市初级中学及中心小学的学生进行了视力减退情况、砂眼、鼻炎、龋齿、肺结核、肝炎、脊柱弯曲异常、肠道寄生虫（蛔钩羌鞭虫）、扁桃腺肿大、心脏Ⅱ级杂音以上等项目检查，小学6950人，完全健康占59.8%；初中16274人，完全健康占69.4%。2004年，再对以上学校进行体检，小学9772人，全健康占71.3%，提高11.5个百分点；初中18597人，完全健康占75.2%，提高5.8个百分点。</w:t>
      </w:r>
    </w:p>
    <w:p w14:paraId="0B642D68">
      <w:pPr>
        <w:ind w:firstLine="420"/>
        <w:rPr>
          <w:rFonts w:ascii="宋体" w:hAnsi="宋体"/>
        </w:rPr>
      </w:pPr>
      <w:r>
        <w:rPr>
          <w:rFonts w:ascii="宋体" w:hAnsi="宋体"/>
        </w:rPr>
        <w:t>2008年，部分学校增设心理咨询室，为部分学生进行心理疏导。</w:t>
      </w:r>
    </w:p>
    <w:p w14:paraId="313C9BCB">
      <w:pPr>
        <w:numPr>
          <w:ilvl w:val="0"/>
          <w:numId w:val="5"/>
        </w:numPr>
        <w:ind w:firstLine="420"/>
        <w:rPr>
          <w:rFonts w:ascii="宋体" w:hAnsi="宋体"/>
        </w:rPr>
      </w:pPr>
      <w:r>
        <w:rPr>
          <w:rFonts w:ascii="宋体" w:hAnsi="宋体"/>
        </w:rPr>
        <w:t>安全教育。2003年起，教育局成立安全领导小组，2005年设立安全领导小组办公室。每学期开学初，协同卫生监督所、疾病预防控制中心、消防等相关单位对每所学校的卫生、安全等情况进行检查，尤其对学校厨房餐具、学生饮用水源等进行取样化验。对检查存在的问题，责令校长及具体负责人限期整改，复查仍不达的通报全市。几年来，全市中小学校没有出现全安卫生问题。使全市学生家长放心，社会各界人士的满意。</w:t>
      </w:r>
    </w:p>
    <w:p w14:paraId="263B0601">
      <w:pPr>
        <w:ind w:left="420" w:leftChars="200" w:firstLine="0" w:firstLineChars="0"/>
        <w:rPr>
          <w:rFonts w:ascii="宋体" w:hAnsi="宋体"/>
        </w:rPr>
      </w:pPr>
      <w:r>
        <w:rPr>
          <w:rFonts w:ascii="宋体" w:hAnsi="宋体"/>
        </w:rPr>
        <w:t>2010年，市政府拨出专项经费65万元，用于学校聘请安保人员。</w:t>
      </w:r>
    </w:p>
    <w:p w14:paraId="6A4806A9">
      <w:pPr>
        <w:pStyle w:val="4"/>
      </w:pPr>
      <w:r>
        <w:t>【教学研究】</w:t>
      </w:r>
    </w:p>
    <w:p w14:paraId="5135CE5D">
      <w:pPr>
        <w:ind w:firstLine="420"/>
        <w:rPr>
          <w:rFonts w:ascii="宋体" w:hAnsi="宋体"/>
        </w:rPr>
      </w:pPr>
      <w:r>
        <w:rPr>
          <w:rFonts w:ascii="宋体" w:hAnsi="宋体"/>
        </w:rPr>
        <w:t>2004年开始，小学、初中、高中全面进入新课程实验。为保证新课程改革顺利进行，教育局坚持“先培训后上岗，不培训不上岗”、“全员培训，全程培训，合格上岗”的原则。采取：通识培训与学科培训相结合；上级培训与校本培训相结合；骨干培训和全员培训相结合；集中培训与分散自学相结合；专家讲座与学科研讨相结合等方法强化教师培训。至2008年12月，全市共有4065名教师参加新课程培训；有3299名教师参加教师职务培训；3921人参加计算机培训；126人参加非信息技术转岗培训；小学教师非英语转岗培训109人；骨干教师培训605人；英特尔未来教育项目培训330人；新任教师培训924人；教师教育技术能力培训1040人；中小学图音体教师培训250人；372人次的中小学校长参加不同层次的校长培训。2006年9月，为规范教学行为，制定并颁布《南雄市中小学校教学工作常规要求》（试行），分“教学计划、教学过程、教学总结、教学评价”四个部分共46条。对规范教师的教学行为，提高教学质量起到重要作用。</w:t>
      </w:r>
    </w:p>
    <w:p w14:paraId="30A08A37">
      <w:pPr>
        <w:ind w:firstLine="420"/>
        <w:rPr>
          <w:rFonts w:ascii="宋体" w:hAnsi="宋体"/>
        </w:rPr>
      </w:pPr>
      <w:r>
        <w:rPr>
          <w:rFonts w:ascii="宋体" w:hAnsi="宋体"/>
        </w:rPr>
        <w:t>为提高教师的教学能力，教育局组织各学科开展公开示范课、组织送教下乡活动、教学开放周活动。新课改以来共举行全市性各学科课堂教学公开示范课102节。教学开放周活动，共有4500多人次的教师参与活动。邀请省市专家、教授到本市作专题报告，进行现场献课，开展专家引领活动。全面提升教师的整体素质和教育教学能力。</w:t>
      </w:r>
    </w:p>
    <w:p w14:paraId="0C4C0862">
      <w:pPr>
        <w:ind w:firstLine="420"/>
        <w:rPr>
          <w:rFonts w:ascii="宋体" w:hAnsi="宋体"/>
        </w:rPr>
      </w:pPr>
      <w:r>
        <w:rPr>
          <w:rFonts w:ascii="宋体" w:hAnsi="宋体"/>
        </w:rPr>
        <w:t>开展课题研究，以科研促教学发展是南雄市教育的另一特色。2006年，根据《韶关市中小学教育科研管理办法》，结合南雄实际，制定并颁布《南雄市中小学教育科研管理办法（试行）》。一是要求各学校主要领导高度重视，督促课题组成员开展课题研究；二是邀请省市有关专家对课题研究人员进行培训，指导课题研究工作；三是教研室课题指导小组对课题立项单位进行跟踪检查指导，及时提出整改要求，不断总结经验。多年来，本市课题研究成果显著，促进新课程改革实验。从2003年至2010年，本市共承担韶关市以上实验课题107项。</w:t>
      </w:r>
    </w:p>
    <w:p w14:paraId="1B71BB97">
      <w:pPr>
        <w:ind w:firstLine="420"/>
        <w:jc w:val="right"/>
        <w:rPr>
          <w:rFonts w:ascii="宋体" w:hAnsi="宋体"/>
        </w:rPr>
      </w:pPr>
      <w:r>
        <w:rPr>
          <w:rFonts w:ascii="宋体" w:hAnsi="宋体"/>
        </w:rPr>
        <w:t>（陈至明）</w:t>
      </w:r>
    </w:p>
    <w:p w14:paraId="6E7025E8">
      <w:pPr>
        <w:ind w:firstLine="422"/>
        <w:rPr>
          <w:rFonts w:ascii="宋体" w:hAnsi="宋体"/>
          <w:b/>
          <w:bCs/>
        </w:rPr>
      </w:pPr>
      <w:r>
        <w:rPr>
          <w:rFonts w:ascii="宋体" w:hAnsi="宋体"/>
          <w:b/>
          <w:bCs/>
        </w:rPr>
        <w:t>附：2010年教育局领导班子成员名单</w:t>
      </w:r>
    </w:p>
    <w:p w14:paraId="67785278">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田文斌</w:t>
      </w:r>
    </w:p>
    <w:p w14:paraId="472BDF80">
      <w:pPr>
        <w:ind w:firstLine="422"/>
        <w:rPr>
          <w:rFonts w:ascii="宋体" w:hAnsi="宋体"/>
        </w:rPr>
      </w:pPr>
      <w:r>
        <w:rPr>
          <w:rFonts w:ascii="宋体" w:hAnsi="宋体"/>
          <w:b/>
          <w:bCs/>
        </w:rPr>
        <w:t>副局长：</w:t>
      </w:r>
      <w:r>
        <w:rPr>
          <w:rFonts w:ascii="宋体" w:hAnsi="宋体"/>
        </w:rPr>
        <w:t>赖华焜</w:t>
      </w:r>
      <w:r>
        <w:rPr>
          <w:rFonts w:hint="eastAsia" w:ascii="宋体" w:hAnsi="宋体"/>
        </w:rPr>
        <w:t xml:space="preserve">  </w:t>
      </w:r>
      <w:r>
        <w:rPr>
          <w:rFonts w:ascii="宋体" w:hAnsi="宋体"/>
        </w:rPr>
        <w:t>梁云凤</w:t>
      </w:r>
      <w:r>
        <w:rPr>
          <w:rFonts w:hint="eastAsia" w:ascii="宋体" w:hAnsi="宋体"/>
        </w:rPr>
        <w:t xml:space="preserve">  </w:t>
      </w:r>
      <w:r>
        <w:rPr>
          <w:rFonts w:ascii="宋体" w:hAnsi="宋体"/>
        </w:rPr>
        <w:t>饶盛祥</w:t>
      </w:r>
    </w:p>
    <w:p w14:paraId="354272B5">
      <w:pPr>
        <w:ind w:firstLine="1260" w:firstLineChars="600"/>
        <w:rPr>
          <w:rFonts w:ascii="宋体" w:hAnsi="宋体"/>
        </w:rPr>
      </w:pPr>
      <w:r>
        <w:rPr>
          <w:rFonts w:ascii="宋体" w:hAnsi="宋体"/>
        </w:rPr>
        <w:t>刘卫民</w:t>
      </w:r>
    </w:p>
    <w:p w14:paraId="32DD747A">
      <w:pPr>
        <w:ind w:firstLine="422"/>
        <w:rPr>
          <w:rFonts w:ascii="宋体" w:hAnsi="宋体"/>
        </w:rPr>
      </w:pPr>
      <w:r>
        <w:rPr>
          <w:rFonts w:ascii="宋体" w:hAnsi="宋体"/>
          <w:b/>
          <w:bCs/>
        </w:rPr>
        <w:t>纪委书记：</w:t>
      </w:r>
      <w:r>
        <w:rPr>
          <w:rFonts w:ascii="宋体" w:hAnsi="宋体"/>
        </w:rPr>
        <w:t>徐学辉</w:t>
      </w:r>
    </w:p>
    <w:p w14:paraId="46763B91">
      <w:pPr>
        <w:ind w:firstLine="422"/>
        <w:rPr>
          <w:rFonts w:ascii="宋体" w:hAnsi="宋体"/>
        </w:rPr>
      </w:pPr>
      <w:r>
        <w:rPr>
          <w:rFonts w:ascii="宋体" w:hAnsi="宋体"/>
          <w:b/>
          <w:bCs/>
        </w:rPr>
        <w:t>工会主席：</w:t>
      </w:r>
      <w:r>
        <w:rPr>
          <w:rFonts w:ascii="宋体" w:hAnsi="宋体"/>
        </w:rPr>
        <w:t>李卫兵</w:t>
      </w:r>
    </w:p>
    <w:p w14:paraId="4B3B7F31">
      <w:pPr>
        <w:pStyle w:val="4"/>
      </w:pPr>
      <w:r>
        <w:t>【南雄中学】</w:t>
      </w:r>
    </w:p>
    <w:p w14:paraId="7FE4EDE5">
      <w:pPr>
        <w:ind w:firstLine="420"/>
        <w:rPr>
          <w:rFonts w:ascii="宋体" w:hAnsi="宋体"/>
        </w:rPr>
      </w:pPr>
      <w:r>
        <w:rPr>
          <w:rFonts w:ascii="宋体" w:hAnsi="宋体"/>
        </w:rPr>
        <w:t>南雄中学前身为道南书院（1765年），1906年创办新学；1912年，奉省教育厅命令，改为“广东省立南雄中学”；1924年，改为“广东省立第六中学”；1934年，改为“广东省立南雄中学”；1951年定名为“广东南雄中学”；1981年，被广东省人民政府定为南雄县重点中学；1995年，被评为首批“韶关市一级学校”；2003年被评为“广东省一级学校”；2007年成功晋升为首批“广东省国家级示范性普通高中”。</w:t>
      </w:r>
    </w:p>
    <w:p w14:paraId="3A00282C">
      <w:pPr>
        <w:ind w:firstLine="420"/>
        <w:rPr>
          <w:rFonts w:ascii="宋体" w:hAnsi="宋体"/>
        </w:rPr>
      </w:pPr>
      <w:r>
        <w:rPr>
          <w:rFonts w:ascii="宋体" w:hAnsi="宋体"/>
        </w:rPr>
        <w:t>该校占地148亩，建筑面积近6万平方米。现有学生4900多人，是韶关市内规模最大的学校。共有教职工350人，其中特级教师3人，高级教师78人，一级教师110名；硕士研究生8人，研究生33人，专任教师学历达标率100%；拥有省级以上名校长、名教师6人，省级骨干教师28人，韶关市名校长名教师11人。学校设施完善、设备先进。配备多媒体教学平台的教学大楼3栋共72间课室，设备先进的实验楼一栋，藏书丰富的图书馆一栋，功能齐全的学术交流中心一栋，高标准的综合大楼一栋，学生公寓式宿舍4栋，现代化的学生饭堂一座，400米标准塑胶田径运动场一个，塑胶篮球场3个，完善的电视监控系统，先进的网络化管理，现代教学设施设备在韶关市内居于领先地位。</w:t>
      </w:r>
    </w:p>
    <w:p w14:paraId="776864B7">
      <w:pPr>
        <w:ind w:firstLine="420"/>
        <w:rPr>
          <w:rFonts w:ascii="宋体" w:hAnsi="宋体"/>
        </w:rPr>
      </w:pPr>
      <w:r>
        <w:rPr>
          <w:rFonts w:ascii="宋体" w:hAnsi="宋体"/>
        </w:rPr>
        <w:t>学校先后被评为全国中小学“科研兴校示范基地”、全国体育锻炼先进单位、广东省普通高中教学水平评估优秀学校、广东省一级学校、广东省国家级示范性普通高中、广东省普教系统先进集体、广东省“固本强基”先进基层党组织、广东省体育特色学校以及十多个韶关市的先进集体称号。</w:t>
      </w:r>
    </w:p>
    <w:p w14:paraId="4403728B">
      <w:pPr>
        <w:ind w:firstLine="420"/>
        <w:rPr>
          <w:rFonts w:ascii="宋体" w:hAnsi="宋体"/>
        </w:rPr>
      </w:pPr>
      <w:r>
        <w:rPr>
          <w:rFonts w:ascii="宋体" w:hAnsi="宋体"/>
        </w:rPr>
        <w:t>恢复高考至今，已为国家输送1万多名各类人才。有20位同学先后考入北京大学、清华大学；3人获高考广东省单科状元，8人摘取高考韶关市总分桂冠。2010年上第一批本科院校87人，第二批本科院校A线278人，第二批本科院校B线298人，第三批专科院校A线449人，上第三批专科院校B线563人，上线总人数共1675人，在韶关各县市中学中名列第一。从2005年至2010年，该校连续6年被评为“韶关市高考优胜学校”。</w:t>
      </w:r>
    </w:p>
    <w:p w14:paraId="4D2DB21D">
      <w:pPr>
        <w:ind w:firstLine="420"/>
        <w:rPr>
          <w:rFonts w:ascii="宋体" w:hAnsi="宋体"/>
        </w:rPr>
      </w:pPr>
      <w:r>
        <w:rPr>
          <w:rFonts w:ascii="宋体" w:hAnsi="宋体"/>
        </w:rPr>
        <w:t>重教研，兴教改，教科研成果丰硕2003年至2010年，该校顺利地完成国家和广东省“十·五”重点规划课题研究实验项目8项，韶关市级教改实验课题38项，南雄市级教改和校内教改145项，参与各类课题研究的教师有204人；出版两本教师论文集；学校集体或个人在国家级、省级教育教学刊物上发表的论文有156篇，市级以上刊物发表或获奖的有243篇。学生学科、文艺竞赛方面，获国家级奖励50多人次，省级以上奖励158人次。2003年，该校成为广东省第一批“国家级科研兴校示范基地”；2005年，该校被列为全国教育科学“十·五”重点规划课题《中华传统文化诵读与青少年健康发展的实证研究》实验学校。</w:t>
      </w:r>
    </w:p>
    <w:p w14:paraId="1129CC59">
      <w:pPr>
        <w:ind w:firstLine="420"/>
        <w:rPr>
          <w:rFonts w:ascii="宋体" w:hAnsi="宋体"/>
        </w:rPr>
      </w:pPr>
      <w:r>
        <w:rPr>
          <w:rFonts w:ascii="宋体" w:hAnsi="宋体"/>
        </w:rPr>
        <w:t>硬件建设上新台阶为实验大楼添置先进设施，更新完善教学设备，教学环境得到优化；新建一栋王锦辉综合大楼；投资267万元人民币把原有体育场改造成现代化的塑胶球场。</w:t>
      </w:r>
    </w:p>
    <w:p w14:paraId="1C7D1FAB">
      <w:pPr>
        <w:ind w:firstLine="420"/>
        <w:rPr>
          <w:rFonts w:ascii="宋体" w:hAnsi="宋体"/>
        </w:rPr>
      </w:pPr>
      <w:r>
        <w:rPr>
          <w:rFonts w:ascii="宋体" w:hAnsi="宋体"/>
        </w:rPr>
        <w:t>集体荣誉2003年10月，被授予“国家级科研兴教示范基地”；2004年1月学校荣获“中国西部教育顾问单位”的光荣称号；2005年，被列为全国教育科学“十·五”重点规划课题《中华传统文化诵读与青少年健康发展的实证研究》实验学校；2006年5月，学校党总支被评为广东省“固本强基”先进基层党组织；2007年11月，被评为广东省国家级示范性普通高中；2008年3月，被评为“广东省普通高中教学水平评估优秀学校”；2009年2月，被广东省教育厅评为“广东省中小学校本培训示范学校《师德建设》发展学校”；2010年10月，被评为广东省体育特色学校。</w:t>
      </w:r>
    </w:p>
    <w:p w14:paraId="1BD226F0">
      <w:pPr>
        <w:ind w:firstLine="420"/>
        <w:jc w:val="right"/>
        <w:rPr>
          <w:rFonts w:ascii="宋体" w:hAnsi="宋体"/>
        </w:rPr>
      </w:pPr>
      <w:r>
        <w:rPr>
          <w:rFonts w:ascii="宋体" w:hAnsi="宋体"/>
        </w:rPr>
        <w:t>（周济焕）</w:t>
      </w:r>
    </w:p>
    <w:p w14:paraId="39A6B539">
      <w:pPr>
        <w:ind w:firstLine="422"/>
        <w:jc w:val="center"/>
        <w:rPr>
          <w:rFonts w:ascii="宋体" w:hAnsi="宋体"/>
          <w:b/>
        </w:rPr>
      </w:pPr>
      <w:r>
        <w:rPr>
          <w:rFonts w:hint="eastAsia" w:ascii="宋体" w:hAnsi="宋体"/>
          <w:b/>
        </w:rPr>
        <w:t>表27-2  教师个人荣誉（13人次）</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3"/>
        <w:gridCol w:w="3539"/>
        <w:gridCol w:w="1064"/>
        <w:gridCol w:w="2265"/>
        <w:gridCol w:w="1721"/>
      </w:tblGrid>
      <w:tr w14:paraId="06833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pct"/>
            <w:vAlign w:val="center"/>
          </w:tcPr>
          <w:p w14:paraId="0064A03D">
            <w:pPr>
              <w:pStyle w:val="13"/>
              <w:jc w:val="center"/>
              <w:rPr>
                <w:rFonts w:hint="eastAsia"/>
              </w:rPr>
            </w:pPr>
            <w:r>
              <w:rPr>
                <w:rFonts w:hint="eastAsia"/>
              </w:rPr>
              <w:t>姓名</w:t>
            </w:r>
          </w:p>
        </w:tc>
        <w:tc>
          <w:tcPr>
            <w:tcW w:w="1776" w:type="pct"/>
            <w:vAlign w:val="center"/>
          </w:tcPr>
          <w:p w14:paraId="60DEE23A">
            <w:pPr>
              <w:pStyle w:val="13"/>
              <w:jc w:val="center"/>
              <w:rPr>
                <w:rFonts w:hint="eastAsia"/>
              </w:rPr>
            </w:pPr>
            <w:r>
              <w:rPr>
                <w:rFonts w:hint="eastAsia"/>
              </w:rPr>
              <w:t>荣誉</w:t>
            </w:r>
          </w:p>
        </w:tc>
        <w:tc>
          <w:tcPr>
            <w:tcW w:w="534" w:type="pct"/>
            <w:vAlign w:val="center"/>
          </w:tcPr>
          <w:p w14:paraId="3B4237E8">
            <w:pPr>
              <w:pStyle w:val="13"/>
              <w:jc w:val="center"/>
              <w:rPr>
                <w:rFonts w:hint="eastAsia"/>
              </w:rPr>
            </w:pPr>
            <w:r>
              <w:rPr>
                <w:rFonts w:hint="eastAsia"/>
              </w:rPr>
              <w:t>级别</w:t>
            </w:r>
          </w:p>
        </w:tc>
        <w:tc>
          <w:tcPr>
            <w:tcW w:w="1137" w:type="pct"/>
            <w:vAlign w:val="center"/>
          </w:tcPr>
          <w:p w14:paraId="3A816E36">
            <w:pPr>
              <w:pStyle w:val="13"/>
              <w:jc w:val="center"/>
              <w:rPr>
                <w:rFonts w:hint="eastAsia"/>
              </w:rPr>
            </w:pPr>
            <w:r>
              <w:rPr>
                <w:rFonts w:hint="eastAsia"/>
              </w:rPr>
              <w:t>发证单位</w:t>
            </w:r>
          </w:p>
        </w:tc>
        <w:tc>
          <w:tcPr>
            <w:tcW w:w="864" w:type="pct"/>
            <w:vAlign w:val="center"/>
          </w:tcPr>
          <w:p w14:paraId="19DBA0A3">
            <w:pPr>
              <w:pStyle w:val="13"/>
              <w:jc w:val="center"/>
              <w:rPr>
                <w:rFonts w:hint="eastAsia"/>
              </w:rPr>
            </w:pPr>
            <w:r>
              <w:rPr>
                <w:rFonts w:hint="eastAsia"/>
              </w:rPr>
              <w:t>时间</w:t>
            </w:r>
          </w:p>
        </w:tc>
      </w:tr>
      <w:tr w14:paraId="2CF93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pct"/>
            <w:vAlign w:val="center"/>
          </w:tcPr>
          <w:p w14:paraId="27D60DC4">
            <w:pPr>
              <w:pStyle w:val="13"/>
              <w:jc w:val="center"/>
              <w:rPr>
                <w:rFonts w:hint="eastAsia"/>
              </w:rPr>
            </w:pPr>
            <w:r>
              <w:rPr>
                <w:rFonts w:hint="eastAsia"/>
              </w:rPr>
              <w:t>朱兆财</w:t>
            </w:r>
          </w:p>
        </w:tc>
        <w:tc>
          <w:tcPr>
            <w:tcW w:w="1776" w:type="pct"/>
            <w:vAlign w:val="center"/>
          </w:tcPr>
          <w:p w14:paraId="20BF81FF">
            <w:pPr>
              <w:pStyle w:val="13"/>
              <w:jc w:val="center"/>
              <w:rPr>
                <w:rFonts w:hint="eastAsia"/>
              </w:rPr>
            </w:pPr>
            <w:r>
              <w:rPr>
                <w:rFonts w:hint="eastAsia"/>
              </w:rPr>
              <w:t>广东省“南粤优秀山区教师”</w:t>
            </w:r>
          </w:p>
        </w:tc>
        <w:tc>
          <w:tcPr>
            <w:tcW w:w="534" w:type="pct"/>
            <w:vAlign w:val="center"/>
          </w:tcPr>
          <w:p w14:paraId="7ED787BD">
            <w:pPr>
              <w:pStyle w:val="13"/>
              <w:jc w:val="center"/>
              <w:rPr>
                <w:rFonts w:hint="eastAsia"/>
              </w:rPr>
            </w:pPr>
            <w:r>
              <w:rPr>
                <w:rFonts w:hint="eastAsia"/>
              </w:rPr>
              <w:t>省级</w:t>
            </w:r>
          </w:p>
        </w:tc>
        <w:tc>
          <w:tcPr>
            <w:tcW w:w="1137" w:type="pct"/>
            <w:vAlign w:val="center"/>
          </w:tcPr>
          <w:p w14:paraId="741F5989">
            <w:pPr>
              <w:pStyle w:val="13"/>
              <w:jc w:val="center"/>
              <w:rPr>
                <w:rFonts w:hint="eastAsia"/>
              </w:rPr>
            </w:pPr>
            <w:r>
              <w:rPr>
                <w:rFonts w:hint="eastAsia"/>
              </w:rPr>
              <w:t>广东省教育厅</w:t>
            </w:r>
          </w:p>
        </w:tc>
        <w:tc>
          <w:tcPr>
            <w:tcW w:w="864" w:type="pct"/>
            <w:vAlign w:val="center"/>
          </w:tcPr>
          <w:p w14:paraId="115ACE86">
            <w:pPr>
              <w:pStyle w:val="13"/>
              <w:jc w:val="center"/>
              <w:rPr>
                <w:rFonts w:hint="eastAsia"/>
              </w:rPr>
            </w:pPr>
            <w:r>
              <w:rPr>
                <w:rFonts w:hint="eastAsia"/>
              </w:rPr>
              <w:t>2003、9</w:t>
            </w:r>
          </w:p>
        </w:tc>
      </w:tr>
      <w:tr w14:paraId="3B14A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pct"/>
            <w:vAlign w:val="center"/>
          </w:tcPr>
          <w:p w14:paraId="6BD40681">
            <w:pPr>
              <w:pStyle w:val="13"/>
              <w:jc w:val="center"/>
              <w:rPr>
                <w:rFonts w:hint="eastAsia"/>
              </w:rPr>
            </w:pPr>
            <w:r>
              <w:rPr>
                <w:rFonts w:hint="eastAsia"/>
              </w:rPr>
              <w:t>李春明</w:t>
            </w:r>
          </w:p>
        </w:tc>
        <w:tc>
          <w:tcPr>
            <w:tcW w:w="1776" w:type="pct"/>
            <w:vAlign w:val="center"/>
          </w:tcPr>
          <w:p w14:paraId="63D29B50">
            <w:pPr>
              <w:pStyle w:val="13"/>
              <w:jc w:val="center"/>
              <w:rPr>
                <w:rFonts w:hint="eastAsia"/>
              </w:rPr>
            </w:pPr>
            <w:r>
              <w:rPr>
                <w:rFonts w:hint="eastAsia"/>
              </w:rPr>
              <w:t>广东省“南粤优秀山区教师”</w:t>
            </w:r>
          </w:p>
        </w:tc>
        <w:tc>
          <w:tcPr>
            <w:tcW w:w="534" w:type="pct"/>
            <w:vAlign w:val="center"/>
          </w:tcPr>
          <w:p w14:paraId="3577D041">
            <w:pPr>
              <w:pStyle w:val="13"/>
              <w:jc w:val="center"/>
              <w:rPr>
                <w:rFonts w:hint="eastAsia"/>
              </w:rPr>
            </w:pPr>
            <w:r>
              <w:rPr>
                <w:rFonts w:hint="eastAsia"/>
              </w:rPr>
              <w:t>省级</w:t>
            </w:r>
          </w:p>
        </w:tc>
        <w:tc>
          <w:tcPr>
            <w:tcW w:w="1137" w:type="pct"/>
            <w:vAlign w:val="center"/>
          </w:tcPr>
          <w:p w14:paraId="0B6B4395">
            <w:pPr>
              <w:pStyle w:val="13"/>
              <w:jc w:val="center"/>
              <w:rPr>
                <w:rFonts w:hint="eastAsia"/>
              </w:rPr>
            </w:pPr>
            <w:r>
              <w:rPr>
                <w:rFonts w:hint="eastAsia"/>
              </w:rPr>
              <w:t>广东省教育厅</w:t>
            </w:r>
          </w:p>
        </w:tc>
        <w:tc>
          <w:tcPr>
            <w:tcW w:w="864" w:type="pct"/>
            <w:vAlign w:val="center"/>
          </w:tcPr>
          <w:p w14:paraId="7FC98E52">
            <w:pPr>
              <w:pStyle w:val="13"/>
              <w:jc w:val="center"/>
              <w:rPr>
                <w:rFonts w:hint="eastAsia"/>
              </w:rPr>
            </w:pPr>
            <w:r>
              <w:rPr>
                <w:rFonts w:hint="eastAsia"/>
              </w:rPr>
              <w:t>2004、9</w:t>
            </w:r>
          </w:p>
        </w:tc>
      </w:tr>
      <w:tr w14:paraId="23CB1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pct"/>
            <w:vAlign w:val="center"/>
          </w:tcPr>
          <w:p w14:paraId="2B7C157D">
            <w:pPr>
              <w:pStyle w:val="13"/>
              <w:jc w:val="center"/>
              <w:rPr>
                <w:rFonts w:hint="eastAsia"/>
              </w:rPr>
            </w:pPr>
            <w:r>
              <w:rPr>
                <w:rFonts w:hint="eastAsia"/>
              </w:rPr>
              <w:t>钟桂芳</w:t>
            </w:r>
          </w:p>
        </w:tc>
        <w:tc>
          <w:tcPr>
            <w:tcW w:w="1776" w:type="pct"/>
            <w:vAlign w:val="center"/>
          </w:tcPr>
          <w:p w14:paraId="28445222">
            <w:pPr>
              <w:pStyle w:val="13"/>
              <w:jc w:val="center"/>
              <w:rPr>
                <w:rFonts w:hint="eastAsia"/>
              </w:rPr>
            </w:pPr>
            <w:r>
              <w:rPr>
                <w:rFonts w:hint="eastAsia"/>
              </w:rPr>
              <w:t>广东省骨干信息技术教师</w:t>
            </w:r>
          </w:p>
        </w:tc>
        <w:tc>
          <w:tcPr>
            <w:tcW w:w="534" w:type="pct"/>
            <w:vAlign w:val="center"/>
          </w:tcPr>
          <w:p w14:paraId="51604889">
            <w:pPr>
              <w:pStyle w:val="13"/>
              <w:jc w:val="center"/>
              <w:rPr>
                <w:rFonts w:hint="eastAsia"/>
              </w:rPr>
            </w:pPr>
            <w:r>
              <w:rPr>
                <w:rFonts w:hint="eastAsia"/>
              </w:rPr>
              <w:t>省级</w:t>
            </w:r>
          </w:p>
        </w:tc>
        <w:tc>
          <w:tcPr>
            <w:tcW w:w="1137" w:type="pct"/>
            <w:vAlign w:val="center"/>
          </w:tcPr>
          <w:p w14:paraId="708FA61A">
            <w:pPr>
              <w:pStyle w:val="13"/>
              <w:jc w:val="center"/>
              <w:rPr>
                <w:rFonts w:hint="eastAsia"/>
              </w:rPr>
            </w:pPr>
            <w:r>
              <w:rPr>
                <w:rFonts w:hint="eastAsia"/>
              </w:rPr>
              <w:t>广东省教育厅</w:t>
            </w:r>
          </w:p>
        </w:tc>
        <w:tc>
          <w:tcPr>
            <w:tcW w:w="864" w:type="pct"/>
            <w:vAlign w:val="center"/>
          </w:tcPr>
          <w:p w14:paraId="2267D788">
            <w:pPr>
              <w:pStyle w:val="13"/>
              <w:jc w:val="center"/>
              <w:rPr>
                <w:rFonts w:hint="eastAsia"/>
              </w:rPr>
            </w:pPr>
            <w:r>
              <w:rPr>
                <w:rFonts w:hint="eastAsia"/>
              </w:rPr>
              <w:t>2005、8</w:t>
            </w:r>
          </w:p>
        </w:tc>
      </w:tr>
      <w:tr w14:paraId="54C74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pct"/>
            <w:vAlign w:val="center"/>
          </w:tcPr>
          <w:p w14:paraId="3A221581">
            <w:pPr>
              <w:pStyle w:val="13"/>
              <w:jc w:val="center"/>
              <w:rPr>
                <w:rFonts w:hint="eastAsia"/>
              </w:rPr>
            </w:pPr>
            <w:r>
              <w:rPr>
                <w:rFonts w:hint="eastAsia"/>
              </w:rPr>
              <w:t>胡图山</w:t>
            </w:r>
          </w:p>
        </w:tc>
        <w:tc>
          <w:tcPr>
            <w:tcW w:w="1776" w:type="pct"/>
            <w:vAlign w:val="center"/>
          </w:tcPr>
          <w:p w14:paraId="3EAD2C4A">
            <w:pPr>
              <w:pStyle w:val="13"/>
              <w:jc w:val="center"/>
              <w:rPr>
                <w:rFonts w:hint="eastAsia"/>
              </w:rPr>
            </w:pPr>
            <w:r>
              <w:rPr>
                <w:rFonts w:hint="eastAsia"/>
              </w:rPr>
              <w:t>广东省骨干物理教师</w:t>
            </w:r>
          </w:p>
        </w:tc>
        <w:tc>
          <w:tcPr>
            <w:tcW w:w="534" w:type="pct"/>
            <w:vAlign w:val="center"/>
          </w:tcPr>
          <w:p w14:paraId="6CCB65F0">
            <w:pPr>
              <w:pStyle w:val="13"/>
              <w:jc w:val="center"/>
              <w:rPr>
                <w:rFonts w:hint="eastAsia"/>
              </w:rPr>
            </w:pPr>
            <w:r>
              <w:rPr>
                <w:rFonts w:hint="eastAsia"/>
              </w:rPr>
              <w:t>省级</w:t>
            </w:r>
          </w:p>
        </w:tc>
        <w:tc>
          <w:tcPr>
            <w:tcW w:w="1137" w:type="pct"/>
            <w:vAlign w:val="center"/>
          </w:tcPr>
          <w:p w14:paraId="6B0B8F54">
            <w:pPr>
              <w:pStyle w:val="13"/>
              <w:jc w:val="center"/>
              <w:rPr>
                <w:rFonts w:hint="eastAsia"/>
              </w:rPr>
            </w:pPr>
            <w:r>
              <w:rPr>
                <w:rFonts w:hint="eastAsia"/>
              </w:rPr>
              <w:t>广东省教育厅</w:t>
            </w:r>
          </w:p>
        </w:tc>
        <w:tc>
          <w:tcPr>
            <w:tcW w:w="864" w:type="pct"/>
            <w:vAlign w:val="center"/>
          </w:tcPr>
          <w:p w14:paraId="749974C8">
            <w:pPr>
              <w:pStyle w:val="13"/>
              <w:jc w:val="center"/>
              <w:rPr>
                <w:rFonts w:hint="eastAsia"/>
              </w:rPr>
            </w:pPr>
            <w:r>
              <w:rPr>
                <w:rFonts w:hint="eastAsia"/>
              </w:rPr>
              <w:t>2006.8</w:t>
            </w:r>
          </w:p>
        </w:tc>
      </w:tr>
      <w:tr w14:paraId="5B0BF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pct"/>
            <w:vAlign w:val="center"/>
          </w:tcPr>
          <w:p w14:paraId="1F2F7B35">
            <w:pPr>
              <w:pStyle w:val="13"/>
              <w:jc w:val="center"/>
              <w:rPr>
                <w:rFonts w:hint="eastAsia"/>
              </w:rPr>
            </w:pPr>
            <w:r>
              <w:rPr>
                <w:rFonts w:hint="eastAsia"/>
              </w:rPr>
              <w:t>李春明</w:t>
            </w:r>
          </w:p>
        </w:tc>
        <w:tc>
          <w:tcPr>
            <w:tcW w:w="1776" w:type="pct"/>
            <w:vAlign w:val="center"/>
          </w:tcPr>
          <w:p w14:paraId="010BCA88">
            <w:pPr>
              <w:pStyle w:val="13"/>
              <w:jc w:val="center"/>
              <w:rPr>
                <w:rFonts w:hint="eastAsia"/>
              </w:rPr>
            </w:pPr>
            <w:r>
              <w:rPr>
                <w:rFonts w:hint="eastAsia"/>
              </w:rPr>
              <w:t>广东省特级教师</w:t>
            </w:r>
          </w:p>
        </w:tc>
        <w:tc>
          <w:tcPr>
            <w:tcW w:w="534" w:type="pct"/>
            <w:vAlign w:val="center"/>
          </w:tcPr>
          <w:p w14:paraId="5FC5B066">
            <w:pPr>
              <w:pStyle w:val="13"/>
              <w:jc w:val="center"/>
              <w:rPr>
                <w:rFonts w:hint="eastAsia"/>
              </w:rPr>
            </w:pPr>
            <w:r>
              <w:rPr>
                <w:rFonts w:hint="eastAsia"/>
              </w:rPr>
              <w:t>省级</w:t>
            </w:r>
          </w:p>
        </w:tc>
        <w:tc>
          <w:tcPr>
            <w:tcW w:w="1137" w:type="pct"/>
            <w:vAlign w:val="center"/>
          </w:tcPr>
          <w:p w14:paraId="41F2267F">
            <w:pPr>
              <w:pStyle w:val="13"/>
              <w:jc w:val="center"/>
              <w:rPr>
                <w:rFonts w:hint="eastAsia"/>
              </w:rPr>
            </w:pPr>
            <w:r>
              <w:rPr>
                <w:rFonts w:hint="eastAsia"/>
              </w:rPr>
              <w:t>广东省教育厅</w:t>
            </w:r>
          </w:p>
        </w:tc>
        <w:tc>
          <w:tcPr>
            <w:tcW w:w="864" w:type="pct"/>
            <w:vAlign w:val="center"/>
          </w:tcPr>
          <w:p w14:paraId="3D9B408B">
            <w:pPr>
              <w:pStyle w:val="13"/>
              <w:jc w:val="center"/>
              <w:rPr>
                <w:rFonts w:hint="eastAsia"/>
              </w:rPr>
            </w:pPr>
            <w:r>
              <w:rPr>
                <w:rFonts w:hint="eastAsia"/>
              </w:rPr>
              <w:t>2006.9</w:t>
            </w:r>
          </w:p>
        </w:tc>
      </w:tr>
      <w:tr w14:paraId="5AA52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pct"/>
            <w:vAlign w:val="center"/>
          </w:tcPr>
          <w:p w14:paraId="1D941B1D">
            <w:pPr>
              <w:pStyle w:val="13"/>
              <w:jc w:val="center"/>
              <w:rPr>
                <w:rFonts w:hint="eastAsia"/>
              </w:rPr>
            </w:pPr>
            <w:r>
              <w:rPr>
                <w:rFonts w:hint="eastAsia"/>
              </w:rPr>
              <w:t>邓光冲</w:t>
            </w:r>
          </w:p>
        </w:tc>
        <w:tc>
          <w:tcPr>
            <w:tcW w:w="1776" w:type="pct"/>
            <w:vAlign w:val="center"/>
          </w:tcPr>
          <w:p w14:paraId="5F4414DA">
            <w:pPr>
              <w:pStyle w:val="13"/>
              <w:jc w:val="center"/>
              <w:rPr>
                <w:rFonts w:hint="eastAsia"/>
              </w:rPr>
            </w:pPr>
            <w:r>
              <w:rPr>
                <w:rFonts w:hint="eastAsia"/>
              </w:rPr>
              <w:t>优秀科研人员</w:t>
            </w:r>
          </w:p>
        </w:tc>
        <w:tc>
          <w:tcPr>
            <w:tcW w:w="534" w:type="pct"/>
            <w:vAlign w:val="center"/>
          </w:tcPr>
          <w:p w14:paraId="7145BE83">
            <w:pPr>
              <w:pStyle w:val="13"/>
              <w:jc w:val="center"/>
              <w:rPr>
                <w:rFonts w:hint="eastAsia"/>
              </w:rPr>
            </w:pPr>
            <w:r>
              <w:rPr>
                <w:rFonts w:hint="eastAsia"/>
              </w:rPr>
              <w:t>省级</w:t>
            </w:r>
          </w:p>
        </w:tc>
        <w:tc>
          <w:tcPr>
            <w:tcW w:w="1137" w:type="pct"/>
            <w:vAlign w:val="center"/>
          </w:tcPr>
          <w:p w14:paraId="41AF8119">
            <w:pPr>
              <w:pStyle w:val="13"/>
              <w:jc w:val="center"/>
              <w:rPr>
                <w:rFonts w:hint="eastAsia"/>
              </w:rPr>
            </w:pPr>
            <w:r>
              <w:rPr>
                <w:rFonts w:hint="eastAsia"/>
              </w:rPr>
              <w:t>广东省电化教育馆</w:t>
            </w:r>
          </w:p>
        </w:tc>
        <w:tc>
          <w:tcPr>
            <w:tcW w:w="864" w:type="pct"/>
            <w:vAlign w:val="center"/>
          </w:tcPr>
          <w:p w14:paraId="5B476DDB">
            <w:pPr>
              <w:pStyle w:val="13"/>
              <w:jc w:val="center"/>
              <w:rPr>
                <w:rFonts w:hint="eastAsia"/>
              </w:rPr>
            </w:pPr>
            <w:r>
              <w:rPr>
                <w:rFonts w:hint="eastAsia"/>
              </w:rPr>
              <w:t>2006、6</w:t>
            </w:r>
          </w:p>
        </w:tc>
      </w:tr>
      <w:tr w14:paraId="77D76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pct"/>
            <w:vAlign w:val="center"/>
          </w:tcPr>
          <w:p w14:paraId="45E98F39">
            <w:pPr>
              <w:pStyle w:val="13"/>
              <w:jc w:val="center"/>
              <w:rPr>
                <w:rFonts w:hint="eastAsia"/>
              </w:rPr>
            </w:pPr>
            <w:r>
              <w:rPr>
                <w:rFonts w:hint="eastAsia"/>
              </w:rPr>
              <w:t>胡钟超</w:t>
            </w:r>
          </w:p>
        </w:tc>
        <w:tc>
          <w:tcPr>
            <w:tcW w:w="1776" w:type="pct"/>
            <w:vAlign w:val="center"/>
          </w:tcPr>
          <w:p w14:paraId="0EB19FA0">
            <w:pPr>
              <w:pStyle w:val="13"/>
              <w:jc w:val="center"/>
              <w:rPr>
                <w:rFonts w:hint="eastAsia"/>
              </w:rPr>
            </w:pPr>
            <w:r>
              <w:rPr>
                <w:rFonts w:hint="eastAsia"/>
              </w:rPr>
              <w:t>广东省中学体育工作优秀校长</w:t>
            </w:r>
          </w:p>
        </w:tc>
        <w:tc>
          <w:tcPr>
            <w:tcW w:w="534" w:type="pct"/>
            <w:vAlign w:val="center"/>
          </w:tcPr>
          <w:p w14:paraId="244D626E">
            <w:pPr>
              <w:pStyle w:val="13"/>
              <w:jc w:val="center"/>
              <w:rPr>
                <w:rFonts w:hint="eastAsia"/>
              </w:rPr>
            </w:pPr>
            <w:r>
              <w:rPr>
                <w:rFonts w:hint="eastAsia"/>
              </w:rPr>
              <w:t>省级</w:t>
            </w:r>
          </w:p>
        </w:tc>
        <w:tc>
          <w:tcPr>
            <w:tcW w:w="1137" w:type="pct"/>
            <w:vAlign w:val="center"/>
          </w:tcPr>
          <w:p w14:paraId="31D7D63F">
            <w:pPr>
              <w:pStyle w:val="13"/>
              <w:jc w:val="center"/>
              <w:rPr>
                <w:rFonts w:hint="eastAsia"/>
              </w:rPr>
            </w:pPr>
            <w:r>
              <w:rPr>
                <w:rFonts w:hint="eastAsia"/>
              </w:rPr>
              <w:t>广东教育学会体育卫生专业委员会</w:t>
            </w:r>
          </w:p>
        </w:tc>
        <w:tc>
          <w:tcPr>
            <w:tcW w:w="864" w:type="pct"/>
            <w:vAlign w:val="center"/>
          </w:tcPr>
          <w:p w14:paraId="0D182138">
            <w:pPr>
              <w:pStyle w:val="13"/>
              <w:jc w:val="center"/>
              <w:rPr>
                <w:rFonts w:hint="eastAsia"/>
              </w:rPr>
            </w:pPr>
            <w:r>
              <w:rPr>
                <w:rFonts w:hint="eastAsia"/>
              </w:rPr>
              <w:t>2008.6</w:t>
            </w:r>
          </w:p>
        </w:tc>
      </w:tr>
      <w:tr w14:paraId="2AE42F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pct"/>
            <w:vAlign w:val="center"/>
          </w:tcPr>
          <w:p w14:paraId="79D04283">
            <w:pPr>
              <w:pStyle w:val="13"/>
              <w:jc w:val="center"/>
              <w:rPr>
                <w:rFonts w:hint="eastAsia"/>
              </w:rPr>
            </w:pPr>
            <w:r>
              <w:rPr>
                <w:rFonts w:hint="eastAsia"/>
              </w:rPr>
              <w:t>胡钟超</w:t>
            </w:r>
          </w:p>
        </w:tc>
        <w:tc>
          <w:tcPr>
            <w:tcW w:w="1776" w:type="pct"/>
            <w:vAlign w:val="center"/>
          </w:tcPr>
          <w:p w14:paraId="16A28EFF">
            <w:pPr>
              <w:pStyle w:val="13"/>
              <w:jc w:val="center"/>
              <w:rPr>
                <w:rFonts w:hint="eastAsia"/>
              </w:rPr>
            </w:pPr>
            <w:r>
              <w:rPr>
                <w:rFonts w:hint="eastAsia"/>
              </w:rPr>
              <w:t>广东省名校长</w:t>
            </w:r>
          </w:p>
        </w:tc>
        <w:tc>
          <w:tcPr>
            <w:tcW w:w="534" w:type="pct"/>
            <w:vAlign w:val="center"/>
          </w:tcPr>
          <w:p w14:paraId="39A40F15">
            <w:pPr>
              <w:pStyle w:val="13"/>
              <w:jc w:val="center"/>
              <w:rPr>
                <w:rFonts w:hint="eastAsia"/>
              </w:rPr>
            </w:pPr>
            <w:r>
              <w:rPr>
                <w:rFonts w:hint="eastAsia"/>
              </w:rPr>
              <w:t>省级</w:t>
            </w:r>
          </w:p>
        </w:tc>
        <w:tc>
          <w:tcPr>
            <w:tcW w:w="1137" w:type="pct"/>
            <w:vAlign w:val="center"/>
          </w:tcPr>
          <w:p w14:paraId="2A47368A">
            <w:pPr>
              <w:pStyle w:val="13"/>
              <w:jc w:val="center"/>
              <w:rPr>
                <w:rFonts w:hint="eastAsia"/>
              </w:rPr>
            </w:pPr>
            <w:r>
              <w:rPr>
                <w:rFonts w:hint="eastAsia"/>
              </w:rPr>
              <w:t>广东省教育厅</w:t>
            </w:r>
          </w:p>
        </w:tc>
        <w:tc>
          <w:tcPr>
            <w:tcW w:w="864" w:type="pct"/>
            <w:vAlign w:val="center"/>
          </w:tcPr>
          <w:p w14:paraId="5FAF2066">
            <w:pPr>
              <w:pStyle w:val="13"/>
              <w:jc w:val="center"/>
              <w:rPr>
                <w:rFonts w:hint="eastAsia"/>
              </w:rPr>
            </w:pPr>
            <w:r>
              <w:rPr>
                <w:rFonts w:hint="eastAsia"/>
              </w:rPr>
              <w:t>2008.7</w:t>
            </w:r>
          </w:p>
        </w:tc>
      </w:tr>
      <w:tr w14:paraId="658C5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pct"/>
            <w:vAlign w:val="center"/>
          </w:tcPr>
          <w:p w14:paraId="7626E410">
            <w:pPr>
              <w:pStyle w:val="13"/>
              <w:jc w:val="center"/>
              <w:rPr>
                <w:rFonts w:hint="eastAsia"/>
              </w:rPr>
            </w:pPr>
            <w:r>
              <w:rPr>
                <w:rFonts w:hint="eastAsia"/>
              </w:rPr>
              <w:t>林  琼</w:t>
            </w:r>
          </w:p>
        </w:tc>
        <w:tc>
          <w:tcPr>
            <w:tcW w:w="1776" w:type="pct"/>
            <w:vAlign w:val="center"/>
          </w:tcPr>
          <w:p w14:paraId="526E2484">
            <w:pPr>
              <w:pStyle w:val="13"/>
              <w:jc w:val="center"/>
              <w:rPr>
                <w:rFonts w:hint="eastAsia"/>
              </w:rPr>
            </w:pPr>
            <w:r>
              <w:rPr>
                <w:rFonts w:hint="eastAsia"/>
              </w:rPr>
              <w:t>广东省骨干英语教师</w:t>
            </w:r>
          </w:p>
        </w:tc>
        <w:tc>
          <w:tcPr>
            <w:tcW w:w="534" w:type="pct"/>
            <w:vAlign w:val="center"/>
          </w:tcPr>
          <w:p w14:paraId="74FB3440">
            <w:pPr>
              <w:pStyle w:val="13"/>
              <w:jc w:val="center"/>
              <w:rPr>
                <w:rFonts w:hint="eastAsia"/>
              </w:rPr>
            </w:pPr>
            <w:r>
              <w:rPr>
                <w:rFonts w:hint="eastAsia"/>
              </w:rPr>
              <w:t>省级</w:t>
            </w:r>
          </w:p>
        </w:tc>
        <w:tc>
          <w:tcPr>
            <w:tcW w:w="1137" w:type="pct"/>
            <w:vAlign w:val="center"/>
          </w:tcPr>
          <w:p w14:paraId="71A76F1E">
            <w:pPr>
              <w:pStyle w:val="13"/>
              <w:jc w:val="center"/>
              <w:rPr>
                <w:rFonts w:hint="eastAsia"/>
              </w:rPr>
            </w:pPr>
            <w:r>
              <w:rPr>
                <w:rFonts w:hint="eastAsia"/>
              </w:rPr>
              <w:t>广东省教育厅</w:t>
            </w:r>
          </w:p>
        </w:tc>
        <w:tc>
          <w:tcPr>
            <w:tcW w:w="864" w:type="pct"/>
            <w:vAlign w:val="center"/>
          </w:tcPr>
          <w:p w14:paraId="171F4899">
            <w:pPr>
              <w:pStyle w:val="13"/>
              <w:jc w:val="center"/>
              <w:rPr>
                <w:rFonts w:hint="eastAsia"/>
              </w:rPr>
            </w:pPr>
            <w:r>
              <w:rPr>
                <w:rFonts w:hint="eastAsia"/>
              </w:rPr>
              <w:t>2008.12</w:t>
            </w:r>
          </w:p>
        </w:tc>
      </w:tr>
      <w:tr w14:paraId="11BEF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pct"/>
            <w:vAlign w:val="center"/>
          </w:tcPr>
          <w:p w14:paraId="523EB3CC">
            <w:pPr>
              <w:pStyle w:val="13"/>
              <w:jc w:val="center"/>
              <w:rPr>
                <w:rFonts w:hint="eastAsia"/>
              </w:rPr>
            </w:pPr>
            <w:r>
              <w:rPr>
                <w:rFonts w:hint="eastAsia"/>
              </w:rPr>
              <w:t>林  琼</w:t>
            </w:r>
          </w:p>
        </w:tc>
        <w:tc>
          <w:tcPr>
            <w:tcW w:w="1776" w:type="pct"/>
            <w:vAlign w:val="center"/>
          </w:tcPr>
          <w:p w14:paraId="6CE19BC6">
            <w:pPr>
              <w:pStyle w:val="13"/>
              <w:jc w:val="center"/>
              <w:rPr>
                <w:rFonts w:hint="eastAsia"/>
              </w:rPr>
            </w:pPr>
            <w:r>
              <w:rPr>
                <w:rFonts w:hint="eastAsia"/>
              </w:rPr>
              <w:t>广东省名教师</w:t>
            </w:r>
          </w:p>
        </w:tc>
        <w:tc>
          <w:tcPr>
            <w:tcW w:w="534" w:type="pct"/>
            <w:vAlign w:val="center"/>
          </w:tcPr>
          <w:p w14:paraId="7935C82F">
            <w:pPr>
              <w:pStyle w:val="13"/>
              <w:jc w:val="center"/>
              <w:rPr>
                <w:rFonts w:hint="eastAsia"/>
              </w:rPr>
            </w:pPr>
            <w:r>
              <w:rPr>
                <w:rFonts w:hint="eastAsia"/>
              </w:rPr>
              <w:t>省级</w:t>
            </w:r>
          </w:p>
        </w:tc>
        <w:tc>
          <w:tcPr>
            <w:tcW w:w="1137" w:type="pct"/>
            <w:vAlign w:val="center"/>
          </w:tcPr>
          <w:p w14:paraId="5C3FA26E">
            <w:pPr>
              <w:pStyle w:val="13"/>
              <w:jc w:val="center"/>
              <w:rPr>
                <w:rFonts w:hint="eastAsia"/>
              </w:rPr>
            </w:pPr>
            <w:r>
              <w:rPr>
                <w:rFonts w:hint="eastAsia"/>
              </w:rPr>
              <w:t>广东省教育厅</w:t>
            </w:r>
          </w:p>
        </w:tc>
        <w:tc>
          <w:tcPr>
            <w:tcW w:w="864" w:type="pct"/>
            <w:vAlign w:val="center"/>
          </w:tcPr>
          <w:p w14:paraId="613E6EBD">
            <w:pPr>
              <w:pStyle w:val="13"/>
              <w:jc w:val="center"/>
              <w:rPr>
                <w:rFonts w:hint="eastAsia"/>
              </w:rPr>
            </w:pPr>
            <w:r>
              <w:rPr>
                <w:rFonts w:hint="eastAsia"/>
              </w:rPr>
              <w:t>2008.7</w:t>
            </w:r>
          </w:p>
        </w:tc>
      </w:tr>
      <w:tr w14:paraId="5C0CD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pct"/>
            <w:vAlign w:val="center"/>
          </w:tcPr>
          <w:p w14:paraId="185B7F0B">
            <w:pPr>
              <w:pStyle w:val="13"/>
              <w:jc w:val="center"/>
              <w:rPr>
                <w:rFonts w:hint="eastAsia"/>
              </w:rPr>
            </w:pPr>
            <w:r>
              <w:rPr>
                <w:rFonts w:hint="eastAsia"/>
              </w:rPr>
              <w:t>莫绵润</w:t>
            </w:r>
          </w:p>
        </w:tc>
        <w:tc>
          <w:tcPr>
            <w:tcW w:w="1776" w:type="pct"/>
            <w:vAlign w:val="center"/>
          </w:tcPr>
          <w:p w14:paraId="569FF080">
            <w:pPr>
              <w:pStyle w:val="13"/>
              <w:jc w:val="center"/>
              <w:rPr>
                <w:rFonts w:hint="eastAsia"/>
              </w:rPr>
            </w:pPr>
            <w:r>
              <w:rPr>
                <w:rFonts w:hint="eastAsia"/>
              </w:rPr>
              <w:t>广东省名教师</w:t>
            </w:r>
          </w:p>
        </w:tc>
        <w:tc>
          <w:tcPr>
            <w:tcW w:w="534" w:type="pct"/>
            <w:vAlign w:val="center"/>
          </w:tcPr>
          <w:p w14:paraId="3DFECDF3">
            <w:pPr>
              <w:pStyle w:val="13"/>
              <w:jc w:val="center"/>
              <w:rPr>
                <w:rFonts w:hint="eastAsia"/>
              </w:rPr>
            </w:pPr>
            <w:r>
              <w:rPr>
                <w:rFonts w:hint="eastAsia"/>
              </w:rPr>
              <w:t>省级</w:t>
            </w:r>
          </w:p>
        </w:tc>
        <w:tc>
          <w:tcPr>
            <w:tcW w:w="1137" w:type="pct"/>
            <w:vAlign w:val="center"/>
          </w:tcPr>
          <w:p w14:paraId="5299A062">
            <w:pPr>
              <w:pStyle w:val="13"/>
              <w:jc w:val="center"/>
              <w:rPr>
                <w:rFonts w:hint="eastAsia"/>
              </w:rPr>
            </w:pPr>
            <w:r>
              <w:rPr>
                <w:rFonts w:hint="eastAsia"/>
              </w:rPr>
              <w:t>广东省教育厅</w:t>
            </w:r>
          </w:p>
        </w:tc>
        <w:tc>
          <w:tcPr>
            <w:tcW w:w="864" w:type="pct"/>
            <w:vAlign w:val="center"/>
          </w:tcPr>
          <w:p w14:paraId="0A3BB981">
            <w:pPr>
              <w:pStyle w:val="13"/>
              <w:jc w:val="center"/>
              <w:rPr>
                <w:rFonts w:hint="eastAsia"/>
              </w:rPr>
            </w:pPr>
            <w:r>
              <w:rPr>
                <w:rFonts w:hint="eastAsia"/>
              </w:rPr>
              <w:t>2008.11</w:t>
            </w:r>
          </w:p>
        </w:tc>
      </w:tr>
      <w:tr w14:paraId="1097B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pct"/>
            <w:vAlign w:val="center"/>
          </w:tcPr>
          <w:p w14:paraId="03C18449">
            <w:pPr>
              <w:pStyle w:val="13"/>
              <w:jc w:val="center"/>
              <w:rPr>
                <w:rFonts w:hint="eastAsia"/>
              </w:rPr>
            </w:pPr>
            <w:r>
              <w:rPr>
                <w:rFonts w:hint="eastAsia"/>
              </w:rPr>
              <w:t>何瑞英</w:t>
            </w:r>
          </w:p>
        </w:tc>
        <w:tc>
          <w:tcPr>
            <w:tcW w:w="1776" w:type="pct"/>
            <w:vAlign w:val="center"/>
          </w:tcPr>
          <w:p w14:paraId="2CB1ABBD">
            <w:pPr>
              <w:pStyle w:val="13"/>
              <w:jc w:val="center"/>
              <w:rPr>
                <w:rFonts w:hint="eastAsia"/>
              </w:rPr>
            </w:pPr>
            <w:r>
              <w:rPr>
                <w:rFonts w:hint="eastAsia"/>
              </w:rPr>
              <w:t>广东省骨干语文教师</w:t>
            </w:r>
          </w:p>
        </w:tc>
        <w:tc>
          <w:tcPr>
            <w:tcW w:w="534" w:type="pct"/>
            <w:vAlign w:val="center"/>
          </w:tcPr>
          <w:p w14:paraId="3A297726">
            <w:pPr>
              <w:pStyle w:val="13"/>
              <w:jc w:val="center"/>
              <w:rPr>
                <w:rFonts w:hint="eastAsia"/>
              </w:rPr>
            </w:pPr>
            <w:r>
              <w:rPr>
                <w:rFonts w:hint="eastAsia"/>
              </w:rPr>
              <w:t>省级</w:t>
            </w:r>
          </w:p>
        </w:tc>
        <w:tc>
          <w:tcPr>
            <w:tcW w:w="1137" w:type="pct"/>
            <w:vAlign w:val="center"/>
          </w:tcPr>
          <w:p w14:paraId="65613819">
            <w:pPr>
              <w:pStyle w:val="13"/>
              <w:jc w:val="center"/>
              <w:rPr>
                <w:rFonts w:hint="eastAsia"/>
              </w:rPr>
            </w:pPr>
            <w:r>
              <w:rPr>
                <w:rFonts w:hint="eastAsia"/>
              </w:rPr>
              <w:t>广东省教育厅</w:t>
            </w:r>
          </w:p>
        </w:tc>
        <w:tc>
          <w:tcPr>
            <w:tcW w:w="864" w:type="pct"/>
            <w:vAlign w:val="center"/>
          </w:tcPr>
          <w:p w14:paraId="70DBA17E">
            <w:pPr>
              <w:pStyle w:val="13"/>
              <w:jc w:val="center"/>
              <w:rPr>
                <w:rFonts w:hint="eastAsia"/>
              </w:rPr>
            </w:pPr>
            <w:r>
              <w:rPr>
                <w:rFonts w:hint="eastAsia"/>
              </w:rPr>
              <w:t>2008.12</w:t>
            </w:r>
          </w:p>
        </w:tc>
      </w:tr>
      <w:tr w14:paraId="39583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pct"/>
            <w:vAlign w:val="center"/>
          </w:tcPr>
          <w:p w14:paraId="41EFDC00">
            <w:pPr>
              <w:pStyle w:val="13"/>
              <w:jc w:val="center"/>
              <w:rPr>
                <w:rFonts w:hint="eastAsia"/>
              </w:rPr>
            </w:pPr>
            <w:r>
              <w:rPr>
                <w:rFonts w:hint="eastAsia"/>
              </w:rPr>
              <w:t>郭  军</w:t>
            </w:r>
          </w:p>
        </w:tc>
        <w:tc>
          <w:tcPr>
            <w:tcW w:w="1776" w:type="pct"/>
            <w:vAlign w:val="center"/>
          </w:tcPr>
          <w:p w14:paraId="6768D730">
            <w:pPr>
              <w:pStyle w:val="13"/>
              <w:jc w:val="center"/>
              <w:rPr>
                <w:rFonts w:hint="eastAsia"/>
              </w:rPr>
            </w:pPr>
            <w:r>
              <w:rPr>
                <w:rFonts w:hint="eastAsia"/>
              </w:rPr>
              <w:t>广东省特级教师</w:t>
            </w:r>
          </w:p>
        </w:tc>
        <w:tc>
          <w:tcPr>
            <w:tcW w:w="534" w:type="pct"/>
            <w:vAlign w:val="center"/>
          </w:tcPr>
          <w:p w14:paraId="69B4EBE9">
            <w:pPr>
              <w:pStyle w:val="13"/>
              <w:jc w:val="center"/>
              <w:rPr>
                <w:rFonts w:hint="eastAsia"/>
              </w:rPr>
            </w:pPr>
            <w:r>
              <w:rPr>
                <w:rFonts w:hint="eastAsia"/>
              </w:rPr>
              <w:t>省级</w:t>
            </w:r>
          </w:p>
        </w:tc>
        <w:tc>
          <w:tcPr>
            <w:tcW w:w="1137" w:type="pct"/>
            <w:vAlign w:val="center"/>
          </w:tcPr>
          <w:p w14:paraId="0E2B422B">
            <w:pPr>
              <w:pStyle w:val="13"/>
              <w:jc w:val="center"/>
              <w:rPr>
                <w:rFonts w:hint="eastAsia"/>
              </w:rPr>
            </w:pPr>
            <w:r>
              <w:rPr>
                <w:rFonts w:hint="eastAsia"/>
              </w:rPr>
              <w:t>广东省教育厅</w:t>
            </w:r>
          </w:p>
        </w:tc>
        <w:tc>
          <w:tcPr>
            <w:tcW w:w="864" w:type="pct"/>
            <w:vAlign w:val="center"/>
          </w:tcPr>
          <w:p w14:paraId="3130FEDA">
            <w:pPr>
              <w:pStyle w:val="13"/>
              <w:jc w:val="center"/>
              <w:rPr>
                <w:rFonts w:hint="eastAsia"/>
              </w:rPr>
            </w:pPr>
            <w:r>
              <w:rPr>
                <w:rFonts w:hint="eastAsia"/>
              </w:rPr>
              <w:t>2010.9</w:t>
            </w:r>
          </w:p>
        </w:tc>
      </w:tr>
    </w:tbl>
    <w:p w14:paraId="5760BF06">
      <w:pPr>
        <w:ind w:firstLine="422"/>
        <w:rPr>
          <w:rFonts w:ascii="宋体" w:hAnsi="宋体"/>
          <w:b/>
          <w:bCs/>
        </w:rPr>
      </w:pPr>
      <w:r>
        <w:rPr>
          <w:rFonts w:ascii="宋体" w:hAnsi="宋体"/>
          <w:b/>
          <w:bCs/>
        </w:rPr>
        <w:t>附：2010年南雄中学领导班子成员名单</w:t>
      </w:r>
    </w:p>
    <w:p w14:paraId="14209CC3">
      <w:pPr>
        <w:ind w:firstLine="422"/>
        <w:rPr>
          <w:rFonts w:ascii="宋体" w:hAnsi="宋体"/>
        </w:rPr>
      </w:pPr>
      <w:r>
        <w:rPr>
          <w:rFonts w:ascii="宋体" w:hAnsi="宋体"/>
          <w:b/>
          <w:bCs/>
        </w:rPr>
        <w:t>校</w:t>
      </w:r>
      <w:r>
        <w:rPr>
          <w:rFonts w:hint="eastAsia" w:ascii="宋体" w:hAnsi="宋体"/>
          <w:b/>
          <w:bCs/>
        </w:rPr>
        <w:t xml:space="preserve">  </w:t>
      </w:r>
      <w:r>
        <w:rPr>
          <w:rFonts w:ascii="宋体" w:hAnsi="宋体"/>
          <w:b/>
          <w:bCs/>
        </w:rPr>
        <w:t>长：</w:t>
      </w:r>
      <w:r>
        <w:rPr>
          <w:rFonts w:ascii="宋体" w:hAnsi="宋体"/>
        </w:rPr>
        <w:t>胡钟超</w:t>
      </w:r>
    </w:p>
    <w:p w14:paraId="5C8AD784">
      <w:pPr>
        <w:ind w:firstLine="422"/>
        <w:rPr>
          <w:rFonts w:ascii="宋体" w:hAnsi="宋体"/>
        </w:rPr>
      </w:pPr>
      <w:r>
        <w:rPr>
          <w:rFonts w:ascii="宋体" w:hAnsi="宋体"/>
          <w:b/>
          <w:bCs/>
        </w:rPr>
        <w:t>副校长：</w:t>
      </w:r>
      <w:r>
        <w:rPr>
          <w:rFonts w:ascii="宋体" w:hAnsi="宋体"/>
        </w:rPr>
        <w:t>何俊杰</w:t>
      </w:r>
      <w:r>
        <w:rPr>
          <w:rFonts w:hint="eastAsia" w:ascii="宋体" w:hAnsi="宋体"/>
        </w:rPr>
        <w:t xml:space="preserve">  </w:t>
      </w:r>
      <w:r>
        <w:rPr>
          <w:rFonts w:ascii="宋体" w:hAnsi="宋体"/>
        </w:rPr>
        <w:t>李清和</w:t>
      </w:r>
      <w:r>
        <w:rPr>
          <w:rFonts w:hint="eastAsia" w:ascii="宋体" w:hAnsi="宋体"/>
        </w:rPr>
        <w:t xml:space="preserve">  </w:t>
      </w:r>
      <w:r>
        <w:rPr>
          <w:rFonts w:ascii="宋体" w:hAnsi="宋体"/>
        </w:rPr>
        <w:t>郭</w:t>
      </w:r>
      <w:r>
        <w:rPr>
          <w:rFonts w:hint="eastAsia" w:ascii="宋体" w:hAnsi="宋体"/>
        </w:rPr>
        <w:t xml:space="preserve">  </w:t>
      </w:r>
      <w:r>
        <w:rPr>
          <w:rFonts w:ascii="宋体" w:hAnsi="宋体"/>
        </w:rPr>
        <w:t>军</w:t>
      </w:r>
      <w:r>
        <w:rPr>
          <w:rFonts w:hint="eastAsia" w:ascii="宋体" w:hAnsi="宋体"/>
        </w:rPr>
        <w:t xml:space="preserve">  </w:t>
      </w:r>
      <w:r>
        <w:rPr>
          <w:rFonts w:ascii="宋体" w:hAnsi="宋体"/>
        </w:rPr>
        <w:t>吴海生</w:t>
      </w:r>
    </w:p>
    <w:p w14:paraId="26344267">
      <w:pPr>
        <w:ind w:firstLine="422"/>
        <w:rPr>
          <w:rFonts w:ascii="宋体" w:hAnsi="宋体"/>
        </w:rPr>
      </w:pPr>
      <w:r>
        <w:rPr>
          <w:rFonts w:ascii="宋体" w:hAnsi="宋体"/>
          <w:b/>
          <w:bCs/>
        </w:rPr>
        <w:t>工会主席：</w:t>
      </w:r>
      <w:r>
        <w:rPr>
          <w:rFonts w:ascii="宋体" w:hAnsi="宋体"/>
        </w:rPr>
        <w:t>林琼</w:t>
      </w:r>
    </w:p>
    <w:p w14:paraId="0B56E255">
      <w:pPr>
        <w:pStyle w:val="4"/>
      </w:pPr>
      <w:r>
        <w:t>【南雄市一中】</w:t>
      </w:r>
    </w:p>
    <w:p w14:paraId="342A4E10">
      <w:pPr>
        <w:ind w:firstLine="420"/>
        <w:rPr>
          <w:rFonts w:ascii="宋体" w:hAnsi="宋体"/>
        </w:rPr>
      </w:pPr>
      <w:r>
        <w:rPr>
          <w:rFonts w:ascii="宋体" w:hAnsi="宋体"/>
        </w:rPr>
        <w:t>南雄市第一中学地处南雄市东北郊，创建于1982年。校名由原广东省副省长王屏山同志题写，2002年秋季开始实行初高中剥离，向高级中学过渡，2011年秋季恢复初中招生。1986年被命名为广东省传统项目学校，2003年被评为广东省一级学校，2006年10月被北京奥组委、教育部命名“北京2008奥林匹克教育示范学校”，2008年12月顺利通过广东省国家级示范性普通高中验收。学校总占地面积为104738平方米，建筑面积达31736平方米，分教学区、生活区、运动区，布局科学合理。目前，楼、堂、馆、所建设初具规模，教育教学设备日臻完善。有400米标准运动场和配套篮球场、羽毛球场等运动场地；有生物园、地理园；学校藏书已达81000多册，电子图书20000多册，初具现代化办学条件。学校建成了有320多个信息点，1000兆宽带接入，100兆交换到桌面的完善校园网，拥有“一个中心”（网络管理控制中心）、“二个库”（教学资源库、试题库）、“五大功能室”（多媒体教室、模拟实验室、数字语言室、课件制作室、电子阅览室）、“七个子系统”（校园信息管理系统、考试系统、视频点播（直播）系统、图书管理系统、电子邮件系统、智能语言学习系统、远程教育系统）。</w:t>
      </w:r>
    </w:p>
    <w:p w14:paraId="6D67FB47">
      <w:pPr>
        <w:ind w:firstLine="420"/>
        <w:rPr>
          <w:rFonts w:ascii="宋体" w:hAnsi="宋体"/>
        </w:rPr>
      </w:pPr>
      <w:r>
        <w:rPr>
          <w:rFonts w:ascii="宋体" w:hAnsi="宋体"/>
        </w:rPr>
        <w:t>该校现有68个教学班，学生人数达4400多人。在职教工280多人。办校30年来，高考成绩年胜一年，学生被清华、北大、人大、复旦、浙大、中大等著名高等学府所录取；初升高考试和学科竞赛成绩始终名列全市前列。学校体育艺术学科更是成绩斐然，早已成为该校一大鲜明的办学特色。优异的办学成绩得到了各级领导的肯定和赞誉。近几年来，学校先后获得“全国群众体育先进集体”、“广东省全面贯彻党的教育方针、深化教育改革、成绩显著先进集体”、“韶关市校园建设和管理工作先进单位”、“韶关市教育改革先进单位”“广东省朝阳读书活动先进集体”“韶关市高考优秀学校”等集体荣誉称号。社会各界人士也对该校的办学成绩给予高度评价，赢得“校龄短、投入少、效益高、发展快”的美誉。随着时代的发展，学校的规模在不断扩展，办学的档次，在逐步提升，办学的水平稳步上升，校园的发展从黄土地发展到充满现代气息的园林式学校，楼馆麟此接彼，校园绿树成荫，广场建设各具特色，在信息广场、智慧广场、艺术广场、健身广场等形成独特的校园文化。</w:t>
      </w:r>
    </w:p>
    <w:p w14:paraId="3858CBAC">
      <w:pPr>
        <w:ind w:firstLine="420"/>
        <w:rPr>
          <w:rFonts w:ascii="宋体" w:hAnsi="宋体"/>
        </w:rPr>
      </w:pPr>
      <w:r>
        <w:rPr>
          <w:rFonts w:ascii="宋体" w:hAnsi="宋体"/>
        </w:rPr>
        <w:t>自1985年首届高考后，学校发展势头更加强劲，年年有突破，各批次人数逐年增加，2002年学校取得南雄市高考总分前三名的好成绩，2003年南雄一中考生徐俊以808分的好成绩勇夺南雄市高考状元，2004年郭利财以816分的好成绩获南雄市第二名，其中数学学科以863分的优异成绩获韶关市学科状元，2005年荣海路同学取得812分的好成绩，成为韶关市连续三年突破800分的两所学校之一（其中另一所为韶关市北江中学），2006年、2007年在生源素质总体下降的情况下，仍取得上线人数的历史新高。2008年、2009年、2010年、2011年高考连创辉煌，全面、大幅度超额完成韶关市任务。2010年，该校宏志班洪美连同学以文化559分、美术专业525分的优异成绩，考入清华大学“艺术设计”专业，成为南雄乃至韶关第一个以美术类考入清华的学生。</w:t>
      </w:r>
    </w:p>
    <w:p w14:paraId="74CCFFD8">
      <w:pPr>
        <w:ind w:firstLine="420"/>
        <w:jc w:val="right"/>
        <w:rPr>
          <w:rFonts w:ascii="宋体" w:hAnsi="宋体"/>
        </w:rPr>
      </w:pPr>
      <w:r>
        <w:rPr>
          <w:rFonts w:ascii="宋体" w:hAnsi="宋体"/>
        </w:rPr>
        <w:t>（陈志雄）</w:t>
      </w:r>
    </w:p>
    <w:p w14:paraId="4CFFDBB4">
      <w:pPr>
        <w:ind w:firstLine="422"/>
        <w:rPr>
          <w:rFonts w:ascii="宋体" w:hAnsi="宋体"/>
          <w:b/>
          <w:bCs/>
        </w:rPr>
      </w:pPr>
      <w:r>
        <w:rPr>
          <w:rFonts w:ascii="宋体" w:hAnsi="宋体"/>
          <w:b/>
          <w:bCs/>
        </w:rPr>
        <w:t>附：2010年南雄一中领导班子名单</w:t>
      </w:r>
    </w:p>
    <w:p w14:paraId="4FCF102F">
      <w:pPr>
        <w:ind w:firstLine="422"/>
        <w:rPr>
          <w:rFonts w:ascii="宋体" w:hAnsi="宋体"/>
        </w:rPr>
      </w:pPr>
      <w:r>
        <w:rPr>
          <w:rFonts w:ascii="宋体" w:hAnsi="宋体"/>
          <w:b/>
          <w:bCs/>
        </w:rPr>
        <w:t>校长：</w:t>
      </w:r>
      <w:r>
        <w:rPr>
          <w:rFonts w:ascii="宋体" w:hAnsi="宋体"/>
        </w:rPr>
        <w:t>田文斌</w:t>
      </w:r>
    </w:p>
    <w:p w14:paraId="6C8B552B">
      <w:pPr>
        <w:ind w:firstLine="422"/>
        <w:rPr>
          <w:rFonts w:ascii="宋体" w:hAnsi="宋体"/>
        </w:rPr>
      </w:pPr>
      <w:r>
        <w:rPr>
          <w:rFonts w:ascii="宋体" w:hAnsi="宋体"/>
          <w:b/>
          <w:bCs/>
        </w:rPr>
        <w:t>副校长：</w:t>
      </w:r>
      <w:r>
        <w:rPr>
          <w:rFonts w:ascii="宋体" w:hAnsi="宋体"/>
        </w:rPr>
        <w:t>沈世荣</w:t>
      </w:r>
      <w:r>
        <w:rPr>
          <w:rFonts w:hint="eastAsia" w:ascii="宋体" w:hAnsi="宋体"/>
        </w:rPr>
        <w:t xml:space="preserve">  </w:t>
      </w:r>
      <w:r>
        <w:rPr>
          <w:rFonts w:ascii="宋体" w:hAnsi="宋体"/>
        </w:rPr>
        <w:t>李子慧</w:t>
      </w:r>
    </w:p>
    <w:p w14:paraId="03E8D969">
      <w:pPr>
        <w:pStyle w:val="4"/>
      </w:pPr>
      <w:r>
        <w:t>【黄坑中学】</w:t>
      </w:r>
    </w:p>
    <w:p w14:paraId="72882AF3">
      <w:pPr>
        <w:ind w:firstLine="420"/>
        <w:rPr>
          <w:rFonts w:ascii="宋体" w:hAnsi="宋体"/>
        </w:rPr>
      </w:pPr>
      <w:r>
        <w:rPr>
          <w:rFonts w:ascii="宋体" w:hAnsi="宋体"/>
        </w:rPr>
        <w:t>南雄黄坑中学，是粤北农村一所完全中学，广东省一级学校。创办于1956年，1973年定为韶关地区重点完全中学，1999年评为韶关市一级学校，2004年晋升为广东省一级学校。</w:t>
      </w:r>
    </w:p>
    <w:p w14:paraId="1E7FEEA7">
      <w:pPr>
        <w:ind w:firstLine="420"/>
        <w:rPr>
          <w:rFonts w:ascii="宋体" w:hAnsi="宋体"/>
        </w:rPr>
      </w:pPr>
      <w:r>
        <w:rPr>
          <w:rFonts w:ascii="宋体" w:hAnsi="宋体"/>
        </w:rPr>
        <w:t>学校占地面积12万平方米，建筑面积6万平方米。学校现有教职工216人，学校共有50个教学班，现有学生近3000人。该校秉承“团结、勤奋、扎实、奉献”的精神，确立“以生为本，和谐发展”的办学理念，近年来不断强化学校管理，赢得良好的社会声誉</w:t>
      </w:r>
      <w:r>
        <w:rPr>
          <w:rFonts w:hint="eastAsia" w:ascii="宋体" w:hAnsi="宋体"/>
        </w:rPr>
        <w:t>。</w:t>
      </w:r>
    </w:p>
    <w:p w14:paraId="753ABE4D">
      <w:pPr>
        <w:ind w:firstLine="420"/>
        <w:rPr>
          <w:rFonts w:ascii="宋体" w:hAnsi="宋体"/>
        </w:rPr>
      </w:pPr>
      <w:r>
        <w:rPr>
          <w:rFonts w:ascii="宋体" w:hAnsi="宋体"/>
        </w:rPr>
        <w:t>学校实施“德育为首，以德治校”策略，构建多层面德育工作网络系统，狠抓德育管理中的“优化队伍、科学规划、创新制度、营造阵地、丰富活动、树立典型”六项工程，创建良好的班风、学风、校风。学校重视举办各类文体竞赛活动，努力构建文明、和谐、平安、快乐的校园。近年来学生就学巩固率达到98%。先后获“韶关市社会治安综合治理先进单位”、“韶关市校务公开先进单位”、“韶关市先进教育工会”、“韶关市中小学行为规范示范校”。</w:t>
      </w:r>
    </w:p>
    <w:p w14:paraId="120AAC8F">
      <w:pPr>
        <w:ind w:firstLine="420"/>
        <w:rPr>
          <w:rFonts w:ascii="宋体" w:hAnsi="宋体"/>
        </w:rPr>
      </w:pPr>
      <w:r>
        <w:rPr>
          <w:rFonts w:ascii="宋体" w:hAnsi="宋体"/>
        </w:rPr>
        <w:t>该校坚持“用责任和激情创造黄坑中学新的辉煌”的管理思路，面对生源素质每况愈下的现实，高度重视抓好教研教改工作。紧紧围绕“向课堂要效益，向师生互动要质量”，加强教法、学法研究，形成师生互动、生生互动生动活泼的课堂教学氛围，建立教学三年大循环机制，实施年级分层教学管理。近年来，黄坑中学全体师生在校友及各界人士无私奉献精神的鼓舞下，教师安教、乐教，学生爱学、乐学，全面提升学生的综合素质，教学质量不断提高，学校走出一条具有农村中学特色的办学之路。</w:t>
      </w:r>
    </w:p>
    <w:p w14:paraId="4741692A">
      <w:pPr>
        <w:ind w:firstLine="420"/>
        <w:rPr>
          <w:rFonts w:ascii="宋体" w:hAnsi="宋体"/>
        </w:rPr>
      </w:pPr>
      <w:r>
        <w:rPr>
          <w:rFonts w:ascii="宋体" w:hAnsi="宋体"/>
        </w:rPr>
        <w:t>2006年9月16日，该校举行五十周年校庆典礼，回校参与庆典的校友达3000多人。在校友及各界人士的关心与支持下，先后引入资金新建4栋学生公寓、1栋学生食堂以及王锦辉教学楼、陈明亮科技楼、雷梁图书馆、苏东霖音美苑等，厨房设施更换一新。学校整体规划科学合理，各类运动场地齐全，拥有宽敞明亮的万人广场。教学所需基本仪器设备齐全，标准电脑室、多媒体平台10个，各类仪器室、实验室共39间，图书馆藏书量达12万册，图、音、体教学设施也比较完善。学校还多渠道引入慈善机构捐赠，每学年资助300多个贫困学生，使他们顺利完成中学阶段的学业。</w:t>
      </w:r>
    </w:p>
    <w:p w14:paraId="55462766">
      <w:pPr>
        <w:ind w:firstLine="420"/>
        <w:rPr>
          <w:rFonts w:ascii="宋体" w:hAnsi="宋体"/>
        </w:rPr>
      </w:pPr>
      <w:r>
        <w:rPr>
          <w:rFonts w:ascii="宋体" w:hAnsi="宋体"/>
        </w:rPr>
        <w:t>目前，以全面实施素质教育，以艺术教育、体育运动等为特色项目，教师敬业、学生善学、管理先进、环境和谐的花园学校为目标，进一步实施“办学条件好、教育观念新、教学质量升、办学特色亮”的发展战略，力争教学设施进一步得到改善，教学质量进一步提高。</w:t>
      </w:r>
    </w:p>
    <w:p w14:paraId="6211101C">
      <w:pPr>
        <w:ind w:firstLine="420"/>
        <w:jc w:val="right"/>
        <w:rPr>
          <w:rFonts w:ascii="宋体" w:hAnsi="宋体"/>
        </w:rPr>
      </w:pPr>
      <w:r>
        <w:rPr>
          <w:rFonts w:ascii="宋体" w:hAnsi="宋体"/>
        </w:rPr>
        <w:t>（彭腾辉）</w:t>
      </w:r>
    </w:p>
    <w:p w14:paraId="17B0E49F">
      <w:pPr>
        <w:ind w:firstLine="422"/>
        <w:rPr>
          <w:rFonts w:ascii="宋体" w:hAnsi="宋体"/>
          <w:b/>
          <w:bCs/>
        </w:rPr>
      </w:pPr>
      <w:r>
        <w:rPr>
          <w:rFonts w:ascii="宋体" w:hAnsi="宋体"/>
          <w:b/>
          <w:bCs/>
        </w:rPr>
        <w:t>附：2010年领导班子成员名单</w:t>
      </w:r>
    </w:p>
    <w:p w14:paraId="00B57790">
      <w:pPr>
        <w:ind w:firstLine="422"/>
        <w:rPr>
          <w:rFonts w:ascii="宋体" w:hAnsi="宋体"/>
        </w:rPr>
      </w:pPr>
      <w:r>
        <w:rPr>
          <w:rFonts w:ascii="宋体" w:hAnsi="宋体"/>
          <w:b/>
          <w:bCs/>
        </w:rPr>
        <w:t>校</w:t>
      </w:r>
      <w:r>
        <w:rPr>
          <w:rFonts w:hint="eastAsia" w:ascii="宋体" w:hAnsi="宋体"/>
          <w:b/>
          <w:bCs/>
        </w:rPr>
        <w:t xml:space="preserve">  </w:t>
      </w:r>
      <w:r>
        <w:rPr>
          <w:rFonts w:ascii="宋体" w:hAnsi="宋体"/>
          <w:b/>
          <w:bCs/>
        </w:rPr>
        <w:t>长：</w:t>
      </w:r>
      <w:r>
        <w:rPr>
          <w:rFonts w:ascii="宋体" w:hAnsi="宋体"/>
        </w:rPr>
        <w:t>邓华君</w:t>
      </w:r>
    </w:p>
    <w:p w14:paraId="6413723B">
      <w:pPr>
        <w:ind w:firstLine="422"/>
        <w:rPr>
          <w:rFonts w:ascii="宋体" w:hAnsi="宋体"/>
        </w:rPr>
      </w:pPr>
      <w:r>
        <w:rPr>
          <w:rFonts w:ascii="宋体" w:hAnsi="宋体"/>
          <w:b/>
          <w:bCs/>
        </w:rPr>
        <w:t>副校长：</w:t>
      </w:r>
      <w:r>
        <w:rPr>
          <w:rFonts w:ascii="宋体" w:hAnsi="宋体"/>
        </w:rPr>
        <w:t>叶见荣</w:t>
      </w:r>
      <w:r>
        <w:rPr>
          <w:rFonts w:hint="eastAsia" w:ascii="宋体" w:hAnsi="宋体"/>
        </w:rPr>
        <w:t xml:space="preserve">  </w:t>
      </w:r>
      <w:r>
        <w:rPr>
          <w:rFonts w:ascii="宋体" w:hAnsi="宋体"/>
        </w:rPr>
        <w:t>叶桂林</w:t>
      </w:r>
      <w:r>
        <w:rPr>
          <w:rFonts w:hint="eastAsia" w:ascii="宋体" w:hAnsi="宋体"/>
        </w:rPr>
        <w:t xml:space="preserve">  </w:t>
      </w:r>
      <w:r>
        <w:rPr>
          <w:rFonts w:ascii="宋体" w:hAnsi="宋体"/>
        </w:rPr>
        <w:t>李肇武</w:t>
      </w:r>
    </w:p>
    <w:p w14:paraId="7CB43691">
      <w:pPr>
        <w:pStyle w:val="4"/>
      </w:pPr>
      <w:r>
        <w:t>【南雄市中等职业学校】</w:t>
      </w:r>
    </w:p>
    <w:p w14:paraId="525DB13B">
      <w:pPr>
        <w:ind w:firstLine="420"/>
        <w:rPr>
          <w:rFonts w:ascii="宋体" w:hAnsi="宋体"/>
        </w:rPr>
      </w:pPr>
      <w:r>
        <w:rPr>
          <w:rFonts w:ascii="宋体" w:hAnsi="宋体"/>
        </w:rPr>
        <w:t>南雄市中等职业学校是广东省首批重点职业高中，前身为雄州镇二中，南雄市职业高级中学，2008年更名为南雄市中等职业学校并再次通过复评为省重点中等职业学校。同年，南雄市委、政府为保障南雄精细化工园人才需求，进一步拓展学校发展空间，将原古市中学校区划归该校改造为南校区，成为南雄市精细化工人才培训基地。</w:t>
      </w:r>
    </w:p>
    <w:p w14:paraId="1E943DA2">
      <w:pPr>
        <w:ind w:firstLine="420"/>
        <w:rPr>
          <w:rFonts w:ascii="宋体" w:hAnsi="宋体"/>
        </w:rPr>
      </w:pPr>
      <w:r>
        <w:rPr>
          <w:rFonts w:ascii="宋体" w:hAnsi="宋体"/>
        </w:rPr>
        <w:t>该校有一校两区，校园面积81.05亩（5.4公顷），建筑面积26036.25平方米，实验实训设备总值达1100多万元。有教学楼4幢，实训中心1幢，学生宿舍4幢，拥有完善的教育教学设施设备；该校师资力量雄厚，现有教职工126人，专任教师115人，其中专业教师57人，外聘教师2人，本科以上114人，高级教师23人，中级62人，双师型教师31人，在册学生1800多人。开设适应社会经济和市场发展的精细化工等十个专业，是全国计算机信息高新技术考场和韶关市特种作业培训考核单位。毕业生就业率达98.2%。参加“3+X”高考的考生有108人，录取了91人，录取率为84.5%。</w:t>
      </w:r>
    </w:p>
    <w:p w14:paraId="1C020C5A">
      <w:pPr>
        <w:ind w:firstLine="420"/>
        <w:rPr>
          <w:rFonts w:ascii="宋体" w:hAnsi="宋体"/>
        </w:rPr>
      </w:pPr>
      <w:r>
        <w:rPr>
          <w:rFonts w:ascii="宋体" w:hAnsi="宋体"/>
        </w:rPr>
        <w:t>2003年曾昭贵校长被韶关市政府评为“韶关市职业教育先进个人”</w:t>
      </w:r>
      <w:r>
        <w:rPr>
          <w:rFonts w:hint="eastAsia" w:ascii="宋体" w:hAnsi="宋体"/>
        </w:rPr>
        <w:t>。</w:t>
      </w:r>
    </w:p>
    <w:p w14:paraId="7F831ABB">
      <w:pPr>
        <w:ind w:firstLine="420"/>
        <w:rPr>
          <w:rFonts w:ascii="宋体" w:hAnsi="宋体"/>
        </w:rPr>
      </w:pPr>
      <w:r>
        <w:rPr>
          <w:rFonts w:ascii="宋体" w:hAnsi="宋体"/>
        </w:rPr>
        <w:t>2004年该校被广东省教育厅列为扩建、改建的省级重点中等职业学校。</w:t>
      </w:r>
    </w:p>
    <w:p w14:paraId="5E2C004D">
      <w:pPr>
        <w:ind w:firstLine="420"/>
        <w:rPr>
          <w:rFonts w:ascii="宋体" w:hAnsi="宋体"/>
        </w:rPr>
      </w:pPr>
      <w:r>
        <w:rPr>
          <w:rFonts w:ascii="宋体" w:hAnsi="宋体"/>
        </w:rPr>
        <w:t>2005年该校被广东省教育厅重新调整认定为省重点中等职业学校。</w:t>
      </w:r>
    </w:p>
    <w:p w14:paraId="5C138264">
      <w:pPr>
        <w:ind w:firstLine="420"/>
        <w:rPr>
          <w:rFonts w:ascii="宋体" w:hAnsi="宋体"/>
        </w:rPr>
      </w:pPr>
      <w:r>
        <w:rPr>
          <w:rFonts w:ascii="宋体" w:hAnsi="宋体"/>
        </w:rPr>
        <w:t>2007年该校的“电气运行与控制”专业被广东省教育厅认定为省中等职业学校重点建设专业。</w:t>
      </w:r>
    </w:p>
    <w:p w14:paraId="2D64D4CE">
      <w:pPr>
        <w:ind w:firstLine="420"/>
        <w:rPr>
          <w:rFonts w:ascii="宋体" w:hAnsi="宋体"/>
        </w:rPr>
      </w:pPr>
      <w:r>
        <w:rPr>
          <w:rFonts w:ascii="宋体" w:hAnsi="宋体"/>
        </w:rPr>
        <w:t>2008年该校由南雄市职业高级中学更名为南雄市中等职业学校，并将原古市中学校区划归该校改造为南校区。</w:t>
      </w:r>
    </w:p>
    <w:p w14:paraId="3851AF48">
      <w:pPr>
        <w:ind w:firstLine="420"/>
        <w:rPr>
          <w:rFonts w:ascii="宋体" w:hAnsi="宋体"/>
        </w:rPr>
      </w:pPr>
      <w:r>
        <w:rPr>
          <w:rFonts w:ascii="宋体" w:hAnsi="宋体"/>
        </w:rPr>
        <w:t>2009年该校被广东省教育厅复评为省重点职业学校；学校投入300多万元购置了机床、电脑等教学设备。</w:t>
      </w:r>
    </w:p>
    <w:p w14:paraId="4618CDC9">
      <w:pPr>
        <w:ind w:firstLine="420"/>
        <w:rPr>
          <w:rFonts w:ascii="宋体" w:hAnsi="宋体"/>
        </w:rPr>
      </w:pPr>
      <w:r>
        <w:rPr>
          <w:rFonts w:ascii="宋体" w:hAnsi="宋体"/>
        </w:rPr>
        <w:t>2010年11月，该校荣获韶关市教育局“计算机应用团体二等奖”，“电力拖动电路安装团体三等奖”，“可编程控制器（PLC）应用技术二等奖”，技能竞赛组织奖。</w:t>
      </w:r>
    </w:p>
    <w:p w14:paraId="2B404111">
      <w:pPr>
        <w:ind w:firstLine="420"/>
        <w:jc w:val="right"/>
        <w:rPr>
          <w:rFonts w:ascii="宋体" w:hAnsi="宋体"/>
        </w:rPr>
      </w:pPr>
      <w:r>
        <w:rPr>
          <w:rFonts w:ascii="宋体" w:hAnsi="宋体"/>
        </w:rPr>
        <w:t>（肖承军）</w:t>
      </w:r>
    </w:p>
    <w:p w14:paraId="779C782C">
      <w:pPr>
        <w:ind w:firstLine="422"/>
        <w:rPr>
          <w:rFonts w:ascii="宋体" w:hAnsi="宋体"/>
          <w:b/>
          <w:bCs/>
        </w:rPr>
      </w:pPr>
      <w:r>
        <w:rPr>
          <w:rFonts w:ascii="宋体" w:hAnsi="宋体"/>
          <w:b/>
          <w:bCs/>
        </w:rPr>
        <w:t>附：2010年中等职业学校领导班子成员名单</w:t>
      </w:r>
    </w:p>
    <w:p w14:paraId="22AB52EB">
      <w:pPr>
        <w:ind w:firstLine="422"/>
        <w:rPr>
          <w:rFonts w:ascii="宋体" w:hAnsi="宋体"/>
        </w:rPr>
      </w:pPr>
      <w:r>
        <w:rPr>
          <w:rFonts w:ascii="宋体" w:hAnsi="宋体"/>
          <w:b/>
          <w:bCs/>
        </w:rPr>
        <w:t>校长：</w:t>
      </w:r>
      <w:r>
        <w:rPr>
          <w:rFonts w:ascii="宋体" w:hAnsi="宋体"/>
        </w:rPr>
        <w:t>曾昭贵</w:t>
      </w:r>
    </w:p>
    <w:p w14:paraId="227D98DA">
      <w:pPr>
        <w:ind w:firstLine="422"/>
        <w:rPr>
          <w:rFonts w:ascii="宋体" w:hAnsi="宋体"/>
        </w:rPr>
      </w:pPr>
      <w:r>
        <w:rPr>
          <w:rFonts w:ascii="宋体" w:hAnsi="宋体"/>
          <w:b/>
          <w:bCs/>
        </w:rPr>
        <w:t>副校长：</w:t>
      </w:r>
      <w:r>
        <w:rPr>
          <w:rFonts w:ascii="宋体" w:hAnsi="宋体"/>
        </w:rPr>
        <w:t>曾昭东</w:t>
      </w:r>
      <w:r>
        <w:rPr>
          <w:rFonts w:hint="eastAsia" w:ascii="宋体" w:hAnsi="宋体"/>
        </w:rPr>
        <w:t xml:space="preserve">  </w:t>
      </w:r>
      <w:r>
        <w:rPr>
          <w:rFonts w:ascii="宋体" w:hAnsi="宋体"/>
        </w:rPr>
        <w:t>肖秀珠</w:t>
      </w:r>
      <w:r>
        <w:rPr>
          <w:rFonts w:hint="eastAsia" w:ascii="宋体" w:hAnsi="宋体"/>
        </w:rPr>
        <w:t xml:space="preserve">  </w:t>
      </w:r>
      <w:r>
        <w:rPr>
          <w:rFonts w:ascii="宋体" w:hAnsi="宋体"/>
        </w:rPr>
        <w:t>黄传新</w:t>
      </w:r>
    </w:p>
    <w:p w14:paraId="0BE80E17">
      <w:pPr>
        <w:pStyle w:val="4"/>
      </w:pPr>
      <w:r>
        <w:t>【乌迳中学】</w:t>
      </w:r>
    </w:p>
    <w:p w14:paraId="65FC7378">
      <w:pPr>
        <w:ind w:firstLine="420"/>
        <w:rPr>
          <w:rFonts w:ascii="宋体" w:hAnsi="宋体"/>
        </w:rPr>
      </w:pPr>
      <w:r>
        <w:rPr>
          <w:rFonts w:ascii="宋体" w:hAnsi="宋体"/>
        </w:rPr>
        <w:t>乌迳中学座落在南雄市东北边陲的粤北古镇乌迳。学校创办于1958年，原校址设在乌迳医院宿舍楼区，始称为乌迳公社乌迳小学初中部。1959年迁至现雄信公路旁。1968年高中开始招生，成为南雄市农村完全中学。“文化大革命”期间曾一度易名为“燎原中学”。1989年高中改制为职业高中，1990年升格为副科级单位，2004年被评为韶关市一级学校。校园占地总面积近6万平方米，其中校舍面积达近2万平方米；共有教学班30余个，在校生1689多人，教职工119人。</w:t>
      </w:r>
    </w:p>
    <w:p w14:paraId="59BD52A7">
      <w:pPr>
        <w:ind w:firstLine="420"/>
        <w:rPr>
          <w:rFonts w:ascii="宋体" w:hAnsi="宋体"/>
        </w:rPr>
      </w:pPr>
      <w:r>
        <w:rPr>
          <w:rFonts w:ascii="宋体" w:hAnsi="宋体"/>
        </w:rPr>
        <w:t>学校拥有“八室一场”（生化、物理实验室，生化、物理仪器室，语音室，电脑室，图书室，阅览室，运动场），教学设施较为齐全。先后搬迁学校厨房，新建学校招待室，学生宿舍楼4栋，教师楼4栋、教学楼1栋，综合楼1栋，实现了师生工作、学习和生活楼房化；又修建了花园小景和文化长廊，做到教学、生活、运动三区分开，为师生的工作、学习和生活提供良好条件。</w:t>
      </w:r>
    </w:p>
    <w:p w14:paraId="3284C416">
      <w:pPr>
        <w:ind w:firstLine="420"/>
        <w:rPr>
          <w:rFonts w:ascii="宋体" w:hAnsi="宋体"/>
        </w:rPr>
      </w:pPr>
      <w:r>
        <w:rPr>
          <w:rFonts w:ascii="宋体" w:hAnsi="宋体"/>
        </w:rPr>
        <w:t>学校现有112名教师，中、高级教师3人，一级教师56人。大学本科学历63人，专科学历45人，达标率99.2%。先后参加过省市骨干教师培训及业务培训的有35人，先后评为全国省市级先进教师或优秀班主任共有27人。一批教学骨干常年活跃在省市各学科的专业学术团体及其活动中。</w:t>
      </w:r>
    </w:p>
    <w:p w14:paraId="40CE2515">
      <w:pPr>
        <w:ind w:firstLine="420"/>
        <w:rPr>
          <w:rFonts w:ascii="宋体" w:hAnsi="宋体"/>
        </w:rPr>
      </w:pPr>
      <w:r>
        <w:rPr>
          <w:rFonts w:ascii="宋体" w:hAnsi="宋体"/>
        </w:rPr>
        <w:t>课程设置采用广东省九年义务教育初中教材，包括思想品德、语文、数学、英语、历史、地理、生物、美术、音乐、体育与健康、物理、化学等课程。</w:t>
      </w:r>
    </w:p>
    <w:p w14:paraId="6ED64040">
      <w:pPr>
        <w:ind w:firstLine="420"/>
        <w:rPr>
          <w:rFonts w:ascii="宋体" w:hAnsi="宋体"/>
        </w:rPr>
      </w:pPr>
      <w:r>
        <w:rPr>
          <w:rFonts w:ascii="宋体" w:hAnsi="宋体"/>
        </w:rPr>
        <w:t>附课程设置一览表：</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0"/>
        <w:gridCol w:w="2833"/>
        <w:gridCol w:w="2835"/>
        <w:gridCol w:w="2624"/>
      </w:tblGrid>
      <w:tr w14:paraId="35C00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8" w:type="pct"/>
            <w:vAlign w:val="center"/>
          </w:tcPr>
          <w:p w14:paraId="7015B52C">
            <w:pPr>
              <w:pStyle w:val="13"/>
              <w:jc w:val="center"/>
              <w:rPr>
                <w:rFonts w:hint="eastAsia"/>
                <w:b/>
              </w:rPr>
            </w:pPr>
            <w:r>
              <w:rPr>
                <w:rFonts w:hint="eastAsia"/>
                <w:b/>
              </w:rPr>
              <w:t>课程</w:t>
            </w:r>
          </w:p>
        </w:tc>
        <w:tc>
          <w:tcPr>
            <w:tcW w:w="1422" w:type="pct"/>
            <w:vAlign w:val="center"/>
          </w:tcPr>
          <w:p w14:paraId="3DED8498">
            <w:pPr>
              <w:pStyle w:val="13"/>
              <w:jc w:val="center"/>
              <w:rPr>
                <w:rFonts w:hint="eastAsia"/>
                <w:b/>
              </w:rPr>
            </w:pPr>
            <w:r>
              <w:rPr>
                <w:rFonts w:hint="eastAsia"/>
                <w:b/>
              </w:rPr>
              <w:t>7年级</w:t>
            </w:r>
          </w:p>
        </w:tc>
        <w:tc>
          <w:tcPr>
            <w:tcW w:w="1423" w:type="pct"/>
            <w:vAlign w:val="center"/>
          </w:tcPr>
          <w:p w14:paraId="5CAD7DC6">
            <w:pPr>
              <w:pStyle w:val="13"/>
              <w:jc w:val="center"/>
              <w:rPr>
                <w:rFonts w:hint="eastAsia"/>
                <w:b/>
              </w:rPr>
            </w:pPr>
            <w:r>
              <w:rPr>
                <w:rFonts w:hint="eastAsia"/>
                <w:b/>
              </w:rPr>
              <w:t>8年级</w:t>
            </w:r>
          </w:p>
        </w:tc>
        <w:tc>
          <w:tcPr>
            <w:tcW w:w="1317" w:type="pct"/>
            <w:vAlign w:val="center"/>
          </w:tcPr>
          <w:p w14:paraId="7D0A5378">
            <w:pPr>
              <w:pStyle w:val="13"/>
              <w:jc w:val="center"/>
              <w:rPr>
                <w:rFonts w:hint="eastAsia"/>
                <w:b/>
              </w:rPr>
            </w:pPr>
            <w:r>
              <w:rPr>
                <w:rFonts w:hint="eastAsia"/>
                <w:b/>
              </w:rPr>
              <w:t>9年级</w:t>
            </w:r>
          </w:p>
        </w:tc>
      </w:tr>
      <w:tr w14:paraId="5ACA1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8" w:type="pct"/>
            <w:vAlign w:val="center"/>
          </w:tcPr>
          <w:p w14:paraId="29755CEA">
            <w:pPr>
              <w:pStyle w:val="13"/>
              <w:jc w:val="center"/>
              <w:rPr>
                <w:rFonts w:hint="eastAsia"/>
              </w:rPr>
            </w:pPr>
            <w:r>
              <w:rPr>
                <w:rFonts w:hint="eastAsia"/>
              </w:rPr>
              <w:t>必修科目</w:t>
            </w:r>
          </w:p>
        </w:tc>
        <w:tc>
          <w:tcPr>
            <w:tcW w:w="1422" w:type="pct"/>
            <w:vAlign w:val="center"/>
          </w:tcPr>
          <w:p w14:paraId="57E43B2E">
            <w:pPr>
              <w:pStyle w:val="13"/>
              <w:jc w:val="left"/>
              <w:rPr>
                <w:rFonts w:hint="eastAsia"/>
              </w:rPr>
            </w:pPr>
            <w:r>
              <w:rPr>
                <w:rFonts w:hint="eastAsia"/>
              </w:rPr>
              <w:t>语文、数学、英语、历史、思想品德、地理、生物、体育与健康、美术、音乐、信息技术。</w:t>
            </w:r>
          </w:p>
        </w:tc>
        <w:tc>
          <w:tcPr>
            <w:tcW w:w="1423" w:type="pct"/>
            <w:vAlign w:val="center"/>
          </w:tcPr>
          <w:p w14:paraId="748FDB9F">
            <w:pPr>
              <w:pStyle w:val="13"/>
              <w:jc w:val="left"/>
              <w:rPr>
                <w:rFonts w:hint="eastAsia"/>
              </w:rPr>
            </w:pPr>
            <w:r>
              <w:rPr>
                <w:rFonts w:hint="eastAsia"/>
              </w:rPr>
              <w:t>语文、数学、英语、历史、思想品德、地理、物理、生物、体育与健康、美术、音乐、信息技术。</w:t>
            </w:r>
          </w:p>
        </w:tc>
        <w:tc>
          <w:tcPr>
            <w:tcW w:w="1317" w:type="pct"/>
            <w:vAlign w:val="center"/>
          </w:tcPr>
          <w:p w14:paraId="7CE11A1F">
            <w:pPr>
              <w:pStyle w:val="13"/>
              <w:jc w:val="left"/>
              <w:rPr>
                <w:rFonts w:hint="eastAsia"/>
              </w:rPr>
            </w:pPr>
            <w:r>
              <w:rPr>
                <w:rFonts w:hint="eastAsia"/>
              </w:rPr>
              <w:t>语文、数学、英语、历史、思想品德、物理、化学、体育与健康、美术、音乐。</w:t>
            </w:r>
          </w:p>
        </w:tc>
      </w:tr>
      <w:tr w14:paraId="0F323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8" w:type="pct"/>
            <w:vAlign w:val="center"/>
          </w:tcPr>
          <w:p w14:paraId="29E5E70B">
            <w:pPr>
              <w:pStyle w:val="13"/>
              <w:jc w:val="center"/>
              <w:rPr>
                <w:rFonts w:hint="eastAsia"/>
              </w:rPr>
            </w:pPr>
            <w:r>
              <w:rPr>
                <w:rFonts w:hint="eastAsia"/>
              </w:rPr>
              <w:t>选修/兴趣科目</w:t>
            </w:r>
          </w:p>
        </w:tc>
        <w:tc>
          <w:tcPr>
            <w:tcW w:w="1422" w:type="pct"/>
            <w:vAlign w:val="center"/>
          </w:tcPr>
          <w:p w14:paraId="319D7992">
            <w:pPr>
              <w:pStyle w:val="13"/>
              <w:jc w:val="left"/>
              <w:rPr>
                <w:rFonts w:hint="eastAsia"/>
              </w:rPr>
            </w:pPr>
            <w:r>
              <w:rPr>
                <w:rFonts w:hint="eastAsia"/>
              </w:rPr>
              <w:t>社团活动</w:t>
            </w:r>
          </w:p>
        </w:tc>
        <w:tc>
          <w:tcPr>
            <w:tcW w:w="1423" w:type="pct"/>
            <w:vAlign w:val="center"/>
          </w:tcPr>
          <w:p w14:paraId="53304D3D">
            <w:pPr>
              <w:pStyle w:val="13"/>
              <w:jc w:val="left"/>
              <w:rPr>
                <w:rFonts w:hint="eastAsia"/>
              </w:rPr>
            </w:pPr>
            <w:r>
              <w:rPr>
                <w:rFonts w:hint="eastAsia"/>
              </w:rPr>
              <w:t>社团活动</w:t>
            </w:r>
          </w:p>
        </w:tc>
        <w:tc>
          <w:tcPr>
            <w:tcW w:w="1317" w:type="pct"/>
            <w:vAlign w:val="center"/>
          </w:tcPr>
          <w:p w14:paraId="1C442D5A">
            <w:pPr>
              <w:pStyle w:val="13"/>
              <w:jc w:val="left"/>
              <w:rPr>
                <w:rFonts w:hint="eastAsia"/>
              </w:rPr>
            </w:pPr>
            <w:r>
              <w:rPr>
                <w:rFonts w:hint="eastAsia"/>
              </w:rPr>
              <w:t>社团活动</w:t>
            </w:r>
          </w:p>
        </w:tc>
      </w:tr>
      <w:tr w14:paraId="1CA5C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8" w:type="pct"/>
            <w:vAlign w:val="center"/>
          </w:tcPr>
          <w:p w14:paraId="63C741D7">
            <w:pPr>
              <w:pStyle w:val="13"/>
              <w:jc w:val="center"/>
              <w:rPr>
                <w:rFonts w:hint="eastAsia"/>
              </w:rPr>
            </w:pPr>
            <w:r>
              <w:rPr>
                <w:rFonts w:hint="eastAsia"/>
              </w:rPr>
              <w:t>校本课程</w:t>
            </w:r>
          </w:p>
        </w:tc>
        <w:tc>
          <w:tcPr>
            <w:tcW w:w="1422" w:type="pct"/>
            <w:vAlign w:val="center"/>
          </w:tcPr>
          <w:p w14:paraId="2DEA1C7E">
            <w:pPr>
              <w:pStyle w:val="13"/>
              <w:jc w:val="left"/>
              <w:rPr>
                <w:rFonts w:hint="eastAsia"/>
              </w:rPr>
            </w:pPr>
            <w:r>
              <w:rPr>
                <w:rFonts w:hint="eastAsia"/>
              </w:rPr>
              <w:t>品行</w:t>
            </w:r>
          </w:p>
        </w:tc>
        <w:tc>
          <w:tcPr>
            <w:tcW w:w="1423" w:type="pct"/>
            <w:vAlign w:val="center"/>
          </w:tcPr>
          <w:p w14:paraId="7F0C5397">
            <w:pPr>
              <w:pStyle w:val="13"/>
              <w:jc w:val="left"/>
              <w:rPr>
                <w:rFonts w:hint="eastAsia"/>
              </w:rPr>
            </w:pPr>
            <w:r>
              <w:rPr>
                <w:rFonts w:hint="eastAsia"/>
              </w:rPr>
              <w:t>教学说明</w:t>
            </w:r>
          </w:p>
        </w:tc>
        <w:tc>
          <w:tcPr>
            <w:tcW w:w="1317" w:type="pct"/>
            <w:vAlign w:val="center"/>
          </w:tcPr>
          <w:p w14:paraId="74432B27">
            <w:pPr>
              <w:pStyle w:val="13"/>
              <w:jc w:val="left"/>
              <w:rPr>
                <w:rFonts w:hint="eastAsia"/>
              </w:rPr>
            </w:pPr>
            <w:r>
              <w:rPr>
                <w:rFonts w:hint="eastAsia"/>
              </w:rPr>
              <w:t>课程采用广东省教育厅规定的统一教材,教学与本市各中学基本同步,教师用普通话授课。</w:t>
            </w:r>
          </w:p>
        </w:tc>
      </w:tr>
    </w:tbl>
    <w:p w14:paraId="4209B494">
      <w:pPr>
        <w:ind w:firstLine="420"/>
        <w:rPr>
          <w:rFonts w:ascii="宋体" w:hAnsi="宋体"/>
        </w:rPr>
      </w:pPr>
      <w:r>
        <w:rPr>
          <w:rFonts w:ascii="宋体" w:hAnsi="宋体"/>
        </w:rPr>
        <w:t>学校一直把文化教育和素质教育摆在同等重要的位置上。为浓郁校园文化气氛，给学生一个展示和发展自我的舞台，成功创办花迳文学社。学校的篮球队、文娱队、广播站等社团成立，研究性学习开展起来。</w:t>
      </w:r>
    </w:p>
    <w:p w14:paraId="058BD596">
      <w:pPr>
        <w:ind w:firstLine="420"/>
        <w:rPr>
          <w:rFonts w:ascii="宋体" w:hAnsi="宋体"/>
        </w:rPr>
      </w:pPr>
      <w:r>
        <w:rPr>
          <w:rFonts w:ascii="宋体" w:hAnsi="宋体"/>
        </w:rPr>
        <w:t>多年来，学校以人为本，大力培养学生综合素质上下功夫，积累一定的办学经验。拓宽渠道，创新思路，采取图片展览，评选“文明班级”，举办法制讲座，放映宣教片，以及张贴校园通讯稿等灵活新颖的方式，积极弘扬新人新事，营造浓郁德育氛围，创设了良好校风学风；严谨治教，科学管理，落实常规教学，全面推进素质教育。上学期学校举办读“百孝经”活动，本学期又开展诵读“弟子规”的活动，现阶段正在进行“知荣耻”系列活动：德育发展处开展“守纪律知荣耻”主题教育活动，总务处开展“爱卫生知荣耻”主题教育活动，教导处开展“好学习知荣耻”主题教育活动。</w:t>
      </w:r>
    </w:p>
    <w:p w14:paraId="6B8928FA">
      <w:pPr>
        <w:ind w:firstLine="420"/>
        <w:rPr>
          <w:rFonts w:ascii="宋体" w:hAnsi="宋体"/>
        </w:rPr>
      </w:pPr>
      <w:r>
        <w:rPr>
          <w:rFonts w:ascii="宋体" w:hAnsi="宋体"/>
        </w:rPr>
        <w:t>学校教育教学质量稳步上升，质量检查、升学考试、学科竞赛以及体育竞技等方面成绩均名列南雄市前茅。97届黄启星同学在升学考试中荣获南雄市第一名的好成绩，2002届张小燕同学升学考试总分在南雄市排名第二，1999年初二（1）班李莲莲参加全国英语竞赛取得全国一等奖的好名次，2001年学校参加南雄市民间艺术节汇演荣获一等奖，2002年、2004年、2005年、2006年、2009年学校勇夺南雄市教工篮球冠军。</w:t>
      </w:r>
    </w:p>
    <w:p w14:paraId="313D33A2">
      <w:pPr>
        <w:ind w:firstLine="420"/>
        <w:jc w:val="right"/>
        <w:rPr>
          <w:rFonts w:ascii="宋体" w:hAnsi="宋体"/>
        </w:rPr>
      </w:pPr>
      <w:r>
        <w:rPr>
          <w:rFonts w:ascii="宋体" w:hAnsi="宋体"/>
        </w:rPr>
        <w:t>（邓胜文）</w:t>
      </w:r>
    </w:p>
    <w:p w14:paraId="0144A9F9">
      <w:pPr>
        <w:ind w:firstLine="422"/>
        <w:rPr>
          <w:rFonts w:ascii="宋体" w:hAnsi="宋体"/>
          <w:b/>
          <w:bCs/>
        </w:rPr>
      </w:pPr>
      <w:r>
        <w:rPr>
          <w:rFonts w:ascii="宋体" w:hAnsi="宋体"/>
          <w:b/>
          <w:bCs/>
        </w:rPr>
        <w:t>附：2010年领导班子成员：</w:t>
      </w:r>
    </w:p>
    <w:p w14:paraId="086FEF72">
      <w:pPr>
        <w:ind w:firstLine="422"/>
        <w:rPr>
          <w:rFonts w:ascii="宋体" w:hAnsi="宋体"/>
        </w:rPr>
      </w:pPr>
      <w:r>
        <w:rPr>
          <w:rFonts w:ascii="宋体" w:hAnsi="宋体"/>
          <w:b/>
          <w:bCs/>
        </w:rPr>
        <w:t>校</w:t>
      </w:r>
      <w:r>
        <w:rPr>
          <w:rFonts w:hint="eastAsia" w:ascii="宋体" w:hAnsi="宋体"/>
          <w:b/>
          <w:bCs/>
        </w:rPr>
        <w:t xml:space="preserve">  </w:t>
      </w:r>
      <w:r>
        <w:rPr>
          <w:rFonts w:ascii="宋体" w:hAnsi="宋体"/>
          <w:b/>
          <w:bCs/>
        </w:rPr>
        <w:t>长：</w:t>
      </w:r>
      <w:r>
        <w:rPr>
          <w:rFonts w:ascii="宋体" w:hAnsi="宋体"/>
        </w:rPr>
        <w:t>黄国专</w:t>
      </w:r>
    </w:p>
    <w:p w14:paraId="1518EDE5">
      <w:pPr>
        <w:ind w:firstLine="422"/>
        <w:rPr>
          <w:rFonts w:ascii="宋体" w:hAnsi="宋体"/>
        </w:rPr>
      </w:pPr>
      <w:r>
        <w:rPr>
          <w:rFonts w:ascii="宋体" w:hAnsi="宋体"/>
          <w:b/>
          <w:bCs/>
        </w:rPr>
        <w:t>副校长：</w:t>
      </w:r>
      <w:r>
        <w:rPr>
          <w:rFonts w:ascii="宋体" w:hAnsi="宋体"/>
        </w:rPr>
        <w:t>叶勤生</w:t>
      </w:r>
      <w:r>
        <w:rPr>
          <w:rFonts w:hint="eastAsia" w:ascii="宋体" w:hAnsi="宋体"/>
        </w:rPr>
        <w:t xml:space="preserve">  </w:t>
      </w:r>
      <w:r>
        <w:rPr>
          <w:rFonts w:ascii="宋体" w:hAnsi="宋体"/>
        </w:rPr>
        <w:t>彭华</w:t>
      </w:r>
      <w:r>
        <w:rPr>
          <w:rFonts w:hint="eastAsia" w:ascii="宋体" w:hAnsi="宋体"/>
        </w:rPr>
        <w:t xml:space="preserve">  </w:t>
      </w:r>
      <w:r>
        <w:rPr>
          <w:rFonts w:ascii="宋体" w:hAnsi="宋体"/>
        </w:rPr>
        <w:t>丁德英</w:t>
      </w:r>
    </w:p>
    <w:p w14:paraId="0BFDEA70">
      <w:pPr>
        <w:pStyle w:val="4"/>
      </w:pPr>
      <w:r>
        <w:t>【黎口中学】</w:t>
      </w:r>
    </w:p>
    <w:p w14:paraId="08397C22">
      <w:pPr>
        <w:ind w:firstLine="420"/>
        <w:rPr>
          <w:rFonts w:ascii="宋体" w:hAnsi="宋体"/>
        </w:rPr>
      </w:pPr>
      <w:r>
        <w:rPr>
          <w:rFonts w:ascii="宋体" w:hAnsi="宋体"/>
        </w:rPr>
        <w:t>学校位于南雄市雄东街黎口路44号，源于私立植祯中学，1941年，由国民党军政部黄植南中将为纪念其兄“植祯”而创办。原址在黎口乡瑶背头，1946年7月该校迁往广州。1963年在原址兴办黎口农业中学，1965年正名为黎口中学，1991年1月学校迁到现址。</w:t>
      </w:r>
    </w:p>
    <w:p w14:paraId="7E7DE969">
      <w:pPr>
        <w:ind w:firstLine="420"/>
        <w:rPr>
          <w:rFonts w:ascii="宋体" w:hAnsi="宋体"/>
        </w:rPr>
      </w:pPr>
      <w:r>
        <w:rPr>
          <w:rFonts w:ascii="宋体" w:hAnsi="宋体"/>
        </w:rPr>
        <w:t>1998年被评为南雄市一级学校。2004年被评为韶关市一级学校。2006年升为副科级单位。</w:t>
      </w:r>
    </w:p>
    <w:p w14:paraId="474CFD54">
      <w:pPr>
        <w:ind w:firstLine="420"/>
        <w:rPr>
          <w:rFonts w:ascii="宋体" w:hAnsi="宋体"/>
        </w:rPr>
      </w:pPr>
      <w:r>
        <w:rPr>
          <w:rFonts w:ascii="宋体" w:hAnsi="宋体"/>
        </w:rPr>
        <w:t>基本情况学校是南雄市学生住宿人数最多、也是南雄市唯一一所全寄宿制的初级中学。校园内绿树成荫，紫鹃点缀，白兰飘香。校园占地面积42100平方米，总建筑面积26800平方米。目前在职教职工116人。其中高级教师6人，一级教师102人，二级教师3人，职工5人。现有24个教学班，在校学生1500余人。</w:t>
      </w:r>
    </w:p>
    <w:p w14:paraId="1E7D34E5">
      <w:pPr>
        <w:ind w:firstLine="420"/>
        <w:rPr>
          <w:rFonts w:ascii="宋体" w:hAnsi="宋体"/>
        </w:rPr>
      </w:pPr>
      <w:r>
        <w:rPr>
          <w:rFonts w:ascii="宋体" w:hAnsi="宋体"/>
        </w:rPr>
        <w:t>设施建设学校教学区、运动区、生活区布局合理。有教学楼2幢，综合办公楼1幢，综合楼1幢，5幢66单元教师宿舍楼；有2个多媒体专用室，2间电脑室，1间语音室，有供物理、化学、生物等学科进行实验或教学活动的专用室共计38间；图书馆有藏书66000多册，有1幢能分年级就餐2500平方米的标准饭堂。</w:t>
      </w:r>
    </w:p>
    <w:p w14:paraId="394A71AF">
      <w:pPr>
        <w:ind w:firstLine="420"/>
        <w:rPr>
          <w:rFonts w:ascii="宋体" w:hAnsi="宋体"/>
        </w:rPr>
      </w:pPr>
      <w:r>
        <w:rPr>
          <w:rFonts w:ascii="宋体" w:hAnsi="宋体"/>
        </w:rPr>
        <w:t>办学特色确立“立志树人，创新奉献”的校训，形成“求实勤奋、严谨创新”的校风，“敬业爱生，严格耐心”的教风和“求实勤奋，活泼向上”的学风。各项规章制度完善。</w:t>
      </w:r>
    </w:p>
    <w:p w14:paraId="4F500CA8">
      <w:pPr>
        <w:ind w:firstLine="420"/>
        <w:rPr>
          <w:rFonts w:ascii="宋体" w:hAnsi="宋体"/>
        </w:rPr>
      </w:pPr>
      <w:r>
        <w:rPr>
          <w:rFonts w:ascii="宋体" w:hAnsi="宋体"/>
        </w:rPr>
        <w:t>学校成果学校先后被评为广东省群众体育先进单位”、“广东省《贯彻学校体育工作条例》和《学校卫生工作条例》先进单位”、“韶关市普教系统教育先进单位”、“南雄市教育工作先进单位”。近年来，教师撰写的论文在省市级刊物发表的有二十多篇。学生参加各类竞赛获国家、省、市级奖项八十多人次。多年来，初中升高中的统考成绩中，综合指数评价名列前茅，被誉为南雄义务教育的一面旗帜。</w:t>
      </w:r>
    </w:p>
    <w:p w14:paraId="2F18FDF1">
      <w:pPr>
        <w:ind w:firstLine="420"/>
        <w:jc w:val="right"/>
        <w:rPr>
          <w:rFonts w:ascii="宋体" w:hAnsi="宋体"/>
        </w:rPr>
      </w:pPr>
      <w:r>
        <w:rPr>
          <w:rFonts w:ascii="宋体" w:hAnsi="宋体"/>
        </w:rPr>
        <w:t>（沈巍）</w:t>
      </w:r>
    </w:p>
    <w:p w14:paraId="21AB6613">
      <w:pPr>
        <w:ind w:firstLine="422"/>
        <w:rPr>
          <w:rFonts w:ascii="宋体" w:hAnsi="宋体"/>
          <w:b/>
          <w:bCs/>
        </w:rPr>
      </w:pPr>
      <w:r>
        <w:rPr>
          <w:rFonts w:ascii="宋体" w:hAnsi="宋体"/>
          <w:b/>
          <w:bCs/>
        </w:rPr>
        <w:t>附：2010年黎口中学领导班子成员名单</w:t>
      </w:r>
    </w:p>
    <w:p w14:paraId="263C104C">
      <w:pPr>
        <w:ind w:firstLine="422"/>
        <w:rPr>
          <w:rFonts w:ascii="宋体" w:hAnsi="宋体"/>
        </w:rPr>
      </w:pPr>
      <w:r>
        <w:rPr>
          <w:rFonts w:ascii="宋体" w:hAnsi="宋体"/>
          <w:b/>
          <w:bCs/>
        </w:rPr>
        <w:t>校长：</w:t>
      </w:r>
      <w:r>
        <w:rPr>
          <w:rFonts w:ascii="宋体" w:hAnsi="宋体"/>
        </w:rPr>
        <w:t>何社生</w:t>
      </w:r>
    </w:p>
    <w:p w14:paraId="2ED43875">
      <w:pPr>
        <w:pStyle w:val="4"/>
      </w:pPr>
      <w:r>
        <w:t>【新城王锦辉中学】</w:t>
      </w:r>
    </w:p>
    <w:p w14:paraId="5C8BC9E3">
      <w:pPr>
        <w:ind w:firstLine="420"/>
        <w:rPr>
          <w:rFonts w:ascii="宋体" w:hAnsi="宋体"/>
        </w:rPr>
      </w:pPr>
      <w:r>
        <w:rPr>
          <w:rFonts w:ascii="宋体" w:hAnsi="宋体"/>
        </w:rPr>
        <w:t>南雄市新城王锦辉中学创办于1989年，原名为“南雄县新城中学”，因香港金城营造集团公司董事长王锦辉先生捐资助学，2002年12月四日经南雄市人大常委会批准，易名为“南雄市新城王锦辉中学”。意在颂扬香港金城营造集团公司董事长王锦辉先生对学校捐资助学的善举。</w:t>
      </w:r>
    </w:p>
    <w:p w14:paraId="12306A21">
      <w:pPr>
        <w:ind w:firstLine="420"/>
        <w:rPr>
          <w:rFonts w:ascii="宋体" w:hAnsi="宋体"/>
        </w:rPr>
      </w:pPr>
      <w:r>
        <w:rPr>
          <w:rFonts w:ascii="宋体" w:hAnsi="宋体"/>
        </w:rPr>
        <w:t>学校是南雄市直属中学，地处新城教育路，南临323国道穿城段，占地面积6万多平方米，校舍建筑总面积2471平方米。校内绿树掩映，花团锦簇，环境优美。招生范围囊括老城区下城片、新城区及主田、古市两个乡镇，学生人数3198名。现有教学楼3栋，科学馆一栋（内有达到省一级学校标准的电脑室、理化生实验室、舞蹈室、多媒体平台等），办公综合大楼1栋，学生宿舍楼2栋，有一间可容纳1000多人用餐的韶关市A级饭堂，还有学生图书室、阅览室、生物园、地理园及5000多平方米的文化广场。</w:t>
      </w:r>
    </w:p>
    <w:p w14:paraId="58A2203D">
      <w:pPr>
        <w:ind w:firstLine="420"/>
        <w:rPr>
          <w:rFonts w:ascii="宋体" w:hAnsi="宋体"/>
        </w:rPr>
      </w:pPr>
      <w:r>
        <w:rPr>
          <w:rFonts w:ascii="宋体" w:hAnsi="宋体"/>
        </w:rPr>
        <w:t>学校现有教职工195人，其中高级教师23人，一级教师119人，其中有5人参加省级骨干教师培训，教师学历达标率为100%。</w:t>
      </w:r>
    </w:p>
    <w:p w14:paraId="5F2F746A">
      <w:pPr>
        <w:ind w:firstLine="420"/>
        <w:rPr>
          <w:rFonts w:ascii="宋体" w:hAnsi="宋体"/>
        </w:rPr>
      </w:pPr>
      <w:r>
        <w:rPr>
          <w:rFonts w:ascii="宋体" w:hAnsi="宋体"/>
        </w:rPr>
        <w:t>管理上，学校倡导人性化的管理，坚持“以人为本、尊重的教育”的办学理念，全面实施素质教育，全面推行新课程改革，提倡“立足过程、促进发展”的评价标准，狠抓研究性学习和校本课程的开发，致力走“专家治校、名师治教”之路。</w:t>
      </w:r>
    </w:p>
    <w:p w14:paraId="4374E936">
      <w:pPr>
        <w:ind w:firstLine="420"/>
        <w:rPr>
          <w:rFonts w:ascii="宋体" w:hAnsi="宋体"/>
        </w:rPr>
      </w:pPr>
      <w:r>
        <w:rPr>
          <w:rFonts w:ascii="宋体" w:hAnsi="宋体"/>
        </w:rPr>
        <w:t>2009年2月被评为广东省中小学校本培训示范学校《师资建设》教师发展学校，2009年4月被评为“广东省安全文明校园”，2010年被评为广东省“书香校园”。</w:t>
      </w:r>
    </w:p>
    <w:p w14:paraId="6AA800F5">
      <w:pPr>
        <w:ind w:firstLine="420"/>
        <w:jc w:val="right"/>
        <w:rPr>
          <w:rFonts w:ascii="宋体" w:hAnsi="宋体"/>
        </w:rPr>
      </w:pPr>
      <w:r>
        <w:rPr>
          <w:rFonts w:ascii="宋体" w:hAnsi="宋体"/>
        </w:rPr>
        <w:t>（陈朝促）</w:t>
      </w:r>
    </w:p>
    <w:p w14:paraId="69737F17">
      <w:pPr>
        <w:ind w:firstLine="422"/>
        <w:rPr>
          <w:rFonts w:ascii="宋体" w:hAnsi="宋体"/>
          <w:b/>
          <w:bCs/>
        </w:rPr>
      </w:pPr>
      <w:r>
        <w:rPr>
          <w:rFonts w:ascii="宋体" w:hAnsi="宋体"/>
          <w:b/>
          <w:bCs/>
        </w:rPr>
        <w:t>附：2010年新城王锦辉中学领导成员名单</w:t>
      </w:r>
    </w:p>
    <w:p w14:paraId="28F67A73">
      <w:pPr>
        <w:ind w:firstLine="422"/>
        <w:rPr>
          <w:rFonts w:ascii="宋体" w:hAnsi="宋体"/>
        </w:rPr>
      </w:pPr>
      <w:r>
        <w:rPr>
          <w:rFonts w:ascii="宋体" w:hAnsi="宋体"/>
          <w:b/>
          <w:bCs/>
        </w:rPr>
        <w:t>校长：</w:t>
      </w:r>
      <w:r>
        <w:rPr>
          <w:rFonts w:ascii="宋体" w:hAnsi="宋体"/>
        </w:rPr>
        <w:t>陈广海</w:t>
      </w:r>
    </w:p>
    <w:p w14:paraId="75678A8B">
      <w:pPr>
        <w:ind w:firstLine="422"/>
        <w:rPr>
          <w:rFonts w:ascii="宋体" w:hAnsi="宋体"/>
        </w:rPr>
      </w:pPr>
      <w:r>
        <w:rPr>
          <w:rFonts w:ascii="宋体" w:hAnsi="宋体"/>
          <w:b/>
          <w:bCs/>
        </w:rPr>
        <w:t>副校长：</w:t>
      </w:r>
      <w:r>
        <w:rPr>
          <w:rFonts w:ascii="宋体" w:hAnsi="宋体"/>
        </w:rPr>
        <w:t>徐孔彬</w:t>
      </w:r>
      <w:r>
        <w:rPr>
          <w:rFonts w:hint="eastAsia" w:ascii="宋体" w:hAnsi="宋体"/>
        </w:rPr>
        <w:t xml:space="preserve">  </w:t>
      </w:r>
      <w:r>
        <w:rPr>
          <w:rFonts w:ascii="宋体" w:hAnsi="宋体"/>
        </w:rPr>
        <w:t>蓝霞秀</w:t>
      </w:r>
    </w:p>
    <w:p w14:paraId="0F556022">
      <w:pPr>
        <w:pStyle w:val="4"/>
      </w:pPr>
      <w:r>
        <w:t>【雄州中学】</w:t>
      </w:r>
    </w:p>
    <w:p w14:paraId="28EADDA8">
      <w:pPr>
        <w:ind w:firstLine="420"/>
        <w:rPr>
          <w:rFonts w:ascii="宋体" w:hAnsi="宋体"/>
        </w:rPr>
      </w:pPr>
      <w:r>
        <w:rPr>
          <w:rFonts w:ascii="宋体" w:hAnsi="宋体"/>
        </w:rPr>
        <w:t>雄州中学座落于市区雄州大道南，创建于1963年8月，几经易名为“五七中学”、“城镇一中”“雄州镇第一中学”等，1989年校名定为“雄州中学”，沿用至今。</w:t>
      </w:r>
    </w:p>
    <w:p w14:paraId="6E13C552">
      <w:pPr>
        <w:ind w:firstLine="420"/>
        <w:rPr>
          <w:rFonts w:ascii="宋体" w:hAnsi="宋体"/>
        </w:rPr>
      </w:pPr>
      <w:r>
        <w:rPr>
          <w:rFonts w:ascii="宋体" w:hAnsi="宋体"/>
        </w:rPr>
        <w:t>学校初创时只有1个高中班，8个初中班，共有学生540人，教职工32人。在各级党委政府及教育主管部门的关心支持下，历经雄州中学几代人的努力，学校现已形成规模办学：在校学生达2500人，有35个教学班，在职教职工143人，专任教师135人，其中高级教师9人，中学一级教师117人，初级教师9人。学校占地面积14000多平方米，校园环境优雅，布局合理，教学设施设备逐年完善。</w:t>
      </w:r>
    </w:p>
    <w:p w14:paraId="384D8C5D">
      <w:pPr>
        <w:ind w:firstLine="420"/>
        <w:rPr>
          <w:rFonts w:ascii="宋体" w:hAnsi="宋体"/>
        </w:rPr>
      </w:pPr>
      <w:r>
        <w:rPr>
          <w:rFonts w:ascii="宋体" w:hAnsi="宋体"/>
        </w:rPr>
        <w:t>多年来，学校加强行政队伍、教师队伍建设，强化德育工作和班级管理，抓好学生行为习惯养成，注重文明礼仪教育，打造书香校园；抓住“安全”“质量”两条生命线，重视教学常规管理和注重过程管理，教育教学质量逐年攀升，七年六夺全市中考状元，高分层人数位居全市前列。</w:t>
      </w:r>
    </w:p>
    <w:p w14:paraId="58BAB338">
      <w:pPr>
        <w:ind w:firstLine="420"/>
        <w:rPr>
          <w:rFonts w:ascii="宋体" w:hAnsi="宋体"/>
        </w:rPr>
      </w:pPr>
      <w:r>
        <w:rPr>
          <w:rFonts w:ascii="宋体" w:hAnsi="宋体"/>
        </w:rPr>
        <w:t>学校以“办人民满意的学校”为宗旨，创建城区优质品牌学校。由传统经验和制度管理转向文化管理，以人为本，和谐发展。以理解、尊重、宽容、协作和爱心构建和谐校园，建设规范化学校。让课堂更有效率，让师生更添智慧，让校园更具美感，让教育充满创造，让学校更加和谐。</w:t>
      </w:r>
    </w:p>
    <w:p w14:paraId="4F358D09">
      <w:pPr>
        <w:ind w:firstLine="420"/>
        <w:jc w:val="right"/>
        <w:rPr>
          <w:rFonts w:ascii="宋体" w:hAnsi="宋体"/>
        </w:rPr>
      </w:pPr>
      <w:r>
        <w:rPr>
          <w:rFonts w:ascii="宋体" w:hAnsi="宋体"/>
        </w:rPr>
        <w:t>（邓金生）</w:t>
      </w:r>
    </w:p>
    <w:p w14:paraId="4B5D229B">
      <w:pPr>
        <w:ind w:firstLine="422"/>
        <w:rPr>
          <w:rFonts w:ascii="宋体" w:hAnsi="宋体"/>
          <w:b/>
          <w:bCs/>
        </w:rPr>
      </w:pPr>
      <w:r>
        <w:rPr>
          <w:rFonts w:ascii="宋体" w:hAnsi="宋体"/>
          <w:b/>
          <w:bCs/>
        </w:rPr>
        <w:t>附：2010年雄州中学领导班子成员名单</w:t>
      </w:r>
    </w:p>
    <w:p w14:paraId="11045352">
      <w:pPr>
        <w:ind w:firstLine="422"/>
        <w:rPr>
          <w:rFonts w:ascii="宋体" w:hAnsi="宋体"/>
        </w:rPr>
      </w:pPr>
      <w:r>
        <w:rPr>
          <w:rFonts w:ascii="宋体" w:hAnsi="宋体"/>
          <w:b/>
          <w:bCs/>
        </w:rPr>
        <w:t>校长：</w:t>
      </w:r>
      <w:r>
        <w:rPr>
          <w:rFonts w:ascii="宋体" w:hAnsi="宋体"/>
        </w:rPr>
        <w:t>李庚标</w:t>
      </w:r>
    </w:p>
    <w:p w14:paraId="349C9B18">
      <w:pPr>
        <w:ind w:firstLine="422"/>
        <w:rPr>
          <w:rFonts w:ascii="宋体" w:hAnsi="宋体"/>
        </w:rPr>
      </w:pPr>
      <w:r>
        <w:rPr>
          <w:rFonts w:ascii="宋体" w:hAnsi="宋体"/>
          <w:b/>
          <w:bCs/>
        </w:rPr>
        <w:t>副校长：</w:t>
      </w:r>
      <w:r>
        <w:rPr>
          <w:rFonts w:ascii="宋体" w:hAnsi="宋体"/>
        </w:rPr>
        <w:t>曾嗣和</w:t>
      </w:r>
      <w:r>
        <w:rPr>
          <w:rFonts w:hint="eastAsia" w:ascii="宋体" w:hAnsi="宋体"/>
        </w:rPr>
        <w:t xml:space="preserve">  </w:t>
      </w:r>
      <w:r>
        <w:rPr>
          <w:rFonts w:ascii="宋体" w:hAnsi="宋体"/>
        </w:rPr>
        <w:t>朱定军</w:t>
      </w:r>
      <w:r>
        <w:rPr>
          <w:rFonts w:hint="eastAsia" w:ascii="宋体" w:hAnsi="宋体"/>
        </w:rPr>
        <w:t xml:space="preserve">  </w:t>
      </w:r>
      <w:r>
        <w:rPr>
          <w:rFonts w:ascii="宋体" w:hAnsi="宋体"/>
        </w:rPr>
        <w:t>刘发荣</w:t>
      </w:r>
    </w:p>
    <w:p w14:paraId="373CDE09">
      <w:pPr>
        <w:pStyle w:val="2"/>
      </w:pPr>
      <w:r>
        <w:t>文化</w:t>
      </w:r>
    </w:p>
    <w:p w14:paraId="1DEA7A2A">
      <w:pPr>
        <w:pStyle w:val="3"/>
      </w:pPr>
      <w:r>
        <w:rPr>
          <w:rFonts w:hint="eastAsia"/>
        </w:rPr>
        <w:t>综述</w:t>
      </w:r>
    </w:p>
    <w:p w14:paraId="7260D54A">
      <w:pPr>
        <w:pStyle w:val="4"/>
      </w:pPr>
      <w:r>
        <w:t>【概况】</w:t>
      </w:r>
    </w:p>
    <w:p w14:paraId="451E58D7">
      <w:pPr>
        <w:ind w:firstLine="420"/>
        <w:rPr>
          <w:rFonts w:ascii="宋体" w:hAnsi="宋体"/>
        </w:rPr>
      </w:pPr>
      <w:r>
        <w:rPr>
          <w:rFonts w:ascii="宋体" w:hAnsi="宋体"/>
        </w:rPr>
        <w:t>南雄市文化广电新闻出版局（简称文广新局），其前身是南雄市文化局。2005年4月6日，雄市机编[2005]06号文批准，撤销南雄市文化局、南雄市广播电视局，组建南雄市文化广电新闻出版局，将原文化局、市广播电视局、市委宣传部新闻出版办的行政管理职能归并到文化广电新闻出版局，并增加版权管理行政职能。正科级单位，内设人秘股、社会文化股、广电管理股、文化市场管理股、新闻出版管理股。其直属单位有南雄市文化市场综合执法大队，下属有文化馆、图书馆、博物馆、采茶剧团、影剧院及十八个镇文化站。全局干部职工有106人（其中在职67人、退休32人、影剧院7人）。</w:t>
      </w:r>
    </w:p>
    <w:p w14:paraId="453D6876">
      <w:pPr>
        <w:pStyle w:val="4"/>
      </w:pPr>
      <w:r>
        <w:t>【文化设施建设】</w:t>
      </w:r>
    </w:p>
    <w:p w14:paraId="18BC1A93">
      <w:pPr>
        <w:ind w:firstLine="420"/>
        <w:rPr>
          <w:rFonts w:ascii="宋体" w:hAnsi="宋体"/>
        </w:rPr>
      </w:pPr>
      <w:r>
        <w:rPr>
          <w:rFonts w:ascii="宋体" w:hAnsi="宋体"/>
        </w:rPr>
        <w:t>全市已经建成并投入使用群众文化健身综合广场近20个。2004年，广东流动图书馆南雄分馆挂牌成立；2009年，计划投资3000多万的新城影剧院开始动工兴建；2010年，经多方筹资，投入100多万元在三影塔广场建起电子显示屏，并进一步完善音响、灯光等配套设施，吸引众多文艺爱好者到广场中来，每天都有上千人到广场跳舞、健身、娱乐。2010年，全市文化站改建扩建镇综合文化站2个，新建镇级文化广场4个，新建“农家书屋”134家，工业园区新建图书文化中心3家，由省政府投入38万元设备，当地政府出资30万共建的全国文化信息资源共享工程南雄县级中心完成建设并投入使用。</w:t>
      </w:r>
    </w:p>
    <w:p w14:paraId="368A4819">
      <w:pPr>
        <w:pStyle w:val="3"/>
      </w:pPr>
      <w:r>
        <w:rPr>
          <w:rFonts w:hint="eastAsia"/>
        </w:rPr>
        <w:t>群众文化</w:t>
      </w:r>
    </w:p>
    <w:p w14:paraId="4847FD57">
      <w:pPr>
        <w:pStyle w:val="4"/>
      </w:pPr>
      <w:r>
        <w:t>【群众文化活动】</w:t>
      </w:r>
    </w:p>
    <w:p w14:paraId="240DF007">
      <w:pPr>
        <w:ind w:firstLine="420"/>
        <w:rPr>
          <w:rFonts w:ascii="宋体" w:hAnsi="宋体"/>
        </w:rPr>
      </w:pPr>
      <w:r>
        <w:rPr>
          <w:rFonts w:ascii="宋体" w:hAnsi="宋体"/>
        </w:rPr>
        <w:t>几年来，结合重大节日和重大活动，举办、承办、协办一年一度的元旦、春节、元宵等表演活动，具有影响力的群众文化活动120场。2010年5月，如：举办“永远跟党走”庆祝南雄市被确认为“中央苏区县”文艺晚会；2010年6月，与市委宣传部等单位共同主办南雄市“金叶杯”第二届红歌大赛活动等。2010年是三影古塔千禧之年，借此良机，通过一系列文化活动，打开文化搭台、经济唱戏的新局面。同时，开展“2131”工程、送戏、送电影下乡、农家书屋建设等工作，2008年至2010年，送戏下乡共220多场次；送电影进村3000多场次，观看人数达12万人次；送图书资料16000多册，接待读者近40万人次；建农家书屋184间，接待读书农民达8万人次；开展“图书漂流”，收到捐赠图书5000多册。</w:t>
      </w:r>
    </w:p>
    <w:p w14:paraId="6D28C8DB">
      <w:pPr>
        <w:pStyle w:val="4"/>
      </w:pPr>
      <w:r>
        <w:t>【群文艺术】</w:t>
      </w:r>
    </w:p>
    <w:p w14:paraId="1906C63B">
      <w:pPr>
        <w:ind w:firstLine="420"/>
        <w:rPr>
          <w:rFonts w:ascii="宋体" w:hAnsi="宋体"/>
        </w:rPr>
      </w:pPr>
      <w:r>
        <w:rPr>
          <w:rFonts w:ascii="宋体" w:hAnsi="宋体"/>
        </w:rPr>
        <w:t>南雄市文化馆是股级公益性事业单位，内设音乐、舞蹈（戏剧）、美术等辅导组。除参与组织大型文艺活动外，着重负责全市群众文化艺术活动的辅导工作，组织开展多种多样的群众文化艺术活动，培训群文干部、少儿艺术幼苗，编发群文刊物、开展业余文艺创作，搜集、整理、保护非物质文化遗产等工作。</w:t>
      </w:r>
    </w:p>
    <w:p w14:paraId="47C13D58">
      <w:pPr>
        <w:ind w:firstLine="420"/>
        <w:rPr>
          <w:rFonts w:ascii="宋体" w:hAnsi="宋体"/>
        </w:rPr>
      </w:pPr>
      <w:r>
        <w:rPr>
          <w:rFonts w:ascii="宋体" w:hAnsi="宋体"/>
        </w:rPr>
        <w:t>为丰富中老年朋友的晚年生活，陶冶中老人朋友的生活情趣，达到老有所学，老有所乐，老有所为的目的，促进和谐社会的建设，文化馆夕阳红艺术学校，免费为老人学员提供各类专业课，组织学员参加各类文艺演出，学员现有80多人，每周上8节课，分别对学员进行音乐、舞蹈培训，丰富中老人朋友的艺术修养，深受全市老人的好评。为贯彻“从小抓起”的方针，文化馆长年举办舞蹈、美术、钢琴、爵士鼓、拉丁舞等少儿艺术培训班，多年来共培训学员4680人次，获市以上奖励的学员有1530人次，为南雄市培养大批艺术苗子。</w:t>
      </w:r>
    </w:p>
    <w:p w14:paraId="038B4F6D">
      <w:pPr>
        <w:ind w:firstLine="420"/>
        <w:rPr>
          <w:rFonts w:ascii="宋体" w:hAnsi="宋体"/>
        </w:rPr>
      </w:pPr>
      <w:r>
        <w:rPr>
          <w:rFonts w:ascii="宋体" w:hAnsi="宋体"/>
        </w:rPr>
        <w:t>几年来，组织春节广场文艺演出活动8场；策划、组织、辅导节庆、专题演出活动60场；协助市委宣传部、文广新局举办红歌大赛2届；组织、编排文艺节目到各乡镇巡回演出102场。</w:t>
      </w:r>
    </w:p>
    <w:p w14:paraId="33F8FA86">
      <w:pPr>
        <w:ind w:firstLine="420"/>
        <w:rPr>
          <w:rFonts w:ascii="宋体" w:hAnsi="宋体"/>
        </w:rPr>
      </w:pPr>
      <w:r>
        <w:rPr>
          <w:rFonts w:ascii="宋体" w:hAnsi="宋体"/>
        </w:rPr>
        <w:t>同时，文化馆做好非物质文化遗产保护工作，挖掘、整理南雄市非物质文化遗产资源线索21项，重点调查项目11项。其中，传统舞蹈“香火龙”被公示为第三批国家级非物质文化遗产项目名录和列入广东省第三批省级非物质文化遗产项目名录；传统舞蹈“香火龙”、民间传说“珠玑巷人南迁传说”、传统舞蹈“双龙舞双狮”、民间信仰“姓氏节”、传统音乐“龙船歌”5项被公布为韶关市市级非物质文化遗产项目；传统舞蹈“双龙舞双狮”、“九十九节长龙”、“香火龙”、“磨地狮”、“青草狮”、“板灯龙”、“火龙、火狮、火凤、火虾”、民间信仰“姓氏节”、民间传说“珠玑巷人南迁”、传统戏剧“采茶戏”、传统音乐“龙船歌”11项被公布为南雄市人民政府县级非物质文化遗产保护名录。</w:t>
      </w:r>
    </w:p>
    <w:p w14:paraId="0C066087">
      <w:pPr>
        <w:pStyle w:val="4"/>
      </w:pPr>
      <w:r>
        <w:t>【文艺创作】</w:t>
      </w:r>
    </w:p>
    <w:p w14:paraId="37A466E1">
      <w:pPr>
        <w:ind w:firstLine="420"/>
        <w:rPr>
          <w:rFonts w:ascii="宋体" w:hAnsi="宋体"/>
        </w:rPr>
      </w:pPr>
      <w:r>
        <w:rPr>
          <w:rFonts w:ascii="宋体" w:hAnsi="宋体"/>
        </w:rPr>
        <w:t>业余作者创作的文学文艺作品获取韶关以上奖励有186件，在市级以上报刊杂志发表的有268件，其中，小戏《陈毅进山》获2010年度广东省群众文艺作品评选一等奖；小品《农民工大哥》获2010年度广东省群众文艺作品评选二等奖。</w:t>
      </w:r>
    </w:p>
    <w:p w14:paraId="532AD2A9">
      <w:pPr>
        <w:pStyle w:val="4"/>
      </w:pPr>
      <w:r>
        <w:t>【农家书屋工程建设】</w:t>
      </w:r>
    </w:p>
    <w:p w14:paraId="5EA6FE8F">
      <w:pPr>
        <w:ind w:firstLine="420"/>
        <w:rPr>
          <w:rFonts w:ascii="宋体" w:hAnsi="宋体"/>
        </w:rPr>
      </w:pPr>
      <w:r>
        <w:rPr>
          <w:rFonts w:ascii="宋体" w:hAnsi="宋体"/>
        </w:rPr>
        <w:t>2007年按照国家新闻出版总署和广东省新闻出版局的部署，在全市18个镇（街道）进行农家书屋工程建设，2010年12月止，全市建成农家书屋139家，每家配送六层书架3只共计417只、每家配送图书1749册共计243111册，覆盖全市66.82%的行政村。</w:t>
      </w:r>
    </w:p>
    <w:p w14:paraId="6294CAC7">
      <w:pPr>
        <w:pStyle w:val="4"/>
      </w:pPr>
      <w:r>
        <w:t>【南雄市图书馆】</w:t>
      </w:r>
    </w:p>
    <w:p w14:paraId="7D134EB0">
      <w:pPr>
        <w:ind w:firstLine="420"/>
        <w:rPr>
          <w:rFonts w:ascii="宋体" w:hAnsi="宋体"/>
        </w:rPr>
      </w:pPr>
      <w:r>
        <w:rPr>
          <w:rFonts w:ascii="宋体" w:hAnsi="宋体"/>
        </w:rPr>
        <w:t>南雄市图书馆是股级公益性事业单位，以“创新服务、高效管理、优质服务、读者满意”作为办馆方针，馆藏文献8万余册，年订阅报刊量100余种，阅览室座位250个。南雄市图书馆采用开放灵活的藏、借、阅、查一体的服务模式，开设图书外借、内参地文资料室、少儿借阅室、报刊阅览室、全国文化信息资源共享南雄县级支中心（多媒体电子阅览室）、广东流动图书馆南雄分馆等服务窗口，实行全开架服务。开展阅览、外借、参考咨询、专题、电子信息、网上续借、读者咨询等服务。建设一个集传统文献资源和现代网络资源为一体的现代化图书馆，与南雄市发展目标相适应。为广大人民群众提供多渠道、多层次的读书服务，推动学习型社会的建设，是知识信息的集散地，市民终身教育的学校。</w:t>
      </w:r>
    </w:p>
    <w:p w14:paraId="698C25B1">
      <w:pPr>
        <w:ind w:firstLine="420"/>
        <w:rPr>
          <w:rFonts w:ascii="宋体" w:hAnsi="宋体"/>
        </w:rPr>
      </w:pPr>
      <w:r>
        <w:rPr>
          <w:rFonts w:ascii="宋体" w:hAnsi="宋体"/>
        </w:rPr>
        <w:t>几年来，开展形式多样的在馆读书活动26场，如“告别游戏机室，走进图书馆”、“百书育新人”、“陪伴我成长的图书”等；利用节庆、假日走进社区开展读书知识有奖活动58场，如：开展春节灯谜竞猜、送科技图书与科技信息下乡等。</w:t>
      </w:r>
    </w:p>
    <w:p w14:paraId="45C5DAD6">
      <w:pPr>
        <w:ind w:firstLine="420"/>
        <w:rPr>
          <w:rFonts w:ascii="宋体" w:hAnsi="宋体"/>
        </w:rPr>
      </w:pPr>
      <w:r>
        <w:rPr>
          <w:rFonts w:ascii="宋体" w:hAnsi="宋体"/>
        </w:rPr>
        <w:t>1995年至2010年，连续六年被广东省立中山图书馆评为广东流动图书馆先进集体。</w:t>
      </w:r>
    </w:p>
    <w:p w14:paraId="7860DA01">
      <w:pPr>
        <w:pStyle w:val="4"/>
      </w:pPr>
      <w:r>
        <w:t>【南雄市新华书店】</w:t>
      </w:r>
    </w:p>
    <w:p w14:paraId="10A941C1">
      <w:pPr>
        <w:ind w:firstLine="420"/>
        <w:rPr>
          <w:rFonts w:ascii="宋体" w:hAnsi="宋体"/>
        </w:rPr>
      </w:pPr>
      <w:r>
        <w:rPr>
          <w:rFonts w:ascii="宋体" w:hAnsi="宋体"/>
        </w:rPr>
        <w:t>南雄市新华书店是经营性事业单位，实行独立核算，自负盈亏的企业管理制度。单位内设经理室、办公室、财务室、下属部门设仓库和门市部，门市部分购书中心和书城，门市经营面积达600多平方米。2010年全年销售额6355858元，实现税利108061元。</w:t>
      </w:r>
    </w:p>
    <w:p w14:paraId="1D0B5AC5">
      <w:pPr>
        <w:ind w:firstLine="420"/>
        <w:rPr>
          <w:rFonts w:ascii="宋体" w:hAnsi="宋体"/>
        </w:rPr>
      </w:pPr>
      <w:r>
        <w:rPr>
          <w:rFonts w:ascii="宋体" w:hAnsi="宋体"/>
        </w:rPr>
        <w:t>转企改制工作，从2010年3月开始，南雄市新华书店全面启动转企改制工作，并于2010年12月底，完成转企改制工作，成立南雄市新华书店有限公司，实行公司化管理体制。改制前在册在编职工35人，改制后签订劳动合同员工共19人，改制分流人员、退休人员得到妥善安置，新公司实行法人治理结构，体制机制改革逐步深入，为与广东新华发行集团有限公司的重组对接打下基础，为推动南雄市新华书店有限公司股份制改造做好准备。</w:t>
      </w:r>
    </w:p>
    <w:p w14:paraId="7AA72725">
      <w:pPr>
        <w:ind w:firstLine="420"/>
        <w:rPr>
          <w:rFonts w:ascii="宋体" w:hAnsi="宋体"/>
        </w:rPr>
      </w:pPr>
      <w:r>
        <w:rPr>
          <w:rFonts w:ascii="宋体" w:hAnsi="宋体"/>
        </w:rPr>
        <w:t>图书发行工作书店主要工作就是图书发行工作，一般分为两大块，一是中小学教材发行工作；二是一般图书发行工作。为完成“课前到书，人手一册”教材发行工作的目标，书店以“更快、更准、更高”为工作原则，做到及时分发、差错率小、质量过关，顺利完成春秋两季课本600多万元的发行任务。书店发挥图书文化市场主阵地的重要作用，利用门市部图书宣传平台，大宣传展示毛泽东思想、邓小平理论、“三个代表”重要思想以及科学发展观理论等思想理论著作，大量宣传展示国内外进步的科技文化、人文历史等图书，以“两个效益”并重为发行方针，始终坚持社会效益第一，经济效益第十的原则，为南雄市精神文明建设做出应有的贡献。</w:t>
      </w:r>
    </w:p>
    <w:p w14:paraId="67CC2E92">
      <w:pPr>
        <w:ind w:firstLine="420"/>
        <w:rPr>
          <w:rFonts w:ascii="宋体" w:hAnsi="宋体"/>
        </w:rPr>
      </w:pPr>
      <w:r>
        <w:rPr>
          <w:rFonts w:ascii="宋体" w:hAnsi="宋体"/>
        </w:rPr>
        <w:t>农家书屋建设工程农家书屋建设是省委、省政府一项全省性的重大政治工程，是广东省实现文化强省的一项重大举措，新华书店作为农家书屋的建设单位，担负重要责任。2010年南雄市农家书屋建设点有134家，为落实南雄市农家书屋建设工程，书店组织人力、物力资源，按时完成农家书屋的建设工程，历时一个多月，运送图书总量达2360530.6元，225656册，运送书架402个、牌匾136个，并确保书架安装到位，图书上架到位，农家书屋管理到位等建设要求，农家书屋建设工程的圆满完成，促进全市农村文化建设。</w:t>
      </w:r>
    </w:p>
    <w:p w14:paraId="7D8F03F3">
      <w:pPr>
        <w:ind w:firstLine="420"/>
        <w:rPr>
          <w:rFonts w:ascii="宋体" w:hAnsi="宋体"/>
        </w:rPr>
      </w:pPr>
      <w:r>
        <w:rPr>
          <w:rFonts w:ascii="宋体" w:hAnsi="宋体"/>
        </w:rPr>
        <w:t>其他社会活动开展情况，2010年，书店在转企改制过程中，坚持稳步推进、依法有序的原则，推进改革进程，安定团结工作抓出成效。同时，书店配合市委、市政府的中心工作，在全市开展的“广东扶贫济困日”活动中，募捐2350元。</w:t>
      </w:r>
    </w:p>
    <w:p w14:paraId="0DBD7789">
      <w:pPr>
        <w:ind w:firstLine="420"/>
        <w:rPr>
          <w:rFonts w:ascii="宋体" w:hAnsi="宋体"/>
        </w:rPr>
      </w:pPr>
      <w:r>
        <w:rPr>
          <w:rFonts w:ascii="宋体" w:hAnsi="宋体"/>
        </w:rPr>
        <w:t>南雄市新华书店的单位名称更改为南雄市新华书店有限公司，与广东新华发行集团有限公司重组后，将变更为广东新华发行集团南雄新华书店有限公司，撤销南雄书城，保留南雄购书中心，公司地址变更为南雄市雄州镇沿江西路26号，购书中心门店地址为南雄市雄州镇沿江西路24至26号。</w:t>
      </w:r>
    </w:p>
    <w:p w14:paraId="5519C56C">
      <w:pPr>
        <w:ind w:firstLine="420"/>
        <w:rPr>
          <w:rFonts w:ascii="宋体" w:hAnsi="宋体"/>
        </w:rPr>
      </w:pPr>
      <w:r>
        <w:rPr>
          <w:rFonts w:ascii="宋体" w:hAnsi="宋体"/>
        </w:rPr>
        <w:t>南雄市新华书店有限公司成立后，依照公司法，成立董事会、监事会，南雄市国资办代表南雄市人民政府履行股东（出资人职责，由股东任命胡善兰为公司董事长、总经理兼法人代表，任命雷清优、邓光健同志为董事、副总经理，任命屈远华（南雄市公共资产管理中心副主任）为公司监事会主席。</w:t>
      </w:r>
    </w:p>
    <w:p w14:paraId="1042FCF0">
      <w:pPr>
        <w:ind w:firstLine="420"/>
        <w:jc w:val="right"/>
        <w:rPr>
          <w:rFonts w:ascii="宋体" w:hAnsi="宋体"/>
        </w:rPr>
      </w:pPr>
      <w:r>
        <w:rPr>
          <w:rFonts w:ascii="宋体" w:hAnsi="宋体"/>
        </w:rPr>
        <w:t>（雷清优）</w:t>
      </w:r>
    </w:p>
    <w:p w14:paraId="4732AC53">
      <w:pPr>
        <w:pStyle w:val="3"/>
      </w:pPr>
      <w:r>
        <w:rPr>
          <w:rFonts w:hint="eastAsia"/>
        </w:rPr>
        <w:t>文物·博物</w:t>
      </w:r>
    </w:p>
    <w:p w14:paraId="79A98835">
      <w:pPr>
        <w:pStyle w:val="4"/>
      </w:pPr>
      <w:r>
        <w:t>【文物管理】</w:t>
      </w:r>
    </w:p>
    <w:p w14:paraId="4AC6143C">
      <w:pPr>
        <w:ind w:firstLine="420"/>
        <w:rPr>
          <w:rFonts w:ascii="宋体" w:hAnsi="宋体"/>
        </w:rPr>
      </w:pPr>
      <w:r>
        <w:rPr>
          <w:rFonts w:ascii="宋体" w:hAnsi="宋体"/>
        </w:rPr>
        <w:t>南雄市博物馆属自然历史类博物馆，馆舍于2003年重建，2004年10月竣工，新馆建筑面积2500平方米。馆内设有革命历史、古生物、历史文物、民俗文物等基本陈列，以丰富的实物、图片、模型及文字资料，生动反映了南雄光荣的革命斗争历程和自然、历史文化遗产。</w:t>
      </w:r>
    </w:p>
    <w:p w14:paraId="2F9021CB">
      <w:pPr>
        <w:ind w:firstLine="420"/>
        <w:rPr>
          <w:rFonts w:ascii="宋体" w:hAnsi="宋体"/>
        </w:rPr>
      </w:pPr>
      <w:r>
        <w:rPr>
          <w:rFonts w:ascii="宋体" w:hAnsi="宋体"/>
        </w:rPr>
        <w:t>博物馆工作人员通过多年的野外考古挖掘，积累丰富的古生物标本和相关的第一手资料，每年都要接待多批国内外地质古生物科学工作者，为他们的科研提供帮助。南雄博物馆的地质古生物标本和资料已成为我国重要的地质古生物研究对象。博物馆利用馆藏文物，搞好陈列、搞好宣传、搞好服务，开展爱国主义教育活动。</w:t>
      </w:r>
    </w:p>
    <w:p w14:paraId="0A49DECD">
      <w:pPr>
        <w:ind w:firstLine="420"/>
        <w:rPr>
          <w:rFonts w:ascii="宋体" w:hAnsi="宋体"/>
        </w:rPr>
      </w:pPr>
      <w:r>
        <w:rPr>
          <w:rFonts w:ascii="宋体" w:hAnsi="宋体"/>
        </w:rPr>
        <w:t>2003年至2010年，完成各级文物保护单位修复工程7处，其中，省文物保护单位4处、市文物保护单位3处，总投资695万元。</w:t>
      </w:r>
    </w:p>
    <w:p w14:paraId="0598E02B">
      <w:pPr>
        <w:ind w:firstLine="420"/>
        <w:rPr>
          <w:rFonts w:ascii="宋体" w:hAnsi="宋体"/>
        </w:rPr>
      </w:pPr>
      <w:r>
        <w:rPr>
          <w:rFonts w:ascii="宋体" w:hAnsi="宋体"/>
        </w:rPr>
        <w:t>2007年4月开始开展第三次全国文物普查工作，从成立机构、组织队伍、宣传发动、组织培训、田野调查等方面都有条不紊地进行。至2009年12月，完成全市的普查工作。2010年元月通过广东省第三次全国文物普查办对南雄市实地文物调查阶段工作的验收。共登录不可移动文物489处，其中，复查103处，新发现386处。</w:t>
      </w:r>
    </w:p>
    <w:p w14:paraId="42119A84">
      <w:pPr>
        <w:pStyle w:val="3"/>
      </w:pPr>
      <w:r>
        <w:rPr>
          <w:rFonts w:hint="eastAsia"/>
        </w:rPr>
        <w:t>电影</w:t>
      </w:r>
    </w:p>
    <w:p w14:paraId="309E58C4">
      <w:pPr>
        <w:pStyle w:val="4"/>
      </w:pPr>
      <w:r>
        <w:t>【电影发行放映】</w:t>
      </w:r>
    </w:p>
    <w:p w14:paraId="003EF7AC">
      <w:pPr>
        <w:ind w:firstLine="420"/>
        <w:rPr>
          <w:rFonts w:ascii="宋体" w:hAnsi="宋体"/>
        </w:rPr>
      </w:pPr>
      <w:r>
        <w:rPr>
          <w:rFonts w:ascii="宋体" w:hAnsi="宋体"/>
        </w:rPr>
        <w:t>南雄市原电影放映发行放映中心为副科级事业单位，电影放映发行中心于2007年3月进行转制，按照韶府[2003]119号转制安置文件精神，电影发行放映中心在编人员全部办理转制手续。其中8名五年内退休的人员办理离岗退养手续；5名男满30年工龄，女满25年工龄的人员签订解除劳动关系协议，一次领取经济补偿金；21名按规定解除劳动关系人员全部签订解除劳动关系协议，一次性领取经济偿金；2名遗属领取一次性补偿金。</w:t>
      </w:r>
    </w:p>
    <w:p w14:paraId="6C287A37">
      <w:pPr>
        <w:ind w:firstLine="420"/>
        <w:rPr>
          <w:rFonts w:ascii="宋体" w:hAnsi="宋体"/>
        </w:rPr>
      </w:pPr>
      <w:r>
        <w:rPr>
          <w:rFonts w:ascii="宋体" w:hAnsi="宋体"/>
        </w:rPr>
        <w:t>南雄市原电影院始建于上世纪五十年代，属于超期使用，其主体建筑结构经建设部门检验评估被定为危楼。为满足人民群众不断增长的文化生活需求，2008年南雄市委、市政府决定重建南雄市新的影剧院，并将该项工程列为当年的政府十大民心工程之一。南雄市新的影剧院选址于新城林荫西路，建设内容包括影剧院中心大楼、文化广场和停车场。新城影剧院主楼工程将于2012年初完成。</w:t>
      </w:r>
    </w:p>
    <w:p w14:paraId="241419BA">
      <w:pPr>
        <w:ind w:firstLine="420"/>
        <w:rPr>
          <w:rFonts w:ascii="宋体" w:hAnsi="宋体"/>
        </w:rPr>
      </w:pPr>
      <w:r>
        <w:rPr>
          <w:rFonts w:ascii="宋体" w:hAnsi="宋体"/>
        </w:rPr>
        <w:t>从2007年5开始，实施文化惠民、送电影下乡的“电影放映2131工程”，市每个行政村每个月放映1场电影，市有208个行政村，每年需完成送电影下乡2496场。为保证该工程的完成，由文广新局提供设备，共组建5个电影放映队，全年下乡巡回放映。</w:t>
      </w:r>
    </w:p>
    <w:p w14:paraId="53BAEBDD">
      <w:pPr>
        <w:pStyle w:val="4"/>
      </w:pPr>
      <w:r>
        <w:t>【影剧院】</w:t>
      </w:r>
    </w:p>
    <w:p w14:paraId="7EF8F3AD">
      <w:pPr>
        <w:ind w:firstLine="420"/>
        <w:rPr>
          <w:rFonts w:ascii="宋体" w:hAnsi="宋体"/>
        </w:rPr>
      </w:pPr>
      <w:r>
        <w:rPr>
          <w:rFonts w:ascii="宋体" w:hAnsi="宋体"/>
        </w:rPr>
        <w:t>南雄影剧院是股级事业单位，实行企业管理。政府无偿提供“南雄大会堂”前部4层共计面积100平方米给影剧院经营卡拉OK歌舞厅。2005年至2010年，影剧院筹集资金90多万元进行内部装修、购入投影、点歌器等设备，完善经营设施，在竞争中力求发展，寻找自身出路。</w:t>
      </w:r>
    </w:p>
    <w:p w14:paraId="24ABB874">
      <w:pPr>
        <w:ind w:firstLine="420"/>
        <w:jc w:val="right"/>
        <w:rPr>
          <w:rFonts w:ascii="宋体" w:hAnsi="宋体"/>
        </w:rPr>
      </w:pPr>
      <w:r>
        <w:rPr>
          <w:rFonts w:ascii="宋体" w:hAnsi="宋体"/>
        </w:rPr>
        <w:t>（张二妹）</w:t>
      </w:r>
    </w:p>
    <w:p w14:paraId="7D595D5C">
      <w:pPr>
        <w:pStyle w:val="3"/>
      </w:pPr>
      <w:r>
        <w:rPr>
          <w:rFonts w:hint="eastAsia"/>
        </w:rPr>
        <w:t>文化市场管理</w:t>
      </w:r>
    </w:p>
    <w:p w14:paraId="7A798415">
      <w:pPr>
        <w:pStyle w:val="4"/>
      </w:pPr>
      <w:r>
        <w:t>【概况】</w:t>
      </w:r>
    </w:p>
    <w:p w14:paraId="144037F9">
      <w:pPr>
        <w:ind w:firstLine="420"/>
        <w:rPr>
          <w:rFonts w:ascii="宋体" w:hAnsi="宋体"/>
        </w:rPr>
      </w:pPr>
      <w:r>
        <w:rPr>
          <w:rFonts w:ascii="宋体" w:hAnsi="宋体"/>
        </w:rPr>
        <w:t>南雄市有文化经营单位122家。其中网吧19家，歌舞娱乐场10家，游艺娱乐场所17家，音像制品零售、出租单位15家，出版物发行单位39家，“三印”（影印、打印、复印）12家，印刷企业10家。</w:t>
      </w:r>
    </w:p>
    <w:p w14:paraId="10E0C4B7">
      <w:pPr>
        <w:ind w:firstLine="420"/>
        <w:rPr>
          <w:rFonts w:ascii="宋体" w:hAnsi="宋体"/>
        </w:rPr>
      </w:pPr>
      <w:r>
        <w:rPr>
          <w:rFonts w:ascii="宋体" w:hAnsi="宋体"/>
        </w:rPr>
        <w:t>对营业性演出市场的管理，文广新局实行严格审批、严把准入关。首先加强对演出单位的资质审查以及节目内容审核，对审查不符合要求的，不予审批；其次加强对演出地点的严格把关，对没有取得消防安全许可的室内场所和存在安全隐患的室外场所，一律不予审批；最后是加强审批与市场监管紧密相连，对已审批的演出经营活动，文广新局都及时派出执法人员做好现场监督工作，防范违法演出行为的发生。</w:t>
      </w:r>
    </w:p>
    <w:p w14:paraId="4B8EA75A">
      <w:pPr>
        <w:pStyle w:val="4"/>
      </w:pPr>
      <w:r>
        <w:t>【专项整治】</w:t>
      </w:r>
    </w:p>
    <w:p w14:paraId="76B8E2B8">
      <w:pPr>
        <w:ind w:firstLine="420"/>
        <w:rPr>
          <w:rFonts w:ascii="宋体" w:hAnsi="宋体"/>
        </w:rPr>
      </w:pPr>
      <w:r>
        <w:rPr>
          <w:rFonts w:ascii="宋体" w:hAnsi="宋体"/>
        </w:rPr>
        <w:t>文广新局联合工商、公安局对全市的网吧和游戏机室进行综合整治，其中对网吧经营设立三条红线：“坚决禁止未成年进入；营业时间仅限于8时至24时；上网人员全部实名持卡登记”。对游戏机室的整治包括：要求所有无证照游戏机室一律禁止营业；持证经营的游戏机室一律不得经营赌博机。打击黑网吧，对黑网吧一经发现，即通报工商部门进行联合查处，共查处黑网吧共32家。</w:t>
      </w:r>
    </w:p>
    <w:p w14:paraId="499D0ECB">
      <w:pPr>
        <w:ind w:firstLine="420"/>
        <w:rPr>
          <w:rFonts w:ascii="宋体" w:hAnsi="宋体"/>
        </w:rPr>
      </w:pPr>
      <w:r>
        <w:rPr>
          <w:rFonts w:ascii="宋体" w:hAnsi="宋体"/>
        </w:rPr>
        <w:t>配备文化市场综合执法队专项执法编制7名。文化市场综合执法队在对文化市场经营场所进行严格监管、定期巡查的同时，每年进行“扫黄打非”、“娱乐场所禁毒”、“文化市场安全生产”等专项整治工作，对文化市场进行专项检查。2003年以来，共进行38次专项检查，查处无证经营35家，违法经营25家，收缴盗版书籍6.5万册，收缴黄、非光盘800张，净化了文化市场，使文化市场健康有序地发展。</w:t>
      </w:r>
    </w:p>
    <w:p w14:paraId="452ECE10">
      <w:pPr>
        <w:pStyle w:val="3"/>
      </w:pPr>
      <w:r>
        <w:rPr>
          <w:rFonts w:hint="eastAsia"/>
        </w:rPr>
        <w:t>新闻出版、报纸、书刊</w:t>
      </w:r>
    </w:p>
    <w:p w14:paraId="2C5FB4B3">
      <w:pPr>
        <w:pStyle w:val="4"/>
      </w:pPr>
      <w:r>
        <w:t>【新闻出版管理】</w:t>
      </w:r>
    </w:p>
    <w:p w14:paraId="26607965">
      <w:pPr>
        <w:ind w:firstLine="420"/>
        <w:rPr>
          <w:rFonts w:ascii="宋体" w:hAnsi="宋体"/>
        </w:rPr>
      </w:pPr>
      <w:r>
        <w:rPr>
          <w:rFonts w:ascii="宋体" w:hAnsi="宋体"/>
        </w:rPr>
        <w:t>为确保出版物市场建康有序，文广新局对全市的出版物市场进行不定期的检查，重点检查非法印刷品、杂志、报纸、教辅书籍的盗版情况，开展一系列专项整治，打击承印、销售赌博类非法报刊，对非法经营出版物的经营单位依法进行处理。2010年全市的印刷企业10家、书报店（摊）39家、三印企业12家、完成对全市印刷企业，书报店（摊）档，三印企业每年的年检工作。</w:t>
      </w:r>
    </w:p>
    <w:p w14:paraId="7259B038">
      <w:pPr>
        <w:pStyle w:val="4"/>
      </w:pPr>
      <w:r>
        <w:t>【采茶艺术】</w:t>
      </w:r>
    </w:p>
    <w:p w14:paraId="69325A6C">
      <w:pPr>
        <w:ind w:firstLine="420"/>
        <w:rPr>
          <w:rFonts w:ascii="宋体" w:hAnsi="宋体"/>
        </w:rPr>
      </w:pPr>
      <w:r>
        <w:rPr>
          <w:rFonts w:ascii="宋体" w:hAnsi="宋体"/>
        </w:rPr>
        <w:t>南雄市采茶剧团是南雄市唯一的专业艺术表演团体，担负着全市重大演出活动、送戏下乡、举办各种专题晚会的表演任务。</w:t>
      </w:r>
    </w:p>
    <w:p w14:paraId="3B8A90AD">
      <w:pPr>
        <w:ind w:firstLine="420"/>
        <w:rPr>
          <w:rFonts w:ascii="宋体" w:hAnsi="宋体"/>
        </w:rPr>
      </w:pPr>
      <w:r>
        <w:rPr>
          <w:rFonts w:ascii="宋体" w:hAnsi="宋体"/>
        </w:rPr>
        <w:t>南雄市采茶剧团勤抓基本功，严抓队伍形象，利用南雄丰富的文化资源，开展多种形式的文化交流活动，在香港、深圳和周边市县多次演出都能引起较大的反响。利用流动舞台车，组织、精心编排一系列以建设社会主义新农村、建设幸福南雄为主题的寓教于乐的文艺节目，以巡回演出的方式，进企业、下农村。先后有“安全生产活动月”巡回演出、“计生文化进万家”宣传演出等，在活跃和丰富农村文化生活的同时，用先进文化占领和巩固农村文化阵地，促进农村精神文明建设，地推动“文化下乡”活动的开展。2003年至2010年，送戏下乡巡回演出226场。</w:t>
      </w:r>
    </w:p>
    <w:p w14:paraId="0BD64BDF">
      <w:pPr>
        <w:ind w:firstLine="420"/>
        <w:rPr>
          <w:rFonts w:ascii="宋体" w:hAnsi="宋体"/>
        </w:rPr>
      </w:pPr>
      <w:r>
        <w:rPr>
          <w:rFonts w:ascii="宋体" w:hAnsi="宋体"/>
        </w:rPr>
        <w:t>该团为适应时代要求，在继承的基础上创作排演一批既保留传统、又紧扣时代旋律的现代采茶小戏，参与大小赛事，并取得可喜成绩。2010年，参加“良渚文化杯”小戏小品暨第四届“中国戏剧奖·小戏小品”复赛，采茶戏《孟管当砸缸》获复赛二等奖。</w:t>
      </w:r>
    </w:p>
    <w:p w14:paraId="2DB491DE">
      <w:pPr>
        <w:ind w:firstLine="422"/>
        <w:rPr>
          <w:rFonts w:ascii="宋体" w:hAnsi="宋体"/>
          <w:b/>
          <w:bCs/>
        </w:rPr>
      </w:pPr>
      <w:r>
        <w:rPr>
          <w:rFonts w:ascii="宋体" w:hAnsi="宋体"/>
          <w:b/>
          <w:bCs/>
        </w:rPr>
        <w:t>附：2010年文广新局领导班子成员名单</w:t>
      </w:r>
    </w:p>
    <w:p w14:paraId="70A83BA2">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肖丽琼</w:t>
      </w:r>
    </w:p>
    <w:p w14:paraId="29422F7A">
      <w:pPr>
        <w:ind w:firstLine="422"/>
        <w:rPr>
          <w:rFonts w:ascii="宋体" w:hAnsi="宋体"/>
        </w:rPr>
      </w:pPr>
      <w:r>
        <w:rPr>
          <w:rFonts w:ascii="宋体" w:hAnsi="宋体"/>
          <w:b/>
          <w:bCs/>
        </w:rPr>
        <w:t>副局长：</w:t>
      </w:r>
      <w:r>
        <w:rPr>
          <w:rFonts w:ascii="宋体" w:hAnsi="宋体"/>
        </w:rPr>
        <w:t>曾昭雄</w:t>
      </w:r>
      <w:r>
        <w:rPr>
          <w:rFonts w:hint="eastAsia" w:ascii="宋体" w:hAnsi="宋体"/>
        </w:rPr>
        <w:t xml:space="preserve">  </w:t>
      </w:r>
      <w:r>
        <w:rPr>
          <w:rFonts w:ascii="宋体" w:hAnsi="宋体"/>
        </w:rPr>
        <w:t>沈青松</w:t>
      </w:r>
      <w:r>
        <w:rPr>
          <w:rFonts w:hint="eastAsia" w:ascii="宋体" w:hAnsi="宋体"/>
        </w:rPr>
        <w:t xml:space="preserve">  </w:t>
      </w:r>
      <w:r>
        <w:rPr>
          <w:rFonts w:ascii="宋体" w:hAnsi="宋体"/>
        </w:rPr>
        <w:t>陈章林</w:t>
      </w:r>
    </w:p>
    <w:p w14:paraId="6C81018D">
      <w:pPr>
        <w:ind w:firstLine="422"/>
        <w:rPr>
          <w:rFonts w:ascii="宋体" w:hAnsi="宋体"/>
        </w:rPr>
      </w:pPr>
      <w:r>
        <w:rPr>
          <w:rFonts w:ascii="宋体" w:hAnsi="宋体"/>
          <w:b/>
          <w:bCs/>
        </w:rPr>
        <w:t>纪检组长：</w:t>
      </w:r>
      <w:r>
        <w:rPr>
          <w:rFonts w:ascii="宋体" w:hAnsi="宋体"/>
        </w:rPr>
        <w:t>刘志梅</w:t>
      </w:r>
    </w:p>
    <w:p w14:paraId="219E8A06">
      <w:pPr>
        <w:pStyle w:val="3"/>
      </w:pPr>
      <w:r>
        <w:rPr>
          <w:rFonts w:hint="eastAsia"/>
        </w:rPr>
        <w:t>广播电视</w:t>
      </w:r>
    </w:p>
    <w:p w14:paraId="6CAEA968">
      <w:pPr>
        <w:pStyle w:val="4"/>
      </w:pPr>
      <w:r>
        <w:t>【概况】</w:t>
      </w:r>
    </w:p>
    <w:p w14:paraId="0986AD08">
      <w:pPr>
        <w:ind w:firstLine="420"/>
        <w:rPr>
          <w:rFonts w:ascii="宋体" w:hAnsi="宋体"/>
        </w:rPr>
      </w:pPr>
      <w:r>
        <w:rPr>
          <w:rFonts w:ascii="宋体" w:hAnsi="宋体"/>
        </w:rPr>
        <w:t>2005年整合现有南雄人民广播电台、南雄电视台、南雄市有线电视台、南雄市微波发射中心，设立南雄市广播电视台。广播电视台为正科级事业单位，内设办公室、财务部、总编室、事业技术部、电视新闻广告部、广播电台部、城区网络部、农村网络部，设置乌迳、黄坑、珠玑、全安、湖口、水口、古市7个基层广播电视中心站。编制人数105人。</w:t>
      </w:r>
    </w:p>
    <w:p w14:paraId="18C92C46">
      <w:pPr>
        <w:pStyle w:val="4"/>
      </w:pPr>
      <w:r>
        <w:t>【广电发展事业】</w:t>
      </w:r>
    </w:p>
    <w:p w14:paraId="4C1631B0">
      <w:pPr>
        <w:ind w:firstLine="420"/>
        <w:rPr>
          <w:rFonts w:ascii="宋体" w:hAnsi="宋体"/>
        </w:rPr>
      </w:pPr>
      <w:r>
        <w:rPr>
          <w:rFonts w:ascii="宋体" w:hAnsi="宋体"/>
        </w:rPr>
        <w:t>南雄市城乡广播电视网络建设稳步推进，全市有线电视用户5万多户，农村网络覆盖全市83%的行政村（居委会），铺设有线电视光缆主干线276KM。2010年启动有线数字电视整体转换工作，按照省、市实施有线数字电视整体转换工作的要求，完成数字电视机房和传输平台、营业大厅装修、设备招标等前期准备工作，进入到数字电视整转的实质性阶段，对城区有线电视实施数字化整体转换。广播电视宽带数据业务迅猛发展，实现网络多元化创收，发展公安、计生、社保、教育等数据专线208条，发展个人宽带用户1230户。</w:t>
      </w:r>
    </w:p>
    <w:p w14:paraId="5B95EBDF">
      <w:pPr>
        <w:pStyle w:val="4"/>
      </w:pPr>
      <w:r>
        <w:t>【广播电视宣传】</w:t>
      </w:r>
    </w:p>
    <w:p w14:paraId="7701FA02">
      <w:pPr>
        <w:ind w:firstLine="420"/>
        <w:rPr>
          <w:rFonts w:ascii="宋体" w:hAnsi="宋体"/>
        </w:rPr>
      </w:pPr>
      <w:r>
        <w:rPr>
          <w:rFonts w:ascii="宋体" w:hAnsi="宋体"/>
        </w:rPr>
        <w:t>电视新闻专题《我和汪洋书记有个约定》获全国城市电视台新闻节目奖三等奖、广东新闻奖电视新闻类三等奖（政府奖）、广东省广播电视节目奖电视新闻类三等奖、广东省县市区广播电视新闻评析银奖、获韶关市广播电视新闻奖二等奖。电视专题片《追风女孩》获韶关市广播电视新闻奖一等奖、广东省广播电视节目奖电视专题类三等奖。电视长消息《马丽芸夺得亚运女子小轮车冠军实现韶关亚运金牌零的突破》获广东新闻奖电视新闻类三等奖（政府奖）、广东省广播电视节目奖三等奖、广东省县市区广播电视新闻评析金奖、获韶关市广播电视新闻奖二等奖。电视连续报道《珠玑古巷千年古榕》获韶关市广播电视新闻奖三等奖。电视散文《山泉》第九届百家电视台优秀电视文艺节目展评三等奖。广播长消息《汪洋书记和我有个约定》获广东省政府新闻奖二等奖、广东省县级广播电视新闻三等奖、韶关市广播电视新闻一等奖。广播长消息《马丽芸实现韶关在亚运会金牌零的突破》获韶关市广播电视新闻三等奖。获奖作品数量和等次在韶关市各县（市、区）广播电视台中名列前茅。电台、电视台分别播出稿件3520篇和2489篇。</w:t>
      </w:r>
    </w:p>
    <w:p w14:paraId="5CE69905">
      <w:pPr>
        <w:pStyle w:val="4"/>
      </w:pPr>
      <w:r>
        <w:t>【栏目设置】</w:t>
      </w:r>
    </w:p>
    <w:p w14:paraId="227A5FC1">
      <w:pPr>
        <w:ind w:firstLine="420"/>
        <w:rPr>
          <w:rFonts w:ascii="宋体" w:hAnsi="宋体"/>
        </w:rPr>
      </w:pPr>
      <w:r>
        <w:rPr>
          <w:rFonts w:ascii="宋体" w:hAnsi="宋体"/>
        </w:rPr>
        <w:t>开设的栏目有《南雄新闻》、《今日新闻提要》、《雄州纵横》、《南雄警务报道》、《金叶之路》、《电与生活》、《病虫测报》、《科教天地》、《信息视窗》、《天气预报》等固定栏目。</w:t>
      </w:r>
    </w:p>
    <w:p w14:paraId="45FBA6B3">
      <w:pPr>
        <w:ind w:firstLine="420"/>
        <w:jc w:val="right"/>
        <w:rPr>
          <w:rFonts w:ascii="宋体" w:hAnsi="宋体"/>
        </w:rPr>
      </w:pPr>
      <w:r>
        <w:rPr>
          <w:rFonts w:ascii="宋体" w:hAnsi="宋体"/>
        </w:rPr>
        <w:t>（蓝惠娟）</w:t>
      </w:r>
    </w:p>
    <w:p w14:paraId="1468EF9C">
      <w:pPr>
        <w:ind w:firstLine="422"/>
        <w:rPr>
          <w:rFonts w:ascii="宋体" w:hAnsi="宋体"/>
          <w:b/>
          <w:bCs/>
        </w:rPr>
      </w:pPr>
      <w:r>
        <w:rPr>
          <w:rFonts w:ascii="宋体" w:hAnsi="宋体"/>
          <w:b/>
          <w:bCs/>
        </w:rPr>
        <w:t>附：2010年广播电视台领导班子成员名单</w:t>
      </w:r>
    </w:p>
    <w:p w14:paraId="4B191EBB">
      <w:pPr>
        <w:ind w:firstLine="422"/>
        <w:rPr>
          <w:rFonts w:ascii="宋体" w:hAnsi="宋体"/>
        </w:rPr>
      </w:pPr>
      <w:r>
        <w:rPr>
          <w:rFonts w:ascii="宋体" w:hAnsi="宋体"/>
          <w:b/>
          <w:bCs/>
        </w:rPr>
        <w:t>台</w:t>
      </w:r>
      <w:r>
        <w:rPr>
          <w:rFonts w:hint="eastAsia" w:ascii="宋体" w:hAnsi="宋体"/>
          <w:b/>
          <w:bCs/>
        </w:rPr>
        <w:t xml:space="preserve">  </w:t>
      </w:r>
      <w:r>
        <w:rPr>
          <w:rFonts w:ascii="宋体" w:hAnsi="宋体"/>
          <w:b/>
          <w:bCs/>
        </w:rPr>
        <w:t>长：</w:t>
      </w:r>
      <w:r>
        <w:rPr>
          <w:rFonts w:ascii="宋体" w:hAnsi="宋体"/>
        </w:rPr>
        <w:t>刘光新</w:t>
      </w:r>
    </w:p>
    <w:p w14:paraId="69702A19">
      <w:pPr>
        <w:ind w:firstLine="422"/>
        <w:rPr>
          <w:rFonts w:ascii="宋体" w:hAnsi="宋体"/>
        </w:rPr>
      </w:pPr>
      <w:r>
        <w:rPr>
          <w:rFonts w:ascii="宋体" w:hAnsi="宋体"/>
          <w:b/>
          <w:bCs/>
        </w:rPr>
        <w:t>副台长：</w:t>
      </w:r>
      <w:r>
        <w:rPr>
          <w:rFonts w:ascii="宋体" w:hAnsi="宋体"/>
        </w:rPr>
        <w:t>张帮贵</w:t>
      </w:r>
      <w:r>
        <w:rPr>
          <w:rFonts w:hint="eastAsia" w:ascii="宋体" w:hAnsi="宋体"/>
        </w:rPr>
        <w:t xml:space="preserve">  </w:t>
      </w:r>
      <w:r>
        <w:rPr>
          <w:rFonts w:ascii="宋体" w:hAnsi="宋体"/>
        </w:rPr>
        <w:t>刘勇</w:t>
      </w:r>
      <w:r>
        <w:rPr>
          <w:rFonts w:hint="eastAsia" w:ascii="宋体" w:hAnsi="宋体"/>
        </w:rPr>
        <w:t xml:space="preserve">  </w:t>
      </w:r>
      <w:r>
        <w:rPr>
          <w:rFonts w:ascii="宋体" w:hAnsi="宋体"/>
        </w:rPr>
        <w:t>朱志军</w:t>
      </w:r>
    </w:p>
    <w:p w14:paraId="08085938">
      <w:pPr>
        <w:ind w:firstLine="422"/>
        <w:rPr>
          <w:rFonts w:ascii="宋体" w:hAnsi="宋体"/>
        </w:rPr>
      </w:pPr>
      <w:r>
        <w:rPr>
          <w:rFonts w:ascii="宋体" w:hAnsi="宋体"/>
          <w:b/>
          <w:bCs/>
        </w:rPr>
        <w:t>工会主席：</w:t>
      </w:r>
      <w:r>
        <w:rPr>
          <w:rFonts w:ascii="宋体" w:hAnsi="宋体"/>
        </w:rPr>
        <w:t>沈迪彧</w:t>
      </w:r>
    </w:p>
    <w:p w14:paraId="0F75F61F">
      <w:pPr>
        <w:pStyle w:val="3"/>
      </w:pPr>
      <w:r>
        <w:rPr>
          <w:rFonts w:hint="eastAsia"/>
        </w:rPr>
        <w:t>档案局</w:t>
      </w:r>
    </w:p>
    <w:p w14:paraId="3E15EE0C">
      <w:pPr>
        <w:pStyle w:val="4"/>
      </w:pPr>
      <w:r>
        <w:t>【概况】</w:t>
      </w:r>
    </w:p>
    <w:p w14:paraId="6ECCED07">
      <w:pPr>
        <w:ind w:firstLine="420"/>
        <w:rPr>
          <w:rFonts w:ascii="宋体" w:hAnsi="宋体"/>
        </w:rPr>
      </w:pPr>
      <w:r>
        <w:rPr>
          <w:rFonts w:ascii="宋体" w:hAnsi="宋体"/>
        </w:rPr>
        <w:t>南雄市档案局是市人民政府负责全市档案事业行政管理和档案保管利用工作的正科级事业单位。根据2002年雄市机编[2002]151号“关于印发《南雄市档案局（馆），职能配置，内设机构和人员编制规定》的通知”，市档案局与市档案馆实行局馆合一体制，内设人秘股、业务指导股、档案管理股三个股室，定事业编制6名。至2010年，局（馆）实有工作人员8人。其中，局（馆）长1人，副局（馆）长2人。南雄市档案馆于1991年9月被评定为省二级档案馆，2008年11月被评定为省一级档案馆。</w:t>
      </w:r>
    </w:p>
    <w:p w14:paraId="3A8DF855">
      <w:pPr>
        <w:pStyle w:val="4"/>
      </w:pPr>
      <w:r>
        <w:t>【基础设施建设】</w:t>
      </w:r>
    </w:p>
    <w:p w14:paraId="4328C7D1">
      <w:pPr>
        <w:ind w:firstLine="420"/>
        <w:rPr>
          <w:rFonts w:ascii="宋体" w:hAnsi="宋体"/>
        </w:rPr>
      </w:pPr>
      <w:r>
        <w:rPr>
          <w:rFonts w:ascii="宋体" w:hAnsi="宋体"/>
        </w:rPr>
        <w:t>南雄市现档案局（馆）大楼，建在市政府大院内，于1998年12月动工兴建，1999年9月竣工并投入使用，建筑总投资69.96万元，总建筑面积1185.96平方米，为独立五层钢筋混凝土框架结构，并按建馆要求设回形走廊和通风地窗。至2010年止，局馆内设有库房、办公室、目录室、阅览室、消毒除尘室、裱糊室、整理室、检索室、电脑室、静电复印室、展览厅等功能用房，配备有铁柜146只、新型组合档案柜107套、抽湿机4台、专用声像柜1台、专用消毒柜1台、各类空调10台、计算机9台，复印机1台、光盘记录机1台、扫描仪1台、打印机3台，多功能数码摄像机1台、缩微设备1套等设备，库房内还安装了烟火感应自动报警系统，各层均配备消防灭火设备。</w:t>
      </w:r>
    </w:p>
    <w:p w14:paraId="4113D039">
      <w:pPr>
        <w:pStyle w:val="4"/>
      </w:pPr>
      <w:r>
        <w:t>【档案资源建设】</w:t>
      </w:r>
    </w:p>
    <w:p w14:paraId="4362DDFF">
      <w:pPr>
        <w:ind w:firstLine="420"/>
        <w:rPr>
          <w:rFonts w:ascii="宋体" w:hAnsi="宋体"/>
        </w:rPr>
      </w:pPr>
      <w:r>
        <w:rPr>
          <w:rFonts w:ascii="宋体" w:hAnsi="宋体"/>
        </w:rPr>
        <w:t>南雄市档案馆馆藏档案至2010年止，有档案全宗115个，包括文书档案、科技档案、专门档案、声像档案、实物档案等7个大类的档案，馆藏总量为50977卷又2063件，其中，文书档案22607卷1936件，基建档案127卷（盒），会计档案355卷，已故人员档案1062卷，声像档案5696张又366盒，专门档案26803卷，实物档案162件，总排架长699米。有志史资料、书籍、报刊期刊等各类资料67种，5582册，总排架长约59米。接收到各单位移交档案电子目录案卷级51219条，文件级265007条。</w:t>
      </w:r>
    </w:p>
    <w:p w14:paraId="5C541AC7">
      <w:pPr>
        <w:pStyle w:val="4"/>
      </w:pPr>
      <w:r>
        <w:t>【档案编研与学术探讨】</w:t>
      </w:r>
    </w:p>
    <w:p w14:paraId="362A7450">
      <w:pPr>
        <w:ind w:firstLine="420"/>
        <w:rPr>
          <w:rFonts w:ascii="宋体" w:hAnsi="宋体"/>
        </w:rPr>
      </w:pPr>
      <w:r>
        <w:rPr>
          <w:rFonts w:ascii="宋体" w:hAnsi="宋体"/>
        </w:rPr>
        <w:t>2008年，组织人员编写出符合国家规范的《南雄市档案馆全宗指南》一书，全书分6个部分撰写，约18万字。同时，还编写出《南雄风情略》、《南雄市投资指南》、《南雄黄烟发展纪略》等三本编研资料，共99000多字。2008年7月，局长李应军同志撰写的“以思想的不断解放，创新档案工作”文章，发表在《广东档案》2008年第3期刊物上。2009年3月，李应军、钟凌华同志合著的“上下一条心，全力做好档案馆目标管理工作”一文，在《广东档案》2009年第1期上发表。</w:t>
      </w:r>
    </w:p>
    <w:p w14:paraId="23BA768B">
      <w:pPr>
        <w:pStyle w:val="4"/>
      </w:pPr>
      <w:r>
        <w:t>【档案接收与服务利用】</w:t>
      </w:r>
    </w:p>
    <w:p w14:paraId="685474CE">
      <w:pPr>
        <w:ind w:firstLine="420"/>
        <w:rPr>
          <w:rFonts w:ascii="宋体" w:hAnsi="宋体"/>
        </w:rPr>
      </w:pPr>
      <w:r>
        <w:rPr>
          <w:rFonts w:ascii="宋体" w:hAnsi="宋体"/>
        </w:rPr>
        <w:t>2010年4月1日开始，至5月21日止，分三批集中市直各单位、各镇档案员，到档案馆进行2009年度档案的立卷归档和电子目录的输入等工作。共有115个单位的档案员参加了集中立卷归档，共立卷15000卷（件），接收到各单位移交进馆档案4916卷1780件，其中文书档案559卷1780件、专门档案4196卷（件）、其他档案161卷。接收到各单位移交档案电子目录案卷级4854条，文件级22400条。2010年，馆内共接待各类查档人员6120人次，查阅各类档案6500卷（册），为领导决策，招商引资、林权改革、两路建设、苏区申报、各类山林、土地、房屋纠纷的解决等提供大量真实有效的凭证材料。</w:t>
      </w:r>
    </w:p>
    <w:p w14:paraId="28D99AD0">
      <w:pPr>
        <w:pStyle w:val="4"/>
      </w:pPr>
      <w:r>
        <w:t>【档案功能拓展】</w:t>
      </w:r>
    </w:p>
    <w:p w14:paraId="0FAACAD8">
      <w:pPr>
        <w:ind w:firstLine="420"/>
        <w:rPr>
          <w:rFonts w:ascii="宋体" w:hAnsi="宋体"/>
        </w:rPr>
      </w:pPr>
      <w:r>
        <w:rPr>
          <w:rFonts w:ascii="宋体" w:hAnsi="宋体"/>
        </w:rPr>
        <w:t>该馆于2003年7月经市委、市政府批准成立“现行文件阅览中心”，2007年11月被市委、市政府列为“南雄市爱国主义教育基地”，被共青团南雄市委列为“南雄市青少年教育基地”。2008年9月又被市政府指定为南雄市政府公开信息查阅中心”，被市旅游部门指定为“旅游参观点”。同时，挖掘馆藏档案资源，2008年10月举办以“情系珠玑”、“南雄风情”为主题的特色展览。至2010年止，馆内各教育基地、展览厅共接待参观学生和各界人士5批次1000多人。</w:t>
      </w:r>
    </w:p>
    <w:p w14:paraId="1401DA11">
      <w:pPr>
        <w:ind w:firstLine="420"/>
        <w:jc w:val="right"/>
        <w:rPr>
          <w:rFonts w:ascii="宋体" w:hAnsi="宋体"/>
        </w:rPr>
      </w:pPr>
      <w:r>
        <w:rPr>
          <w:rFonts w:ascii="宋体" w:hAnsi="宋体"/>
        </w:rPr>
        <w:t>（钟凌华）</w:t>
      </w:r>
    </w:p>
    <w:p w14:paraId="6FF1618D">
      <w:pPr>
        <w:ind w:firstLine="422"/>
        <w:rPr>
          <w:rFonts w:ascii="宋体" w:hAnsi="宋体"/>
          <w:b/>
          <w:bCs/>
        </w:rPr>
      </w:pPr>
      <w:r>
        <w:rPr>
          <w:rFonts w:ascii="宋体" w:hAnsi="宋体"/>
          <w:b/>
          <w:bCs/>
        </w:rPr>
        <w:t>附：2010年档案局领导班子成员名单</w:t>
      </w:r>
    </w:p>
    <w:p w14:paraId="363F1246">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李应军</w:t>
      </w:r>
    </w:p>
    <w:p w14:paraId="56B1F0C3">
      <w:pPr>
        <w:ind w:firstLine="422"/>
        <w:rPr>
          <w:rFonts w:ascii="宋体" w:hAnsi="宋体"/>
        </w:rPr>
      </w:pPr>
      <w:r>
        <w:rPr>
          <w:rFonts w:ascii="宋体" w:hAnsi="宋体"/>
          <w:b/>
          <w:bCs/>
        </w:rPr>
        <w:t>副局长：</w:t>
      </w:r>
      <w:r>
        <w:rPr>
          <w:rFonts w:ascii="宋体" w:hAnsi="宋体"/>
        </w:rPr>
        <w:t>陈尚平叶呈发</w:t>
      </w:r>
    </w:p>
    <w:p w14:paraId="717DABE2">
      <w:pPr>
        <w:pStyle w:val="3"/>
      </w:pPr>
      <w:r>
        <w:rPr>
          <w:rFonts w:hint="eastAsia"/>
        </w:rPr>
        <w:t>史志工作</w:t>
      </w:r>
    </w:p>
    <w:p w14:paraId="38628A7D">
      <w:pPr>
        <w:pStyle w:val="4"/>
      </w:pPr>
      <w:r>
        <w:t>【概况】</w:t>
      </w:r>
    </w:p>
    <w:p w14:paraId="1625B8D1">
      <w:pPr>
        <w:ind w:firstLine="420"/>
        <w:rPr>
          <w:rFonts w:ascii="宋体" w:hAnsi="宋体"/>
        </w:rPr>
      </w:pPr>
      <w:r>
        <w:rPr>
          <w:rFonts w:ascii="宋体" w:hAnsi="宋体"/>
        </w:rPr>
        <w:t>南雄市史志办公室（简称市史志办），设置于2001年12月，内设3个股：方志股、党史股、人秘股。事业编制6名，其中领导职数3名（1正2副），其他干部3名（其中股长职数3名）。原中共南雄市委党史研究室成立于1982年6月，原南雄地方志编纂委员会办公室设置于1984年11月，两办合并后称今名。负责南雄市地方志编纂、出版、发行。各专业志审查、验收和出版前的审批工作。开展地方志学术研究，交流经验、推广新的科研究成果。办好南雄“地情资料信息库”及“南雄地情网”和地方党史研究的征集、整理党的文献、资料和文物及访问老干部和组织老干部编写回忆录，搞好历史遗留问题的调查和编辑好历史书籍，发挥好求实、存史、资政、育人的作用。</w:t>
      </w:r>
    </w:p>
    <w:p w14:paraId="4DA43DB1">
      <w:pPr>
        <w:pStyle w:val="4"/>
      </w:pPr>
      <w:r>
        <w:t>【地方志业务】</w:t>
      </w:r>
    </w:p>
    <w:p w14:paraId="7500D91E">
      <w:pPr>
        <w:ind w:firstLine="420"/>
        <w:rPr>
          <w:rFonts w:ascii="宋体" w:hAnsi="宋体"/>
        </w:rPr>
      </w:pPr>
      <w:r>
        <w:rPr>
          <w:rFonts w:ascii="宋体" w:hAnsi="宋体"/>
        </w:rPr>
        <w:t>1、经过编辑人员的努力，2006年完成《南雄市志》初稿的编纂工作，2007年完成初审和复审，2008年完成志书的终审，2009年，2010年进行《南雄市志》终审的修改补充。2、协助广东省人民政府地方志办公室编纂《广东省志》南雄市内容的供稿及《韶关市志》南雄内容的供稿。3、做好《广东省鉴》南雄部分的组稿工作及《韶关年鉴》南雄内容的组稿。</w:t>
      </w:r>
    </w:p>
    <w:p w14:paraId="3824FE8C">
      <w:pPr>
        <w:pStyle w:val="4"/>
      </w:pPr>
      <w:r>
        <w:t>【收集资料】</w:t>
      </w:r>
    </w:p>
    <w:p w14:paraId="6B2DFAF5">
      <w:pPr>
        <w:ind w:firstLine="420"/>
        <w:rPr>
          <w:rFonts w:ascii="宋体" w:hAnsi="宋体"/>
        </w:rPr>
      </w:pPr>
      <w:r>
        <w:rPr>
          <w:rFonts w:ascii="宋体" w:hAnsi="宋体"/>
        </w:rPr>
        <w:t>一是通过用志书交换的形式共收集外地志书资料达20套（本）1500万字；二是收集整理旧志、本地地情资料一批，累计达300万字；三是收集出版，至2010年，出版的专业志有37部，累计655万字。</w:t>
      </w:r>
    </w:p>
    <w:p w14:paraId="57249282">
      <w:pPr>
        <w:pStyle w:val="4"/>
      </w:pPr>
      <w:r>
        <w:t>【地情网站】</w:t>
      </w:r>
    </w:p>
    <w:p w14:paraId="0E03044F">
      <w:pPr>
        <w:ind w:firstLine="420"/>
        <w:rPr>
          <w:rFonts w:ascii="宋体" w:hAnsi="宋体"/>
        </w:rPr>
      </w:pPr>
      <w:r>
        <w:rPr>
          <w:rFonts w:ascii="宋体" w:hAnsi="宋体"/>
        </w:rPr>
        <w:t>按广东省人民政府地方志办公室（简称省志办）建立地情基础资料电子信息库的要求，史志办在2007年通过政府协议采购电脑1台、激光多功能一体机1台，做了地情网站，编纂和审查验收各专业志、旧志整理和地方志理论研究、地方志业务培训、地方志资源开发利用、地情调研以及地方志网页。通过设在广东省信息库互联网可查阅南雄方面的资料，为各级地方志工作者了解、研究南雄，提供一个良好平台，使了解南雄的人文、地理、风俗等地方志工件的渠道更加畅通和规范。</w:t>
      </w:r>
    </w:p>
    <w:p w14:paraId="75093924">
      <w:pPr>
        <w:pStyle w:val="4"/>
      </w:pPr>
      <w:r>
        <w:t>【人员培训】</w:t>
      </w:r>
    </w:p>
    <w:p w14:paraId="79074131">
      <w:pPr>
        <w:ind w:firstLine="420"/>
        <w:rPr>
          <w:rFonts w:ascii="宋体" w:hAnsi="宋体"/>
        </w:rPr>
      </w:pPr>
      <w:r>
        <w:rPr>
          <w:rFonts w:ascii="宋体" w:hAnsi="宋体"/>
        </w:rPr>
        <w:t>1、南雄市地方志办公室按省志办的要求，积极参与省志办连续5年与华南师范大学共同承担培训县级以上业务骨干，至2010年底，有志书、年鉴6人（次）参加培训。2、全体人员参加2009年度全市干部信息能力培训，掌握现代信息技术基本技能，利用现代信息技术手段发现问题、分析问题和解决问题，人人达到“三会”（会用电脑办公、会上网搜索信息、会用互联网开展业务交流和应用）。</w:t>
      </w:r>
    </w:p>
    <w:p w14:paraId="695F4C3E">
      <w:pPr>
        <w:pStyle w:val="4"/>
      </w:pPr>
      <w:r>
        <w:t>【志书评议】</w:t>
      </w:r>
    </w:p>
    <w:p w14:paraId="234B2A58">
      <w:pPr>
        <w:ind w:firstLine="420"/>
        <w:rPr>
          <w:rFonts w:ascii="宋体" w:hAnsi="宋体"/>
        </w:rPr>
      </w:pPr>
      <w:r>
        <w:rPr>
          <w:rFonts w:ascii="宋体" w:hAnsi="宋体"/>
        </w:rPr>
        <w:t>按照广东省人民政府地方志办公室工作部署，组织全体人员参加地方志理论研讨活动，2003年至2010年共有12人（次）参加了翁源、乳源、乐昌、曲江、始兴等县（市）、区的地方志理论研讨会。</w:t>
      </w:r>
    </w:p>
    <w:p w14:paraId="75517ED9">
      <w:pPr>
        <w:ind w:firstLine="420"/>
        <w:jc w:val="right"/>
        <w:rPr>
          <w:rFonts w:ascii="宋体" w:hAnsi="宋体"/>
        </w:rPr>
      </w:pPr>
      <w:r>
        <w:rPr>
          <w:rFonts w:ascii="宋体" w:hAnsi="宋体"/>
        </w:rPr>
        <w:t>（刘球凤</w:t>
      </w:r>
      <w:r>
        <w:rPr>
          <w:rFonts w:hint="eastAsia" w:ascii="宋体" w:hAnsi="宋体"/>
        </w:rPr>
        <w:t>）</w:t>
      </w:r>
    </w:p>
    <w:p w14:paraId="4C7752C3">
      <w:pPr>
        <w:pStyle w:val="4"/>
      </w:pPr>
      <w:r>
        <w:t>【党史研究】</w:t>
      </w:r>
    </w:p>
    <w:p w14:paraId="1E1BE7E2">
      <w:pPr>
        <w:ind w:firstLine="420"/>
        <w:rPr>
          <w:rFonts w:ascii="宋体" w:hAnsi="宋体"/>
        </w:rPr>
      </w:pPr>
      <w:r>
        <w:rPr>
          <w:rFonts w:ascii="宋体" w:hAnsi="宋体"/>
        </w:rPr>
        <w:t>自2003年以来出版《他在暴风雨中成长》、《浈凌人物传》、《中共南雄市（县）历届党代会文件选编》，完成《中共南雄地方史二卷》二卷编写大纲及篇目，参与中央党史研究室组织的《红色铁流—红军长征全录》上下册、《今日长征路画册》编写工作，并于2006年由中央党史出版社向全国公开发行。参与省委党史研究室组织《广东革命史迹通览》一书《南雄革命史迹》编写工作，并于2007年公开出版发行，完成中央省委党史部门部署的全国性的《抗日战争时期人员与财产损失》课题中《南雄市抗战争时期人员与财产损失调查研报告》课题并由省委党史研究室出版发行。2010年对南雄市革命遗址和其它遗址进行普查，并编辑出版《南雄市革命遗址和其他遗址普查成果资料》计十二万多字。</w:t>
      </w:r>
    </w:p>
    <w:p w14:paraId="14BE7127">
      <w:pPr>
        <w:pStyle w:val="4"/>
      </w:pPr>
      <w:r>
        <w:t>【申报中央苏区县工作】</w:t>
      </w:r>
    </w:p>
    <w:p w14:paraId="0BE228D5">
      <w:pPr>
        <w:ind w:firstLine="420"/>
        <w:rPr>
          <w:rFonts w:ascii="宋体" w:hAnsi="宋体"/>
        </w:rPr>
      </w:pPr>
      <w:r>
        <w:rPr>
          <w:rFonts w:ascii="宋体" w:hAnsi="宋体"/>
        </w:rPr>
        <w:t>2009年5月至2010年，市委、市政府决定对二战时期南雄县中共党组织和苏维埃政府的历史进行调查考证，向中央党史研究室申报确认南雄为原中央苏区县。2009年5月，为更好地弘扬苏区精神，告慰革命先烈，推动南雄社会经济事业发展，争取中央省对老区政策倾斜，恢复南雄人民应得的政治荣誉。史志办陈景泰、李君祥、市老促会理事事长朱雄，在查阅5000万字数的档案资料，形成近30万字的申报南雄为原中央苏区县申报材料。获得中央党史研究室的权威确认为原中央苏区县，并编辑出版《南雄市属于中央苏区范围材料汇编》。修复省委办公旧址</w:t>
      </w:r>
    </w:p>
    <w:p w14:paraId="0435BFC8">
      <w:pPr>
        <w:ind w:firstLine="420"/>
        <w:rPr>
          <w:rFonts w:ascii="宋体" w:hAnsi="宋体"/>
        </w:rPr>
      </w:pPr>
      <w:r>
        <w:rPr>
          <w:rFonts w:ascii="宋体" w:hAnsi="宋体"/>
        </w:rPr>
        <w:t>参与市委修复省委旧址——瑶坑工作，搜集大量的历史资料和历史图片，为市委修复抗战时期广东省委在瑶坑的办公旧址提供历史资料和历史图片，使市委修复省委办公旧址顺利进行。</w:t>
      </w:r>
    </w:p>
    <w:p w14:paraId="725E81EC">
      <w:pPr>
        <w:pStyle w:val="4"/>
      </w:pPr>
      <w:r>
        <w:t>【宣传工作】</w:t>
      </w:r>
    </w:p>
    <w:p w14:paraId="200A356B">
      <w:pPr>
        <w:ind w:firstLine="420"/>
        <w:rPr>
          <w:rFonts w:ascii="宋体" w:hAnsi="宋体"/>
        </w:rPr>
      </w:pPr>
      <w:r>
        <w:rPr>
          <w:rFonts w:ascii="宋体" w:hAnsi="宋体"/>
        </w:rPr>
        <w:t>2006年以来，先后接受中央、省、韶关电视台，《南方日报》、《羊城晚报》、《解放军报》等新闻媒体记者的采访，向社会宣传介绍当年红军长征路过南雄的情景及抗战时期南雄人民抗日的历史事迹。协助中央电视台、中央文献研究室在南雄拍摄《粤赣湘边纵队》的工作并提供有关资料。与中山大学、暨南大学等专家交流、探讨南雄方面的历史的资料，配合他们宣传介绍南雄红色旅游工作。</w:t>
      </w:r>
    </w:p>
    <w:p w14:paraId="2EA6F9F1">
      <w:pPr>
        <w:pStyle w:val="4"/>
      </w:pPr>
      <w:r>
        <w:t>【荣誉称号】</w:t>
      </w:r>
    </w:p>
    <w:p w14:paraId="51D3CD06">
      <w:pPr>
        <w:ind w:firstLine="420"/>
        <w:rPr>
          <w:rFonts w:ascii="宋体" w:hAnsi="宋体"/>
        </w:rPr>
      </w:pPr>
      <w:r>
        <w:rPr>
          <w:rFonts w:ascii="宋体" w:hAnsi="宋体"/>
        </w:rPr>
        <w:t>2004年12月，《南雄县志》被广东省社会科学联合会、广东省地方史办公室评为广东省第一届新编地方志书一等奖。2005年12月，南雄市史志办公室被中国地方志指导小组评为全国方志先进集体。2006年获省委人事厅、省委党史研究室2001-2005年党史系统先进。</w:t>
      </w:r>
    </w:p>
    <w:p w14:paraId="1BFBA085">
      <w:pPr>
        <w:ind w:firstLine="420"/>
        <w:jc w:val="right"/>
        <w:rPr>
          <w:rFonts w:ascii="宋体" w:hAnsi="宋体"/>
        </w:rPr>
      </w:pPr>
      <w:r>
        <w:rPr>
          <w:rFonts w:ascii="宋体" w:hAnsi="宋体"/>
        </w:rPr>
        <w:t>（李君祥）</w:t>
      </w:r>
    </w:p>
    <w:p w14:paraId="788C0F1C">
      <w:pPr>
        <w:ind w:firstLine="422"/>
        <w:rPr>
          <w:rFonts w:ascii="宋体" w:hAnsi="宋体"/>
          <w:b/>
          <w:bCs/>
        </w:rPr>
      </w:pPr>
      <w:r>
        <w:rPr>
          <w:rFonts w:ascii="宋体" w:hAnsi="宋体"/>
          <w:b/>
          <w:bCs/>
        </w:rPr>
        <w:t>附：2010年史志办班子成员名单</w:t>
      </w:r>
    </w:p>
    <w:p w14:paraId="7001F1E4">
      <w:pPr>
        <w:ind w:firstLine="422"/>
        <w:rPr>
          <w:rFonts w:ascii="宋体" w:hAnsi="宋体"/>
        </w:rPr>
      </w:pPr>
      <w:r>
        <w:rPr>
          <w:rFonts w:ascii="宋体" w:hAnsi="宋体"/>
          <w:b/>
          <w:bCs/>
        </w:rPr>
        <w:t>主</w:t>
      </w:r>
      <w:r>
        <w:rPr>
          <w:rFonts w:hint="eastAsia" w:ascii="宋体" w:hAnsi="宋体"/>
          <w:b/>
          <w:bCs/>
        </w:rPr>
        <w:t xml:space="preserve">  </w:t>
      </w:r>
      <w:r>
        <w:rPr>
          <w:rFonts w:ascii="宋体" w:hAnsi="宋体"/>
          <w:b/>
          <w:bCs/>
        </w:rPr>
        <w:t>任：</w:t>
      </w:r>
      <w:r>
        <w:rPr>
          <w:rFonts w:ascii="宋体" w:hAnsi="宋体"/>
        </w:rPr>
        <w:t>陈景泰</w:t>
      </w:r>
    </w:p>
    <w:p w14:paraId="73AFBDFC">
      <w:pPr>
        <w:ind w:firstLine="422"/>
        <w:rPr>
          <w:rFonts w:ascii="宋体" w:hAnsi="宋体"/>
        </w:rPr>
      </w:pPr>
      <w:r>
        <w:rPr>
          <w:rFonts w:ascii="宋体" w:hAnsi="宋体"/>
          <w:b/>
          <w:bCs/>
        </w:rPr>
        <w:t>副主任：</w:t>
      </w:r>
      <w:r>
        <w:rPr>
          <w:rFonts w:ascii="宋体" w:hAnsi="宋体"/>
        </w:rPr>
        <w:t>李君祥</w:t>
      </w:r>
      <w:r>
        <w:rPr>
          <w:rFonts w:hint="eastAsia" w:ascii="宋体" w:hAnsi="宋体"/>
        </w:rPr>
        <w:t xml:space="preserve">  </w:t>
      </w:r>
      <w:r>
        <w:rPr>
          <w:rFonts w:ascii="宋体" w:hAnsi="宋体"/>
        </w:rPr>
        <w:t>肖锋</w:t>
      </w:r>
      <w:r>
        <w:rPr>
          <w:rFonts w:hint="eastAsia" w:ascii="宋体" w:hAnsi="宋体"/>
        </w:rPr>
        <w:t xml:space="preserve">  </w:t>
      </w:r>
      <w:r>
        <w:rPr>
          <w:rFonts w:ascii="宋体" w:hAnsi="宋体"/>
        </w:rPr>
        <w:t>谢</w:t>
      </w:r>
      <w:r>
        <w:rPr>
          <w:rFonts w:hint="eastAsia" w:ascii="宋体" w:hAnsi="宋体"/>
        </w:rPr>
        <w:t>平</w:t>
      </w:r>
    </w:p>
    <w:p w14:paraId="2710913E">
      <w:pPr>
        <w:pStyle w:val="2"/>
      </w:pPr>
      <w:r>
        <w:t>医疗卫生</w:t>
      </w:r>
    </w:p>
    <w:p w14:paraId="56C54DDD">
      <w:pPr>
        <w:pStyle w:val="3"/>
      </w:pPr>
      <w:r>
        <w:rPr>
          <w:rFonts w:hint="eastAsia"/>
        </w:rPr>
        <w:t>综述</w:t>
      </w:r>
    </w:p>
    <w:p w14:paraId="314A049E">
      <w:pPr>
        <w:pStyle w:val="4"/>
      </w:pPr>
      <w:r>
        <w:t>【概况】</w:t>
      </w:r>
    </w:p>
    <w:p w14:paraId="4DA98114">
      <w:pPr>
        <w:ind w:firstLine="420"/>
        <w:rPr>
          <w:rFonts w:ascii="宋体" w:hAnsi="宋体"/>
        </w:rPr>
      </w:pPr>
      <w:r>
        <w:rPr>
          <w:rFonts w:ascii="宋体" w:hAnsi="宋体"/>
        </w:rPr>
        <w:t>2010年，全市卫生系统坚持以科学发展观统领全局，健全完善公共卫生体系建设，加大卫生监督执法和预防保健工作力度，稳步推进新农合工作，加强医疗质量管理和基础实施建设，全市医疗服务质量明显提高，卫生行业形象全面提升，卫生事业得到长足发展。年末，全市有各级各类医疗机构338个，其中县（市）级综合性医院1个（人民医院），县（市）级中医院1个，县（市）级防保机构4间（疾病预防控制中心、卫生监督所、慢性病防治站、妇幼保健院），镇级卫生院19间（含1间社区卫生服务中心），村级卫生站278个，机关、企事业、厂矿医务室7间，个体诊所28间，医疗网点已遍布城乡，布局也比较合理；全市卫生工作人员1063人，其中在职卫生技术人员894人（高级职称54人，中级职称227人，初级职称612人），乡村医生278人。卫生技术人员中，执业医师（含助理）550人，每千人拥有医生数1.45人；注册护士492人，每千人拥有护士1.29人，乡村医生278人；全市有病床945张，其中城区703张，镇卫生院242张。每千人拥有床位2.05张；全市有单价万元以上设备418台，其中50万元以上设备22台。在国务院公布的甲、乙类大型医疗设备中，医用核磁共振（MRI）1台，X线电子计算机断层扫描装置（CT）2台（其中螺旋CT1台），DR机1台，计算机化的X线放射影像系统（CR）4台，彩色B超4台，800MA医用X线诊断机1台，500MA以上医用X线诊断机5台；2010年全市医疗卫生系统收治门诊病人数达618317人次，住院病人数达33444人次。2010年南雄市卫生局荣获2010年度韶关市县级卫生局工作考核第三名。</w:t>
      </w:r>
    </w:p>
    <w:p w14:paraId="1A34A92D">
      <w:pPr>
        <w:pStyle w:val="4"/>
      </w:pPr>
      <w:r>
        <w:t>【概况】</w:t>
      </w:r>
    </w:p>
    <w:p w14:paraId="600C1DE2">
      <w:pPr>
        <w:ind w:firstLine="420"/>
        <w:rPr>
          <w:rFonts w:ascii="宋体" w:hAnsi="宋体"/>
        </w:rPr>
      </w:pPr>
      <w:r>
        <w:rPr>
          <w:rFonts w:ascii="宋体" w:hAnsi="宋体"/>
        </w:rPr>
        <w:t>南雄市公共医疗卫生体系主要有市人民医院、市中医院、市卫生监督所、市疾病预防控制中心、市健康教育所、市妇幼保健院、市慢性病防治站、镇卫生院的防保组及妇幼卫生组和村卫生站等机构组成。</w:t>
      </w:r>
    </w:p>
    <w:p w14:paraId="5FCBA1E3">
      <w:pPr>
        <w:pStyle w:val="4"/>
      </w:pPr>
      <w:r>
        <w:t>【应对突发公共卫生事件机制】</w:t>
      </w:r>
    </w:p>
    <w:p w14:paraId="3DA6CE20">
      <w:pPr>
        <w:ind w:firstLine="420"/>
        <w:rPr>
          <w:rFonts w:ascii="宋体" w:hAnsi="宋体"/>
        </w:rPr>
      </w:pPr>
      <w:r>
        <w:rPr>
          <w:rFonts w:ascii="宋体" w:hAnsi="宋体"/>
        </w:rPr>
        <w:t>加强和完善卫生应急“一案三制”（制订修订应急预案，建立健全应急的体制、机制和法制），制定《南雄市卫生系统突发公共卫生事件应急预案》，并成立南雄市卫生系统突发公共卫生事件应急处理工作领导小组，下设医疗救护、预防控制、卫生监督三个指导小组，重大传染病和突发公共卫生事件得到有效防控。一是与农业、畜牧、水利、环保、质监等部门建立协调机制，加强部门间突发公共卫生事件信息沟通与措施联动。二是结合卫生应急工作需要，制订和修订相关突发公共卫生事件防控预案，2003年至2010年制订预案5部，卫生应急预案框架体系逐步完善。三是建立健全全市24个镇级以上医疗卫生机构传染病疫情和突发公共卫生事件网络直报常态管理、实时监控机制，及时、准确地对突发公共卫生事件作出预测、预警和预报。四是加强队伍建设。对村卫生站、镇级以上医疗机构和托幼机构、学校等相关卫生工作人员每年定期进行业务技术指导、培训、督促检查，使之能够掌握突发公共卫生事件调查处理办法，开展疾病预防控制工作；五是全面实施基本公共卫生服务项目。2010年4月，市开始实施（建立居民健康档案、健康教育、儿童保健、孕产妇保健、老年人保健、预防接种、传染病报告处理、高血压、糖尿病管理、重性精神病管理）九大基本公共卫生服务项目工作。六是做好突发公共卫生事件医疗救治工作，积极组织医疗、卫生机构专业人员开展应急演练，组织应急物资储备。七是广泛开展传染病防治知识健康教育工作，提高居民防病控病意识；重点抓好以非典、人感染高致病性禽流感、霍乱等为主的传染病监测工作。</w:t>
      </w:r>
    </w:p>
    <w:p w14:paraId="34E55979">
      <w:pPr>
        <w:pStyle w:val="3"/>
      </w:pPr>
      <w:r>
        <w:rPr>
          <w:rFonts w:hint="eastAsia"/>
        </w:rPr>
        <w:t>农村医疗卫生</w:t>
      </w:r>
    </w:p>
    <w:p w14:paraId="7A7FF6AD">
      <w:pPr>
        <w:pStyle w:val="4"/>
      </w:pPr>
      <w:r>
        <w:t>【基层医疗卫生设施建设】</w:t>
      </w:r>
    </w:p>
    <w:p w14:paraId="09CFE29E">
      <w:pPr>
        <w:ind w:firstLine="420"/>
        <w:rPr>
          <w:rFonts w:ascii="宋体" w:hAnsi="宋体"/>
        </w:rPr>
      </w:pPr>
      <w:r>
        <w:rPr>
          <w:rFonts w:ascii="宋体" w:hAnsi="宋体"/>
        </w:rPr>
        <w:t>改善农村卫生院就医环境，多渠道积极筹集资金，在2007年前先后完成各镇卫生院预防接种门诊以及油山、坪田、乌迳、黄坑等卫生院的医技大楼建设。2008年完成湖口中心卫生院的医技大楼建设。2009年启动全安、邓坊卫生院医技楼建设，次年完工并投入使用。2010年争取中央扩大内需基层医疗卫生服务体系建设项目建设资金，建设雄州街道社区卫生服务中心医技楼及乌迳中心卫生院综合大楼，争取省对经济欠发达地区专项补助资金和自筹资金建设坪田、百顺、古市、珠玑等卫生院医技楼和油山卫生院职工宿舍楼。基层医疗卫生机构整体面貌明显改观。投资279.28万元为湖口、乌迳中心卫生院、坪田、界址、黄坑、水口、江头等卫生院添置了B超、电子胃镜、全自动或半自动生化分析仪、全自动分类血液细胞分析仪等一批高、尖、精仪器。基层医疗卫生机构整体装备水平明显提高。</w:t>
      </w:r>
    </w:p>
    <w:p w14:paraId="6AFC5513">
      <w:pPr>
        <w:pStyle w:val="4"/>
      </w:pPr>
      <w:r>
        <w:t>【新型农村合作医疗稳步发展】</w:t>
      </w:r>
    </w:p>
    <w:p w14:paraId="5C27B015">
      <w:pPr>
        <w:ind w:firstLine="420"/>
        <w:rPr>
          <w:rFonts w:ascii="宋体" w:hAnsi="宋体"/>
        </w:rPr>
      </w:pPr>
      <w:r>
        <w:rPr>
          <w:rFonts w:ascii="宋体" w:hAnsi="宋体"/>
        </w:rPr>
        <w:t>2010年，全市356063人参加新型农村合作医疗，覆盖率为100%，合作医疗人均筹资150元，全年基金总收入53409450元，历年累计结余15694267元。2010年，全市累计使用基金53298774元，其中住院补偿23174人次，补偿金额达46854438元，门诊补偿322731人次补偿金额达4907916元，住院分娩2303人，定额补偿金额达1278300元，婚前检查1999人，补偿金额达258120元，年度基金结余11万多元，年住院率为6.51%。2010年5月，市成立南雄市新型农村合作医疗服务中心，为副科级事业单位，配专职人员7人。主要负责全市农村合作医疗的管理、检查和指导工作。</w:t>
      </w:r>
    </w:p>
    <w:p w14:paraId="34E7AF54">
      <w:pPr>
        <w:pStyle w:val="3"/>
      </w:pPr>
      <w:r>
        <w:rPr>
          <w:rFonts w:hint="eastAsia"/>
        </w:rPr>
        <w:t>疾病防控控制与卫生保健</w:t>
      </w:r>
    </w:p>
    <w:p w14:paraId="02CD72DA">
      <w:pPr>
        <w:pStyle w:val="4"/>
      </w:pPr>
      <w:r>
        <w:t>【疾病预防控制】</w:t>
      </w:r>
    </w:p>
    <w:p w14:paraId="50AB2587">
      <w:pPr>
        <w:ind w:firstLine="420"/>
        <w:rPr>
          <w:rFonts w:ascii="宋体" w:hAnsi="宋体"/>
        </w:rPr>
      </w:pPr>
      <w:r>
        <w:rPr>
          <w:rFonts w:ascii="宋体" w:hAnsi="宋体"/>
        </w:rPr>
        <w:t>2005年，全市镇级以上医疗单位全面实现传染病和突发公共卫生事件网络直报。2010年全市报告法定传染病13种1946例，总发病率415.81/10万。发病上升主要病种是急性出血性结膜炎（+4092%）、梅毒（+90%）、淋病（+75%）流行性腮腺炎（+73%）、病毒性肝炎（54%）、感染性腹泻（+18%）。无甲类传染病报告；乙类传染病报告7种759例，发病率162.18/10万，居前五位病种是病毒性肝炎、肺结核、梅毒、痢疾、淋病；丙类传染病报告6种1187例，发病率253.63/10万，居前三位病种是急性出血性结膜炎、感染性腹泻、手足口病。乙类传染病艾滋病感染者新发现6例，丙类传染病手足口病患者死亡病例1例，死亡率0.21/10万，病死率0.051%。</w:t>
      </w:r>
    </w:p>
    <w:p w14:paraId="55833130">
      <w:pPr>
        <w:pStyle w:val="4"/>
      </w:pPr>
      <w:r>
        <w:t>【重大疾病防控与突发公共卫生事件处置】</w:t>
      </w:r>
    </w:p>
    <w:p w14:paraId="6181F14A">
      <w:pPr>
        <w:ind w:firstLine="420"/>
        <w:rPr>
          <w:rFonts w:ascii="宋体" w:hAnsi="宋体"/>
        </w:rPr>
      </w:pPr>
      <w:r>
        <w:rPr>
          <w:rFonts w:ascii="宋体" w:hAnsi="宋体"/>
        </w:rPr>
        <w:t>2003年、2004年，“非典型肺炎”、“人感染高致性禽流感”防控形势严峻，医疗卫生机构网络直报和发热病人监测等防控措施初步建立并日趋完善，至2010年本市未发生相关病例。艾滋病防控措施落实。2003年至2010年报告HIV阳性感染者和病人20例；2010年1月启动全球基金艾滋病防治项目，对各类相关人员7085人进行监测，检出HIV阳性6例。开展犬伤门诊狂犬病监测，2003年、2004年、2006年、2007年分别报告狂犬病病例1、5、1、2例；2010年监测3147例犬伤患者，无狂犬病例。2010年1月开展15岁以下儿童乙肝疫苗查漏补种工作，核查登记14244人，完成乙肝疫苗接种34175针次，接种率96.89%。有效处置各类疫情。2003年3月，水口镇中学发生一起学生伤寒暴发流行疫情，213名学生患病；2004年2月黄坑镇许村生态养鸡场发生鸡只禽流感疫情；2005年8月雄州镇五洲村发生1例猪链球菌感染事件，9月南雄中学发生食物中毒事件，波及学生48人。2010年接报卫生应急事件11起，经调查核实一般级别事件10起，排除1起。10起事件中急性传染病疫情8起，一犬伤及多人事件2起。8起急性传染病疫情核实报告病例61例，分别是手足口病疫情2起（5例，死亡1例）、季节性流感疫情5起（41例）、急性出血性结膜炎1起（17例）。</w:t>
      </w:r>
    </w:p>
    <w:p w14:paraId="34EB6BDA">
      <w:pPr>
        <w:pStyle w:val="4"/>
      </w:pPr>
      <w:r>
        <w:t>【地方病、慢性病、非传染性疾病防治】</w:t>
      </w:r>
    </w:p>
    <w:p w14:paraId="594CEB31">
      <w:pPr>
        <w:ind w:firstLine="420"/>
        <w:rPr>
          <w:rFonts w:ascii="宋体" w:hAnsi="宋体"/>
        </w:rPr>
      </w:pPr>
      <w:r>
        <w:rPr>
          <w:rFonts w:ascii="宋体" w:hAnsi="宋体"/>
        </w:rPr>
        <w:t>是碘缺乏病监控。根据《全国重点地方防治规划（2004-2010年）》，2010年全市随机抽取9个乡镇，36个行政村，288户居民288份碘盐样品，合格份数278份，合格率96.53%。二是加强高血压、糖尿病管理。2010年启动高血压、糖尿病建档和规范管理，全市建立高血压档案5483份，糖尿病档案1124份，并进行随访管理。三是加强做好慢病相关危害因素监测和死因监测。2004年10月，南雄市被卫生部抽中为全国慢病相关危害因素监测点之一，2007年为全国死因和伤害监测点之一。2010年全市监测死亡个案2752例，死亡居前三位是脑血管病（706例）、慢性下呼吸道疾病（511例）、损伤和中毒外部原因（241例），分别占死亡总人口数的26.19%、18.95%、8.94%；在哨点医疗机构开展伤害监测工作，监测伤害病例1913例，伤害居前三位是跌到/坠落（700例）、机动车车祸（311例）、钝器伤（249例），分别占伤害总人口数的36.59%、16.29%、13.02%。四是做好结核病控制项目工作。2010年登记检查肺结核可疑者1338人，免费照胸片1132人，免费初诊查痰461人。发现登记活动性肺结核病人206例，全部给予免费抗结核治疗，其中初治涂阳病人160人，完成年度任务的100%，“五率”全部达标。五是落实好麻防工作。继续做好麻风病线索调查工作，2010年排查可疑麻风线索265条，其中门诊排查262条，下乡排查3条，未发现麻风病人。加强现症病人管理，管治现症病人7例，判愈3例，至2010年底有现症病人4例，患病率为0.85/10万，重新达到国家要求低于1/10万标准。做好重点人群监测。对5个疫点村进行了调查，检查麻风病人家属26人，未发现可疑麻风病人。六是加强性病防治工作。2010年登记报告性病病人152例，其中：梅毒89例、淋病20例、生殖道沙眼衣原体13例、尖锐湿疣30例、生殖器疱疹0例。认真开展母婴梅毒控制试点项目工作，截至2010年底，纳入项目对象856例，其中孕产妇456例、计生对象400例，完成总任务的85.6%，查出隐性梅毒5例。七是精神病防治工作。在全市范围内开展重性精神病人排查、登记建档和随访管理工作，至2010年年底，排查精神病1012例，登记建档987例，建档率达97.53%。继续做好“精神病防治日”精神病人诊治工作，2010年在“精神病防治日”期间接诊精神病人3937人次，免费发放价值11.81万元的抗精神药品。</w:t>
      </w:r>
    </w:p>
    <w:p w14:paraId="2995A2C2">
      <w:pPr>
        <w:pStyle w:val="4"/>
      </w:pPr>
      <w:r>
        <w:t>【计划免疫】</w:t>
      </w:r>
    </w:p>
    <w:p w14:paraId="156EB0AD">
      <w:pPr>
        <w:ind w:firstLine="420"/>
        <w:rPr>
          <w:rFonts w:ascii="宋体" w:hAnsi="宋体"/>
        </w:rPr>
      </w:pPr>
      <w:r>
        <w:rPr>
          <w:rFonts w:ascii="宋体" w:hAnsi="宋体"/>
        </w:rPr>
        <w:t>根据国家、省、市部署，2003年在全市开展适龄儿童乙脑疫苗查漏补种工作；2003年至2006年开展糖丸强化免疫活动；2006年4月，根据国家扩大免疫规划政策，儿童预防接种全市开始实施免费接种第一类疫苗。2009年、2010年连续开展麻疹疫苗强化免疫；2010年开展儿童乙肝疫苗查漏补种工作。2010年全市无免疫规划相应传染病发生；2010年，儿童免疫建卡率达98.99%，第一类疫苗基础免疫、加强免疫各类疫苗接种率达95%以上。麻疹疫苗强化免疫工作落实，全市应接种20155人，接种19862人，接种率98.55%。认真执行儿童入园、入学查验证制度，应查验证8994人，实查验证8719人，查验率96.94%。规范处置疫苗接种疑似异常反应，全年报告10例（般反应6例，异常反应过敏性皮疹4例），处置率100%</w:t>
      </w:r>
    </w:p>
    <w:p w14:paraId="6AF5D168">
      <w:pPr>
        <w:pStyle w:val="4"/>
      </w:pPr>
      <w:r>
        <w:t>【妇幼保健】</w:t>
      </w:r>
    </w:p>
    <w:p w14:paraId="4E7935A9">
      <w:pPr>
        <w:ind w:firstLine="420"/>
        <w:rPr>
          <w:rFonts w:ascii="宋体" w:hAnsi="宋体"/>
        </w:rPr>
      </w:pPr>
      <w:r>
        <w:rPr>
          <w:rFonts w:ascii="宋体" w:hAnsi="宋体"/>
        </w:rPr>
        <w:t>开展重大公共卫生服务妇幼项目，实行农村孕产妇住院分娩补助100元和育龄妇女免费补服叶酸项目。2010年7月16日南雄市正式启动农村育龄妇女免费补服叶酸预防神经管缺陷活动。稳步实施妇女儿童发展纲要，加强做好孕产妇及儿童管理工作。全市孕产妇系统管理人数为4486人，孕产妇系统管理率为96.33%，0-36个月儿童系统管理人数为15330人，管理率97.89%；7岁以下儿童32460人，保健管理31684人，保健管理率为97.61%。住院分娩率100%。5岁以下儿童死亡41例，死亡率为8.80‰，婴儿死亡29例，死亡率6.23‰，新生儿死亡15例，死亡率3.22‰，均达到《两纲》要求。开展妇女病普查工作。妇女病普查29540人，普查普治率35.83%。推进免费婚检工作，男婚检1996人，女婚检2005人，婚检率达52.25%。</w:t>
      </w:r>
    </w:p>
    <w:p w14:paraId="435BDBC2">
      <w:pPr>
        <w:pStyle w:val="4"/>
      </w:pPr>
      <w:r>
        <w:t>【健康教育】</w:t>
      </w:r>
    </w:p>
    <w:p w14:paraId="3861651E">
      <w:pPr>
        <w:ind w:firstLine="420"/>
        <w:rPr>
          <w:rFonts w:ascii="宋体" w:hAnsi="宋体"/>
        </w:rPr>
      </w:pPr>
      <w:r>
        <w:rPr>
          <w:rFonts w:ascii="宋体" w:hAnsi="宋体"/>
        </w:rPr>
        <w:t>一是利用基本公共卫生服务项目资金设置宣传栏。2010年在全市乡镇卫生院、卫生站、社区等设置宣传栏260块，广泛宣传卫生法规、季节性传染病防治等卫生知识。二是结合卫生节日宣传，开展“3.24世界结核病宣传日”、“4.25全国免疫接种宣传日”、“5.15碘缺乏病宣传日”、“5.31世界无烟日”及“12.1世界艾滋病日”等专题健康教育活动。三是根据疾病防控重点，在社区、学校开展季节性传染病、慢性病防制等健康知识讲座，开展健康行为干预。四是率先在医疗卫生系统开展无烟医院考评工作，为后期开展无烟学校、无烟单位打下良好的基础。五是按国家、省、市部署，开展健康教育相关项目。2006年开展“预防人感染高致病性禽流感健康传播”项目；2008年开展重点人群烟草流行监测；2009年开展“广东省健康素养监测”项目；2010年开展农村中小学生营养健康状况调查及干预效果研究项目，在学生中开展营养教育工作，倡导合理营养、平衡膳食，并于年内完成基线调查和第一次干预。</w:t>
      </w:r>
    </w:p>
    <w:p w14:paraId="00D2E9A4">
      <w:pPr>
        <w:pStyle w:val="3"/>
      </w:pPr>
      <w:r>
        <w:rPr>
          <w:rFonts w:hint="eastAsia"/>
        </w:rPr>
        <w:t>医疗科研</w:t>
      </w:r>
    </w:p>
    <w:p w14:paraId="0014EBF1">
      <w:pPr>
        <w:pStyle w:val="4"/>
      </w:pPr>
      <w:r>
        <w:t>【质量管理】</w:t>
      </w:r>
    </w:p>
    <w:p w14:paraId="216F5A26">
      <w:pPr>
        <w:ind w:firstLine="420"/>
        <w:rPr>
          <w:rFonts w:ascii="宋体" w:hAnsi="宋体"/>
        </w:rPr>
      </w:pPr>
      <w:r>
        <w:rPr>
          <w:rFonts w:ascii="宋体" w:hAnsi="宋体"/>
        </w:rPr>
        <w:t>2010年开展以完善规章制度、落实岗位职责、严格诊疗护理常规和各项技术规程为主的医疗质量万里行、医院管理年等活动，全面开展卫生技术人员培训。2010年全市各类各级医疗机构共组织集中学习364多次，“三基”理论考试合格率为100%。加强落实各项医疗质量管理规章制度。2010年市卫生局每季度就执行医疗质量和医疗安全核心制度等情况对各医疗卫生单位进行督导检查，促进医务人员增强依法执业意识，改善医疗服务质量，提高医疗技术水平，减少医疗纠纷。</w:t>
      </w:r>
    </w:p>
    <w:p w14:paraId="69A4067C">
      <w:pPr>
        <w:pStyle w:val="4"/>
      </w:pPr>
      <w:r>
        <w:t>【科研成果】</w:t>
      </w:r>
    </w:p>
    <w:p w14:paraId="236948AA">
      <w:pPr>
        <w:ind w:firstLine="420"/>
        <w:rPr>
          <w:rFonts w:ascii="宋体" w:hAnsi="宋体"/>
        </w:rPr>
      </w:pPr>
      <w:r>
        <w:rPr>
          <w:rFonts w:ascii="宋体" w:hAnsi="宋体"/>
        </w:rPr>
        <w:t>2010年，市克服经济相对落后，科研基础支撑能力薄弱、科研经费不足等困难，推行“科教兴医”战略，卫生科研工作有新突破。市人民医院、市中医院、市疾病预防控制中心等单位申报“卫生科技立项”。市人民医院内科开展的《微创颅内穿刺针治疗高血压性脑出血》获韶关市科技进步三等奖，骨科开展的《复杂性髋舀骨折形态与功能重建的临床研究》获南雄市科技进步二等奖；市中医院科研成果《腹针结合运动疗法治疗肩周炎的临床研究》、《腹针疗法结合中药离子导入法治疗神经根型颈椎病的临床观察》分别通过韶关市卫生局及科技局科技立项，全市15个科研课题获得韶关市推广新技术、新项目。</w:t>
      </w:r>
    </w:p>
    <w:p w14:paraId="7CC2EF8F">
      <w:pPr>
        <w:pStyle w:val="4"/>
      </w:pPr>
      <w:r>
        <w:t>【医学教育】</w:t>
      </w:r>
    </w:p>
    <w:p w14:paraId="070FAC77">
      <w:pPr>
        <w:ind w:firstLine="420"/>
        <w:rPr>
          <w:rFonts w:ascii="宋体" w:hAnsi="宋体"/>
        </w:rPr>
      </w:pPr>
      <w:r>
        <w:rPr>
          <w:rFonts w:ascii="宋体" w:hAnsi="宋体"/>
        </w:rPr>
        <w:t>2010年医学教育力度加大。一是更换继续医学教育IC卡，开展继续医学教育。二是抓好住院医师规范化培训工作。组织相关人员参加住院医师规范化培训，2010年全市有10人通过住院医师考试。三是加强农村卫生技术人员业务和技能培训，鼓励有条件的医疗卫生单位卫生人员接受医学学历教育。2010年镇卫生院选送40名医疗卫生技术人员到市人民医院、市中医院等上级医院进修学习，基层医疗卫生机构诊治水平得到提高。四是加强农村卫生技术人员培训。2010年3月组织全市276名乡村医生进行为期二天的疾病防控、常见病诊疗知识培训。2010年6月组织全体乡村医生到乐昌卫校轮训。</w:t>
      </w:r>
    </w:p>
    <w:p w14:paraId="3CC235D8">
      <w:pPr>
        <w:pStyle w:val="4"/>
      </w:pPr>
      <w:r>
        <w:t>【社区卫生】</w:t>
      </w:r>
    </w:p>
    <w:p w14:paraId="4405B9B6">
      <w:pPr>
        <w:ind w:firstLine="420"/>
        <w:rPr>
          <w:rFonts w:ascii="宋体" w:hAnsi="宋体"/>
        </w:rPr>
      </w:pPr>
      <w:r>
        <w:rPr>
          <w:rFonts w:ascii="宋体" w:hAnsi="宋体"/>
        </w:rPr>
        <w:t>2008年将原黎口卫生院设置为南雄市雄州街道社区卫生服务中心，并下设八一、胜利、建国和新城四个卫生服务站。2010年，按照国家、省、市关于城市社区卫生服务机构发展配套文件精神，加强对辖区内的城市社区卫生服务体系建设。利用中央扩大内需基层医疗卫生服务体系建设项目建设资金建设雄州街道社区卫生服务中心医技楼。健全基本的社区卫生服务功能，开展社区卫生信息管理、健康教育、传染病预防控制、慢性病预防控制、精神卫生服务、妇女保健、儿童保健、老年保健、康复服务、突发公共卫生事件以及其他公共卫生服务等工作，努力实现“小病在社区，防病在社区，康复在社区”的目标。做好全科医生（全科护士）培训。为提高社区卫生服务中心的管理水平和专业技术水平，2010年选派20名医护人员参加全科医生（全科护士）培训。</w:t>
      </w:r>
    </w:p>
    <w:p w14:paraId="65418CE6">
      <w:pPr>
        <w:pStyle w:val="4"/>
      </w:pPr>
      <w:r>
        <w:t>【中医事业】</w:t>
      </w:r>
    </w:p>
    <w:p w14:paraId="55C3154E">
      <w:pPr>
        <w:ind w:firstLine="420"/>
        <w:rPr>
          <w:rFonts w:ascii="宋体" w:hAnsi="宋体"/>
        </w:rPr>
      </w:pPr>
      <w:r>
        <w:rPr>
          <w:rFonts w:ascii="宋体" w:hAnsi="宋体"/>
        </w:rPr>
        <w:t>2010年，市加强做好中医强市工作，不断发展中医事业，利用中央扩大内需基层医疗卫生服务体系建设项目建设资金推进中医院住院大楼的建设（住院大楼于11月17日开工建设）。强化内涵管理，加强中医特色专科建设，提升中医服务能力。加大中草药使用力度，制订相关制度，打造中医特色名片，市中医院康复科，专科专病特色优势明显，能发挥简、便、验、廉的中医优势，采用中药内服外治、针灸推拿、康复治疗等手段治疗痛症和瘫症疗效显著，传统的三伏天天灸疗法以其确切的疗效，深受患者的喜爱。将骨伤康复科分为骨伤科、康复科，整合中医人才，不断完善康复科的建设，给予康复科政策扶持，改善就医环境，投入6万余元购置并更新康复设备，中医特色效果显现。</w:t>
      </w:r>
    </w:p>
    <w:p w14:paraId="30CAA87E">
      <w:pPr>
        <w:pStyle w:val="4"/>
      </w:pPr>
      <w:r>
        <w:t>【无偿献血】</w:t>
      </w:r>
    </w:p>
    <w:p w14:paraId="08EF60DA">
      <w:pPr>
        <w:ind w:firstLine="420"/>
        <w:rPr>
          <w:rFonts w:ascii="宋体" w:hAnsi="宋体"/>
        </w:rPr>
      </w:pPr>
      <w:r>
        <w:rPr>
          <w:rFonts w:ascii="宋体" w:hAnsi="宋体"/>
        </w:rPr>
        <w:t>宣传贯彻落实《献血法》，推动市无偿献血工作，确保市医疗用血安全和需要。自1998年10月启动无偿献血以来，全市参加无偿献血人次达到12908人次，献血总量为258万毫升。2010年全市参加无偿献血总人次达到2560人次，总血量52万毫升。其中有744名农民参加无偿献血，占总献血人次的29%。2008年至2010年连续三年被韶关市人民政府评为韶关市无偿献血工作先进单位。</w:t>
      </w:r>
    </w:p>
    <w:p w14:paraId="3E1E01E2">
      <w:pPr>
        <w:pStyle w:val="3"/>
      </w:pPr>
      <w:r>
        <w:rPr>
          <w:rFonts w:hint="eastAsia"/>
        </w:rPr>
        <w:t>爱国卫生运动</w:t>
      </w:r>
    </w:p>
    <w:p w14:paraId="49BBB918">
      <w:pPr>
        <w:pStyle w:val="4"/>
      </w:pPr>
      <w:r>
        <w:t>【概况】</w:t>
      </w:r>
    </w:p>
    <w:p w14:paraId="68EC603C">
      <w:pPr>
        <w:ind w:firstLine="420"/>
        <w:rPr>
          <w:rFonts w:ascii="宋体" w:hAnsi="宋体"/>
        </w:rPr>
      </w:pPr>
      <w:r>
        <w:rPr>
          <w:rFonts w:ascii="宋体" w:hAnsi="宋体"/>
        </w:rPr>
        <w:t>2010年南雄市爱卫办认真贯彻执行爱国卫生、创建国家卫生城市工作的法律、方针政策。制定全市爱国卫生工作和创建国家卫生城市工作“十二五”长期规划和短期工作要点。组织实施全市农村改水、改厕工作。印发《南雄市2010年度重大公共卫生服务项目农村改厕管理方案》，组织开展农村改厕工作。开展农村饮用水水质卫生监测。组织实施全市城乡除“四害”工作。组织协调全民健康教育。组织实施省、市级卫生村创建工作。印发《南雄市2010-2012年城乡环境卫生整洁行动实施方案》和《南雄市2010-2012年城乡环境卫生整洁行动督查考核评估办法》，开展以清洁市容、镇容、村容为重点的专项整治活动。城乡环境得到较大改善。</w:t>
      </w:r>
    </w:p>
    <w:p w14:paraId="752B6459">
      <w:pPr>
        <w:pStyle w:val="4"/>
      </w:pPr>
      <w:r>
        <w:t>【建立健全组织机构】</w:t>
      </w:r>
    </w:p>
    <w:p w14:paraId="1B57E90A">
      <w:pPr>
        <w:ind w:firstLine="420"/>
        <w:rPr>
          <w:rFonts w:ascii="宋体" w:hAnsi="宋体"/>
        </w:rPr>
      </w:pPr>
      <w:r>
        <w:rPr>
          <w:rFonts w:ascii="宋体" w:hAnsi="宋体"/>
        </w:rPr>
        <w:t>2010年8月，根据南雄市人民政府《关于印发&lt;南雄市卫生局主要职责内设机构和人员编制规定&gt;的通知》（雄府[2010]93号）精神，将原市城市综合管理局承担的爱国卫生工作职能划入卫生局。2010年11月经市政府任意对市爱国卫生运动委员会成员进行调整，调整后市爱国卫生运动委员会主任由市长刘清生同志担任，副主任由副市长王荣光、卜小燕担任，委员单位增加到26个。办公室设在市卫生局，办公室主任由丁春晖同志兼任，易艳辉同志任副主任。</w:t>
      </w:r>
    </w:p>
    <w:p w14:paraId="5A637A05">
      <w:pPr>
        <w:pStyle w:val="4"/>
      </w:pPr>
      <w:r>
        <w:t>【创建卫生城市】</w:t>
      </w:r>
    </w:p>
    <w:p w14:paraId="63EFE2A4">
      <w:pPr>
        <w:ind w:firstLine="420"/>
        <w:rPr>
          <w:rFonts w:ascii="宋体" w:hAnsi="宋体"/>
        </w:rPr>
      </w:pPr>
      <w:r>
        <w:rPr>
          <w:rFonts w:ascii="宋体" w:hAnsi="宋体"/>
        </w:rPr>
        <w:t>一是印发《南雄市2010-2012年城乡环境卫生整洁行动实施方案》，多次开展以清洁市容、镇容、村容为重点的专项整治活动。二是开展以营造健康生活环境，保障人民身体健康为主题的“爱国卫生月”活动。2010年4月组织全市性大扫除行动，发动了干部群众约1.5万人次参加环境卫生整治大行动，清理垃圾30多吨，清理蚊蝇孳生地222多处，整治污水沟约3千多平方米。2011年1月7日，市省级卫生城市通过省爱卫办复审，确认南雄市为“广东省卫生城市”。</w:t>
      </w:r>
    </w:p>
    <w:p w14:paraId="45F6C035">
      <w:pPr>
        <w:pStyle w:val="4"/>
      </w:pPr>
      <w:r>
        <w:t>【农村卫生工作】</w:t>
      </w:r>
    </w:p>
    <w:p w14:paraId="07311705">
      <w:pPr>
        <w:ind w:firstLine="420"/>
        <w:rPr>
          <w:rFonts w:ascii="宋体" w:hAnsi="宋体"/>
        </w:rPr>
      </w:pPr>
      <w:r>
        <w:rPr>
          <w:rFonts w:ascii="宋体" w:hAnsi="宋体"/>
        </w:rPr>
        <w:t>加大镇垃圾清运设备和中转设施建设的投入，有规划地建设村镇垃圾污水收集处理设施。以创建卫生村镇、生态文明村为载体，开展村庄整治，实施农村清洁工程，实施“门前三包”制度；建立村庄清扫保洁机制，推行农村垃圾“村收集、镇转运、县处理”的模式，适时建设符合标准的垃圾填埋场。至2010年底，市有1个行政村、8个自然村被授予“广东省卫生村”称号，有18个自然村被授予“韶关市卫生村”称号。积极落实农村改厕项目工作，至2010年9月30日止，完成乌迳镇200户农村厕所的改造任务。</w:t>
      </w:r>
    </w:p>
    <w:p w14:paraId="3A2A0A4E">
      <w:pPr>
        <w:pStyle w:val="4"/>
      </w:pPr>
      <w:r>
        <w:t>【除四害防病工作】</w:t>
      </w:r>
    </w:p>
    <w:p w14:paraId="3C4CEC5C">
      <w:pPr>
        <w:ind w:firstLine="420"/>
        <w:rPr>
          <w:rFonts w:ascii="宋体" w:hAnsi="宋体"/>
        </w:rPr>
      </w:pPr>
      <w:r>
        <w:rPr>
          <w:rFonts w:ascii="宋体" w:hAnsi="宋体"/>
        </w:rPr>
        <w:t>一是在2010年5月开展了全市统一灭蚊、灭鼠工作和“四害”孳生地本底调查工作。二是贯彻执行《广东省除四害管理规定》，积极做好除四害工作。由专业队伍承包除“四害”工作，保证药效，做到科学除害。市消杀队与有关单位签订消杀有偿服务合同100多个，机关单位消杀有偿服务合同签订率达到100%，每次消杀面积约45000平方米，人均消杀面积约3000平方米。至2010年底，治理蚊蝇孳生地200处，在城区公共场所投入80%敌敌畏乳油73公斤，20%拜力坦乳油3.5公斤，50%甲胺磷乳油22公斤，5%奋斗呐粉剂6公斤，5%康宁广谱剂7公斤，0.2%敌鼠钠盐稻谷521公斤，预防由虫媒引起的传染性疾病发生。</w:t>
      </w:r>
    </w:p>
    <w:p w14:paraId="419C410D">
      <w:pPr>
        <w:pStyle w:val="4"/>
      </w:pPr>
      <w:r>
        <w:t>【建立完善相关规定制度】</w:t>
      </w:r>
    </w:p>
    <w:p w14:paraId="7DBF5989">
      <w:pPr>
        <w:ind w:firstLine="420"/>
        <w:rPr>
          <w:rFonts w:ascii="宋体" w:hAnsi="宋体"/>
        </w:rPr>
      </w:pPr>
      <w:r>
        <w:rPr>
          <w:rFonts w:ascii="宋体" w:hAnsi="宋体"/>
        </w:rPr>
        <w:t>按照“以块为主，条块结合，统一领导，分级管理”的原则，建立完善爱卫工作领导约束机制，做到爱卫工作件件有人管，事事有人干，项项得落实。明确爱卫会委员单位工作职责、目标、任务。建立领导联系责任制度，各成员单位根据职责分工，协调配合开展工作。同时建立相关指标体系，把爱卫工作绩效纳入领导干部年终考核内容。</w:t>
      </w:r>
    </w:p>
    <w:p w14:paraId="400305D4">
      <w:pPr>
        <w:pStyle w:val="3"/>
      </w:pPr>
      <w:r>
        <w:rPr>
          <w:rFonts w:hint="eastAsia"/>
        </w:rPr>
        <w:t>卫生监督执法</w:t>
      </w:r>
    </w:p>
    <w:p w14:paraId="473ED0AA">
      <w:pPr>
        <w:pStyle w:val="4"/>
      </w:pPr>
      <w:r>
        <w:t>【概况】</w:t>
      </w:r>
    </w:p>
    <w:p w14:paraId="7967732B">
      <w:pPr>
        <w:ind w:firstLine="420"/>
        <w:rPr>
          <w:rFonts w:ascii="宋体" w:hAnsi="宋体"/>
        </w:rPr>
      </w:pPr>
      <w:r>
        <w:rPr>
          <w:rFonts w:ascii="宋体" w:hAnsi="宋体"/>
        </w:rPr>
        <w:t>2010年市卫生监督执法工作是主要由市卫生监督所代表市卫生局按照卫生监督执法职能进行执法，重点加强食品卫生、职业卫生、放射卫生、医疗机构、公共场所、生活饮用水卫生、学校卫生、传染病防治等方面的预防性和经常性卫生监督。参与对危害公共卫生、医疗放射、重大疫情和突发事件的调查处理。严肃查处危害食品安全、医疗安全以及传染病防治等方面的违法行为，维护一方平安。</w:t>
      </w:r>
    </w:p>
    <w:p w14:paraId="6C16A5EE">
      <w:pPr>
        <w:pStyle w:val="4"/>
      </w:pPr>
      <w:r>
        <w:t>【食品卫生监管】</w:t>
      </w:r>
    </w:p>
    <w:p w14:paraId="32873604">
      <w:pPr>
        <w:ind w:firstLine="420"/>
        <w:rPr>
          <w:rFonts w:ascii="宋体" w:hAnsi="宋体"/>
        </w:rPr>
      </w:pPr>
      <w:r>
        <w:rPr>
          <w:rFonts w:ascii="宋体" w:hAnsi="宋体"/>
        </w:rPr>
        <w:t>加强中小学学校卫生副校长、幼儿园负责人及食堂负责人餐饮安全培训。2010年4月23日就《中华人民共和国食品卫生法》、《餐饮业和集体用餐配送单位卫生规范》、《学校卫生工作条例》等法律法规及相关卫生知识对110名学校卫生管理人员及集体食堂负责人进行培训，发放培训资料110多份。全面推进餐饮服务经营单位食品卫生监督量化分级管理工作，全市450间餐饮服务经营单位全部进行食品卫生监督量化分级管理，卫生监督覆盖率达到100%。强化餐饮单位监督检查。全年监督检查餐饮单位1980户次，合格1628户次，督促餐饮从业人员1513人进行健康检查和卫生知识培训，发放餐饮服务许可证346个。做好重大会议、重大活动和重大节日期间的餐饮消费及食品安全工作。采取前期检查、提前进入、全程督导及餐前检查等措施，保障重大会议、重大活动和重大节日期间的餐饮消费及食品安。</w:t>
      </w:r>
    </w:p>
    <w:p w14:paraId="403476E6">
      <w:pPr>
        <w:pStyle w:val="4"/>
      </w:pPr>
      <w:r>
        <w:t>【公共场所卫生监管】</w:t>
      </w:r>
    </w:p>
    <w:p w14:paraId="660B3A24">
      <w:pPr>
        <w:ind w:firstLine="420"/>
        <w:rPr>
          <w:rFonts w:ascii="宋体" w:hAnsi="宋体"/>
        </w:rPr>
      </w:pPr>
      <w:r>
        <w:rPr>
          <w:rFonts w:ascii="宋体" w:hAnsi="宋体"/>
        </w:rPr>
        <w:t>强化学校卫生监督。2008年5月，按照预防手足病指引，组织监督员对市区21间幼儿园进行检查，督促落实消毒工作。2010年对全市86间中小学校、幼儿园集体食堂开展专项监督检查。开展公共场所量化分级管理和加强对公共场所经营单位的监督。2010年监督检查公共场所经营单位256户次，办理公共场所卫生许可证75个，年审检验57户，督促226名公共场所从业人员进行健康体检和卫生知识培训。强化生活饮用水卫生监督。对市区、乡镇18间自来水厂、二次供水单位进行监督，监督覆盖率100%。</w:t>
      </w:r>
    </w:p>
    <w:p w14:paraId="23EBBFD7">
      <w:pPr>
        <w:pStyle w:val="4"/>
      </w:pPr>
      <w:r>
        <w:t>【医疗机构监管】</w:t>
      </w:r>
    </w:p>
    <w:p w14:paraId="08966A27">
      <w:pPr>
        <w:ind w:firstLine="420"/>
        <w:rPr>
          <w:rFonts w:ascii="宋体" w:hAnsi="宋体"/>
        </w:rPr>
      </w:pPr>
      <w:r>
        <w:rPr>
          <w:rFonts w:ascii="宋体" w:hAnsi="宋体"/>
        </w:rPr>
        <w:t>一是加强村卫生站业务培训。2010年3月29日至30日，就腹泻病、哮喘病的治疗，抗菌素与激素的临床应用，常见传染病的防控知识以及相关法律法规对全市276名乡医集中进行培训。二是强化医疗监督执法，规范医疗服务行为。2003年8月12日至9月30日，按照《南雄市打击非法行医实施方案》部署，全市开展医疗市场整顿行动。行动没收药品40箱，医疗器械30件，处罚案件21宗，罚款8.5万元。2004年5月31日，查处黄坑镇水西村非法行医案件（查处行动遭遇暴力抗法，卫生监督员被困车内4个多小时）；2010年监督检查医疗机构358间，出动卫生执法人员350人次，车辆136车次，查处违法违规案件39宗，罚款11万元（超范围经营38宗，非法行医1宗）。</w:t>
      </w:r>
    </w:p>
    <w:p w14:paraId="79522DC2">
      <w:pPr>
        <w:pStyle w:val="4"/>
      </w:pPr>
      <w:r>
        <w:t>【职业卫生监督】</w:t>
      </w:r>
    </w:p>
    <w:p w14:paraId="46EA3AAE">
      <w:pPr>
        <w:ind w:firstLine="420"/>
        <w:rPr>
          <w:rFonts w:ascii="宋体" w:hAnsi="宋体"/>
        </w:rPr>
      </w:pPr>
      <w:r>
        <w:rPr>
          <w:rFonts w:ascii="宋体" w:hAnsi="宋体"/>
        </w:rPr>
        <w:t>2008年4月25日至5月1日，通过现场咨询、电视播放宣传标语和发放宣传单等形式在全市范围内开展《</w:t>
      </w:r>
      <w:r>
        <w:rPr>
          <w:rFonts w:hint="eastAsia" w:ascii="宋体" w:hAnsi="宋体"/>
        </w:rPr>
        <w:t>中华人民共和国</w:t>
      </w:r>
      <w:r>
        <w:rPr>
          <w:rFonts w:ascii="宋体" w:hAnsi="宋体"/>
        </w:rPr>
        <w:t>职业病防治法》宣传活动。加强职业监管力度，强化企业第一责任人意识，保护劳动者身体健康，根据《</w:t>
      </w:r>
      <w:r>
        <w:rPr>
          <w:rFonts w:hint="eastAsia" w:ascii="宋体" w:hAnsi="宋体"/>
        </w:rPr>
        <w:t>中华人民共和国</w:t>
      </w:r>
      <w:r>
        <w:rPr>
          <w:rFonts w:ascii="宋体" w:hAnsi="宋体"/>
        </w:rPr>
        <w:t>职业病防治法》及相关法律法规，开展对产生职业病危害因素的企业进行摸底调查和监督检查。</w:t>
      </w:r>
    </w:p>
    <w:p w14:paraId="735A9D1E">
      <w:pPr>
        <w:pStyle w:val="3"/>
      </w:pPr>
      <w:r>
        <w:rPr>
          <w:rFonts w:hint="eastAsia"/>
        </w:rPr>
        <w:t>医疗管理工作</w:t>
      </w:r>
    </w:p>
    <w:p w14:paraId="095D3143">
      <w:pPr>
        <w:pStyle w:val="4"/>
      </w:pPr>
      <w:r>
        <w:t>【医疗机构建设】</w:t>
      </w:r>
    </w:p>
    <w:p w14:paraId="0BE291DD">
      <w:pPr>
        <w:ind w:firstLine="420"/>
        <w:rPr>
          <w:rFonts w:ascii="宋体" w:hAnsi="宋体"/>
        </w:rPr>
      </w:pPr>
      <w:r>
        <w:rPr>
          <w:rFonts w:ascii="宋体" w:hAnsi="宋体"/>
        </w:rPr>
        <w:t>2010年先后投入438万元对古市、珠玑、坪田、百顺、油山卫生院以及雄州街道社区卫生服务中心的工作、生活用房进行新建、改造或修缮；投入130多万元对市人民医院老城门诊改造；投入1742万元对兴建市中医院住院综合大楼。2010年投资290万元，添置设备150台（件）；投入经费60万元，培训人员130人次。医疗卫生服务的条件明显改善，诊疗技术和服务功能提高。</w:t>
      </w:r>
    </w:p>
    <w:p w14:paraId="15E0D82D">
      <w:pPr>
        <w:pStyle w:val="4"/>
      </w:pPr>
      <w:r>
        <w:t>【医院管理】</w:t>
      </w:r>
    </w:p>
    <w:p w14:paraId="3476A231">
      <w:pPr>
        <w:ind w:firstLine="420"/>
        <w:rPr>
          <w:rFonts w:ascii="宋体" w:hAnsi="宋体"/>
        </w:rPr>
      </w:pPr>
      <w:r>
        <w:rPr>
          <w:rFonts w:ascii="宋体" w:hAnsi="宋体"/>
        </w:rPr>
        <w:t>2010年市加强医院管理，组织开展医疗质量万里行、医院管理年等活动，完善各项管理制度，强化医务人员素质教育，开展业务技术人员培训。要求各医疗机构做好医疗质量安全和医疗事故的防范工作，日常工作中加强医疗文书书写质量，规范诊疗操作程序，改进服务态度，提高医护质量。并严格按程序及时处理医疗纠纷，医患关系明显改善。2010年市发生医疗纠纷15宗。</w:t>
      </w:r>
    </w:p>
    <w:p w14:paraId="3A09C514">
      <w:pPr>
        <w:pStyle w:val="3"/>
      </w:pPr>
      <w:r>
        <w:rPr>
          <w:rFonts w:hint="eastAsia"/>
        </w:rPr>
        <w:t>医德医风建设</w:t>
      </w:r>
    </w:p>
    <w:p w14:paraId="7D49989F">
      <w:pPr>
        <w:pStyle w:val="4"/>
      </w:pPr>
      <w:r>
        <w:t>【医德医风教育】</w:t>
      </w:r>
    </w:p>
    <w:p w14:paraId="0C912385">
      <w:pPr>
        <w:ind w:firstLine="420"/>
        <w:rPr>
          <w:rFonts w:ascii="宋体" w:hAnsi="宋体"/>
        </w:rPr>
      </w:pPr>
      <w:r>
        <w:rPr>
          <w:rFonts w:ascii="宋体" w:hAnsi="宋体"/>
        </w:rPr>
        <w:t>一是坚持医德医风教育与因人施教相结合，针对不同对象、从事不同专业、不同年龄层次医护人员进行教育。采取正反两方面的典型事例，通过教育、启发、激励和引导的方法，使医护人员自觉遵守医疗规范。二是坚持医德医风教育与卫生改革相结合。在卫生改革过程中，教育医护人员树立“一切以病人为中心”的服务理念，通过严格考核，对那些工作水平低、职业道德差的医护人员进行批评教育、停职待岗、推行“末位淘汰制”等激励约束机制，增强员工竞争意识、忧患意识和危机感，不断提高道德修养。三是坚持医德医风教育与专题教育相结合。在医院范围内开展诸如“我是一个病人”、“怎样为病人服务”等专题讨论活动，让医护人员了解病人的需求，提高服务质量和改善服务态度。四是坚持医德医风教育与教育、制度、奖惩相结合。对医德医风中出现的问题，进行有针对性的教育，用制度、纪律约束规范医疗行为。</w:t>
      </w:r>
    </w:p>
    <w:p w14:paraId="29A37BC8">
      <w:pPr>
        <w:pStyle w:val="4"/>
      </w:pPr>
      <w:r>
        <w:t>【建立监督激励机制】</w:t>
      </w:r>
    </w:p>
    <w:p w14:paraId="0E09B310">
      <w:pPr>
        <w:ind w:firstLine="420"/>
        <w:rPr>
          <w:rFonts w:ascii="宋体" w:hAnsi="宋体"/>
        </w:rPr>
      </w:pPr>
      <w:r>
        <w:rPr>
          <w:rFonts w:ascii="宋体" w:hAnsi="宋体"/>
        </w:rPr>
        <w:t>一是建立监督制度，接受人民群众的监督。设立院内、院外监督员，采取走出去、请进来等方式听取群众意见；设立举报箱、举报电话，建立接待日制度，把群众的意见集中进行梳理，并针对存在的问题，制定相应的措施，做到定时间、定人员落实整改措施。对违规违纪的人和事严肃处理，公开曝光。二是建立自查自纠制度。医院制定明确的自查自纠规定，做到值班查、医护人员结合自己的岗位查，重点查服务态度、医疗质量、医患关系、收费标准、投诉信件，通过这些措施及时了解医德医风现状，做到边查边改。三是建立医德医风考评制度，奖优罚劣。按级成立考评小组，制定出考评标准，主要考评医疗质量、服务态度、坚守岗位、履行职责、收受物品等情况，建立医德医风档案，每年对医护人员进行1至2次的集体综合考评，将考评情况装入档案，把考评结果公平、公开、公正地向群众公布，与晋升、调整工资、表彰先进挂钩，达到激励先进、鞭策后进教育大家的目的。</w:t>
      </w:r>
    </w:p>
    <w:p w14:paraId="09146AC6">
      <w:pPr>
        <w:ind w:firstLine="420"/>
        <w:jc w:val="right"/>
        <w:rPr>
          <w:rFonts w:ascii="宋体" w:hAnsi="宋体"/>
        </w:rPr>
      </w:pPr>
      <w:r>
        <w:rPr>
          <w:rFonts w:ascii="宋体" w:hAnsi="宋体"/>
        </w:rPr>
        <w:t>（邓荣强）</w:t>
      </w:r>
    </w:p>
    <w:p w14:paraId="58B2A96A">
      <w:pPr>
        <w:ind w:firstLine="422"/>
        <w:rPr>
          <w:rFonts w:ascii="宋体" w:hAnsi="宋体"/>
          <w:b/>
          <w:bCs/>
        </w:rPr>
      </w:pPr>
      <w:r>
        <w:rPr>
          <w:rFonts w:ascii="宋体" w:hAnsi="宋体"/>
          <w:b/>
          <w:bCs/>
        </w:rPr>
        <w:t>附：2010年卫生局领导班子成员名单</w:t>
      </w:r>
    </w:p>
    <w:p w14:paraId="6F4FE8D1">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丁春晖</w:t>
      </w:r>
    </w:p>
    <w:p w14:paraId="78FDEC81">
      <w:pPr>
        <w:ind w:firstLine="422"/>
        <w:rPr>
          <w:rFonts w:ascii="宋体" w:hAnsi="宋体"/>
        </w:rPr>
      </w:pPr>
      <w:r>
        <w:rPr>
          <w:rFonts w:ascii="宋体" w:hAnsi="宋体"/>
          <w:b/>
          <w:bCs/>
        </w:rPr>
        <w:t>副局长：</w:t>
      </w:r>
      <w:r>
        <w:rPr>
          <w:rFonts w:ascii="宋体" w:hAnsi="宋体"/>
        </w:rPr>
        <w:t>彭大芬</w:t>
      </w:r>
      <w:r>
        <w:rPr>
          <w:rFonts w:hint="eastAsia" w:ascii="宋体" w:hAnsi="宋体"/>
        </w:rPr>
        <w:t xml:space="preserve">  </w:t>
      </w:r>
      <w:r>
        <w:rPr>
          <w:rFonts w:ascii="宋体" w:hAnsi="宋体"/>
        </w:rPr>
        <w:t>朱广庭</w:t>
      </w:r>
      <w:r>
        <w:rPr>
          <w:rFonts w:hint="eastAsia" w:ascii="宋体" w:hAnsi="宋体"/>
        </w:rPr>
        <w:t xml:space="preserve">  </w:t>
      </w:r>
      <w:r>
        <w:rPr>
          <w:rFonts w:ascii="宋体" w:hAnsi="宋体"/>
        </w:rPr>
        <w:t>易艳辉</w:t>
      </w:r>
    </w:p>
    <w:p w14:paraId="5A452914">
      <w:pPr>
        <w:ind w:firstLine="422"/>
        <w:rPr>
          <w:rFonts w:ascii="宋体" w:hAnsi="宋体"/>
        </w:rPr>
      </w:pPr>
      <w:r>
        <w:rPr>
          <w:rFonts w:ascii="宋体" w:hAnsi="宋体"/>
          <w:b/>
          <w:bCs/>
        </w:rPr>
        <w:t>纪委书记：</w:t>
      </w:r>
      <w:r>
        <w:rPr>
          <w:rFonts w:ascii="宋体" w:hAnsi="宋体"/>
        </w:rPr>
        <w:t>钟祥培</w:t>
      </w:r>
    </w:p>
    <w:p w14:paraId="720A7C00">
      <w:pPr>
        <w:ind w:firstLine="422"/>
        <w:rPr>
          <w:rFonts w:ascii="宋体" w:hAnsi="宋体"/>
        </w:rPr>
      </w:pPr>
      <w:r>
        <w:rPr>
          <w:rFonts w:ascii="宋体" w:hAnsi="宋体"/>
          <w:b/>
          <w:bCs/>
        </w:rPr>
        <w:t>工会主席：</w:t>
      </w:r>
      <w:r>
        <w:rPr>
          <w:rFonts w:ascii="宋体" w:hAnsi="宋体"/>
        </w:rPr>
        <w:t>温靖</w:t>
      </w:r>
    </w:p>
    <w:p w14:paraId="2C68F893">
      <w:pPr>
        <w:pStyle w:val="4"/>
      </w:pPr>
      <w:r>
        <w:t>【南雄市人民医院】</w:t>
      </w:r>
    </w:p>
    <w:p w14:paraId="6B361A7B">
      <w:pPr>
        <w:ind w:firstLine="420"/>
        <w:rPr>
          <w:rFonts w:ascii="宋体" w:hAnsi="宋体"/>
        </w:rPr>
      </w:pPr>
      <w:r>
        <w:rPr>
          <w:rFonts w:ascii="宋体" w:hAnsi="宋体"/>
        </w:rPr>
        <w:t>南雄市人民医院成立于1949年，其前身为南雄县人民政府卫生院。经过半个多世纪的发展，南雄市人民医院已建设成为一所集医疗、教学、科研、保健、康复为一体的功能齐全的综合性二级甲等医院，是南雄市的医疗急救中心，设有南方医院南雄远程医学分中心，是广东省普通高等医学院校教学医院和南方医院实践教学基地、广州药学院附属第一医院教学医院。是广东省百家医院，多次被评为省、韶关市文明单位称号，并荣获中华全国总工会授予的“全国模范职工之家”荣誉称号。医院占地面积68000平方米，建筑面积4万平方米。在职职工398人，专业技术人员348人，占在职职工的87.4%。高级技术职称人员44人，中级职称128人，初级职称133人，硕士学历人员2人。医院病床编制为500张，实际开放床位490张，病床使用率为80%。2010年门诊患者24.3526万人次，比上年增长2.6%；住院患者1.7805万人次，比上年增长6.9%；大小手术5531台，比上年增长7.2%；各类体检人数7200多人。全院业务收入为9683万元，比上年增长13.8%。</w:t>
      </w:r>
    </w:p>
    <w:p w14:paraId="0263F6DB">
      <w:pPr>
        <w:ind w:firstLine="420"/>
        <w:rPr>
          <w:rFonts w:ascii="宋体" w:hAnsi="宋体"/>
        </w:rPr>
      </w:pPr>
      <w:r>
        <w:rPr>
          <w:rFonts w:ascii="宋体" w:hAnsi="宋体"/>
        </w:rPr>
        <w:t>医院设置内科、心肾内科、外一科、外二科、骨科、妇产科、儿科、中医科、传染科、五官科、ICU重症监护病区、急诊科等临床住院科室和检验、功能、放射、CT等医技科室，开放病床500张，医疗设备齐全，拥有进口全身CT扫描机、磁共振成像设备（MR）、800mAX光机、彩色B超、全自动生化分析仪、血液分析仪、血液透析机、电子胃肠镜、体外震波碎石机、关节镜、腹腔镜等先进医疗设备。</w:t>
      </w:r>
    </w:p>
    <w:p w14:paraId="2476E6DF">
      <w:pPr>
        <w:ind w:firstLine="420"/>
        <w:rPr>
          <w:rFonts w:ascii="宋体" w:hAnsi="宋体"/>
        </w:rPr>
      </w:pPr>
      <w:r>
        <w:rPr>
          <w:rFonts w:ascii="宋体" w:hAnsi="宋体"/>
        </w:rPr>
        <w:t>医院重视内涵建设，加强医疗护理质量管理，狠抓医务人员技术培训、积极引进、应用、开展新技术、新项目，促进了全院医疗护理质量的快速稳步提高。近年来、内科开展的微创颅内穿刺针治疗高血压性脑出血、外科的腹腔镜、前列腺气化电切、颅脑、肿瘤手术、骨科的关节镜、全髋、全膝关节置换、胸腰椎手术、妇产科的妇科腹腔镜、宫腔镜、妇科肿瘤手术、儿科的新生儿缺血缺氧性脑病早期干预治疗等新项目取得了较好的疗效。其中，内科开展的《微创颅内穿刺针治疗高血压性脑出血》获韶关市科技进步三等奖，骨科开展的《复杂性髋舀骨折形态与功能重建的临床研究》获南雄市科技进步二等奖，检验科连续八年被广东省临床检验中心评为临床检验优良奖。</w:t>
      </w:r>
    </w:p>
    <w:p w14:paraId="777E6473">
      <w:pPr>
        <w:ind w:firstLine="420"/>
        <w:rPr>
          <w:rFonts w:ascii="宋体" w:hAnsi="宋体"/>
        </w:rPr>
      </w:pPr>
      <w:r>
        <w:rPr>
          <w:rFonts w:ascii="宋体" w:hAnsi="宋体"/>
        </w:rPr>
        <w:t>南雄市人民医院以医疗工作为中心，以提高医疗技术水平、强化医疗服务质量、注重人才开发培养、加大医院基础设施建设为重点，探索新的发展模式，力争在“十二五”期间创建成为一所规模适度、科室齐全、功能完善、环境优美、设施完备、服务规范、技术精湛的三级医院。</w:t>
      </w:r>
    </w:p>
    <w:p w14:paraId="04FC27E5">
      <w:pPr>
        <w:ind w:firstLine="420"/>
        <w:jc w:val="right"/>
        <w:rPr>
          <w:rFonts w:ascii="宋体" w:hAnsi="宋体"/>
        </w:rPr>
      </w:pPr>
      <w:r>
        <w:rPr>
          <w:rFonts w:ascii="宋体" w:hAnsi="宋体"/>
        </w:rPr>
        <w:t>（刘世洪）</w:t>
      </w:r>
    </w:p>
    <w:p w14:paraId="75076DCD">
      <w:pPr>
        <w:ind w:firstLine="422"/>
        <w:rPr>
          <w:rFonts w:ascii="宋体" w:hAnsi="宋体"/>
          <w:b/>
          <w:bCs/>
        </w:rPr>
      </w:pPr>
      <w:r>
        <w:rPr>
          <w:rFonts w:ascii="宋体" w:hAnsi="宋体"/>
          <w:b/>
          <w:bCs/>
        </w:rPr>
        <w:t>附：2010年人民医院领导班子成员名单</w:t>
      </w:r>
    </w:p>
    <w:p w14:paraId="2C6292C4">
      <w:pPr>
        <w:ind w:firstLine="422"/>
        <w:rPr>
          <w:rFonts w:ascii="宋体" w:hAnsi="宋体"/>
        </w:rPr>
      </w:pPr>
      <w:r>
        <w:rPr>
          <w:rFonts w:ascii="宋体" w:hAnsi="宋体"/>
          <w:b/>
          <w:bCs/>
        </w:rPr>
        <w:t>院</w:t>
      </w:r>
      <w:r>
        <w:rPr>
          <w:rFonts w:hint="eastAsia" w:ascii="宋体" w:hAnsi="宋体"/>
          <w:b/>
          <w:bCs/>
        </w:rPr>
        <w:t xml:space="preserve">  </w:t>
      </w:r>
      <w:r>
        <w:rPr>
          <w:rFonts w:ascii="宋体" w:hAnsi="宋体"/>
          <w:b/>
          <w:bCs/>
        </w:rPr>
        <w:t>长：</w:t>
      </w:r>
      <w:r>
        <w:rPr>
          <w:rFonts w:ascii="宋体" w:hAnsi="宋体"/>
        </w:rPr>
        <w:t>廖宣明</w:t>
      </w:r>
    </w:p>
    <w:p w14:paraId="392328EA">
      <w:pPr>
        <w:ind w:firstLine="422"/>
        <w:rPr>
          <w:rFonts w:ascii="宋体" w:hAnsi="宋体"/>
        </w:rPr>
      </w:pPr>
      <w:r>
        <w:rPr>
          <w:rFonts w:ascii="宋体" w:hAnsi="宋体"/>
          <w:b/>
          <w:bCs/>
        </w:rPr>
        <w:t>副院长：</w:t>
      </w:r>
      <w:r>
        <w:rPr>
          <w:rFonts w:ascii="宋体" w:hAnsi="宋体"/>
        </w:rPr>
        <w:t>王</w:t>
      </w:r>
      <w:r>
        <w:rPr>
          <w:rFonts w:hint="eastAsia" w:ascii="宋体" w:hAnsi="宋体"/>
        </w:rPr>
        <w:t xml:space="preserve">  </w:t>
      </w:r>
      <w:r>
        <w:rPr>
          <w:rFonts w:ascii="宋体" w:hAnsi="宋体"/>
        </w:rPr>
        <w:t>英</w:t>
      </w:r>
      <w:r>
        <w:rPr>
          <w:rFonts w:hint="eastAsia" w:ascii="宋体" w:hAnsi="宋体"/>
        </w:rPr>
        <w:t xml:space="preserve">  </w:t>
      </w:r>
      <w:r>
        <w:rPr>
          <w:rFonts w:ascii="宋体" w:hAnsi="宋体"/>
        </w:rPr>
        <w:t>刘卫忠</w:t>
      </w:r>
      <w:r>
        <w:rPr>
          <w:rFonts w:hint="eastAsia" w:ascii="宋体" w:hAnsi="宋体"/>
        </w:rPr>
        <w:t xml:space="preserve">  </w:t>
      </w:r>
      <w:r>
        <w:rPr>
          <w:rFonts w:ascii="宋体" w:hAnsi="宋体"/>
        </w:rPr>
        <w:t>严松林</w:t>
      </w:r>
    </w:p>
    <w:p w14:paraId="1C76ACB1">
      <w:pPr>
        <w:ind w:firstLine="1260" w:firstLineChars="600"/>
        <w:rPr>
          <w:rFonts w:ascii="宋体" w:hAnsi="宋体"/>
        </w:rPr>
      </w:pPr>
      <w:r>
        <w:rPr>
          <w:rFonts w:ascii="宋体" w:hAnsi="宋体"/>
        </w:rPr>
        <w:t>何旗明</w:t>
      </w:r>
      <w:r>
        <w:rPr>
          <w:rFonts w:hint="eastAsia" w:ascii="宋体" w:hAnsi="宋体"/>
        </w:rPr>
        <w:t xml:space="preserve">  </w:t>
      </w:r>
      <w:r>
        <w:rPr>
          <w:rFonts w:ascii="宋体" w:hAnsi="宋体"/>
        </w:rPr>
        <w:t>陈友方</w:t>
      </w:r>
      <w:r>
        <w:rPr>
          <w:rFonts w:hint="eastAsia" w:ascii="宋体" w:hAnsi="宋体"/>
        </w:rPr>
        <w:t xml:space="preserve">  </w:t>
      </w:r>
      <w:r>
        <w:rPr>
          <w:rFonts w:ascii="宋体" w:hAnsi="宋体"/>
        </w:rPr>
        <w:t>殷圣银</w:t>
      </w:r>
    </w:p>
    <w:p w14:paraId="691A4708">
      <w:pPr>
        <w:ind w:firstLine="422"/>
        <w:rPr>
          <w:rFonts w:ascii="宋体" w:hAnsi="宋体"/>
        </w:rPr>
      </w:pPr>
      <w:r>
        <w:rPr>
          <w:rFonts w:ascii="宋体" w:hAnsi="宋体"/>
          <w:b/>
          <w:bCs/>
        </w:rPr>
        <w:t>工会主席：</w:t>
      </w:r>
      <w:r>
        <w:rPr>
          <w:rFonts w:ascii="宋体" w:hAnsi="宋体"/>
        </w:rPr>
        <w:t>谢雄生</w:t>
      </w:r>
    </w:p>
    <w:p w14:paraId="7497BECB">
      <w:pPr>
        <w:pStyle w:val="4"/>
      </w:pPr>
      <w:r>
        <w:t>【南雄市中医院】</w:t>
      </w:r>
    </w:p>
    <w:p w14:paraId="44F40040">
      <w:pPr>
        <w:ind w:firstLine="420"/>
        <w:rPr>
          <w:rFonts w:ascii="宋体" w:hAnsi="宋体"/>
        </w:rPr>
      </w:pPr>
      <w:r>
        <w:rPr>
          <w:rFonts w:ascii="宋体" w:hAnsi="宋体"/>
        </w:rPr>
        <w:t>南雄市中医院是一所集医疗、教学、科研、保健、康复为一体的中医医院。2007年2月成为广东药学院临床教学医院、广东药学院附属第一医院技术协作医院。2009年9月，在恢复医院等级评审后，顺利通过二级甲等中医医院评审。医院现有在编职工187人，其中副高级职称以上12人，中级职称44人。医院设有急诊科、内儿科、外科、妇产科、骨伤科、康复科、五官科、肛肠科、皮肤科、口腔科、检验科、胃镜室、放射科、CT室、功能检查科等20多个医学专业学科和专科门诊。</w:t>
      </w:r>
    </w:p>
    <w:p w14:paraId="47FD9AA9">
      <w:pPr>
        <w:ind w:firstLine="420"/>
        <w:rPr>
          <w:rFonts w:ascii="宋体" w:hAnsi="宋体"/>
        </w:rPr>
      </w:pPr>
      <w:r>
        <w:rPr>
          <w:rFonts w:ascii="宋体" w:hAnsi="宋体"/>
        </w:rPr>
        <w:t>加大医疗设备投入，不断添置和更新医疗设备。从2005年9月至2010年，先后添置X线电子计算机断层扫描装置（CT）、彩超、全自动生化分析仪、数字化X线摄影系统（CR）、泌尿腔镜系统、五分类全自动血球计数仪、全自动血液流变分析仪、超声骨密度仪、纤维鼻咽喉镜、全自动血凝分析仪和医院信息管理HIS系统。</w:t>
      </w:r>
    </w:p>
    <w:p w14:paraId="14A572DE">
      <w:pPr>
        <w:ind w:firstLine="420"/>
        <w:rPr>
          <w:rFonts w:ascii="宋体" w:hAnsi="宋体"/>
        </w:rPr>
      </w:pPr>
      <w:r>
        <w:rPr>
          <w:rFonts w:ascii="宋体" w:hAnsi="宋体"/>
        </w:rPr>
        <w:t>不断加强医院管理，提高服务质量，医疗业务持续发展。2010年门诊病人91294人次，比上年增加1989人次；病床使用率102.6%，比上年增加8.25%；业务总收入3380万元，比上年增长15.3%。</w:t>
      </w:r>
    </w:p>
    <w:p w14:paraId="656CE9AE">
      <w:pPr>
        <w:ind w:firstLine="420"/>
        <w:rPr>
          <w:rFonts w:ascii="宋体" w:hAnsi="宋体"/>
        </w:rPr>
      </w:pPr>
      <w:r>
        <w:rPr>
          <w:rFonts w:ascii="宋体" w:hAnsi="宋体"/>
        </w:rPr>
        <w:t>医疗科研成果步伐加快。20</w:t>
      </w:r>
      <w:r>
        <w:rPr>
          <w:rFonts w:hint="eastAsia" w:ascii="宋体" w:hAnsi="宋体"/>
        </w:rPr>
        <w:t>0</w:t>
      </w:r>
      <w:r>
        <w:rPr>
          <w:rFonts w:ascii="宋体" w:hAnsi="宋体"/>
        </w:rPr>
        <w:t>3年12月由曹春梅、李冰、叶春福、曾二秀、雷清秀、谢雄生主持的“三伏天穴位贴敷治疗支气管哮喘的临床应用”获韶关市科技进步二等奖；2003年12月由郭晓日、李冰、叶春福、李文华主持的“经尿道前列腺汽化电切术”获南雄市科学技术进步三等奖；康复科“腹针疗法结合中药离子导入法治疗神经根型颈椎病的临床研究”分别于2008年12月、2009年6月通过韶关市卫生局及科技局科研立项；康复科“腹针结合运动疗法治疗肩周炎的临床研究”分别于2009年12月、2010年6月通过韶关市卫生局及科技局科研立项。</w:t>
      </w:r>
    </w:p>
    <w:p w14:paraId="08E27A0D">
      <w:pPr>
        <w:ind w:firstLine="420"/>
        <w:rPr>
          <w:rFonts w:ascii="宋体" w:hAnsi="宋体"/>
        </w:rPr>
      </w:pPr>
      <w:r>
        <w:rPr>
          <w:rFonts w:ascii="宋体" w:hAnsi="宋体"/>
        </w:rPr>
        <w:t>不断加强就医环境的建设，2010年7月南雄市中医院住院综合大楼列入2010年农村医疗卫生服务体系建设中央投资项目（粤发改投资[2010]548号），项目总投资2018万元，建设资金由中央财政补助、地方财政统筹解决，其中中央预算内投资1100万元。</w:t>
      </w:r>
    </w:p>
    <w:p w14:paraId="0844EEB2">
      <w:pPr>
        <w:ind w:firstLine="420"/>
        <w:jc w:val="right"/>
        <w:rPr>
          <w:rFonts w:ascii="宋体" w:hAnsi="宋体"/>
        </w:rPr>
      </w:pPr>
      <w:r>
        <w:rPr>
          <w:rFonts w:ascii="宋体" w:hAnsi="宋体"/>
        </w:rPr>
        <w:t>（秦双）</w:t>
      </w:r>
    </w:p>
    <w:p w14:paraId="1651387E">
      <w:pPr>
        <w:ind w:firstLine="422"/>
        <w:rPr>
          <w:rFonts w:ascii="宋体" w:hAnsi="宋体"/>
          <w:b/>
          <w:bCs/>
        </w:rPr>
      </w:pPr>
      <w:r>
        <w:rPr>
          <w:rFonts w:ascii="宋体" w:hAnsi="宋体"/>
          <w:b/>
          <w:bCs/>
        </w:rPr>
        <w:t>附：2010年中医院领导班子成员名单</w:t>
      </w:r>
    </w:p>
    <w:p w14:paraId="6F97B369">
      <w:pPr>
        <w:ind w:firstLine="422"/>
        <w:rPr>
          <w:rFonts w:ascii="宋体" w:hAnsi="宋体"/>
        </w:rPr>
      </w:pPr>
      <w:r>
        <w:rPr>
          <w:rFonts w:ascii="宋体" w:hAnsi="宋体"/>
          <w:b/>
          <w:bCs/>
        </w:rPr>
        <w:t>院</w:t>
      </w:r>
      <w:r>
        <w:rPr>
          <w:rFonts w:hint="eastAsia" w:ascii="宋体" w:hAnsi="宋体"/>
          <w:b/>
          <w:bCs/>
        </w:rPr>
        <w:t xml:space="preserve">  </w:t>
      </w:r>
      <w:r>
        <w:rPr>
          <w:rFonts w:ascii="宋体" w:hAnsi="宋体"/>
          <w:b/>
          <w:bCs/>
        </w:rPr>
        <w:t>长：</w:t>
      </w:r>
      <w:r>
        <w:rPr>
          <w:rFonts w:ascii="宋体" w:hAnsi="宋体"/>
        </w:rPr>
        <w:t>李</w:t>
      </w:r>
      <w:r>
        <w:rPr>
          <w:rFonts w:hint="eastAsia" w:ascii="宋体" w:hAnsi="宋体"/>
        </w:rPr>
        <w:t xml:space="preserve">  </w:t>
      </w:r>
      <w:r>
        <w:rPr>
          <w:rFonts w:ascii="宋体" w:hAnsi="宋体"/>
        </w:rPr>
        <w:t>冰</w:t>
      </w:r>
    </w:p>
    <w:p w14:paraId="451713C1">
      <w:pPr>
        <w:ind w:firstLine="422"/>
        <w:rPr>
          <w:rFonts w:ascii="宋体" w:hAnsi="宋体"/>
        </w:rPr>
      </w:pPr>
      <w:r>
        <w:rPr>
          <w:rFonts w:ascii="宋体" w:hAnsi="宋体"/>
          <w:b/>
          <w:bCs/>
        </w:rPr>
        <w:t>副院长：</w:t>
      </w:r>
      <w:r>
        <w:rPr>
          <w:rFonts w:ascii="宋体" w:hAnsi="宋体"/>
        </w:rPr>
        <w:t>张万峰</w:t>
      </w:r>
      <w:r>
        <w:rPr>
          <w:rFonts w:hint="eastAsia" w:ascii="宋体" w:hAnsi="宋体"/>
        </w:rPr>
        <w:t xml:space="preserve">  </w:t>
      </w:r>
      <w:r>
        <w:rPr>
          <w:rFonts w:ascii="宋体" w:hAnsi="宋体"/>
        </w:rPr>
        <w:t>刘加波</w:t>
      </w:r>
      <w:r>
        <w:rPr>
          <w:rFonts w:hint="eastAsia" w:ascii="宋体" w:hAnsi="宋体"/>
        </w:rPr>
        <w:t xml:space="preserve">  </w:t>
      </w:r>
      <w:r>
        <w:rPr>
          <w:rFonts w:ascii="宋体" w:hAnsi="宋体"/>
        </w:rPr>
        <w:t>郭晓日</w:t>
      </w:r>
    </w:p>
    <w:p w14:paraId="6B8A6293">
      <w:pPr>
        <w:ind w:firstLine="422"/>
        <w:rPr>
          <w:rFonts w:ascii="宋体" w:hAnsi="宋体"/>
        </w:rPr>
      </w:pPr>
      <w:r>
        <w:rPr>
          <w:rFonts w:ascii="宋体" w:hAnsi="宋体"/>
          <w:b/>
          <w:bCs/>
        </w:rPr>
        <w:t>工会主席：</w:t>
      </w:r>
      <w:r>
        <w:rPr>
          <w:rFonts w:ascii="宋体" w:hAnsi="宋体"/>
        </w:rPr>
        <w:t>王文博</w:t>
      </w:r>
    </w:p>
    <w:p w14:paraId="1447629D">
      <w:pPr>
        <w:pStyle w:val="4"/>
      </w:pPr>
      <w:r>
        <w:t>【南雄市疾控中心】</w:t>
      </w:r>
    </w:p>
    <w:p w14:paraId="58BF4445">
      <w:pPr>
        <w:ind w:firstLine="420"/>
        <w:rPr>
          <w:rFonts w:ascii="宋体" w:hAnsi="宋体"/>
        </w:rPr>
      </w:pPr>
      <w:r>
        <w:rPr>
          <w:rFonts w:ascii="宋体" w:hAnsi="宋体"/>
        </w:rPr>
        <w:t>南雄市疾病预防控制中心是政府举办实施疾病预防控制与公共卫生技术管理和服务的社会公益型事业机构，加挂南雄市卫生检验中心牌子。该中心集疾病预防与控制、免疫规划、突发公共卫生事件应急处置、疫情报告及健康相关因素信息管理、健康危害因素监测与干预、实验室检测分析与评价、健康教育与健康促进、技术管理与应用研究指导为一体，是全市传染病、慢性非传染病及地方病、寄生虫病、职业病等疾病预防与控制业务技术指导中心。设9个科（所），分别是办公室、行政管理科、疾病预防控制科、供应科、公共卫生科、检验科、体检科、预防接种门诊、健康教育所。占地面积508.6平方米，建筑面积1501平方米，其中检验用房595.2平方米。在编在册工作人员45人，其中专业技术人员38名（副高2人，中级17人，初级19人），占在编在册工作人员总数85%，；合同制职工13人（专业技术人员7人，工勤人员6人）。</w:t>
      </w:r>
    </w:p>
    <w:p w14:paraId="6555D925">
      <w:pPr>
        <w:ind w:firstLine="420"/>
        <w:rPr>
          <w:rFonts w:ascii="宋体" w:hAnsi="宋体"/>
        </w:rPr>
      </w:pPr>
      <w:r>
        <w:rPr>
          <w:rFonts w:ascii="宋体" w:hAnsi="宋体"/>
        </w:rPr>
        <w:t>该中心是全国疾病综合监测点之一，自2004年6月计量认证和机构认定以来，分别于2006年、2008年通过广东省质量技术监督局计量认证监督评审，于2004年、2009年通过计量认证复评审，获认可检验项目包括食品、水及涉水产品、公共场所类、化妆品、劳动卫生类、学校卫生类、疾病控制类等7大类206项；固定资产537.07万元，其中检验检测仪器设备267.36万元，拥有高效液相色谱仪、气相色谱仪、全自动火焰石墨炉原子吸收分光光度计、αβ弱放射性测量装置、双通道原子荧光光度计、全自动鉴定及药敏测定仪、生物安全柜、百级洁净室、300MA视频X光机及全自动生化分析仪、全自动血液分析仪、酶标仪等一大批先进仪器设备。该中心先后获得国家、省卫生厅认定和认可机构有国家碘缺乏病参照实验室、卫生监督检验检测机构、HIV抗体检测初筛实验室、广东省职业健康检查机构。</w:t>
      </w:r>
    </w:p>
    <w:p w14:paraId="2B1C486E">
      <w:pPr>
        <w:ind w:firstLine="420"/>
        <w:rPr>
          <w:rFonts w:ascii="宋体" w:hAnsi="宋体"/>
        </w:rPr>
      </w:pPr>
      <w:r>
        <w:rPr>
          <w:rFonts w:ascii="宋体" w:hAnsi="宋体"/>
        </w:rPr>
        <w:t>2010年，围绕“预防为主”的卫生防病宗旨和年度疾病预防控制工作目标及要点，以基本公共卫生服务均等化和疾病预防控制机构绩效考核为抓手，狠抓疾病预防控制各项工作落实，实现艾滋病、狂犬病、乙型病毒型肝炎、手足口病等重大传染病有效防控，及时规范处置以手足口病、季节性流感、急性出血性结膜炎为主的突发公共卫生事件，使疫情得到有效控制，没有发生蔓延和扩散。是年被韶关市疾病预防控制中心评为韶关市2010年度疾病预防控制工作先进单位。</w:t>
      </w:r>
    </w:p>
    <w:p w14:paraId="676787BA">
      <w:pPr>
        <w:ind w:firstLine="420"/>
        <w:jc w:val="right"/>
        <w:rPr>
          <w:rFonts w:ascii="宋体" w:hAnsi="宋体"/>
        </w:rPr>
      </w:pPr>
      <w:r>
        <w:rPr>
          <w:rFonts w:ascii="宋体" w:hAnsi="宋体"/>
        </w:rPr>
        <w:t>（王海涛）</w:t>
      </w:r>
    </w:p>
    <w:p w14:paraId="7C2E1CD5">
      <w:pPr>
        <w:ind w:firstLine="422"/>
        <w:rPr>
          <w:rFonts w:ascii="宋体" w:hAnsi="宋体"/>
          <w:b/>
          <w:bCs/>
        </w:rPr>
      </w:pPr>
      <w:r>
        <w:rPr>
          <w:rFonts w:ascii="宋体" w:hAnsi="宋体"/>
          <w:b/>
          <w:bCs/>
        </w:rPr>
        <w:t>附：2010年疾控中心领导班子成员名单</w:t>
      </w:r>
    </w:p>
    <w:p w14:paraId="733AF2D3">
      <w:pPr>
        <w:ind w:firstLine="422"/>
        <w:rPr>
          <w:rFonts w:ascii="宋体" w:hAnsi="宋体"/>
        </w:rPr>
      </w:pPr>
      <w:r>
        <w:rPr>
          <w:rFonts w:ascii="宋体" w:hAnsi="宋体"/>
          <w:b/>
          <w:bCs/>
        </w:rPr>
        <w:t>主</w:t>
      </w:r>
      <w:r>
        <w:rPr>
          <w:rFonts w:hint="eastAsia" w:ascii="宋体" w:hAnsi="宋体"/>
          <w:b/>
          <w:bCs/>
        </w:rPr>
        <w:t xml:space="preserve">  </w:t>
      </w:r>
      <w:r>
        <w:rPr>
          <w:rFonts w:ascii="宋体" w:hAnsi="宋体"/>
          <w:b/>
          <w:bCs/>
        </w:rPr>
        <w:t>任：</w:t>
      </w:r>
      <w:r>
        <w:rPr>
          <w:rFonts w:ascii="宋体" w:hAnsi="宋体"/>
        </w:rPr>
        <w:t>叶春福</w:t>
      </w:r>
    </w:p>
    <w:p w14:paraId="0599462C">
      <w:pPr>
        <w:ind w:firstLine="422"/>
        <w:rPr>
          <w:rFonts w:ascii="宋体" w:hAnsi="宋体"/>
        </w:rPr>
      </w:pPr>
      <w:r>
        <w:rPr>
          <w:rFonts w:ascii="宋体" w:hAnsi="宋体"/>
          <w:b/>
          <w:bCs/>
        </w:rPr>
        <w:t>副主任：</w:t>
      </w:r>
      <w:r>
        <w:rPr>
          <w:rFonts w:ascii="宋体" w:hAnsi="宋体"/>
        </w:rPr>
        <w:t>霍丽峰</w:t>
      </w:r>
      <w:r>
        <w:rPr>
          <w:rFonts w:hint="eastAsia" w:ascii="宋体" w:hAnsi="宋体"/>
        </w:rPr>
        <w:t xml:space="preserve">  </w:t>
      </w:r>
      <w:r>
        <w:rPr>
          <w:rFonts w:ascii="宋体" w:hAnsi="宋体"/>
        </w:rPr>
        <w:t>欧阳效金</w:t>
      </w:r>
      <w:r>
        <w:rPr>
          <w:rFonts w:hint="eastAsia" w:ascii="宋体" w:hAnsi="宋体"/>
        </w:rPr>
        <w:t xml:space="preserve">  </w:t>
      </w:r>
      <w:r>
        <w:rPr>
          <w:rFonts w:ascii="宋体" w:hAnsi="宋体"/>
        </w:rPr>
        <w:t>陈日新</w:t>
      </w:r>
    </w:p>
    <w:p w14:paraId="300D07F5">
      <w:pPr>
        <w:ind w:firstLine="1260" w:firstLineChars="600"/>
        <w:rPr>
          <w:rFonts w:ascii="宋体" w:hAnsi="宋体"/>
        </w:rPr>
      </w:pPr>
      <w:r>
        <w:rPr>
          <w:rFonts w:ascii="宋体" w:hAnsi="宋体"/>
        </w:rPr>
        <w:t>赖华海</w:t>
      </w:r>
    </w:p>
    <w:p w14:paraId="20A35CCF">
      <w:pPr>
        <w:ind w:firstLine="422"/>
        <w:rPr>
          <w:rFonts w:ascii="宋体" w:hAnsi="宋体"/>
        </w:rPr>
      </w:pPr>
      <w:r>
        <w:rPr>
          <w:rFonts w:ascii="宋体" w:hAnsi="宋体"/>
          <w:b/>
          <w:bCs/>
        </w:rPr>
        <w:t>工会主席：</w:t>
      </w:r>
      <w:r>
        <w:rPr>
          <w:rFonts w:ascii="宋体" w:hAnsi="宋体"/>
        </w:rPr>
        <w:t>彭庆育</w:t>
      </w:r>
    </w:p>
    <w:p w14:paraId="598F8CDB">
      <w:pPr>
        <w:pStyle w:val="4"/>
      </w:pPr>
      <w:r>
        <w:t>【南雄市妇幼保健院】</w:t>
      </w:r>
    </w:p>
    <w:p w14:paraId="6CB30E0E">
      <w:pPr>
        <w:ind w:firstLine="420"/>
        <w:rPr>
          <w:rFonts w:ascii="宋体" w:hAnsi="宋体"/>
        </w:rPr>
      </w:pPr>
      <w:r>
        <w:rPr>
          <w:rFonts w:ascii="宋体" w:hAnsi="宋体"/>
        </w:rPr>
        <w:t>南雄市妇幼保健院坐落在市区新城中街，占地面积2200平方米，建筑面积1613平方米；床位36张；设有门诊、住院部、普外、妇外、妇产科、儿科、保健科、康复、X光、B超、心电图、检验、防保等功能科室；全院在职人员有66人，卫生专业技术人员52人（其中高级职称1人、中级职称12人、初级职称39人），拥有X光机、心电图、全自动生化仪、彩超等先进医疗设备。是全市妇女及儿童的医疗卫生保健中心，担负着南雄市46.8万多人的医疗、卫生、保健任务。医疗经济收入约600万。2010年5月16日，南雄市妇幼保健院升格为副科级事业单位。</w:t>
      </w:r>
    </w:p>
    <w:p w14:paraId="06123104">
      <w:pPr>
        <w:ind w:firstLine="420"/>
        <w:jc w:val="right"/>
        <w:rPr>
          <w:rFonts w:ascii="宋体" w:hAnsi="宋体"/>
        </w:rPr>
      </w:pPr>
      <w:r>
        <w:rPr>
          <w:rFonts w:ascii="宋体" w:hAnsi="宋体"/>
        </w:rPr>
        <w:t>（何青竹）</w:t>
      </w:r>
    </w:p>
    <w:p w14:paraId="44B387FE">
      <w:pPr>
        <w:ind w:firstLine="422"/>
        <w:rPr>
          <w:rFonts w:ascii="宋体" w:hAnsi="宋体"/>
          <w:b/>
          <w:bCs/>
        </w:rPr>
      </w:pPr>
      <w:r>
        <w:rPr>
          <w:rFonts w:ascii="宋体" w:hAnsi="宋体"/>
          <w:b/>
          <w:bCs/>
        </w:rPr>
        <w:t>附：2010年妇幼保健院领导班子成员名单</w:t>
      </w:r>
    </w:p>
    <w:p w14:paraId="327C769E">
      <w:pPr>
        <w:ind w:firstLine="422"/>
        <w:rPr>
          <w:rFonts w:ascii="宋体" w:hAnsi="宋体"/>
        </w:rPr>
      </w:pPr>
      <w:r>
        <w:rPr>
          <w:rFonts w:ascii="宋体" w:hAnsi="宋体"/>
          <w:b/>
          <w:bCs/>
        </w:rPr>
        <w:t>院</w:t>
      </w:r>
      <w:r>
        <w:rPr>
          <w:rFonts w:hint="eastAsia" w:ascii="宋体" w:hAnsi="宋体"/>
          <w:b/>
          <w:bCs/>
        </w:rPr>
        <w:t xml:space="preserve">  </w:t>
      </w:r>
      <w:r>
        <w:rPr>
          <w:rFonts w:ascii="宋体" w:hAnsi="宋体"/>
          <w:b/>
          <w:bCs/>
        </w:rPr>
        <w:t>长：</w:t>
      </w:r>
      <w:r>
        <w:rPr>
          <w:rFonts w:ascii="宋体" w:hAnsi="宋体"/>
        </w:rPr>
        <w:t>徐永宁</w:t>
      </w:r>
    </w:p>
    <w:p w14:paraId="72CC7A47">
      <w:pPr>
        <w:ind w:firstLine="422"/>
        <w:rPr>
          <w:rFonts w:ascii="宋体" w:hAnsi="宋体"/>
        </w:rPr>
      </w:pPr>
      <w:r>
        <w:rPr>
          <w:rFonts w:ascii="宋体" w:hAnsi="宋体"/>
          <w:b/>
          <w:bCs/>
        </w:rPr>
        <w:t>副院长：</w:t>
      </w:r>
      <w:r>
        <w:rPr>
          <w:rFonts w:ascii="宋体" w:hAnsi="宋体"/>
        </w:rPr>
        <w:t>汪忠权</w:t>
      </w:r>
      <w:r>
        <w:rPr>
          <w:rFonts w:hint="eastAsia" w:ascii="宋体" w:hAnsi="宋体"/>
        </w:rPr>
        <w:t xml:space="preserve">  </w:t>
      </w:r>
      <w:r>
        <w:rPr>
          <w:rFonts w:ascii="宋体" w:hAnsi="宋体"/>
        </w:rPr>
        <w:t>邓月秋</w:t>
      </w:r>
    </w:p>
    <w:p w14:paraId="58A2A6F7">
      <w:pPr>
        <w:pStyle w:val="4"/>
      </w:pPr>
      <w:r>
        <w:t>【南雄市慢性病防治站】</w:t>
      </w:r>
    </w:p>
    <w:p w14:paraId="6B322C2B">
      <w:pPr>
        <w:ind w:firstLine="420"/>
        <w:rPr>
          <w:rFonts w:ascii="宋体" w:hAnsi="宋体"/>
        </w:rPr>
      </w:pPr>
      <w:r>
        <w:rPr>
          <w:rFonts w:ascii="宋体" w:hAnsi="宋体"/>
        </w:rPr>
        <w:t>南雄市慢性病防治站成立于1976年6月，当时办公室设在县防疫站，主要从事麻风病防治工作。1978年1月站址迁至雄东路119号。1993年将原小岭医院与市慢病站合并。2010年5月16日，市慢病站升格为副科级事业单位。目前南雄市慢性病防治站占地面积2500平方米，建筑面积1000平方米，设有门诊部、住院部、化验室、功能科和防治科等业务科室，拥有全自动血球计数仪、半自动生化分析仪、生物安全操作柜、X光机、B超和心电图机等先进设备。全站在职人员有27人，其中卫生专业技术人员有22人（中级职称7人，初级职称15人）。主要承担全市结核病控制、麻风病防治、重性精神疾病防治以及皮肤性病等慢性病防治工作。2010年接诊门诊病人14549人次，收治住院病人343人次。2010年，南雄市慢病站被评为“2010年广东省麻风防治项目实施先进单位”和“2010年度韶关市慢性病防治工作先进单位”。</w:t>
      </w:r>
    </w:p>
    <w:p w14:paraId="4DF68687">
      <w:pPr>
        <w:ind w:firstLine="420"/>
        <w:jc w:val="right"/>
        <w:rPr>
          <w:rFonts w:ascii="宋体" w:hAnsi="宋体"/>
        </w:rPr>
      </w:pPr>
      <w:r>
        <w:rPr>
          <w:rFonts w:ascii="宋体" w:hAnsi="宋体"/>
        </w:rPr>
        <w:t>（邓荣强）</w:t>
      </w:r>
    </w:p>
    <w:p w14:paraId="3E37387E">
      <w:pPr>
        <w:ind w:firstLine="422"/>
        <w:rPr>
          <w:rFonts w:ascii="宋体" w:hAnsi="宋体"/>
          <w:b/>
          <w:bCs/>
        </w:rPr>
      </w:pPr>
      <w:r>
        <w:rPr>
          <w:rFonts w:ascii="宋体" w:hAnsi="宋体"/>
          <w:b/>
          <w:bCs/>
        </w:rPr>
        <w:t>附：慢性病防治站领导班子成员名单</w:t>
      </w:r>
    </w:p>
    <w:p w14:paraId="69E2F254">
      <w:pPr>
        <w:ind w:firstLine="422"/>
        <w:rPr>
          <w:rFonts w:ascii="宋体" w:hAnsi="宋体"/>
        </w:rPr>
      </w:pPr>
      <w:r>
        <w:rPr>
          <w:rFonts w:ascii="宋体" w:hAnsi="宋体"/>
          <w:b/>
          <w:bCs/>
        </w:rPr>
        <w:t>站</w:t>
      </w:r>
      <w:r>
        <w:rPr>
          <w:rFonts w:hint="eastAsia" w:ascii="宋体" w:hAnsi="宋体"/>
          <w:b/>
          <w:bCs/>
        </w:rPr>
        <w:t xml:space="preserve">  </w:t>
      </w:r>
      <w:r>
        <w:rPr>
          <w:rFonts w:ascii="宋体" w:hAnsi="宋体"/>
          <w:b/>
          <w:bCs/>
        </w:rPr>
        <w:t>长：</w:t>
      </w:r>
      <w:r>
        <w:rPr>
          <w:rFonts w:ascii="宋体" w:hAnsi="宋体"/>
        </w:rPr>
        <w:t>张明峰</w:t>
      </w:r>
    </w:p>
    <w:p w14:paraId="39E2E177">
      <w:pPr>
        <w:ind w:firstLine="422"/>
        <w:rPr>
          <w:rFonts w:ascii="宋体" w:hAnsi="宋体"/>
        </w:rPr>
      </w:pPr>
      <w:r>
        <w:rPr>
          <w:rFonts w:ascii="宋体" w:hAnsi="宋体"/>
          <w:b/>
          <w:bCs/>
        </w:rPr>
        <w:t>副站长：</w:t>
      </w:r>
      <w:r>
        <w:rPr>
          <w:rFonts w:ascii="宋体" w:hAnsi="宋体"/>
        </w:rPr>
        <w:t>曾昭华</w:t>
      </w:r>
      <w:r>
        <w:rPr>
          <w:rFonts w:hint="eastAsia" w:ascii="宋体" w:hAnsi="宋体"/>
        </w:rPr>
        <w:t xml:space="preserve">  </w:t>
      </w:r>
      <w:r>
        <w:rPr>
          <w:rFonts w:ascii="宋体" w:hAnsi="宋体"/>
        </w:rPr>
        <w:t>黄拨雄</w:t>
      </w:r>
      <w:r>
        <w:rPr>
          <w:rFonts w:hint="eastAsia" w:ascii="宋体" w:hAnsi="宋体"/>
        </w:rPr>
        <w:t xml:space="preserve">  </w:t>
      </w:r>
      <w:r>
        <w:rPr>
          <w:rFonts w:ascii="宋体" w:hAnsi="宋体"/>
        </w:rPr>
        <w:t>傅贑明</w:t>
      </w:r>
    </w:p>
    <w:p w14:paraId="6B68508C">
      <w:pPr>
        <w:pStyle w:val="2"/>
      </w:pPr>
      <w:r>
        <w:t>体育</w:t>
      </w:r>
    </w:p>
    <w:p w14:paraId="412DEB62">
      <w:pPr>
        <w:pStyle w:val="3"/>
      </w:pPr>
      <w:r>
        <w:rPr>
          <w:rFonts w:hint="eastAsia"/>
        </w:rPr>
        <w:t>综述</w:t>
      </w:r>
    </w:p>
    <w:p w14:paraId="67DB94A5">
      <w:pPr>
        <w:pStyle w:val="4"/>
      </w:pPr>
      <w:r>
        <w:t>【概况】</w:t>
      </w:r>
    </w:p>
    <w:p w14:paraId="22E46488">
      <w:pPr>
        <w:ind w:firstLine="420"/>
        <w:rPr>
          <w:rFonts w:ascii="宋体" w:hAnsi="宋体"/>
        </w:rPr>
      </w:pPr>
      <w:r>
        <w:rPr>
          <w:rFonts w:ascii="宋体" w:hAnsi="宋体"/>
        </w:rPr>
        <w:t>2001年12月，南雄市体育局更名为市体育发展中心；2006年，市政府批准同意南雄市体育发展中心更名为南雄市体育局，属市人民政府赋予行政管理职能的市政府直属事业单位。局内设办公室，群体股，编制7人，在职人员7人。下辖南雄市青少年业余体育学校，编制6人，在职人员12人。体校有国家一级教练1名、二级教练6名，设有田径、举重、武术、射击四个训练班，并在部分学校设立训练网点。</w:t>
      </w:r>
    </w:p>
    <w:p w14:paraId="1D5AA8C8">
      <w:pPr>
        <w:pStyle w:val="4"/>
      </w:pPr>
      <w:r>
        <w:t>【场馆建设】</w:t>
      </w:r>
    </w:p>
    <w:p w14:paraId="24C48E0D">
      <w:pPr>
        <w:ind w:firstLine="420"/>
        <w:rPr>
          <w:rFonts w:ascii="宋体" w:hAnsi="宋体"/>
        </w:rPr>
      </w:pPr>
      <w:r>
        <w:rPr>
          <w:rFonts w:ascii="宋体" w:hAnsi="宋体"/>
        </w:rPr>
        <w:t>新城区体育中心原有2400个座位的体育馆1座，游泳场1个；2005年，新建新城体育中心400米跑道运动场；2008年，在老城区原灯光球场改建为全民健身广场，广场有300米跑道，4个篮球场，室外乒乓球台10张，健身路径3套，羽毛球馆1座。所有体育场地均向社会开放。</w:t>
      </w:r>
    </w:p>
    <w:p w14:paraId="4BADCA00">
      <w:pPr>
        <w:pStyle w:val="4"/>
      </w:pPr>
      <w:r>
        <w:t>【体育产业】</w:t>
      </w:r>
    </w:p>
    <w:p w14:paraId="179925BE">
      <w:pPr>
        <w:ind w:firstLine="420"/>
        <w:rPr>
          <w:rFonts w:ascii="宋体" w:hAnsi="宋体"/>
        </w:rPr>
      </w:pPr>
      <w:r>
        <w:rPr>
          <w:rFonts w:ascii="宋体" w:hAnsi="宋体"/>
        </w:rPr>
        <w:t>加强对体育馆、游泳场和羽毛球馆的维修和管理，扩大经营项目，延长服务时间，满足群众健身需求，社会效益优于经济效益。</w:t>
      </w:r>
    </w:p>
    <w:p w14:paraId="778A2806">
      <w:pPr>
        <w:pStyle w:val="4"/>
      </w:pPr>
      <w:r>
        <w:t>【体育彩票发行】</w:t>
      </w:r>
    </w:p>
    <w:p w14:paraId="69590E4C">
      <w:pPr>
        <w:ind w:firstLine="420"/>
        <w:rPr>
          <w:rFonts w:ascii="宋体" w:hAnsi="宋体"/>
        </w:rPr>
      </w:pPr>
      <w:r>
        <w:rPr>
          <w:rFonts w:ascii="宋体" w:hAnsi="宋体"/>
        </w:rPr>
        <w:t>南雄市体育局抓好体育彩票销售工作，2003年至2010年，开设体育彩票销售网点23个，销售体育彩票6000万元（其中，销售即开型体育彩票1000万元）。2003年至2010年，获得体彩公益金360万元。</w:t>
      </w:r>
    </w:p>
    <w:p w14:paraId="2E4ABB7F">
      <w:pPr>
        <w:pStyle w:val="3"/>
      </w:pPr>
      <w:r>
        <w:t>群众体育</w:t>
      </w:r>
    </w:p>
    <w:p w14:paraId="4ABDF006">
      <w:pPr>
        <w:pStyle w:val="4"/>
      </w:pPr>
      <w:r>
        <w:t>【</w:t>
      </w:r>
      <w:r>
        <w:rPr>
          <w:rFonts w:hint="eastAsia"/>
        </w:rPr>
        <w:t>群众体育</w:t>
      </w:r>
      <w:r>
        <w:t>】</w:t>
      </w:r>
    </w:p>
    <w:p w14:paraId="7F1896FF">
      <w:pPr>
        <w:ind w:firstLine="420"/>
        <w:rPr>
          <w:rFonts w:ascii="宋体" w:hAnsi="宋体"/>
        </w:rPr>
      </w:pPr>
      <w:r>
        <w:rPr>
          <w:rFonts w:ascii="宋体" w:hAnsi="宋体"/>
        </w:rPr>
        <w:t>群众体育工作是市体育局的重要工作任务，主要包括职工体育、农村体育、社会体育。全民健身，利国利民。市体育局认真领会群众体育工作的重要性，全力开展全民健身系列活动，增强人民体质，构建和谐安康南雄。</w:t>
      </w:r>
    </w:p>
    <w:p w14:paraId="4A476C6A">
      <w:pPr>
        <w:pStyle w:val="4"/>
      </w:pPr>
      <w:r>
        <w:t>【全民健身活动】</w:t>
      </w:r>
    </w:p>
    <w:p w14:paraId="6B9122D0">
      <w:pPr>
        <w:ind w:firstLine="420"/>
        <w:rPr>
          <w:rFonts w:ascii="宋体" w:hAnsi="宋体"/>
        </w:rPr>
      </w:pPr>
      <w:r>
        <w:rPr>
          <w:rFonts w:ascii="宋体" w:hAnsi="宋体"/>
        </w:rPr>
        <w:t>用竞赛促进全民健身运动开展，机关、企业、农村的体育竞赛活动常年不断，以球类、长跑、步行、龙舟、舞狮、太极拳（剑）、老人健身秧歌最为普及。2003年至2010年，不定期举办“篮球赛、乒乓球赛、羽毛球赛、龙舟赛、象棋、环城跑”等人民群众喜闻乐见的全民健身竞赛活动，群众健身热潮日益高张。“生活奔小康、身体要健康”，健身强体意识深入人心，全民健身活动深入开展，群众体育蓬勃发展。2008年1月，为迎接29届奥运会在北京举办，举行有33个队参加的“迎奥运”男子篮球赛，分机关、乙组和农村组，各组决出前6名给予颁奖。2008年，在8月8日开展首届“全民健身日”活动，市四套班子领导及机关干部职工2000多人参加健步行活动。2009年，为欢庆建国60周年，组织开展篮球、乒乓球、拔河、太极拳、健身舞、健身秧歌等群众性体育竞赛活动。2009年2月，南雄市老年人体育协会被广东省老年人体育协会评为“广东省老年体协工作先进市”。2009年10月22日，南雄市黄坑镇被国家体育总局评为“全国群众体育先进单位”。2010年9月，南雄市农民篮球队夺得韶关市首届“百镇千村”篮球赛第3名。2010年8月，南雄市被中华全国妇女联合会评为“全国妇女健身示范站点”。2010年，全市体育人口达到43.5%。</w:t>
      </w:r>
    </w:p>
    <w:p w14:paraId="10A0C258">
      <w:pPr>
        <w:pStyle w:val="4"/>
      </w:pPr>
      <w:r>
        <w:t>【公共体育设施建设】</w:t>
      </w:r>
    </w:p>
    <w:p w14:paraId="220E60BC">
      <w:pPr>
        <w:ind w:firstLine="420"/>
        <w:rPr>
          <w:rFonts w:ascii="宋体" w:hAnsi="宋体"/>
        </w:rPr>
      </w:pPr>
      <w:r>
        <w:rPr>
          <w:rFonts w:ascii="宋体" w:hAnsi="宋体"/>
        </w:rPr>
        <w:t>建设公共体育设施，是引导和开展全民健身运动的基础。市体育局通过争取上级体育部门支持，在老城区建设全民健身广场，在新城区儿童乐园、交通局门口两条健身路径，在市区设有16个健身网点。2003年至2010年，在全市189个行政村建有1个篮球场2张室外乒乓球台的农村农民健身工程，有5个续建有全民健身广场及健身设施，有力地促进城区和农村体育事业的发展。</w:t>
      </w:r>
    </w:p>
    <w:p w14:paraId="295DCDBD">
      <w:pPr>
        <w:pStyle w:val="3"/>
      </w:pPr>
      <w:r>
        <w:rPr>
          <w:rFonts w:hint="eastAsia"/>
        </w:rPr>
        <w:t>竞技体育</w:t>
      </w:r>
    </w:p>
    <w:p w14:paraId="73AE361F">
      <w:pPr>
        <w:pStyle w:val="4"/>
      </w:pPr>
      <w:r>
        <w:t>【竞技体育】</w:t>
      </w:r>
    </w:p>
    <w:p w14:paraId="654C1892">
      <w:pPr>
        <w:ind w:firstLine="420"/>
        <w:rPr>
          <w:rFonts w:ascii="宋体" w:hAnsi="宋体"/>
        </w:rPr>
      </w:pPr>
      <w:r>
        <w:rPr>
          <w:rFonts w:ascii="宋体" w:hAnsi="宋体"/>
        </w:rPr>
        <w:t>竞技体育是一个国家或地区综合实力的具体体现。南雄市在建设富裕文明，和谐安康的粤北门户城市中应当打造具有南雄特色的竞技体育事业。南雄市体育局高度重视学校体育，注重后备人才培养；一是优化网点建设，规范基地管理；二是抓好体校田径、武术、举重、射击四个重点训练班的训练和管理；三是建立和完善体育人才输送渠道。</w:t>
      </w:r>
    </w:p>
    <w:p w14:paraId="016F61F2">
      <w:pPr>
        <w:pStyle w:val="4"/>
      </w:pPr>
      <w:r>
        <w:t>【举办运动会和各类比赛】</w:t>
      </w:r>
    </w:p>
    <w:p w14:paraId="69B5480E">
      <w:pPr>
        <w:ind w:firstLine="420"/>
        <w:rPr>
          <w:rFonts w:ascii="宋体" w:hAnsi="宋体"/>
        </w:rPr>
      </w:pPr>
      <w:r>
        <w:rPr>
          <w:rFonts w:ascii="宋体" w:hAnsi="宋体"/>
        </w:rPr>
        <w:t>2005年9月17日，韶关市第十二届运动会少年篮球赛在南雄市体育馆举行，南雄市被评为文明赛区。2005年5月至11月在韶关市第十二届运动会，南雄市代表团获得团体总分751分，列各代表团第二名，并获“体育道德风尚”奖。韶关市第十三届运动会少年武术比赛于2009年5月11日至14日、少年乒乓球赛于2009年7月20日至5日在南雄市体育馆举行，南雄市被评为文明赛区；2009年5月至11月，在韶关市第十三届运动会，南雄代表团获团体总分1281.75分，列各代表团第3位，金牌总数39.5枚，列各代表团第6位。</w:t>
      </w:r>
    </w:p>
    <w:p w14:paraId="785B87DC">
      <w:pPr>
        <w:pStyle w:val="4"/>
      </w:pPr>
      <w:r>
        <w:t>【马丽芸勇在高规格比赛中出佳绩】</w:t>
      </w:r>
    </w:p>
    <w:p w14:paraId="2C213C07">
      <w:pPr>
        <w:ind w:firstLine="420"/>
        <w:rPr>
          <w:rFonts w:ascii="宋体" w:hAnsi="宋体"/>
        </w:rPr>
      </w:pPr>
      <w:r>
        <w:rPr>
          <w:rFonts w:ascii="宋体" w:hAnsi="宋体"/>
        </w:rPr>
        <w:t>南雄籍运动员马丽芸2006年5月12日，在山西举行的全国BMX冠军赛女子成年组比赛获得冠军；2007年5月22日至25日，马丽芸代表国家队参加在泰国曼谷举行的第二届小轮车亚洲锦标赛，获女子冠军；2007年6月2日，马丽芸在山西太原市举行的全国BMX自行车锦标赛中获得冠军；2008年8月23日，马丽芸代表中国参加北京奥运会小轮车女子个人项目的比赛；2009年12月5日，在香港举行的东亚运动会小轮车比赛中，马丽芸获女子组个人冠军。2010年11月，在广州举办的第十六届亚运会小轮车比赛中，马丽芸获女子组冠军，实现韶关籍运动员在亚运会金牌零的突破。</w:t>
      </w:r>
    </w:p>
    <w:p w14:paraId="5728E569">
      <w:pPr>
        <w:ind w:firstLine="420"/>
        <w:jc w:val="right"/>
        <w:rPr>
          <w:rFonts w:ascii="宋体" w:hAnsi="宋体"/>
        </w:rPr>
      </w:pPr>
      <w:r>
        <w:rPr>
          <w:rFonts w:ascii="宋体" w:hAnsi="宋体"/>
        </w:rPr>
        <w:t>（马平）</w:t>
      </w:r>
    </w:p>
    <w:p w14:paraId="1DF713DD">
      <w:pPr>
        <w:ind w:firstLine="422"/>
        <w:rPr>
          <w:rFonts w:ascii="宋体" w:hAnsi="宋体"/>
          <w:b/>
          <w:bCs/>
        </w:rPr>
      </w:pPr>
      <w:r>
        <w:rPr>
          <w:rFonts w:ascii="宋体" w:hAnsi="宋体"/>
          <w:b/>
          <w:bCs/>
        </w:rPr>
        <w:t>附：2010年体育局领导班子成员名单</w:t>
      </w:r>
    </w:p>
    <w:p w14:paraId="618A0E75">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邓汝华</w:t>
      </w:r>
    </w:p>
    <w:p w14:paraId="534E1DC2">
      <w:pPr>
        <w:ind w:firstLine="422"/>
        <w:rPr>
          <w:rFonts w:ascii="宋体" w:hAnsi="宋体"/>
        </w:rPr>
      </w:pPr>
      <w:r>
        <w:rPr>
          <w:rFonts w:ascii="宋体" w:hAnsi="宋体"/>
          <w:b/>
          <w:bCs/>
        </w:rPr>
        <w:t>副局长：</w:t>
      </w:r>
      <w:r>
        <w:rPr>
          <w:rFonts w:ascii="宋体" w:hAnsi="宋体"/>
        </w:rPr>
        <w:t>陈志高</w:t>
      </w:r>
      <w:r>
        <w:rPr>
          <w:rFonts w:hint="eastAsia" w:ascii="宋体" w:hAnsi="宋体"/>
        </w:rPr>
        <w:t xml:space="preserve">  </w:t>
      </w:r>
      <w:r>
        <w:rPr>
          <w:rFonts w:ascii="宋体" w:hAnsi="宋体"/>
        </w:rPr>
        <w:t>曾智君</w:t>
      </w:r>
    </w:p>
    <w:p w14:paraId="2E6D490C">
      <w:pPr>
        <w:pStyle w:val="2"/>
      </w:pPr>
      <w:r>
        <w:t>社会生活</w:t>
      </w:r>
    </w:p>
    <w:p w14:paraId="28258D03">
      <w:pPr>
        <w:pStyle w:val="3"/>
      </w:pPr>
      <w:r>
        <w:rPr>
          <w:rFonts w:hint="eastAsia"/>
        </w:rPr>
        <w:t>劳动就业</w:t>
      </w:r>
    </w:p>
    <w:p w14:paraId="423344AA">
      <w:pPr>
        <w:pStyle w:val="4"/>
      </w:pPr>
      <w:r>
        <w:t>【概况】</w:t>
      </w:r>
    </w:p>
    <w:p w14:paraId="2D1C6E95">
      <w:pPr>
        <w:ind w:firstLine="420"/>
        <w:rPr>
          <w:rFonts w:ascii="宋体" w:hAnsi="宋体"/>
        </w:rPr>
      </w:pPr>
      <w:r>
        <w:rPr>
          <w:rFonts w:ascii="宋体" w:hAnsi="宋体"/>
        </w:rPr>
        <w:t>南雄市人力资源和社会保障局成立于2010年11月25日，由原南雄市人事局、市劳动和社会保障局合并组建而成，于2010年12月3日正式挂牌。南雄人社局是正科级行政单位，为南雄市人民政府工作部门，内设8个股室：办公室、就业促进股、职业能力建设股、事业单位人事管理股、工资福利股、人事劳动监察股、社会保障股和公务员办公室。同时下属3个事业单位：南雄市人才工作管理办公室（市人才服务中心）、南雄市人力资源管理办公室和南雄市劳动就业服务管理中心。南雄人社局共有机关行政编制25名，工勤编3名。原南雄市劳动和社会保障局，正科级行政单位，内设办公室、技能培训股、就业工资股、劳动监察股、劳动争议仲裁委员会办公室，下属南雄市劳动就业服务管理中心、南雄市人力资源管理办公室。</w:t>
      </w:r>
    </w:p>
    <w:p w14:paraId="5CC7813C">
      <w:pPr>
        <w:pStyle w:val="4"/>
      </w:pPr>
      <w:r>
        <w:t>【城乡统筹就业】</w:t>
      </w:r>
    </w:p>
    <w:p w14:paraId="26770998">
      <w:pPr>
        <w:ind w:firstLine="420"/>
        <w:rPr>
          <w:rFonts w:ascii="宋体" w:hAnsi="宋体"/>
        </w:rPr>
      </w:pPr>
      <w:r>
        <w:rPr>
          <w:rFonts w:ascii="宋体" w:hAnsi="宋体"/>
        </w:rPr>
        <w:t>2010年，城镇新增就业岗位4552个，比上年增加445人。年末城镇失业率始终控制在2.6%以内，就业局势持续保持稳定。农村劳动力转移就业12242人，比上年增加942人，其中就地就近转移7682人，劳务输出4560人。全年发放社会保险补贴36人次12.24万元，办理小额贷款7笔14万元。全年办理失业人员登记1237人，发放就业失业手册4681本，发布招聘信息677条。</w:t>
      </w:r>
    </w:p>
    <w:p w14:paraId="40281786">
      <w:pPr>
        <w:pStyle w:val="4"/>
      </w:pPr>
      <w:r>
        <w:t>【农民工就业】</w:t>
      </w:r>
    </w:p>
    <w:p w14:paraId="22DFCF42">
      <w:pPr>
        <w:ind w:firstLine="420"/>
        <w:rPr>
          <w:rFonts w:ascii="宋体" w:hAnsi="宋体"/>
        </w:rPr>
      </w:pPr>
      <w:r>
        <w:rPr>
          <w:rFonts w:ascii="宋体" w:hAnsi="宋体"/>
        </w:rPr>
        <w:t>2010年，举办农民工专场招聘会33场，参加各场招聘会的企业有186家，提供就业岗位1.1万多个，吸引21000多人前来咨询应聘，现场达成就业意向15425人。</w:t>
      </w:r>
    </w:p>
    <w:p w14:paraId="16B40108">
      <w:pPr>
        <w:pStyle w:val="4"/>
      </w:pPr>
      <w:r>
        <w:t>【劳动力市场调控】</w:t>
      </w:r>
    </w:p>
    <w:p w14:paraId="442B2561">
      <w:pPr>
        <w:ind w:firstLine="420"/>
        <w:rPr>
          <w:rFonts w:ascii="宋体" w:hAnsi="宋体"/>
        </w:rPr>
      </w:pPr>
      <w:r>
        <w:rPr>
          <w:rFonts w:ascii="宋体" w:hAnsi="宋体"/>
        </w:rPr>
        <w:t>2010年，实施企业工资最低标准660元/月，引导本市劳动力到本市企业就业1725人，其中农村劳动力947人，城镇失业人员623人，困难人员就业226人。</w:t>
      </w:r>
    </w:p>
    <w:p w14:paraId="11BC6C19">
      <w:pPr>
        <w:pStyle w:val="4"/>
      </w:pPr>
      <w:r>
        <w:t>【困难群体就业援助】</w:t>
      </w:r>
    </w:p>
    <w:p w14:paraId="384624D4">
      <w:pPr>
        <w:ind w:firstLine="420"/>
        <w:rPr>
          <w:rFonts w:ascii="宋体" w:hAnsi="宋体"/>
        </w:rPr>
      </w:pPr>
      <w:r>
        <w:rPr>
          <w:rFonts w:ascii="宋体" w:hAnsi="宋体"/>
        </w:rPr>
        <w:t>2010年，落实扶助困难群体就业政策，开展“再就业援助月”、“迎国庆就业援助进家入户专项”活动，举办高校毕业生就业援助，迎国庆就业援助专场招聘会8场，援助大中专技校毕业生、“4050”人员、“零就业家庭”成员369人实现就业。</w:t>
      </w:r>
    </w:p>
    <w:p w14:paraId="5C53C865">
      <w:pPr>
        <w:pStyle w:val="4"/>
      </w:pPr>
      <w:r>
        <w:t>【农村劳动力资源普查】</w:t>
      </w:r>
    </w:p>
    <w:p w14:paraId="42A36077">
      <w:pPr>
        <w:ind w:firstLine="420"/>
        <w:rPr>
          <w:rFonts w:ascii="宋体" w:hAnsi="宋体"/>
        </w:rPr>
      </w:pPr>
      <w:r>
        <w:rPr>
          <w:rFonts w:ascii="宋体" w:hAnsi="宋体"/>
        </w:rPr>
        <w:t>南雄市打造“一网四库”工程（即“人力资源网”，内设“人力资源信息库、企业空岗信息库、培训资源信息库、劳动力转移信息库”）。一年来，录入农村劳动力人数179204人，完成目标总量的100.8%，并在原有基础上完善人力资源信息库。</w:t>
      </w:r>
    </w:p>
    <w:p w14:paraId="2CFF0ED6">
      <w:pPr>
        <w:pStyle w:val="4"/>
      </w:pPr>
      <w:r>
        <w:t>【劳动就业培训】</w:t>
      </w:r>
    </w:p>
    <w:p w14:paraId="4AABC2AC">
      <w:pPr>
        <w:ind w:firstLine="420"/>
        <w:rPr>
          <w:rFonts w:ascii="宋体" w:hAnsi="宋体"/>
        </w:rPr>
      </w:pPr>
      <w:r>
        <w:rPr>
          <w:rFonts w:ascii="宋体" w:hAnsi="宋体"/>
        </w:rPr>
        <w:t>推进农村劳动力培训转移就业的力度，一年来，举办农村劳动力培训班十六期，开设培训专业（工种）7个，培训人员1502人次，经培训鉴定转移就业人数1441人次，就业率达96%。</w:t>
      </w:r>
    </w:p>
    <w:p w14:paraId="12F97964">
      <w:pPr>
        <w:pStyle w:val="4"/>
      </w:pPr>
      <w:r>
        <w:t>【职业技能鉴定】</w:t>
      </w:r>
    </w:p>
    <w:p w14:paraId="7AF56672">
      <w:pPr>
        <w:ind w:firstLine="420"/>
        <w:rPr>
          <w:rFonts w:ascii="宋体" w:hAnsi="宋体"/>
        </w:rPr>
      </w:pPr>
      <w:r>
        <w:rPr>
          <w:rFonts w:ascii="宋体" w:hAnsi="宋体"/>
        </w:rPr>
        <w:t>2010年，稳步推进职业技能鉴定工作，全年组织农村劳动力、社会人员、下岗失业人员等各类职业技能鉴定1205人次，颁发职业技能资格初级证书1198人次。</w:t>
      </w:r>
    </w:p>
    <w:p w14:paraId="2932DA0D">
      <w:pPr>
        <w:pStyle w:val="4"/>
      </w:pPr>
      <w:r>
        <w:t>【劳动普法宣传】</w:t>
      </w:r>
    </w:p>
    <w:p w14:paraId="6D9DCFC7">
      <w:pPr>
        <w:ind w:firstLine="420"/>
        <w:rPr>
          <w:rFonts w:ascii="宋体" w:hAnsi="宋体"/>
        </w:rPr>
      </w:pPr>
      <w:r>
        <w:rPr>
          <w:rFonts w:ascii="宋体" w:hAnsi="宋体"/>
        </w:rPr>
        <w:t>2010年，开展劳动法律法规宣传教育，深入企业、市区、镇（街道）巡回宣传《工伤保险条例》、《城镇居民医疗保险办法》、《社会保险费征缴管理实施办法》、《劳动合同法》、《劳动争议调解仲裁法》和《就业促进法》共18次，举办讲座5次，开展现场咨询6次，印发劳动法律法规资料手册5000余册。</w:t>
      </w:r>
    </w:p>
    <w:p w14:paraId="2634B9C8">
      <w:pPr>
        <w:pStyle w:val="4"/>
      </w:pPr>
      <w:r>
        <w:t>【劳动监察】</w:t>
      </w:r>
    </w:p>
    <w:p w14:paraId="2C422D18">
      <w:pPr>
        <w:ind w:firstLine="420"/>
        <w:rPr>
          <w:rFonts w:ascii="宋体" w:hAnsi="宋体"/>
        </w:rPr>
      </w:pPr>
      <w:r>
        <w:rPr>
          <w:rFonts w:ascii="宋体" w:hAnsi="宋体"/>
        </w:rPr>
        <w:t>2010年，开展以建筑施工企业为重点的打击欠薪、规范人力资源市场秩序、非法组织介绍和使用童工、整治非法用工、打击违法犯罪等多项专项行动。全年下企业检查170户，涉及劳动者2.06万人。</w:t>
      </w:r>
    </w:p>
    <w:p w14:paraId="227DAEA9">
      <w:pPr>
        <w:pStyle w:val="4"/>
      </w:pPr>
      <w:r>
        <w:t>【劳动信访】</w:t>
      </w:r>
    </w:p>
    <w:p w14:paraId="1A697000">
      <w:pPr>
        <w:ind w:firstLine="420"/>
        <w:rPr>
          <w:rFonts w:ascii="宋体" w:hAnsi="宋体"/>
        </w:rPr>
      </w:pPr>
      <w:r>
        <w:rPr>
          <w:rFonts w:ascii="宋体" w:hAnsi="宋体"/>
        </w:rPr>
        <w:t>2010年，受理劳动保障举报投诉案件85宗，结案率100%；受理来信、来电和来访119批次，办结率100%；为劳动者追回拖欠、克扣工资234.2万元。</w:t>
      </w:r>
    </w:p>
    <w:p w14:paraId="226BAFC2">
      <w:pPr>
        <w:pStyle w:val="4"/>
      </w:pPr>
      <w:r>
        <w:t>【劳动关系规范管理】</w:t>
      </w:r>
    </w:p>
    <w:p w14:paraId="72DF52DC">
      <w:pPr>
        <w:ind w:firstLine="420"/>
        <w:rPr>
          <w:rFonts w:ascii="宋体" w:hAnsi="宋体"/>
        </w:rPr>
      </w:pPr>
      <w:r>
        <w:rPr>
          <w:rFonts w:ascii="宋体" w:hAnsi="宋体"/>
        </w:rPr>
        <w:t>2010年，办理劳动年审企业120户；办理工伤认定23户，参与2次诉讼。全年共签订集体劳动合同5户，涉及人数1375人；签订劳动合同104户，涉及人数3695人。</w:t>
      </w:r>
    </w:p>
    <w:p w14:paraId="5AAD72DB">
      <w:pPr>
        <w:pStyle w:val="4"/>
      </w:pPr>
      <w:r>
        <w:t>【劳动争议处理】</w:t>
      </w:r>
    </w:p>
    <w:p w14:paraId="1C938D1E">
      <w:pPr>
        <w:ind w:firstLine="420"/>
        <w:rPr>
          <w:rFonts w:ascii="宋体" w:hAnsi="宋体"/>
        </w:rPr>
      </w:pPr>
      <w:r>
        <w:rPr>
          <w:rFonts w:ascii="宋体" w:hAnsi="宋体"/>
        </w:rPr>
        <w:t>2010年，处理劳动争议案件56宗，已结案115宗，涉及劳动者115人，涉及经济标的147.32万元，实现劳动争议的快立、快调、快审、快结，最大限度维护劳动者权益。</w:t>
      </w:r>
    </w:p>
    <w:p w14:paraId="1E4D9887">
      <w:pPr>
        <w:pStyle w:val="4"/>
      </w:pPr>
      <w:r>
        <w:t>【最低工资标准】</w:t>
      </w:r>
    </w:p>
    <w:p w14:paraId="078269AF">
      <w:pPr>
        <w:ind w:firstLine="420"/>
        <w:rPr>
          <w:rFonts w:ascii="宋体" w:hAnsi="宋体"/>
        </w:rPr>
      </w:pPr>
      <w:r>
        <w:rPr>
          <w:rFonts w:ascii="宋体" w:hAnsi="宋体"/>
        </w:rPr>
        <w:t>根据韶府[2010]26号文件通知，2010年南雄市最低工资标准为660元/月。</w:t>
      </w:r>
    </w:p>
    <w:p w14:paraId="0DF6D539">
      <w:pPr>
        <w:pStyle w:val="3"/>
      </w:pPr>
      <w:r>
        <w:rPr>
          <w:rFonts w:hint="eastAsia"/>
        </w:rPr>
        <w:t>社会保障</w:t>
      </w:r>
    </w:p>
    <w:p w14:paraId="40908256">
      <w:pPr>
        <w:pStyle w:val="4"/>
      </w:pPr>
      <w:r>
        <w:t>【概况】</w:t>
      </w:r>
    </w:p>
    <w:p w14:paraId="0D5A4BEA">
      <w:pPr>
        <w:ind w:firstLine="420"/>
        <w:rPr>
          <w:rFonts w:ascii="宋体" w:hAnsi="宋体"/>
        </w:rPr>
      </w:pPr>
      <w:r>
        <w:rPr>
          <w:rFonts w:ascii="宋体" w:hAnsi="宋体"/>
        </w:rPr>
        <w:t>2010年南雄市仍然把城镇个体劳动者、灵活就业人员、私营企业和民营企业作为扩面工作的重点和突破口，积极采取各种措施，协助地税部门做好扩面征缴工作，做到应扩尽扩、应收尽收。年内，全市建立养老保险关系21269人；建立医疗保险26371人；建立失业保险18972人；建立生育保险8604人；建立工伤保险15891人。</w:t>
      </w:r>
    </w:p>
    <w:p w14:paraId="093BDCCF">
      <w:pPr>
        <w:pStyle w:val="4"/>
      </w:pPr>
      <w:r>
        <w:t>【养老保险】</w:t>
      </w:r>
    </w:p>
    <w:p w14:paraId="516BDE2F">
      <w:pPr>
        <w:ind w:firstLine="420"/>
        <w:rPr>
          <w:rFonts w:ascii="宋体" w:hAnsi="宋体"/>
        </w:rPr>
      </w:pPr>
      <w:r>
        <w:rPr>
          <w:rFonts w:ascii="宋体" w:hAnsi="宋体"/>
        </w:rPr>
        <w:t>南雄市参加企业养老保险人数30606人，较上年增长10.28%。全市实际缴费人数24048人，较上年增长19.81%。养老保险统筹基金收入12049万元，较上年增长7%。支出养老保险统筹基金8655万元，较上年增长1%。全市享受养老保险退休金8233人，增幅16%，养老金社会化发放率达100%。</w:t>
      </w:r>
    </w:p>
    <w:p w14:paraId="6C935CA8">
      <w:pPr>
        <w:pStyle w:val="4"/>
      </w:pPr>
      <w:r>
        <w:t>【失业保险】</w:t>
      </w:r>
    </w:p>
    <w:p w14:paraId="4F0C9769">
      <w:pPr>
        <w:ind w:firstLine="420"/>
        <w:rPr>
          <w:rFonts w:ascii="宋体" w:hAnsi="宋体"/>
        </w:rPr>
      </w:pPr>
      <w:r>
        <w:rPr>
          <w:rFonts w:ascii="宋体" w:hAnsi="宋体"/>
        </w:rPr>
        <w:t>南雄市参加失业保险人数18940人，征收失业基金517万元，支出失业保险基金559万元，与上年持平。全市领取失业救济金2400人次。医疗保险</w:t>
      </w:r>
    </w:p>
    <w:p w14:paraId="3F989FB8">
      <w:pPr>
        <w:ind w:firstLine="420"/>
        <w:rPr>
          <w:rFonts w:ascii="宋体" w:hAnsi="宋体"/>
        </w:rPr>
      </w:pPr>
      <w:r>
        <w:rPr>
          <w:rFonts w:ascii="宋体" w:hAnsi="宋体"/>
        </w:rPr>
        <w:t>南雄市参加城镇职工基本医疗保险26310人，同比增加6.2%。征收城镇职工基本医疗保险费4461万元，基金支出4498万元。参加城镇居民基本医疗保险缴费人数24800人，较上年增长4.1%。征收城镇居民基本医疗保险基金341万元，基金支出349万元.</w:t>
      </w:r>
    </w:p>
    <w:p w14:paraId="05A2E040">
      <w:pPr>
        <w:pStyle w:val="4"/>
      </w:pPr>
      <w:r>
        <w:t>【工伤保险】</w:t>
      </w:r>
    </w:p>
    <w:p w14:paraId="13684CBF">
      <w:pPr>
        <w:ind w:firstLine="420"/>
        <w:rPr>
          <w:rFonts w:ascii="宋体" w:hAnsi="宋体"/>
        </w:rPr>
      </w:pPr>
      <w:r>
        <w:rPr>
          <w:rFonts w:ascii="宋体" w:hAnsi="宋体"/>
        </w:rPr>
        <w:t>南雄市参加工伤保险15881人。征收工伤保险费193万元。工伤保险基金支出193万元。</w:t>
      </w:r>
    </w:p>
    <w:p w14:paraId="35F3BFD5">
      <w:pPr>
        <w:pStyle w:val="4"/>
      </w:pPr>
      <w:r>
        <w:t>【生育保险】</w:t>
      </w:r>
    </w:p>
    <w:p w14:paraId="552A1FED">
      <w:pPr>
        <w:ind w:firstLine="420"/>
        <w:rPr>
          <w:rFonts w:ascii="宋体" w:hAnsi="宋体"/>
        </w:rPr>
      </w:pPr>
      <w:r>
        <w:rPr>
          <w:rFonts w:ascii="宋体" w:hAnsi="宋体"/>
        </w:rPr>
        <w:t>南雄市参加生育保险8600人，较上年增长4.3%。征收生育保险基金84万元，支付生育保险金84万元。</w:t>
      </w:r>
    </w:p>
    <w:p w14:paraId="7A1CBEEC">
      <w:pPr>
        <w:pStyle w:val="4"/>
      </w:pPr>
      <w:r>
        <w:t>【依法行政】</w:t>
      </w:r>
    </w:p>
    <w:p w14:paraId="518A5072">
      <w:pPr>
        <w:ind w:firstLine="420"/>
        <w:rPr>
          <w:rFonts w:ascii="宋体" w:hAnsi="宋体"/>
        </w:rPr>
      </w:pPr>
      <w:r>
        <w:rPr>
          <w:rFonts w:ascii="宋体" w:hAnsi="宋体"/>
        </w:rPr>
        <w:t>监督社保政策执行过程和结果，规范社保基金管理，加扩面征缴，确保社保基金的安全完整。</w:t>
      </w:r>
    </w:p>
    <w:p w14:paraId="0E72AF50">
      <w:pPr>
        <w:pStyle w:val="4"/>
      </w:pPr>
      <w:r>
        <w:t>【社保队伍建设】</w:t>
      </w:r>
    </w:p>
    <w:p w14:paraId="07581E01">
      <w:pPr>
        <w:ind w:firstLine="420"/>
        <w:rPr>
          <w:rFonts w:ascii="宋体" w:hAnsi="宋体"/>
        </w:rPr>
      </w:pPr>
      <w:r>
        <w:rPr>
          <w:rFonts w:ascii="宋体" w:hAnsi="宋体"/>
        </w:rPr>
        <w:t>按照南雄市委、市政府要求，狠抓党风廉政建设和反腐败教育，每周五下午为政治理论学习时间；着力强化业务培训，提高经办效率；加强内控管理，完善各项制度；做好党务、政务公开，增强办事透明度，自觉接受党内外一切人士的监督提升服务质量，工作成绩得到上级部门的充分肯定。</w:t>
      </w:r>
    </w:p>
    <w:p w14:paraId="4A606F56">
      <w:pPr>
        <w:ind w:firstLine="420"/>
        <w:jc w:val="right"/>
        <w:rPr>
          <w:rFonts w:ascii="宋体" w:hAnsi="宋体"/>
        </w:rPr>
      </w:pPr>
      <w:r>
        <w:rPr>
          <w:rFonts w:hint="eastAsia" w:ascii="宋体" w:hAnsi="宋体"/>
        </w:rPr>
        <w:t>（</w:t>
      </w:r>
      <w:r>
        <w:rPr>
          <w:rFonts w:ascii="宋体" w:hAnsi="宋体"/>
        </w:rPr>
        <w:t>赖泰宠）</w:t>
      </w:r>
    </w:p>
    <w:p w14:paraId="68B776B6">
      <w:pPr>
        <w:ind w:firstLine="422"/>
        <w:rPr>
          <w:rFonts w:ascii="宋体" w:hAnsi="宋体"/>
          <w:b/>
          <w:bCs/>
        </w:rPr>
      </w:pPr>
      <w:r>
        <w:rPr>
          <w:rFonts w:ascii="宋体" w:hAnsi="宋体"/>
          <w:b/>
          <w:bCs/>
        </w:rPr>
        <w:t>附：2010年人社局领导班子成员名单</w:t>
      </w:r>
    </w:p>
    <w:p w14:paraId="3FA1CA35">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董圣国</w:t>
      </w:r>
    </w:p>
    <w:p w14:paraId="1C097584">
      <w:pPr>
        <w:ind w:firstLine="422"/>
        <w:rPr>
          <w:rFonts w:ascii="宋体" w:hAnsi="宋体"/>
        </w:rPr>
      </w:pPr>
      <w:r>
        <w:rPr>
          <w:rFonts w:ascii="宋体" w:hAnsi="宋体"/>
          <w:b/>
          <w:bCs/>
        </w:rPr>
        <w:t>副局长：</w:t>
      </w:r>
      <w:r>
        <w:rPr>
          <w:rFonts w:ascii="宋体" w:hAnsi="宋体"/>
        </w:rPr>
        <w:t>丘继成</w:t>
      </w:r>
      <w:r>
        <w:rPr>
          <w:rFonts w:hint="eastAsia" w:ascii="宋体" w:hAnsi="宋体"/>
        </w:rPr>
        <w:t xml:space="preserve">  </w:t>
      </w:r>
      <w:r>
        <w:rPr>
          <w:rFonts w:ascii="宋体" w:hAnsi="宋体"/>
        </w:rPr>
        <w:t>曾国庆</w:t>
      </w:r>
      <w:r>
        <w:rPr>
          <w:rFonts w:hint="eastAsia" w:ascii="宋体" w:hAnsi="宋体"/>
        </w:rPr>
        <w:t xml:space="preserve">  </w:t>
      </w:r>
      <w:r>
        <w:rPr>
          <w:rFonts w:ascii="宋体" w:hAnsi="宋体"/>
        </w:rPr>
        <w:t>张荣凤</w:t>
      </w:r>
      <w:r>
        <w:rPr>
          <w:rFonts w:hint="eastAsia" w:ascii="宋体" w:hAnsi="宋体"/>
        </w:rPr>
        <w:t xml:space="preserve">  </w:t>
      </w:r>
      <w:r>
        <w:rPr>
          <w:rFonts w:ascii="宋体" w:hAnsi="宋体"/>
        </w:rPr>
        <w:t>钟海</w:t>
      </w:r>
    </w:p>
    <w:p w14:paraId="11E24B41">
      <w:pPr>
        <w:ind w:firstLine="422"/>
        <w:rPr>
          <w:rFonts w:ascii="宋体" w:hAnsi="宋体"/>
        </w:rPr>
      </w:pPr>
      <w:r>
        <w:rPr>
          <w:rFonts w:ascii="宋体" w:hAnsi="宋体"/>
          <w:b/>
          <w:bCs/>
        </w:rPr>
        <w:t>纪检组长：</w:t>
      </w:r>
      <w:r>
        <w:rPr>
          <w:rFonts w:ascii="宋体" w:hAnsi="宋体"/>
        </w:rPr>
        <w:t>黄得胜</w:t>
      </w:r>
    </w:p>
    <w:p w14:paraId="307E6D33">
      <w:pPr>
        <w:ind w:firstLine="422"/>
        <w:rPr>
          <w:rFonts w:ascii="宋体" w:hAnsi="宋体"/>
        </w:rPr>
      </w:pPr>
      <w:r>
        <w:rPr>
          <w:rFonts w:ascii="宋体" w:hAnsi="宋体"/>
          <w:b/>
          <w:bCs/>
        </w:rPr>
        <w:t>工会主席：</w:t>
      </w:r>
      <w:r>
        <w:rPr>
          <w:rFonts w:ascii="宋体" w:hAnsi="宋体"/>
        </w:rPr>
        <w:t>王翔金</w:t>
      </w:r>
    </w:p>
    <w:p w14:paraId="45B1E223">
      <w:pPr>
        <w:ind w:firstLine="422"/>
        <w:jc w:val="center"/>
        <w:rPr>
          <w:rFonts w:ascii="宋体" w:hAnsi="宋体"/>
          <w:b/>
        </w:rPr>
      </w:pPr>
      <w:r>
        <w:rPr>
          <w:rFonts w:hint="eastAsia" w:ascii="宋体" w:hAnsi="宋体"/>
          <w:b/>
        </w:rPr>
        <w:t>表31-1  2010年社会保险情况</w:t>
      </w:r>
    </w:p>
    <w:p w14:paraId="73FB272E">
      <w:pPr>
        <w:ind w:firstLine="422"/>
        <w:jc w:val="right"/>
        <w:rPr>
          <w:rFonts w:ascii="宋体" w:hAnsi="宋体"/>
          <w:b/>
        </w:rPr>
      </w:pPr>
      <w:r>
        <w:rPr>
          <w:rFonts w:hint="eastAsia" w:ascii="宋体" w:hAnsi="宋体"/>
          <w:b/>
        </w:rPr>
        <w:t>单位（人、万元）</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06"/>
        <w:gridCol w:w="1293"/>
        <w:gridCol w:w="1293"/>
        <w:gridCol w:w="1293"/>
        <w:gridCol w:w="1293"/>
        <w:gridCol w:w="1293"/>
        <w:gridCol w:w="1291"/>
      </w:tblGrid>
      <w:tr w14:paraId="0CDEF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7" w:type="pct"/>
            <w:vAlign w:val="center"/>
          </w:tcPr>
          <w:p w14:paraId="2B7E4461">
            <w:pPr>
              <w:pStyle w:val="13"/>
              <w:jc w:val="center"/>
              <w:rPr>
                <w:rFonts w:hint="eastAsia"/>
                <w:b/>
              </w:rPr>
            </w:pPr>
            <w:r>
              <w:rPr>
                <w:rFonts w:hint="eastAsia"/>
                <w:b/>
              </w:rPr>
              <w:t>项目险种</w:t>
            </w:r>
          </w:p>
        </w:tc>
        <w:tc>
          <w:tcPr>
            <w:tcW w:w="649" w:type="pct"/>
            <w:vAlign w:val="center"/>
          </w:tcPr>
          <w:p w14:paraId="33FAD183">
            <w:pPr>
              <w:pStyle w:val="13"/>
              <w:jc w:val="center"/>
              <w:rPr>
                <w:rFonts w:hint="eastAsia"/>
                <w:b/>
              </w:rPr>
            </w:pPr>
            <w:r>
              <w:rPr>
                <w:rFonts w:hint="eastAsia"/>
                <w:b/>
              </w:rPr>
              <w:t>参保人数</w:t>
            </w:r>
          </w:p>
        </w:tc>
        <w:tc>
          <w:tcPr>
            <w:tcW w:w="649" w:type="pct"/>
            <w:vAlign w:val="center"/>
          </w:tcPr>
          <w:p w14:paraId="4E182909">
            <w:pPr>
              <w:pStyle w:val="13"/>
              <w:jc w:val="center"/>
              <w:rPr>
                <w:rFonts w:hint="eastAsia"/>
                <w:b/>
              </w:rPr>
            </w:pPr>
            <w:r>
              <w:rPr>
                <w:rFonts w:hint="eastAsia"/>
                <w:b/>
              </w:rPr>
              <w:t>缴费人数</w:t>
            </w:r>
          </w:p>
        </w:tc>
        <w:tc>
          <w:tcPr>
            <w:tcW w:w="649" w:type="pct"/>
            <w:vAlign w:val="center"/>
          </w:tcPr>
          <w:p w14:paraId="5406E90D">
            <w:pPr>
              <w:pStyle w:val="13"/>
              <w:jc w:val="center"/>
              <w:rPr>
                <w:rFonts w:hint="eastAsia"/>
                <w:b/>
              </w:rPr>
            </w:pPr>
            <w:r>
              <w:rPr>
                <w:rFonts w:hint="eastAsia"/>
                <w:b/>
              </w:rPr>
              <w:t>总收入</w:t>
            </w:r>
          </w:p>
        </w:tc>
        <w:tc>
          <w:tcPr>
            <w:tcW w:w="649" w:type="pct"/>
            <w:vAlign w:val="center"/>
          </w:tcPr>
          <w:p w14:paraId="63321948">
            <w:pPr>
              <w:pStyle w:val="13"/>
              <w:jc w:val="center"/>
              <w:rPr>
                <w:rFonts w:hint="eastAsia"/>
                <w:b/>
              </w:rPr>
            </w:pPr>
            <w:r>
              <w:rPr>
                <w:rFonts w:hint="eastAsia"/>
                <w:b/>
              </w:rPr>
              <w:t>总支出</w:t>
            </w:r>
          </w:p>
        </w:tc>
        <w:tc>
          <w:tcPr>
            <w:tcW w:w="649" w:type="pct"/>
            <w:vAlign w:val="center"/>
          </w:tcPr>
          <w:p w14:paraId="5854A546">
            <w:pPr>
              <w:pStyle w:val="13"/>
              <w:jc w:val="center"/>
              <w:rPr>
                <w:rFonts w:hint="eastAsia"/>
                <w:b/>
              </w:rPr>
            </w:pPr>
            <w:r>
              <w:rPr>
                <w:rFonts w:hint="eastAsia"/>
                <w:b/>
              </w:rPr>
              <w:t>当期结余</w:t>
            </w:r>
          </w:p>
        </w:tc>
        <w:tc>
          <w:tcPr>
            <w:tcW w:w="649" w:type="pct"/>
            <w:vAlign w:val="center"/>
          </w:tcPr>
          <w:p w14:paraId="5CF422F5">
            <w:pPr>
              <w:pStyle w:val="13"/>
              <w:jc w:val="center"/>
              <w:rPr>
                <w:rFonts w:hint="eastAsia"/>
                <w:b/>
              </w:rPr>
            </w:pPr>
            <w:r>
              <w:rPr>
                <w:rFonts w:hint="eastAsia"/>
                <w:b/>
              </w:rPr>
              <w:t>累计结余</w:t>
            </w:r>
          </w:p>
        </w:tc>
      </w:tr>
      <w:tr w14:paraId="2219F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7" w:type="pct"/>
            <w:vAlign w:val="center"/>
          </w:tcPr>
          <w:p w14:paraId="5E955F82">
            <w:pPr>
              <w:pStyle w:val="13"/>
              <w:jc w:val="center"/>
              <w:rPr>
                <w:rFonts w:hint="eastAsia"/>
              </w:rPr>
            </w:pPr>
            <w:r>
              <w:rPr>
                <w:rFonts w:hint="eastAsia"/>
              </w:rPr>
              <w:t>城镇职工养老保险</w:t>
            </w:r>
          </w:p>
        </w:tc>
        <w:tc>
          <w:tcPr>
            <w:tcW w:w="649" w:type="pct"/>
            <w:vAlign w:val="center"/>
          </w:tcPr>
          <w:p w14:paraId="46235CF0">
            <w:pPr>
              <w:pStyle w:val="13"/>
              <w:jc w:val="center"/>
              <w:rPr>
                <w:rFonts w:hint="eastAsia"/>
              </w:rPr>
            </w:pPr>
            <w:r>
              <w:rPr>
                <w:rFonts w:hint="eastAsia"/>
              </w:rPr>
              <w:t>29512</w:t>
            </w:r>
          </w:p>
        </w:tc>
        <w:tc>
          <w:tcPr>
            <w:tcW w:w="649" w:type="pct"/>
            <w:vAlign w:val="center"/>
          </w:tcPr>
          <w:p w14:paraId="15804DF7">
            <w:pPr>
              <w:pStyle w:val="13"/>
              <w:jc w:val="center"/>
              <w:rPr>
                <w:rFonts w:hint="eastAsia"/>
              </w:rPr>
            </w:pPr>
            <w:r>
              <w:rPr>
                <w:rFonts w:hint="eastAsia"/>
              </w:rPr>
              <w:t>23256</w:t>
            </w:r>
          </w:p>
        </w:tc>
        <w:tc>
          <w:tcPr>
            <w:tcW w:w="649" w:type="pct"/>
            <w:vAlign w:val="center"/>
          </w:tcPr>
          <w:p w14:paraId="3BD67CEC">
            <w:pPr>
              <w:pStyle w:val="13"/>
              <w:jc w:val="center"/>
              <w:rPr>
                <w:rFonts w:hint="eastAsia"/>
              </w:rPr>
            </w:pPr>
            <w:r>
              <w:rPr>
                <w:rFonts w:hint="eastAsia"/>
              </w:rPr>
              <w:t>12506</w:t>
            </w:r>
          </w:p>
        </w:tc>
        <w:tc>
          <w:tcPr>
            <w:tcW w:w="649" w:type="pct"/>
            <w:vAlign w:val="center"/>
          </w:tcPr>
          <w:p w14:paraId="734EC2F3">
            <w:pPr>
              <w:pStyle w:val="13"/>
              <w:jc w:val="center"/>
              <w:rPr>
                <w:rFonts w:hint="eastAsia"/>
              </w:rPr>
            </w:pPr>
            <w:r>
              <w:rPr>
                <w:rFonts w:hint="eastAsia"/>
              </w:rPr>
              <w:t>10035</w:t>
            </w:r>
          </w:p>
        </w:tc>
        <w:tc>
          <w:tcPr>
            <w:tcW w:w="649" w:type="pct"/>
            <w:vAlign w:val="center"/>
          </w:tcPr>
          <w:p w14:paraId="7E545544">
            <w:pPr>
              <w:pStyle w:val="13"/>
              <w:jc w:val="center"/>
              <w:rPr>
                <w:rFonts w:hint="eastAsia"/>
              </w:rPr>
            </w:pPr>
            <w:r>
              <w:rPr>
                <w:rFonts w:hint="eastAsia"/>
              </w:rPr>
              <w:t>2471</w:t>
            </w:r>
          </w:p>
        </w:tc>
        <w:tc>
          <w:tcPr>
            <w:tcW w:w="649" w:type="pct"/>
            <w:vAlign w:val="center"/>
          </w:tcPr>
          <w:p w14:paraId="0E272B0D">
            <w:pPr>
              <w:pStyle w:val="13"/>
              <w:jc w:val="center"/>
              <w:rPr>
                <w:rFonts w:hint="eastAsia"/>
              </w:rPr>
            </w:pPr>
            <w:r>
              <w:rPr>
                <w:rFonts w:hint="eastAsia"/>
              </w:rPr>
              <w:t>4489</w:t>
            </w:r>
          </w:p>
        </w:tc>
      </w:tr>
      <w:tr w14:paraId="5315C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7" w:type="pct"/>
            <w:vAlign w:val="center"/>
          </w:tcPr>
          <w:p w14:paraId="0F302CB2">
            <w:pPr>
              <w:pStyle w:val="13"/>
              <w:jc w:val="center"/>
              <w:rPr>
                <w:rFonts w:hint="eastAsia"/>
              </w:rPr>
            </w:pPr>
            <w:r>
              <w:rPr>
                <w:rFonts w:hint="eastAsia"/>
              </w:rPr>
              <w:t>城镇职工医疗保险</w:t>
            </w:r>
          </w:p>
        </w:tc>
        <w:tc>
          <w:tcPr>
            <w:tcW w:w="649" w:type="pct"/>
            <w:vAlign w:val="center"/>
          </w:tcPr>
          <w:p w14:paraId="2B9D9535">
            <w:pPr>
              <w:pStyle w:val="13"/>
              <w:jc w:val="center"/>
              <w:rPr>
                <w:rFonts w:hint="eastAsia"/>
              </w:rPr>
            </w:pPr>
            <w:r>
              <w:rPr>
                <w:rFonts w:hint="eastAsia"/>
              </w:rPr>
              <w:t>26310</w:t>
            </w:r>
          </w:p>
        </w:tc>
        <w:tc>
          <w:tcPr>
            <w:tcW w:w="649" w:type="pct"/>
            <w:vAlign w:val="center"/>
          </w:tcPr>
          <w:p w14:paraId="4DB9994F">
            <w:pPr>
              <w:pStyle w:val="13"/>
              <w:jc w:val="center"/>
              <w:rPr>
                <w:rFonts w:hint="eastAsia"/>
              </w:rPr>
            </w:pPr>
            <w:r>
              <w:rPr>
                <w:rFonts w:hint="eastAsia"/>
              </w:rPr>
              <w:t>24019</w:t>
            </w:r>
          </w:p>
        </w:tc>
        <w:tc>
          <w:tcPr>
            <w:tcW w:w="649" w:type="pct"/>
            <w:vAlign w:val="center"/>
          </w:tcPr>
          <w:p w14:paraId="277998CE">
            <w:pPr>
              <w:pStyle w:val="13"/>
              <w:jc w:val="center"/>
              <w:rPr>
                <w:rFonts w:hint="eastAsia"/>
              </w:rPr>
            </w:pPr>
            <w:r>
              <w:rPr>
                <w:rFonts w:hint="eastAsia"/>
              </w:rPr>
              <w:t>4461</w:t>
            </w:r>
          </w:p>
        </w:tc>
        <w:tc>
          <w:tcPr>
            <w:tcW w:w="649" w:type="pct"/>
            <w:vAlign w:val="center"/>
          </w:tcPr>
          <w:p w14:paraId="68C72B74">
            <w:pPr>
              <w:pStyle w:val="13"/>
              <w:jc w:val="center"/>
              <w:rPr>
                <w:rFonts w:hint="eastAsia"/>
              </w:rPr>
            </w:pPr>
            <w:r>
              <w:rPr>
                <w:rFonts w:hint="eastAsia"/>
              </w:rPr>
              <w:t>4498</w:t>
            </w:r>
          </w:p>
        </w:tc>
        <w:tc>
          <w:tcPr>
            <w:tcW w:w="649" w:type="pct"/>
            <w:vAlign w:val="center"/>
          </w:tcPr>
          <w:p w14:paraId="5BEEF6A6">
            <w:pPr>
              <w:pStyle w:val="13"/>
              <w:jc w:val="center"/>
              <w:rPr>
                <w:rFonts w:hint="eastAsia"/>
              </w:rPr>
            </w:pPr>
            <w:r>
              <w:rPr>
                <w:rFonts w:hint="eastAsia"/>
              </w:rPr>
              <w:t>-37</w:t>
            </w:r>
          </w:p>
        </w:tc>
        <w:tc>
          <w:tcPr>
            <w:tcW w:w="649" w:type="pct"/>
            <w:vAlign w:val="center"/>
          </w:tcPr>
          <w:p w14:paraId="5DEF394B">
            <w:pPr>
              <w:pStyle w:val="13"/>
              <w:jc w:val="center"/>
              <w:rPr>
                <w:rFonts w:hint="eastAsia"/>
              </w:rPr>
            </w:pPr>
            <w:r>
              <w:rPr>
                <w:rFonts w:hint="eastAsia"/>
              </w:rPr>
              <w:t>1060</w:t>
            </w:r>
          </w:p>
        </w:tc>
      </w:tr>
      <w:tr w14:paraId="4B7EE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7" w:type="pct"/>
            <w:vAlign w:val="center"/>
          </w:tcPr>
          <w:p w14:paraId="00DA3F6B">
            <w:pPr>
              <w:pStyle w:val="13"/>
              <w:jc w:val="center"/>
              <w:rPr>
                <w:rFonts w:hint="eastAsia"/>
              </w:rPr>
            </w:pPr>
            <w:r>
              <w:rPr>
                <w:rFonts w:hint="eastAsia"/>
              </w:rPr>
              <w:t>失业保险</w:t>
            </w:r>
          </w:p>
        </w:tc>
        <w:tc>
          <w:tcPr>
            <w:tcW w:w="649" w:type="pct"/>
            <w:vAlign w:val="center"/>
          </w:tcPr>
          <w:p w14:paraId="0166397E">
            <w:pPr>
              <w:pStyle w:val="13"/>
              <w:jc w:val="center"/>
              <w:rPr>
                <w:rFonts w:hint="eastAsia"/>
              </w:rPr>
            </w:pPr>
            <w:r>
              <w:rPr>
                <w:rFonts w:hint="eastAsia"/>
              </w:rPr>
              <w:t>18940</w:t>
            </w:r>
          </w:p>
        </w:tc>
        <w:tc>
          <w:tcPr>
            <w:tcW w:w="649" w:type="pct"/>
            <w:vAlign w:val="center"/>
          </w:tcPr>
          <w:p w14:paraId="4E9CB05C">
            <w:pPr>
              <w:pStyle w:val="13"/>
              <w:jc w:val="center"/>
              <w:rPr>
                <w:rFonts w:hint="eastAsia"/>
              </w:rPr>
            </w:pPr>
            <w:r>
              <w:rPr>
                <w:rFonts w:hint="eastAsia"/>
              </w:rPr>
              <w:t>11683</w:t>
            </w:r>
          </w:p>
        </w:tc>
        <w:tc>
          <w:tcPr>
            <w:tcW w:w="649" w:type="pct"/>
            <w:vAlign w:val="center"/>
          </w:tcPr>
          <w:p w14:paraId="0F550263">
            <w:pPr>
              <w:pStyle w:val="13"/>
              <w:jc w:val="center"/>
              <w:rPr>
                <w:rFonts w:hint="eastAsia"/>
              </w:rPr>
            </w:pPr>
            <w:r>
              <w:rPr>
                <w:rFonts w:hint="eastAsia"/>
              </w:rPr>
              <w:t>517</w:t>
            </w:r>
          </w:p>
        </w:tc>
        <w:tc>
          <w:tcPr>
            <w:tcW w:w="649" w:type="pct"/>
            <w:vAlign w:val="center"/>
          </w:tcPr>
          <w:p w14:paraId="1E050DB3">
            <w:pPr>
              <w:pStyle w:val="13"/>
              <w:jc w:val="center"/>
              <w:rPr>
                <w:rFonts w:hint="eastAsia"/>
              </w:rPr>
            </w:pPr>
            <w:r>
              <w:rPr>
                <w:rFonts w:hint="eastAsia"/>
              </w:rPr>
              <w:t>559</w:t>
            </w:r>
          </w:p>
        </w:tc>
        <w:tc>
          <w:tcPr>
            <w:tcW w:w="649" w:type="pct"/>
            <w:vAlign w:val="center"/>
          </w:tcPr>
          <w:p w14:paraId="140F4A78">
            <w:pPr>
              <w:pStyle w:val="13"/>
              <w:jc w:val="center"/>
              <w:rPr>
                <w:rFonts w:hint="eastAsia"/>
              </w:rPr>
            </w:pPr>
            <w:r>
              <w:rPr>
                <w:rFonts w:hint="eastAsia"/>
              </w:rPr>
              <w:t>-42</w:t>
            </w:r>
          </w:p>
        </w:tc>
        <w:tc>
          <w:tcPr>
            <w:tcW w:w="649" w:type="pct"/>
            <w:vAlign w:val="center"/>
          </w:tcPr>
          <w:p w14:paraId="580A01FC">
            <w:pPr>
              <w:pStyle w:val="13"/>
              <w:jc w:val="center"/>
              <w:rPr>
                <w:rFonts w:hint="eastAsia"/>
              </w:rPr>
            </w:pPr>
            <w:r>
              <w:rPr>
                <w:rFonts w:hint="eastAsia"/>
              </w:rPr>
              <w:t>204</w:t>
            </w:r>
          </w:p>
        </w:tc>
      </w:tr>
      <w:tr w14:paraId="263A9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7" w:type="pct"/>
            <w:vAlign w:val="center"/>
          </w:tcPr>
          <w:p w14:paraId="350DDE73">
            <w:pPr>
              <w:pStyle w:val="13"/>
              <w:jc w:val="center"/>
              <w:rPr>
                <w:rFonts w:hint="eastAsia"/>
              </w:rPr>
            </w:pPr>
            <w:r>
              <w:rPr>
                <w:rFonts w:hint="eastAsia"/>
              </w:rPr>
              <w:t>工伤保险</w:t>
            </w:r>
          </w:p>
        </w:tc>
        <w:tc>
          <w:tcPr>
            <w:tcW w:w="649" w:type="pct"/>
            <w:vAlign w:val="center"/>
          </w:tcPr>
          <w:p w14:paraId="7E888B9C">
            <w:pPr>
              <w:pStyle w:val="13"/>
              <w:jc w:val="center"/>
              <w:rPr>
                <w:rFonts w:hint="eastAsia"/>
              </w:rPr>
            </w:pPr>
            <w:r>
              <w:rPr>
                <w:rFonts w:hint="eastAsia"/>
              </w:rPr>
              <w:t>15881</w:t>
            </w:r>
          </w:p>
        </w:tc>
        <w:tc>
          <w:tcPr>
            <w:tcW w:w="649" w:type="pct"/>
            <w:vAlign w:val="center"/>
          </w:tcPr>
          <w:p w14:paraId="1420769F">
            <w:pPr>
              <w:pStyle w:val="13"/>
              <w:jc w:val="center"/>
              <w:rPr>
                <w:rFonts w:hint="eastAsia"/>
              </w:rPr>
            </w:pPr>
            <w:r>
              <w:rPr>
                <w:rFonts w:hint="eastAsia"/>
              </w:rPr>
              <w:t>11683</w:t>
            </w:r>
          </w:p>
        </w:tc>
        <w:tc>
          <w:tcPr>
            <w:tcW w:w="649" w:type="pct"/>
            <w:vAlign w:val="center"/>
          </w:tcPr>
          <w:p w14:paraId="0DF827A3">
            <w:pPr>
              <w:pStyle w:val="13"/>
              <w:jc w:val="center"/>
              <w:rPr>
                <w:rFonts w:hint="eastAsia"/>
              </w:rPr>
            </w:pPr>
            <w:r>
              <w:rPr>
                <w:rFonts w:hint="eastAsia"/>
              </w:rPr>
              <w:t>193</w:t>
            </w:r>
          </w:p>
        </w:tc>
        <w:tc>
          <w:tcPr>
            <w:tcW w:w="649" w:type="pct"/>
            <w:vAlign w:val="center"/>
          </w:tcPr>
          <w:p w14:paraId="5B95E060">
            <w:pPr>
              <w:pStyle w:val="13"/>
              <w:jc w:val="center"/>
              <w:rPr>
                <w:rFonts w:hint="eastAsia"/>
              </w:rPr>
            </w:pPr>
            <w:r>
              <w:rPr>
                <w:rFonts w:hint="eastAsia"/>
              </w:rPr>
              <w:t>193</w:t>
            </w:r>
          </w:p>
        </w:tc>
        <w:tc>
          <w:tcPr>
            <w:tcW w:w="649" w:type="pct"/>
            <w:vAlign w:val="center"/>
          </w:tcPr>
          <w:p w14:paraId="65667077">
            <w:pPr>
              <w:pStyle w:val="13"/>
              <w:jc w:val="center"/>
              <w:rPr>
                <w:rFonts w:hint="eastAsia"/>
              </w:rPr>
            </w:pPr>
            <w:r>
              <w:rPr>
                <w:rFonts w:hint="eastAsia"/>
              </w:rPr>
              <w:t>0</w:t>
            </w:r>
          </w:p>
        </w:tc>
        <w:tc>
          <w:tcPr>
            <w:tcW w:w="649" w:type="pct"/>
            <w:vAlign w:val="center"/>
          </w:tcPr>
          <w:p w14:paraId="5F9C827A">
            <w:pPr>
              <w:pStyle w:val="13"/>
              <w:jc w:val="center"/>
              <w:rPr>
                <w:rFonts w:hint="eastAsia"/>
              </w:rPr>
            </w:pPr>
            <w:r>
              <w:rPr>
                <w:rFonts w:hint="eastAsia"/>
              </w:rPr>
              <w:t>16</w:t>
            </w:r>
          </w:p>
        </w:tc>
      </w:tr>
      <w:tr w14:paraId="037FC5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7" w:type="pct"/>
            <w:vAlign w:val="center"/>
          </w:tcPr>
          <w:p w14:paraId="4FA74BA8">
            <w:pPr>
              <w:pStyle w:val="13"/>
              <w:jc w:val="center"/>
              <w:rPr>
                <w:rFonts w:hint="eastAsia"/>
              </w:rPr>
            </w:pPr>
            <w:r>
              <w:rPr>
                <w:rFonts w:hint="eastAsia"/>
              </w:rPr>
              <w:t>生育保险</w:t>
            </w:r>
          </w:p>
        </w:tc>
        <w:tc>
          <w:tcPr>
            <w:tcW w:w="649" w:type="pct"/>
            <w:vAlign w:val="center"/>
          </w:tcPr>
          <w:p w14:paraId="2487CCFD">
            <w:pPr>
              <w:pStyle w:val="13"/>
              <w:jc w:val="center"/>
              <w:rPr>
                <w:rFonts w:hint="eastAsia"/>
              </w:rPr>
            </w:pPr>
            <w:r>
              <w:rPr>
                <w:rFonts w:hint="eastAsia"/>
              </w:rPr>
              <w:t>8600</w:t>
            </w:r>
          </w:p>
        </w:tc>
        <w:tc>
          <w:tcPr>
            <w:tcW w:w="649" w:type="pct"/>
            <w:vAlign w:val="center"/>
          </w:tcPr>
          <w:p w14:paraId="031A332A">
            <w:pPr>
              <w:pStyle w:val="13"/>
              <w:jc w:val="center"/>
              <w:rPr>
                <w:rFonts w:hint="eastAsia"/>
              </w:rPr>
            </w:pPr>
            <w:r>
              <w:rPr>
                <w:rFonts w:hint="eastAsia"/>
              </w:rPr>
              <w:t>6084</w:t>
            </w:r>
          </w:p>
        </w:tc>
        <w:tc>
          <w:tcPr>
            <w:tcW w:w="649" w:type="pct"/>
            <w:vAlign w:val="center"/>
          </w:tcPr>
          <w:p w14:paraId="745FDAB1">
            <w:pPr>
              <w:pStyle w:val="13"/>
              <w:jc w:val="center"/>
              <w:rPr>
                <w:rFonts w:hint="eastAsia"/>
              </w:rPr>
            </w:pPr>
            <w:r>
              <w:rPr>
                <w:rFonts w:hint="eastAsia"/>
              </w:rPr>
              <w:t>84</w:t>
            </w:r>
          </w:p>
        </w:tc>
        <w:tc>
          <w:tcPr>
            <w:tcW w:w="649" w:type="pct"/>
            <w:vAlign w:val="center"/>
          </w:tcPr>
          <w:p w14:paraId="3600AC66">
            <w:pPr>
              <w:pStyle w:val="13"/>
              <w:jc w:val="center"/>
              <w:rPr>
                <w:rFonts w:hint="eastAsia"/>
              </w:rPr>
            </w:pPr>
            <w:r>
              <w:rPr>
                <w:rFonts w:hint="eastAsia"/>
              </w:rPr>
              <w:t>84</w:t>
            </w:r>
          </w:p>
        </w:tc>
        <w:tc>
          <w:tcPr>
            <w:tcW w:w="649" w:type="pct"/>
            <w:vAlign w:val="center"/>
          </w:tcPr>
          <w:p w14:paraId="2A8407A8">
            <w:pPr>
              <w:pStyle w:val="13"/>
              <w:jc w:val="center"/>
              <w:rPr>
                <w:rFonts w:hint="eastAsia"/>
              </w:rPr>
            </w:pPr>
            <w:r>
              <w:rPr>
                <w:rFonts w:hint="eastAsia"/>
              </w:rPr>
              <w:t>0</w:t>
            </w:r>
          </w:p>
        </w:tc>
        <w:tc>
          <w:tcPr>
            <w:tcW w:w="649" w:type="pct"/>
            <w:vAlign w:val="center"/>
          </w:tcPr>
          <w:p w14:paraId="68253769">
            <w:pPr>
              <w:pStyle w:val="13"/>
              <w:jc w:val="center"/>
              <w:rPr>
                <w:rFonts w:hint="eastAsia"/>
              </w:rPr>
            </w:pPr>
            <w:r>
              <w:rPr>
                <w:rFonts w:hint="eastAsia"/>
              </w:rPr>
              <w:t>8</w:t>
            </w:r>
          </w:p>
        </w:tc>
      </w:tr>
      <w:tr w14:paraId="47C8F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7" w:type="pct"/>
            <w:vAlign w:val="center"/>
          </w:tcPr>
          <w:p w14:paraId="7FBF759E">
            <w:pPr>
              <w:pStyle w:val="13"/>
              <w:jc w:val="center"/>
              <w:rPr>
                <w:rFonts w:hint="eastAsia"/>
              </w:rPr>
            </w:pPr>
            <w:r>
              <w:rPr>
                <w:rFonts w:hint="eastAsia"/>
              </w:rPr>
              <w:t>城镇居民医疗保险</w:t>
            </w:r>
          </w:p>
        </w:tc>
        <w:tc>
          <w:tcPr>
            <w:tcW w:w="649" w:type="pct"/>
            <w:vAlign w:val="center"/>
          </w:tcPr>
          <w:p w14:paraId="08492387">
            <w:pPr>
              <w:pStyle w:val="13"/>
              <w:jc w:val="center"/>
              <w:rPr>
                <w:rFonts w:hint="eastAsia"/>
              </w:rPr>
            </w:pPr>
            <w:r>
              <w:rPr>
                <w:rFonts w:hint="eastAsia"/>
              </w:rPr>
              <w:t>24800</w:t>
            </w:r>
          </w:p>
        </w:tc>
        <w:tc>
          <w:tcPr>
            <w:tcW w:w="649" w:type="pct"/>
            <w:vAlign w:val="center"/>
          </w:tcPr>
          <w:p w14:paraId="671AB34A">
            <w:pPr>
              <w:pStyle w:val="13"/>
              <w:jc w:val="center"/>
              <w:rPr>
                <w:rFonts w:hint="eastAsia"/>
              </w:rPr>
            </w:pPr>
            <w:r>
              <w:rPr>
                <w:rFonts w:hint="eastAsia"/>
              </w:rPr>
              <w:t>24672</w:t>
            </w:r>
          </w:p>
        </w:tc>
        <w:tc>
          <w:tcPr>
            <w:tcW w:w="649" w:type="pct"/>
            <w:vAlign w:val="center"/>
          </w:tcPr>
          <w:p w14:paraId="24FCAA48">
            <w:pPr>
              <w:pStyle w:val="13"/>
              <w:jc w:val="center"/>
              <w:rPr>
                <w:rFonts w:hint="eastAsia"/>
              </w:rPr>
            </w:pPr>
            <w:r>
              <w:rPr>
                <w:rFonts w:hint="eastAsia"/>
              </w:rPr>
              <w:t>341</w:t>
            </w:r>
          </w:p>
        </w:tc>
        <w:tc>
          <w:tcPr>
            <w:tcW w:w="649" w:type="pct"/>
            <w:vAlign w:val="center"/>
          </w:tcPr>
          <w:p w14:paraId="0BE7ABBB">
            <w:pPr>
              <w:pStyle w:val="13"/>
              <w:jc w:val="center"/>
              <w:rPr>
                <w:rFonts w:hint="eastAsia"/>
              </w:rPr>
            </w:pPr>
            <w:r>
              <w:rPr>
                <w:rFonts w:hint="eastAsia"/>
              </w:rPr>
              <w:t>349</w:t>
            </w:r>
          </w:p>
        </w:tc>
        <w:tc>
          <w:tcPr>
            <w:tcW w:w="649" w:type="pct"/>
            <w:vAlign w:val="center"/>
          </w:tcPr>
          <w:p w14:paraId="4A5203A4">
            <w:pPr>
              <w:pStyle w:val="13"/>
              <w:jc w:val="center"/>
              <w:rPr>
                <w:rFonts w:hint="eastAsia"/>
              </w:rPr>
            </w:pPr>
            <w:r>
              <w:rPr>
                <w:rFonts w:hint="eastAsia"/>
              </w:rPr>
              <w:t>-8</w:t>
            </w:r>
          </w:p>
        </w:tc>
        <w:tc>
          <w:tcPr>
            <w:tcW w:w="649" w:type="pct"/>
            <w:vAlign w:val="center"/>
          </w:tcPr>
          <w:p w14:paraId="22664D2B">
            <w:pPr>
              <w:pStyle w:val="13"/>
              <w:jc w:val="center"/>
              <w:rPr>
                <w:rFonts w:hint="eastAsia"/>
              </w:rPr>
            </w:pPr>
            <w:r>
              <w:rPr>
                <w:rFonts w:hint="eastAsia"/>
              </w:rPr>
              <w:t>150</w:t>
            </w:r>
          </w:p>
        </w:tc>
      </w:tr>
    </w:tbl>
    <w:p w14:paraId="71A07706">
      <w:pPr>
        <w:pStyle w:val="3"/>
      </w:pPr>
      <w:r>
        <w:rPr>
          <w:rFonts w:hint="eastAsia"/>
        </w:rPr>
        <w:t>民政工作</w:t>
      </w:r>
    </w:p>
    <w:p w14:paraId="186145D7">
      <w:pPr>
        <w:pStyle w:val="4"/>
      </w:pPr>
      <w:r>
        <w:t>【概况】</w:t>
      </w:r>
    </w:p>
    <w:p w14:paraId="0D274DF5">
      <w:pPr>
        <w:ind w:firstLine="420"/>
        <w:rPr>
          <w:rFonts w:ascii="宋体" w:hAnsi="宋体"/>
        </w:rPr>
      </w:pPr>
      <w:r>
        <w:rPr>
          <w:rFonts w:ascii="宋体" w:hAnsi="宋体"/>
        </w:rPr>
        <w:t>南雄市民政局属市政府的行政单位，在职人员46人，其中事业单位在职34人；行政人员12人，内设机构6个：局办公室、优抚安置股、救灾股、社会事务股、基层政权区划地名股、社会救助股。作为主管有关社会行政事务的政府工作部门，主要工作职责：1、贯彻执行国家有关民政工作的方针、政策，草拟地方性规章和民政事业发展规划。2、负责全市性社团、市内组织的跨市社团、涉外社团及省、韶关市委托本市管理的跨省（地、市、县）社团的审批、登记、管理工作，监督社团活动，查处社团组织的违法行为和以社团名义开展活动的非法组织。3、负责民办非企业单位的登记、管理工作，查处民办非企业单位的违法行为和末经登记的民办非企业单位。4、负责拥军优属和烈士审批、褒扬工作，指导革命烈士纪念建筑物的建设和管理工作。5、负责军队移交地方管理的离退休干部、退伍志愿兵、军队无军籍退体职工、军队落实政策人员和军队复退干部、转业志愿兵、退伍义务兵、伤残军人的接收安置及服务管理工作；指导军休所的建设和管理工作。6、组织、协调城乡救灾工作；负责救灾救济捐赠款、物的接收、分配、管理；建立和实施城乡居（村）民最低生活保障制度。7、负责基层政权建设工作；指导（居）村民委员会民主选举、民主诀策、民主管理和民主监督工作，推动村务公开和基层民主政治建设；指导城乡居（村）民委员会建设，负责社区建设协调工作。8、负责地名管理工作；审批地名的命名、更名、销名工作；规范地名标志设置和管理工作。9、负责行政区划工作，研究和修订全市行政区域规划；负责本行政区域乡（镇）、街道的设定、撤销、调整、更名、界线变更以及政府驻地迁移的核报工作；负责本市与相邻县（市、区）行政区域边界勘定和管理工作；承担边界争议的调处事务。10、负责婚姻登记，指导婚姻登记、婚姻服务机构和婚姻介绍机构的管理工作；负责收养登记管理工作。11、负责殡葬改革和殡葬事业单位的管理工作。12、负责老年人、孤儿、弃婴（童）、五保户等特殊困难群体权益保护的行政管理工作，指导残疾人的权益保障工作。13、负责社会福利工作，指导各类福利设施、福利事业单位、福利机构、福利生产企业和社区福利服务工作。14、负责社会福利彩票发行管理工作；负责管理使用、发放福利资金和民政事业费。15、承办市人民政府和省民政厅、韶关市民政局交办的其他事项。</w:t>
      </w:r>
    </w:p>
    <w:p w14:paraId="2EA10155">
      <w:pPr>
        <w:pStyle w:val="4"/>
      </w:pPr>
      <w:r>
        <w:t>【社会救助和社会福利】</w:t>
      </w:r>
    </w:p>
    <w:p w14:paraId="6A9272EC">
      <w:pPr>
        <w:ind w:firstLine="420"/>
        <w:rPr>
          <w:rFonts w:ascii="宋体" w:hAnsi="宋体"/>
        </w:rPr>
      </w:pPr>
      <w:r>
        <w:rPr>
          <w:rFonts w:ascii="宋体" w:hAnsi="宋体"/>
        </w:rPr>
        <w:t>2009年至2010年，南雄市民政局分别救助流浪乞讨人员108人次、127人次，支出救助资金2.8万元、3.2万元。2010年投资近300万完成社会福利中心第一期工程建设。</w:t>
      </w:r>
    </w:p>
    <w:p w14:paraId="619A2A31">
      <w:pPr>
        <w:pStyle w:val="4"/>
      </w:pPr>
      <w:r>
        <w:t>【慈善事业】</w:t>
      </w:r>
    </w:p>
    <w:p w14:paraId="4FC29DA0">
      <w:pPr>
        <w:ind w:firstLine="420"/>
        <w:rPr>
          <w:rFonts w:ascii="宋体" w:hAnsi="宋体"/>
        </w:rPr>
      </w:pPr>
      <w:r>
        <w:rPr>
          <w:rFonts w:ascii="宋体" w:hAnsi="宋体"/>
        </w:rPr>
        <w:t>南雄市慈善总会2007年成立，2010年底，募集慈善捐款13183835.04元，支出5430660.73元，结余7753174.31元，主要用于开展赈灾救难、扶贫济困的社会救助活动，包括助寡、助孤、助残、助困、助医、助学等。</w:t>
      </w:r>
    </w:p>
    <w:p w14:paraId="2EB7AA31">
      <w:pPr>
        <w:pStyle w:val="4"/>
      </w:pPr>
      <w:r>
        <w:t>【最低生活保障】</w:t>
      </w:r>
    </w:p>
    <w:p w14:paraId="618CE131">
      <w:pPr>
        <w:ind w:firstLine="420"/>
        <w:rPr>
          <w:rFonts w:ascii="宋体" w:hAnsi="宋体"/>
        </w:rPr>
      </w:pPr>
      <w:r>
        <w:rPr>
          <w:rFonts w:ascii="宋体" w:hAnsi="宋体"/>
        </w:rPr>
        <w:t>2010年，南雄市民政局开展低保年审，实行低保动态管理。2010年底，全市在册低保户6869户15297人，五保户1343户。农村享受低保条件为家庭人均月收入不足125元，享受低保金额65元/人月，城市享受低保条件为家庭人均月收入不足188元，享受低保金额110元/人月；在院老人供养标准300元/人月，散居五保老人250元/人月。</w:t>
      </w:r>
    </w:p>
    <w:p w14:paraId="2C161ED1">
      <w:pPr>
        <w:pStyle w:val="4"/>
      </w:pPr>
      <w:r>
        <w:t>【救灾救济】</w:t>
      </w:r>
    </w:p>
    <w:p w14:paraId="674032E6">
      <w:pPr>
        <w:ind w:firstLine="420"/>
        <w:rPr>
          <w:rFonts w:ascii="宋体" w:hAnsi="宋体"/>
        </w:rPr>
      </w:pPr>
      <w:r>
        <w:rPr>
          <w:rFonts w:ascii="宋体" w:hAnsi="宋体"/>
        </w:rPr>
        <w:t>2010年，南雄市民政局在冬寒救济方面，发放大150吨，棉被1600床，棉袄900件、棉裤900条，帮助困难群众安全越冬</w:t>
      </w:r>
    </w:p>
    <w:p w14:paraId="63D60830">
      <w:pPr>
        <w:pStyle w:val="4"/>
      </w:pPr>
      <w:r>
        <w:t>【福利彩票发行】</w:t>
      </w:r>
    </w:p>
    <w:p w14:paraId="1A0C43AB">
      <w:pPr>
        <w:ind w:firstLine="420"/>
        <w:rPr>
          <w:rFonts w:ascii="宋体" w:hAnsi="宋体"/>
        </w:rPr>
      </w:pPr>
      <w:r>
        <w:rPr>
          <w:rFonts w:ascii="宋体" w:hAnsi="宋体"/>
        </w:rPr>
        <w:t>南雄市彩票中心编制2人，全市有福利机构45间，销售彩票类型有电脑型和即开型两种，年销售量2000多万元。社会福利中心年筹集资金200多万元，支助项目有全市18所敬老院建设、社会福利中心建设和支助贫困子女读书等。</w:t>
      </w:r>
    </w:p>
    <w:p w14:paraId="200F122D">
      <w:pPr>
        <w:pStyle w:val="3"/>
      </w:pPr>
      <w:r>
        <w:rPr>
          <w:rFonts w:hint="eastAsia"/>
        </w:rPr>
        <w:t>优抚安置与拥军优属</w:t>
      </w:r>
    </w:p>
    <w:p w14:paraId="1E3A4B0E">
      <w:pPr>
        <w:pStyle w:val="4"/>
      </w:pPr>
      <w:r>
        <w:t>【拥军工作】</w:t>
      </w:r>
    </w:p>
    <w:p w14:paraId="26A721E2">
      <w:pPr>
        <w:ind w:firstLine="420"/>
        <w:rPr>
          <w:rFonts w:ascii="宋体" w:hAnsi="宋体"/>
        </w:rPr>
      </w:pPr>
      <w:r>
        <w:rPr>
          <w:rFonts w:ascii="宋体" w:hAnsi="宋体"/>
        </w:rPr>
        <w:t>2009年春节和“八一”建军节，南雄市开展拥军优属活动。全年共组织驻军慰问团4个，慰问驻军单位8次4个，慰问金和慰问品（折款）共计22.8万元。市采茶剧团送节目到驻军进行慰问演出。各乡镇、各单位召开优抚对象座谈会271次，到会人数6082人。组织慰问重点优抚对象282人，举行军民篮球友谊赛18场。举办双拥晚会1场。2010年，义务兵家属、革命烈士家属优待面100%，军烈属优待金2719元，达到省要求。</w:t>
      </w:r>
    </w:p>
    <w:p w14:paraId="4CB91CED">
      <w:pPr>
        <w:pStyle w:val="4"/>
      </w:pPr>
      <w:r>
        <w:t>【优抚工作】</w:t>
      </w:r>
    </w:p>
    <w:p w14:paraId="1DB597E4">
      <w:pPr>
        <w:ind w:firstLine="420"/>
        <w:rPr>
          <w:rFonts w:ascii="宋体" w:hAnsi="宋体"/>
        </w:rPr>
      </w:pPr>
      <w:r>
        <w:rPr>
          <w:rFonts w:ascii="宋体" w:hAnsi="宋体"/>
        </w:rPr>
        <w:t>2009年支出定补经费680万元，火线入伍和铀矿部队130多人新列入参战或涉核人员生活补贴范围。2010年支出定补经费880万元。</w:t>
      </w:r>
    </w:p>
    <w:p w14:paraId="19FA8C52">
      <w:pPr>
        <w:pStyle w:val="4"/>
      </w:pPr>
      <w:r>
        <w:t>【安置工作】</w:t>
      </w:r>
    </w:p>
    <w:p w14:paraId="6905D8B3">
      <w:pPr>
        <w:ind w:firstLine="420"/>
        <w:rPr>
          <w:rFonts w:ascii="宋体" w:hAnsi="宋体"/>
        </w:rPr>
      </w:pPr>
      <w:r>
        <w:rPr>
          <w:rFonts w:ascii="宋体" w:hAnsi="宋体"/>
        </w:rPr>
        <w:t>2009年转移安置城镇义务兵31人，支付转移安置经费90万元，人平2.9万元，推荐102名退役士兵免费到技校读书。2010年转移安置城镇义务兵17人，支付转移安置经费50.6万元，人平2.9万元，推荐106名退役士兵免费到技校读书。</w:t>
      </w:r>
    </w:p>
    <w:p w14:paraId="12150892">
      <w:pPr>
        <w:pStyle w:val="3"/>
      </w:pPr>
      <w:r>
        <w:rPr>
          <w:rFonts w:hint="eastAsia"/>
        </w:rPr>
        <w:t>社会行政事务管理</w:t>
      </w:r>
    </w:p>
    <w:p w14:paraId="598FEED2">
      <w:pPr>
        <w:pStyle w:val="4"/>
      </w:pPr>
      <w:r>
        <w:t>【民间组织管理】</w:t>
      </w:r>
    </w:p>
    <w:p w14:paraId="01DB80F2">
      <w:pPr>
        <w:ind w:firstLine="420"/>
        <w:rPr>
          <w:rFonts w:ascii="宋体" w:hAnsi="宋体"/>
        </w:rPr>
      </w:pPr>
      <w:r>
        <w:rPr>
          <w:rFonts w:ascii="宋体" w:hAnsi="宋体"/>
        </w:rPr>
        <w:t>2010年，南雄市民间组织管理进一步强化，非法组织和民间组织的违法活动被杜绝，登记和年审意识有提高。民间组织在提供社会服务、化解社会矛盾、反映民众诉求、促进社会公平、疏缓就业压力、推进公益事业、解决贸易纠纷、促进科教兴市等诸多方面，突现其应有的社会功能，对于转变政府职能，创新社会管理体制，整合社会管理资源，提高社会管理水平，逐步形成和健全党委领导、政府负责、社会协同、公众参与的社会管理格局，起到促进作用。</w:t>
      </w:r>
    </w:p>
    <w:p w14:paraId="44D5180D">
      <w:pPr>
        <w:pStyle w:val="4"/>
      </w:pPr>
      <w:r>
        <w:t>【婚姻与收养登记管理】</w:t>
      </w:r>
    </w:p>
    <w:p w14:paraId="5C81FFA5">
      <w:pPr>
        <w:ind w:firstLine="420"/>
        <w:rPr>
          <w:rFonts w:ascii="宋体" w:hAnsi="宋体"/>
        </w:rPr>
      </w:pPr>
      <w:r>
        <w:rPr>
          <w:rFonts w:ascii="宋体" w:hAnsi="宋体"/>
        </w:rPr>
        <w:t>2010年收养登记管理工作进一步强化，依法登记，服务到位，全年办理收养登记21宗。2009年5月初，婚姻登记处迁入婚姻登记大厅，大厅空间180多平方米，婚姻登记管理强化，全年办理婚姻登记结婚登记4261对，离婚登记695对，获得全国婚姻规范化服务先进单位。</w:t>
      </w:r>
    </w:p>
    <w:p w14:paraId="2EB93FB4">
      <w:pPr>
        <w:pStyle w:val="4"/>
      </w:pPr>
      <w:r>
        <w:t>【殡葬管理】</w:t>
      </w:r>
    </w:p>
    <w:p w14:paraId="6592F6A8">
      <w:pPr>
        <w:ind w:firstLine="420"/>
        <w:rPr>
          <w:rFonts w:ascii="宋体" w:hAnsi="宋体"/>
        </w:rPr>
      </w:pPr>
      <w:r>
        <w:rPr>
          <w:rFonts w:ascii="宋体" w:hAnsi="宋体"/>
        </w:rPr>
        <w:t>2010年，殡葬改革继续向前推进，通过强化宣传、强化执法、强化内部管理，使全市火化率保持在高位运行，全年火化遗体2468具，火化率100%，起棺火化30宗，完成全年火化任务。</w:t>
      </w:r>
    </w:p>
    <w:p w14:paraId="19B4E975">
      <w:pPr>
        <w:pStyle w:val="4"/>
      </w:pPr>
      <w:r>
        <w:t>【敬老院建设】</w:t>
      </w:r>
    </w:p>
    <w:p w14:paraId="1F1E2E33">
      <w:pPr>
        <w:ind w:firstLine="420"/>
        <w:rPr>
          <w:rFonts w:ascii="宋体" w:hAnsi="宋体"/>
        </w:rPr>
      </w:pPr>
      <w:r>
        <w:rPr>
          <w:rFonts w:ascii="宋体" w:hAnsi="宋体"/>
        </w:rPr>
        <w:t>2008年，南雄市民政局争取上级部门的支持，推进敬老院的改造扩建。有邓坊、雄州、主田、帽子峰四所敬老院列入省市民政部门的改造建设计划。2009年，全市18所乡镇敬老院全面完成改造扩建任务。2010年，加强敬老院管理，一是抓好敬老院管理服务工作。民政部门加强对乡镇（街道）落实五保供养政策的指导、督促，解决管理人员和工作运行经费，坚持院务公开、帐务公开，维护五保对象的合法权益。二是做好敬老院院长选配工作。把责任心强、热心公益事业、有工作能力的同志安排到敬老院管理岗位，并建立相关考核制度。</w:t>
      </w:r>
    </w:p>
    <w:p w14:paraId="148C00FB">
      <w:pPr>
        <w:pStyle w:val="3"/>
      </w:pPr>
      <w:r>
        <w:rPr>
          <w:rFonts w:hint="eastAsia"/>
        </w:rPr>
        <w:t>基层政权建设</w:t>
      </w:r>
    </w:p>
    <w:p w14:paraId="0AB11A60">
      <w:pPr>
        <w:pStyle w:val="4"/>
      </w:pPr>
      <w:r>
        <w:t>【换届选举工作】</w:t>
      </w:r>
    </w:p>
    <w:p w14:paraId="1074A31A">
      <w:pPr>
        <w:ind w:firstLine="420"/>
        <w:rPr>
          <w:rFonts w:ascii="宋体" w:hAnsi="宋体"/>
        </w:rPr>
      </w:pPr>
      <w:r>
        <w:rPr>
          <w:rFonts w:ascii="宋体" w:hAnsi="宋体"/>
        </w:rPr>
        <w:t>2008年1月至5月，南雄市民政局牵头开展全市村（居）委员会换届选举工作，成立市镇二级领导小组，通过加强调查研究、科学确定职数、培训选举骨干、注重舆论宣传、严肃工作纪律、强化督查检查等一系列措施，完成全市208个村委会，24个社区居委会的换届选举工作，选举出两委成员987人，群众参选率99.7%。</w:t>
      </w:r>
    </w:p>
    <w:p w14:paraId="4489CDE8">
      <w:pPr>
        <w:pStyle w:val="4"/>
      </w:pPr>
      <w:r>
        <w:t>【社区建设】</w:t>
      </w:r>
    </w:p>
    <w:p w14:paraId="6F9B0380">
      <w:pPr>
        <w:ind w:firstLine="420"/>
        <w:rPr>
          <w:rFonts w:ascii="宋体" w:hAnsi="宋体"/>
        </w:rPr>
      </w:pPr>
      <w:r>
        <w:rPr>
          <w:rFonts w:ascii="宋体" w:hAnsi="宋体"/>
        </w:rPr>
        <w:t>2009年，争取上级部门支持70万元，解决澜河、坪田、主田、邓坊等社区办公用房问题。社区工作人员素质得到提高，人员结构合理，服务水平得到提升，解决社区“无人办事、无钱办事、无址办公”的现象，为创建“六好”平安社区奠定基础。2010年，村务公开阵地建设日趋规范，全市大部分村委会按照规定的格式版面改造和建设村务公开栏，能直观地反映村务公开的真实情况。</w:t>
      </w:r>
    </w:p>
    <w:p w14:paraId="28138448">
      <w:pPr>
        <w:pStyle w:val="4"/>
      </w:pPr>
      <w:r>
        <w:t>【界线管理工作】</w:t>
      </w:r>
    </w:p>
    <w:p w14:paraId="28F77DF1">
      <w:pPr>
        <w:ind w:firstLine="420"/>
        <w:rPr>
          <w:rFonts w:ascii="宋体" w:hAnsi="宋体"/>
        </w:rPr>
      </w:pPr>
      <w:r>
        <w:rPr>
          <w:rFonts w:ascii="宋体" w:hAnsi="宋体"/>
        </w:rPr>
        <w:t>2004年，南雄与始兴、仁化一起，共同完成边界联检，维修界碑、清理碑障，完成市内县界联检工作。</w:t>
      </w:r>
    </w:p>
    <w:p w14:paraId="6C32C14A">
      <w:pPr>
        <w:pStyle w:val="4"/>
      </w:pPr>
      <w:r>
        <w:t>【地名管理工作】</w:t>
      </w:r>
    </w:p>
    <w:p w14:paraId="2055C67F">
      <w:pPr>
        <w:ind w:firstLine="420"/>
        <w:rPr>
          <w:rFonts w:ascii="宋体" w:hAnsi="宋体"/>
        </w:rPr>
      </w:pPr>
      <w:r>
        <w:rPr>
          <w:rFonts w:ascii="宋体" w:hAnsi="宋体"/>
        </w:rPr>
        <w:t>2004年，南雄市对市区部分主要街道名称进行命名、更名如下：1、更名的街道：原光明东路、光明西路、爱民路、建设路、繁荣路、利民路统一更名为雄州大道。分雄州大道东路（宾阳门至交警大队）未建成，雄州大道中路（宾阳门至维新路）雄州大道西路（维新路以西）。因雄州大道东路未建成，暂时保留原八一路。原教育路、金叶大桥、秋千街直至洋汾水方向，统一更名为金叶大道。分金叶大道南路（即原教育路），金叶大道中路（即原规划中的槐花大道，青云西路至环城路）未建成。金叶大道北路（即环城路以北）未建成。2、新命名的街道：大成街至永康路横街为成康路；大成街至维新路横街为成新路；老城中心大街至三影塔为延祥街；新城中街至雄中路为和平街；原教育路西侧竖街（南北向）为金穗街；三元里南端步行街为三元里步行街；三影塔西侧步行街为三影塔步行街。</w:t>
      </w:r>
    </w:p>
    <w:p w14:paraId="7FF2458B">
      <w:pPr>
        <w:pStyle w:val="3"/>
      </w:pPr>
      <w:r>
        <w:rPr>
          <w:rFonts w:hint="eastAsia"/>
        </w:rPr>
        <w:t>灾害事故</w:t>
      </w:r>
    </w:p>
    <w:p w14:paraId="62AED27D">
      <w:pPr>
        <w:ind w:firstLine="420"/>
        <w:rPr>
          <w:rFonts w:ascii="宋体" w:hAnsi="宋体"/>
        </w:rPr>
      </w:pPr>
      <w:r>
        <w:rPr>
          <w:rFonts w:ascii="宋体" w:hAnsi="宋体"/>
        </w:rPr>
        <w:t>2008年，南雄市遭受冰雪灾害，江头、油山、邓坊、帽子峰、澜河、百顺、古市、坪田、全安、主田、乌迳等12个镇受灾严重，受灾人口13.5万人，造成直接经济损失5亿多元。2009年7月南雄市发生洪灾，灾情发生后，市民政局组织救灾工作，解决</w:t>
      </w:r>
      <w:r>
        <w:rPr>
          <w:rFonts w:hint="eastAsia" w:ascii="宋体" w:hAnsi="宋体"/>
          <w:lang w:val="en-US" w:eastAsia="zh-CN"/>
        </w:rPr>
        <w:t>受</w:t>
      </w:r>
      <w:r>
        <w:rPr>
          <w:rFonts w:ascii="宋体" w:hAnsi="宋体"/>
        </w:rPr>
        <w:t>灾</w:t>
      </w:r>
      <w:r>
        <w:rPr>
          <w:rFonts w:hint="eastAsia" w:ascii="宋体" w:hAnsi="宋体"/>
          <w:lang w:val="en-US" w:eastAsia="zh-CN"/>
        </w:rPr>
        <w:t>群众</w:t>
      </w:r>
      <w:r>
        <w:rPr>
          <w:rFonts w:ascii="宋体" w:hAnsi="宋体"/>
        </w:rPr>
        <w:t>的临时吃穿和安置问题，同时开展房屋倒塌情况调查和缺粮调查，下拨大米60吨，发放重建家园资金186万元，稳定</w:t>
      </w:r>
      <w:r>
        <w:rPr>
          <w:rFonts w:hint="eastAsia" w:ascii="宋体" w:hAnsi="宋体"/>
          <w:lang w:val="en-US" w:eastAsia="zh-CN"/>
        </w:rPr>
        <w:t>受</w:t>
      </w:r>
      <w:r>
        <w:rPr>
          <w:rFonts w:ascii="宋体" w:hAnsi="宋体"/>
        </w:rPr>
        <w:t>灾</w:t>
      </w:r>
      <w:r>
        <w:rPr>
          <w:rFonts w:hint="eastAsia" w:ascii="宋体" w:hAnsi="宋体"/>
          <w:lang w:val="en-US" w:eastAsia="zh-CN"/>
        </w:rPr>
        <w:t>群众</w:t>
      </w:r>
      <w:r>
        <w:rPr>
          <w:rFonts w:ascii="宋体" w:hAnsi="宋体"/>
        </w:rPr>
        <w:t>生活。2010年5月、6月南雄市发生洪灾，市民政局下拨大米1.8万斤，发放重建家园资金338万元解决</w:t>
      </w:r>
      <w:r>
        <w:rPr>
          <w:rFonts w:hint="eastAsia" w:ascii="宋体" w:hAnsi="宋体"/>
          <w:lang w:val="en-US" w:eastAsia="zh-CN"/>
        </w:rPr>
        <w:t>受</w:t>
      </w:r>
      <w:r>
        <w:rPr>
          <w:rFonts w:ascii="宋体" w:hAnsi="宋体"/>
        </w:rPr>
        <w:t>灾</w:t>
      </w:r>
      <w:r>
        <w:rPr>
          <w:rFonts w:hint="eastAsia" w:ascii="宋体" w:hAnsi="宋体"/>
          <w:lang w:val="en-US" w:eastAsia="zh-CN"/>
        </w:rPr>
        <w:t>群众</w:t>
      </w:r>
      <w:r>
        <w:rPr>
          <w:rFonts w:ascii="宋体" w:hAnsi="宋体"/>
        </w:rPr>
        <w:t>实际困难。</w:t>
      </w:r>
    </w:p>
    <w:p w14:paraId="735DCC86">
      <w:pPr>
        <w:ind w:firstLine="420"/>
        <w:jc w:val="right"/>
        <w:rPr>
          <w:rFonts w:ascii="宋体" w:hAnsi="宋体"/>
        </w:rPr>
      </w:pPr>
      <w:r>
        <w:rPr>
          <w:rFonts w:ascii="宋体" w:hAnsi="宋体"/>
        </w:rPr>
        <w:t>（李根）</w:t>
      </w:r>
    </w:p>
    <w:p w14:paraId="2DBF9206">
      <w:pPr>
        <w:ind w:firstLine="422"/>
        <w:rPr>
          <w:rFonts w:ascii="宋体" w:hAnsi="宋体"/>
          <w:b/>
          <w:bCs/>
        </w:rPr>
      </w:pPr>
      <w:r>
        <w:rPr>
          <w:rFonts w:ascii="宋体" w:hAnsi="宋体"/>
          <w:b/>
          <w:bCs/>
        </w:rPr>
        <w:t>附：2010年民政局领导班子成员名单</w:t>
      </w:r>
    </w:p>
    <w:p w14:paraId="6E574C5A">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尹本善</w:t>
      </w:r>
    </w:p>
    <w:p w14:paraId="2B88D745">
      <w:pPr>
        <w:ind w:firstLine="422"/>
        <w:rPr>
          <w:rFonts w:ascii="宋体" w:hAnsi="宋体"/>
        </w:rPr>
      </w:pPr>
      <w:r>
        <w:rPr>
          <w:rFonts w:ascii="宋体" w:hAnsi="宋体"/>
          <w:b/>
          <w:bCs/>
        </w:rPr>
        <w:t>副局长：</w:t>
      </w:r>
      <w:r>
        <w:rPr>
          <w:rFonts w:ascii="宋体" w:hAnsi="宋体"/>
        </w:rPr>
        <w:t>曾汉新</w:t>
      </w:r>
      <w:r>
        <w:rPr>
          <w:rFonts w:hint="eastAsia" w:ascii="宋体" w:hAnsi="宋体"/>
        </w:rPr>
        <w:t xml:space="preserve">  </w:t>
      </w:r>
      <w:r>
        <w:rPr>
          <w:rFonts w:ascii="宋体" w:hAnsi="宋体"/>
        </w:rPr>
        <w:t>刘洪森</w:t>
      </w:r>
      <w:r>
        <w:rPr>
          <w:rFonts w:hint="eastAsia" w:ascii="宋体" w:hAnsi="宋体"/>
        </w:rPr>
        <w:t xml:space="preserve">  </w:t>
      </w:r>
      <w:r>
        <w:rPr>
          <w:rFonts w:ascii="宋体" w:hAnsi="宋体"/>
        </w:rPr>
        <w:t>林彩虹</w:t>
      </w:r>
    </w:p>
    <w:p w14:paraId="73828DB1">
      <w:pPr>
        <w:ind w:firstLine="422"/>
        <w:rPr>
          <w:rFonts w:ascii="宋体" w:hAnsi="宋体"/>
        </w:rPr>
      </w:pPr>
      <w:r>
        <w:rPr>
          <w:rFonts w:ascii="宋体" w:hAnsi="宋体"/>
          <w:b/>
          <w:bCs/>
        </w:rPr>
        <w:t>纪检组长：</w:t>
      </w:r>
      <w:r>
        <w:rPr>
          <w:rFonts w:ascii="宋体" w:hAnsi="宋体"/>
        </w:rPr>
        <w:t>张振威</w:t>
      </w:r>
    </w:p>
    <w:p w14:paraId="24689E11">
      <w:pPr>
        <w:pStyle w:val="4"/>
      </w:pPr>
      <w:r>
        <w:t>【城镇居民收入与消费】</w:t>
      </w:r>
    </w:p>
    <w:p w14:paraId="65518794">
      <w:pPr>
        <w:ind w:firstLine="420"/>
        <w:rPr>
          <w:rFonts w:ascii="宋体" w:hAnsi="宋体"/>
        </w:rPr>
      </w:pPr>
      <w:r>
        <w:rPr>
          <w:rFonts w:ascii="宋体" w:hAnsi="宋体"/>
        </w:rPr>
        <w:t>2010年，南雄市城镇居民人均可支配收入为11886元，同比上年增长10.0%；城镇居民家庭恩格尔系数为42.16%。家庭总收入为12839元（人均，以下均同），其中工薪收入7831元，经营收入1240元，财产性收入117元，转移性收入3650元，出售财物收入3.4元，借贷收入4264元。在家庭总支出10048元中，消费支出8141元，其中食品支出3231元，衣着支出843元，家庭设备用品及服务支出743元，医疗保健支出394元，交通和通信支出898元，教育文化娱乐服务支出725元，居住支出1100元。城镇住户每百户拥有摩托车76辆，家用汽车10辆，洗衣机94台，电冰箱94台，彩色电视机170台，家用电脑62台，照相机30台，微波炉44台，空调器126台，移动电话184部。</w:t>
      </w:r>
    </w:p>
    <w:p w14:paraId="649B670E">
      <w:pPr>
        <w:pStyle w:val="4"/>
      </w:pPr>
      <w:r>
        <w:t>【农村居民收入与消费】</w:t>
      </w:r>
    </w:p>
    <w:p w14:paraId="5330B57C">
      <w:pPr>
        <w:ind w:firstLine="420"/>
        <w:rPr>
          <w:rFonts w:ascii="宋体" w:hAnsi="宋体"/>
        </w:rPr>
      </w:pPr>
      <w:r>
        <w:rPr>
          <w:rFonts w:ascii="宋体" w:hAnsi="宋体"/>
        </w:rPr>
        <w:t>农民人均纯收入5956元，按可比口径增长11.1%；农村居民家庭恩格尔系数（即居民家庭食品消费支出占家庭消费总支出的比重）为43.9%。家庭总收入为10495元（人均，以下均同），其中工资性收入4003元，经营收入5434元，财产性收入25元，转移性收入1032元。在家庭总支出9733元中，消费支出7812元，其中食品支出3084元，衣着支出190元，家庭设备用品及服务支出471元，医疗保健支出721元，交通和通信支出556元，教育文化娱乐服务支出371元，居住支出2363元。农村住户每百户拥有摩托车100辆，洗衣机5.7台，电冰箱58.6台，彩色电视机124台，家用电脑2.9台，热水器12.9台，空调器8.6台，电话97部。人均钢筋砖木结构住房面积25.9平方米。</w:t>
      </w:r>
    </w:p>
    <w:p w14:paraId="7E68098B">
      <w:pPr>
        <w:ind w:firstLine="420"/>
        <w:jc w:val="right"/>
        <w:rPr>
          <w:rFonts w:ascii="宋体" w:hAnsi="宋体"/>
        </w:rPr>
      </w:pPr>
      <w:r>
        <w:rPr>
          <w:rFonts w:ascii="宋体" w:hAnsi="宋体"/>
        </w:rPr>
        <w:t>（陈晖）</w:t>
      </w:r>
    </w:p>
    <w:p w14:paraId="38208E8B">
      <w:pPr>
        <w:pStyle w:val="4"/>
      </w:pPr>
      <w:r>
        <w:t>【新农村建设】</w:t>
      </w:r>
    </w:p>
    <w:p w14:paraId="08373828">
      <w:pPr>
        <w:ind w:firstLine="420"/>
        <w:rPr>
          <w:rFonts w:ascii="宋体" w:hAnsi="宋体"/>
        </w:rPr>
      </w:pPr>
      <w:r>
        <w:rPr>
          <w:rFonts w:ascii="宋体" w:hAnsi="宋体"/>
        </w:rPr>
        <w:t>韶关市村庄整治办下达市2010年的任务是，完成2个市级示范点，分别是主田镇主田村委朝阳新村、珠玑镇的珠玑新村；10个县级示范点（乌迳镇高溯村委溯水新村、黄坑镇小陂村委灯笼排村、湖口镇承平村委禾场地村、全安镇王亭石村委大窝村、古市镇溪口村委天子印村、雄州街道办连塘村委十队、珠玑镇灵潭村委怀化新村、水口镇大部村委大部新村、邓坊镇洋西村委陈屋、江头镇江头村委旱禾地村），并作为县域经济考核指标，从2009年的考核一分增加2010年的两分。选出有规范化建设，交通便利，民情淳朴，群众积极性较高的自然村报韶关市村庄整治办审核通过，按照“五改”和“五化”的要求，即改路、改水、改房、改厕、改烛和硬化、绿化、净化、亮化、规范化，高起点抓好示范点村庄整治工作，从而为今后的村庄整治起到带动示范作用。得到</w:t>
      </w:r>
      <w:r>
        <w:rPr>
          <w:rFonts w:hint="eastAsia" w:ascii="宋体" w:hAnsi="宋体"/>
          <w:lang w:eastAsia="zh-CN"/>
        </w:rPr>
        <w:t>市委市政府</w:t>
      </w:r>
      <w:r>
        <w:rPr>
          <w:rFonts w:ascii="宋体" w:hAnsi="宋体"/>
        </w:rPr>
        <w:t>的重视，在财政十分困难的情况安排100万元整治经费，加上韶关市财政拨给20万元和各镇政府的真抓实干，从财力上也投入一点，抽出专职领导遵点抓落实，农民自筹资金近10万元，把各示范点的排污工程、净化工程、美化工程、亮化工程建设好，建立健全村规民约、卫生制度。搞好沼气服务网点的建设，发挥原有沼气的正常作用，解决沼气池在运转中出现的问题，并免费上门服务。共维修了炉具66台，维修沼气池20只，更换零件配件214多件，接受沼气用户的咨询1000多人次。</w:t>
      </w:r>
    </w:p>
    <w:p w14:paraId="7A387771">
      <w:pPr>
        <w:ind w:firstLine="420"/>
        <w:jc w:val="right"/>
        <w:rPr>
          <w:rFonts w:ascii="宋体" w:hAnsi="宋体"/>
        </w:rPr>
      </w:pPr>
      <w:r>
        <w:rPr>
          <w:rFonts w:ascii="宋体" w:hAnsi="宋体"/>
        </w:rPr>
        <w:t>（林小燕）</w:t>
      </w:r>
    </w:p>
    <w:p w14:paraId="6E523371">
      <w:pPr>
        <w:pStyle w:val="4"/>
      </w:pPr>
      <w:r>
        <w:t>【农村一保五难】</w:t>
      </w:r>
    </w:p>
    <w:p w14:paraId="57B6758B">
      <w:pPr>
        <w:ind w:firstLine="420"/>
        <w:rPr>
          <w:rFonts w:ascii="宋体" w:hAnsi="宋体"/>
        </w:rPr>
      </w:pPr>
      <w:r>
        <w:rPr>
          <w:rFonts w:ascii="宋体" w:hAnsi="宋体"/>
        </w:rPr>
        <w:t>2010年，南雄市在册低保户6869户15297人，五保户1343户。将农村家庭人均月收入不足125元的纳入低保，享受低保金额65元/人月。另外，通过慈善救助、医疗救助等方式解决贫困户住房难、行路难、饮水难、读书难、看病难的问题。2010年支出医疗救助资金150万元，救助778人次。</w:t>
      </w:r>
    </w:p>
    <w:p w14:paraId="1E08466A">
      <w:pPr>
        <w:ind w:firstLine="420"/>
        <w:jc w:val="right"/>
        <w:rPr>
          <w:rFonts w:ascii="宋体" w:hAnsi="宋体"/>
        </w:rPr>
      </w:pPr>
      <w:r>
        <w:rPr>
          <w:rFonts w:ascii="宋体" w:hAnsi="宋体"/>
        </w:rPr>
        <w:t>（李根）</w:t>
      </w:r>
    </w:p>
    <w:p w14:paraId="49AFE9FB">
      <w:pPr>
        <w:pStyle w:val="4"/>
      </w:pPr>
      <w:r>
        <w:t>【消费者投诉】</w:t>
      </w:r>
    </w:p>
    <w:p w14:paraId="40147EEE">
      <w:pPr>
        <w:ind w:firstLine="420"/>
        <w:rPr>
          <w:rFonts w:ascii="宋体" w:hAnsi="宋体"/>
        </w:rPr>
      </w:pPr>
      <w:r>
        <w:rPr>
          <w:rFonts w:ascii="宋体" w:hAnsi="宋体"/>
        </w:rPr>
        <w:t>2010年接受群众来人来电咨询投诉175件，受理投诉案件41宗，调解成功39宗，成功率95%，为消费者挽回经济损失19多万元。12315申诉举报中心接到17宗申诉举报案件，其中12宗举报案件，5宗申诉（消费纠纷）。举报案件查处取缔黑网吧6家，没收电脑26台，罚款800元。</w:t>
      </w:r>
    </w:p>
    <w:p w14:paraId="5EFDC2BE">
      <w:pPr>
        <w:pStyle w:val="4"/>
      </w:pPr>
      <w:r>
        <w:t>【商品和服务监督】</w:t>
      </w:r>
    </w:p>
    <w:p w14:paraId="3B7FA1B6">
      <w:pPr>
        <w:ind w:firstLine="420"/>
        <w:rPr>
          <w:rFonts w:ascii="宋体" w:hAnsi="宋体"/>
        </w:rPr>
      </w:pPr>
      <w:r>
        <w:rPr>
          <w:rFonts w:ascii="宋体" w:hAnsi="宋体"/>
        </w:rPr>
        <w:t>加大对商品和服务的社会监督力度，营造安全放心的消费环境。2010年围绕“消费与服务”年主题，针对消费者关心与投诉的热点组织消费者开展评议活动，协同有关部门对商家进行职业道德教育，从源头上做好消费维权工作。在全市范围内开展通讯服务行业的消费者评议活动，及时了解全市消费者反映集中的通讯服务行业的主要问题，敦促被评议行业尊重消费者权益，针对存在问题及时整改，进一步规范服务行为。</w:t>
      </w:r>
    </w:p>
    <w:p w14:paraId="3CC6B248">
      <w:pPr>
        <w:pStyle w:val="4"/>
      </w:pPr>
      <w:r>
        <w:t>【消费宣传与指导】</w:t>
      </w:r>
    </w:p>
    <w:p w14:paraId="733E088E">
      <w:pPr>
        <w:ind w:firstLine="420"/>
        <w:rPr>
          <w:rFonts w:ascii="宋体" w:hAnsi="宋体"/>
        </w:rPr>
      </w:pPr>
      <w:r>
        <w:rPr>
          <w:rFonts w:ascii="宋体" w:hAnsi="宋体"/>
        </w:rPr>
        <w:t>1.多种形式开展消费宣传。一是通过发表电视讲话、悬挂横幅、出版专题宣传板报、开展争创诚信单位活动、集中毁烧假冒伪劣商品、开展3.15现场宣传咨询活动等，扎实推进3.15消费宣传纪念系列活动，向消费者散发各种宣传材料1.5万份，接待消费者咨询3000人次，受理投诉咨询3起。二是开展“消费与服务”、“打击传销，规范直销”、“食品安全法实施一周年”、“普法”对外咨询宣传活动，接受咨询300多人次，发放各种宣传资料3500多份。三是于2010年9月在韶关民声热线电台参加一期“消费之声”消费维权专题栏目，加强消费维权普法力度，扩大消费权益保护工作的宣传途径。2.多种方式开展消费指导。一是针对消费热点、易发问题，及时发布消费警示或消费提示，为消费者提供真实可靠的消费信息，鼓励、指导消费者科学、合理消费，让更多的消费者避开消费陷阱；二是组织开展农资、建材钢筋行业业主2期法律法规学习培训；三是组织编印《诚信南雄·消费维权指南》一书，倡导诚信经营，切实维护消费者权益。</w:t>
      </w:r>
    </w:p>
    <w:p w14:paraId="23B73F61">
      <w:pPr>
        <w:pStyle w:val="4"/>
      </w:pPr>
      <w:r>
        <w:t>【理论研究与队伍建设】</w:t>
      </w:r>
    </w:p>
    <w:p w14:paraId="775F8ADF">
      <w:pPr>
        <w:numPr>
          <w:ilvl w:val="0"/>
          <w:numId w:val="6"/>
        </w:numPr>
        <w:ind w:firstLine="420"/>
        <w:rPr>
          <w:rFonts w:ascii="宋体" w:hAnsi="宋体"/>
        </w:rPr>
      </w:pPr>
      <w:r>
        <w:rPr>
          <w:rFonts w:ascii="宋体" w:hAnsi="宋体"/>
        </w:rPr>
        <w:t>加大消保维权工作调研。一是做好每年工作总结分析，提练和整理出典型案例，为今后工作提供参考信息。二是以南雄市工商门户网为平台，以推进政务信息工作为载体，紧紧抓住消费者关心的“热点”、“难点”问题，积极引导基层一线人员开展调研活动，撰写调研信息。2.加强机构和队伍建设。按照“一个窗口、一支队伍”维权的改革思路，对消委会、12315申诉举报中心进行整合，实行消委会、12315申诉举报中心合署办公，拓宽维权渠道，发挥维权优势。同时加强对消费维权工作人员的政治教育、业务培训，树立全心全意为消费者服务的理念，造就一支政治坚定、业务精通、维权公正、作风优良的高素质的消费者权益保护队伍。</w:t>
      </w:r>
    </w:p>
    <w:p w14:paraId="3EB22E42">
      <w:pPr>
        <w:ind w:firstLine="0" w:firstLineChars="0"/>
        <w:jc w:val="right"/>
        <w:rPr>
          <w:rFonts w:ascii="宋体" w:hAnsi="宋体"/>
        </w:rPr>
      </w:pPr>
      <w:r>
        <w:rPr>
          <w:rFonts w:ascii="宋体" w:hAnsi="宋体"/>
        </w:rPr>
        <w:t>（陈连连）</w:t>
      </w:r>
    </w:p>
    <w:p w14:paraId="2B45D487">
      <w:pPr>
        <w:pStyle w:val="3"/>
      </w:pPr>
      <w:r>
        <w:rPr>
          <w:rFonts w:hint="eastAsia"/>
        </w:rPr>
        <w:t>婚姻与家庭</w:t>
      </w:r>
    </w:p>
    <w:p w14:paraId="671C5B09">
      <w:pPr>
        <w:pStyle w:val="4"/>
      </w:pPr>
      <w:r>
        <w:t>【婚姻】</w:t>
      </w:r>
    </w:p>
    <w:p w14:paraId="0D7B76D9">
      <w:pPr>
        <w:ind w:firstLine="420"/>
        <w:rPr>
          <w:rFonts w:ascii="宋体" w:hAnsi="宋体"/>
        </w:rPr>
      </w:pPr>
      <w:r>
        <w:rPr>
          <w:rFonts w:ascii="宋体" w:hAnsi="宋体"/>
        </w:rPr>
        <w:t>2010年，南雄市登记结婚4261对8522人，与上年同比减少2.36%，其中初婚7513人，再婚1009人（男532人、女477人），再婚人员中51对复婚。办理离婚登记695对，与上年同比增加20.66%，补领《结婚证》书664对，补领《离婚证》书16人。</w:t>
      </w:r>
    </w:p>
    <w:p w14:paraId="24F0CCA5">
      <w:pPr>
        <w:pStyle w:val="4"/>
      </w:pPr>
      <w:r>
        <w:t>【家庭】</w:t>
      </w:r>
    </w:p>
    <w:p w14:paraId="7FB17A1A">
      <w:pPr>
        <w:ind w:firstLine="420"/>
        <w:rPr>
          <w:rFonts w:ascii="宋体" w:hAnsi="宋体"/>
        </w:rPr>
      </w:pPr>
      <w:r>
        <w:rPr>
          <w:rFonts w:ascii="宋体" w:hAnsi="宋体"/>
        </w:rPr>
        <w:t>家庭是以男女间的经济分工为基础而形成的。包括在更高级的地区集团内，在同型的地区集团之间，以回避外婚和近亲婚为原则，并保持着近邻关系，是一种制度化的社会单位，是人类特有的普遍单位</w:t>
      </w:r>
    </w:p>
    <w:p w14:paraId="3A42C0A8">
      <w:pPr>
        <w:ind w:firstLine="420"/>
        <w:jc w:val="right"/>
        <w:rPr>
          <w:rFonts w:ascii="宋体" w:hAnsi="宋体"/>
        </w:rPr>
      </w:pPr>
      <w:r>
        <w:rPr>
          <w:rFonts w:ascii="宋体" w:hAnsi="宋体"/>
        </w:rPr>
        <w:t>（李根）</w:t>
      </w:r>
    </w:p>
    <w:p w14:paraId="785F11E8">
      <w:pPr>
        <w:pStyle w:val="3"/>
      </w:pPr>
      <w:r>
        <w:rPr>
          <w:rFonts w:hint="eastAsia"/>
        </w:rPr>
        <w:t>人口与计划生育</w:t>
      </w:r>
    </w:p>
    <w:p w14:paraId="0A3FFF60">
      <w:pPr>
        <w:pStyle w:val="4"/>
      </w:pPr>
      <w:r>
        <w:t>概况</w:t>
      </w:r>
    </w:p>
    <w:p w14:paraId="223C6A31">
      <w:pPr>
        <w:ind w:firstLine="420"/>
        <w:rPr>
          <w:rFonts w:ascii="宋体" w:hAnsi="宋体"/>
        </w:rPr>
      </w:pPr>
      <w:r>
        <w:rPr>
          <w:rFonts w:ascii="宋体" w:hAnsi="宋体"/>
        </w:rPr>
        <w:t>南雄市人口和计划生育局属政府组成部门，主管全市人口和计划生育工作；市计划生育协会是协助政府做好人口和计划生育工作的群众团体，与市人口和计划生育局合署办公。内设机构8个股（室），分别为：办公室、规划统计股、科学技术股、政策法规股、宣传教育股、综合治理出生人口性别比办公室（新增股室）、人口目标与责任制考核办公室（新增股室）、计划生育协会；行政编制13名，领导职数5名。南雄市计划生育服务站属市人口计生局下属事业单位。</w:t>
      </w:r>
    </w:p>
    <w:p w14:paraId="7F750168">
      <w:pPr>
        <w:ind w:firstLine="420"/>
        <w:rPr>
          <w:rFonts w:ascii="宋体" w:hAnsi="宋体"/>
        </w:rPr>
      </w:pPr>
      <w:r>
        <w:rPr>
          <w:rFonts w:ascii="宋体" w:hAnsi="宋体"/>
        </w:rPr>
        <w:t>2010年，人口和计划生育工作继续以稳定低生育水平为中心，开展计划生育基层基础规范化建设为抓手，贯彻落实中央、省《决定》，夯实基层基础，完善利益导向机制，破解工作难题，整体工作水平得到提高，2008年创建“广东省计划生育优质服务市”；2009年，市女子成才班项目获得“广东省人口和计划生育‘十佳宣传教育项目创新奖”荣誉称号。</w:t>
      </w:r>
    </w:p>
    <w:p w14:paraId="26DE1093">
      <w:pPr>
        <w:pStyle w:val="4"/>
      </w:pPr>
      <w:r>
        <w:t>【信息化建设】</w:t>
      </w:r>
    </w:p>
    <w:p w14:paraId="481F2F87">
      <w:pPr>
        <w:ind w:firstLine="420"/>
        <w:rPr>
          <w:rFonts w:ascii="宋体" w:hAnsi="宋体"/>
        </w:rPr>
      </w:pPr>
      <w:r>
        <w:rPr>
          <w:rFonts w:ascii="宋体" w:hAnsi="宋体"/>
        </w:rPr>
        <w:t>南雄市人口和计划生育信息化网络已实现市、县、镇三级光纤联网，已建立育龄妇女个案人口数据库，流动人口信息网上全国交互，软件自动生成报表，软件审核办证并且电脑打印。全市人口计生系统共有87台计算机和一台服务器，各镇（街道）配备有二名以上的信息操作员，每年市人口计生局不定期组织业务培训。</w:t>
      </w:r>
    </w:p>
    <w:p w14:paraId="2CB1F5FB">
      <w:pPr>
        <w:pStyle w:val="4"/>
      </w:pPr>
      <w:r>
        <w:t>【人口计生宣传】</w:t>
      </w:r>
    </w:p>
    <w:p w14:paraId="1A7987BA">
      <w:pPr>
        <w:ind w:firstLine="420"/>
        <w:rPr>
          <w:rFonts w:ascii="宋体" w:hAnsi="宋体"/>
        </w:rPr>
      </w:pPr>
      <w:r>
        <w:rPr>
          <w:rFonts w:ascii="宋体" w:hAnsi="宋体"/>
        </w:rPr>
        <w:t>市委、市政府每年都组织召开人口与计划生育宣传教育工作联席会议，明确工作重点和部门职责；坚持重大宣传和经常性宣传相结合。利用市广播电视、网络、报刊和大型宣传牌，坚持做好经常性宣传工作。2005年开始，在南雄职业高级中学开设“女子成才班”，至2010年开办七届，共有毕业生302名，就业率为100%；开设青少年青春健康教育，举办千年古塔集体婚礼，在三影塔广场打造大型LED电视宣传；抓住“5.29”协会会员日、“7.11”世界人口日和中秋、国庆、元旦、春节等重大节日契机，开展集中性宣传。</w:t>
      </w:r>
    </w:p>
    <w:p w14:paraId="3F44A81A">
      <w:pPr>
        <w:pStyle w:val="4"/>
      </w:pPr>
      <w:r>
        <w:t>【全市计划生育工作会议】</w:t>
      </w:r>
    </w:p>
    <w:p w14:paraId="474A3CE1">
      <w:pPr>
        <w:ind w:firstLine="420"/>
        <w:rPr>
          <w:rFonts w:ascii="宋体" w:hAnsi="宋体"/>
        </w:rPr>
      </w:pPr>
      <w:r>
        <w:rPr>
          <w:rFonts w:ascii="宋体" w:hAnsi="宋体"/>
        </w:rPr>
        <w:t>2003年至2009年，在3月至4月间召开全市计划生育工作会议暨表彰会，会议对上一年度的工作进行总结，对下一年度的工作作出部署，市长与各镇（街道）、各兼职单位代表签订责任书，会议对计划生育先进集体、先进工作者进行表彰颁奖。</w:t>
      </w:r>
    </w:p>
    <w:p w14:paraId="4923CE6F">
      <w:pPr>
        <w:pStyle w:val="4"/>
      </w:pPr>
      <w:r>
        <w:t>【人口机构】</w:t>
      </w:r>
    </w:p>
    <w:p w14:paraId="6B8EB22A">
      <w:pPr>
        <w:ind w:firstLine="420"/>
        <w:rPr>
          <w:rFonts w:ascii="宋体" w:hAnsi="宋体"/>
        </w:rPr>
      </w:pPr>
      <w:r>
        <w:rPr>
          <w:rFonts w:ascii="宋体" w:hAnsi="宋体"/>
        </w:rPr>
        <w:t>2003年，南雄市计划生育局更名为南雄市人口和计划生育局。2006年，办公地址由市政府搬迁到林荫东路10号。内设办公室、规划统计股、科学技术股、政策法规股、宣传教育股、综合治理出生人口性别比办公室、人口目标与责任制考核办公室、计划生育协会；行政编制13名，领导职数5名，工作人员22人。下设1个副科级事业单位计划生育服务站。设18个镇（街道）计生办和计划生育服务站，干部职工187人。</w:t>
      </w:r>
    </w:p>
    <w:p w14:paraId="6637C58E">
      <w:pPr>
        <w:pStyle w:val="4"/>
      </w:pPr>
      <w:r>
        <w:t>【人囗计生工作新机制】</w:t>
      </w:r>
    </w:p>
    <w:p w14:paraId="59A461ED">
      <w:pPr>
        <w:ind w:firstLine="420"/>
        <w:rPr>
          <w:rFonts w:ascii="宋体" w:hAnsi="宋体"/>
        </w:rPr>
      </w:pPr>
      <w:r>
        <w:rPr>
          <w:rFonts w:ascii="宋体" w:hAnsi="宋体"/>
        </w:rPr>
        <w:t>实行计划生育是我国的一项基本国策。控制人口数量，提高人口素质。提倡晚婚，晚育，少生，优生。全市推行人口和计划生育综合改革，建立流动人口计划生育管理服务新机制。2009年获得“广东省人口与计划生育优质服务县”荣誉称号。</w:t>
      </w:r>
    </w:p>
    <w:p w14:paraId="0714F33D">
      <w:pPr>
        <w:pStyle w:val="4"/>
      </w:pPr>
      <w:r>
        <w:t>【人口专项整治】</w:t>
      </w:r>
    </w:p>
    <w:p w14:paraId="0F1A97C3">
      <w:pPr>
        <w:ind w:firstLine="420"/>
        <w:rPr>
          <w:rFonts w:ascii="宋体" w:hAnsi="宋体"/>
        </w:rPr>
      </w:pPr>
      <w:r>
        <w:rPr>
          <w:rFonts w:ascii="宋体" w:hAnsi="宋体"/>
        </w:rPr>
        <w:t>成立综合治理出生人口性别比办公室，每年由市财政拨款10万元左右，对非医学需要的胎儿性别鉴定和非医学需要的人工终止妊娠行为（简称“两非”）进行打击查处，没收B超机5台，没收医疗器械、违法药品一批，罚款15万元以上，处理涉案人员21人；联合市公安局、住建局、工商局、卫生局、财政局等计划生育兼职部门在全市范围内开展流动人口计划生育服务管理专项活动，对出租屋、窝棚、商铺、住宅小区、工地、厂区宿舍等流动人口比较集中的地方进行地毯式的清查登记，以强化对辖区内流动人口的统一管理。</w:t>
      </w:r>
    </w:p>
    <w:p w14:paraId="5AC82C0C">
      <w:pPr>
        <w:pStyle w:val="4"/>
      </w:pPr>
      <w:r>
        <w:t>【政策法规】</w:t>
      </w:r>
    </w:p>
    <w:p w14:paraId="728B961A">
      <w:pPr>
        <w:ind w:firstLine="420"/>
        <w:rPr>
          <w:rFonts w:ascii="宋体" w:hAnsi="宋体"/>
        </w:rPr>
      </w:pPr>
      <w:r>
        <w:rPr>
          <w:rFonts w:ascii="宋体" w:hAnsi="宋体"/>
        </w:rPr>
        <w:t>贯彻落实《中华人民共和国人口与计划生育法》、《广东省人口与计划生育条例》和《行政许可法》等法律法规，加大宣传学习力度，教育各级人口计生干部牢固树立法制观念，规范行政行为和执法行为，依法管理，依法办事，依法行政。多年来，没有发生因违反法定程序而出现的行政复议和行政诉讼案件，也无违反《行政许可法》滥收费、乱罚款的现象发生。同时，兑现省、市规定的有关奖励政策。2004年至2010年建立农村计划生育家庭奖励制度，发放奖励金7400多人次，发放金额627万多元，2006年至2010年设立农村计划生育节育奖励制度，发放奖励金15500多人次，金额330多万元；2005年实行纯二女户子女中考加10分政策，至2010年有1517名女孩享受这一政策。</w:t>
      </w:r>
    </w:p>
    <w:p w14:paraId="0F1A3AE3">
      <w:pPr>
        <w:pStyle w:val="4"/>
      </w:pPr>
      <w:r>
        <w:t>【规划统计】</w:t>
      </w:r>
    </w:p>
    <w:p w14:paraId="6C47C076">
      <w:pPr>
        <w:ind w:firstLine="420"/>
        <w:rPr>
          <w:rFonts w:ascii="宋体" w:hAnsi="宋体"/>
        </w:rPr>
      </w:pPr>
      <w:r>
        <w:rPr>
          <w:rFonts w:ascii="宋体" w:hAnsi="宋体"/>
        </w:rPr>
        <w:t>对人口和计划生育发展动态进行监测，通过对人口统计数据和人口变动抽样调查结果的分析，提出人口和计划生育安全预警预报建议，以达到稳定低生育水平，控制全市人口的过快增长的目的。同时拟订全市流动人口计划生育服务管理工作规划，规范流动人口计划生育服务管理工作制度，对全市流动人口实行全面统一的管理，维护流动人口合法权益。</w:t>
      </w:r>
    </w:p>
    <w:p w14:paraId="6D93DE50">
      <w:pPr>
        <w:pStyle w:val="4"/>
      </w:pPr>
      <w:r>
        <w:t>【基础建设】</w:t>
      </w:r>
    </w:p>
    <w:p w14:paraId="3CF664E6">
      <w:pPr>
        <w:ind w:firstLine="420"/>
        <w:rPr>
          <w:rFonts w:ascii="宋体" w:hAnsi="宋体"/>
        </w:rPr>
      </w:pPr>
      <w:r>
        <w:rPr>
          <w:rFonts w:ascii="宋体" w:hAnsi="宋体"/>
        </w:rPr>
        <w:t>市、镇财政投入计划生育基础建设资金1600多万元，232个村（社区）全部实现办公楼房化，配备计划生育“三栏二室一校”；18个镇（街道）建立人口和计划生育技术服务所，其中4个镇（街道）达到了省甲级服务所标准，7个镇为乙级服务所，5个中心服务所。</w:t>
      </w:r>
    </w:p>
    <w:p w14:paraId="6F1B9106">
      <w:pPr>
        <w:pStyle w:val="4"/>
      </w:pPr>
      <w:r>
        <w:t>【技术服务】</w:t>
      </w:r>
    </w:p>
    <w:p w14:paraId="180C879D">
      <w:pPr>
        <w:ind w:firstLine="420"/>
        <w:rPr>
          <w:rFonts w:ascii="宋体" w:hAnsi="宋体"/>
        </w:rPr>
      </w:pPr>
      <w:r>
        <w:rPr>
          <w:rFonts w:ascii="宋体" w:hAnsi="宋体"/>
        </w:rPr>
        <w:t>投资近200万元改建市计划生育服务站；改建全市服务站所“手术室、检验室和消毒室”“三室”基建达标；实现了服务站所“机构招牌、机构门牌、机构灯箱、机构大堂标牌、科室名称、机构工作人员服装”等外观形象“六统一”；更新服务站所医疗设备；服务站所人员全程参加科技大练兵活动，建设一支能服务、想服务、会服务的技术服务队伍。</w:t>
      </w:r>
    </w:p>
    <w:p w14:paraId="7DEB42C6">
      <w:pPr>
        <w:pStyle w:val="4"/>
      </w:pPr>
      <w:r>
        <w:t>【队伍建设】</w:t>
      </w:r>
    </w:p>
    <w:p w14:paraId="217C4DD6">
      <w:pPr>
        <w:ind w:firstLine="420"/>
        <w:rPr>
          <w:rFonts w:ascii="宋体" w:hAnsi="宋体"/>
        </w:rPr>
      </w:pPr>
      <w:r>
        <w:rPr>
          <w:rFonts w:ascii="宋体" w:hAnsi="宋体"/>
        </w:rPr>
        <w:t>计生队伍由计生工作队和计生服务所组成，有193人。向社会招聘13名大中专毕业的专业技术人员充实到各镇（街道）计生队伍。</w:t>
      </w:r>
    </w:p>
    <w:p w14:paraId="6ABCD68E">
      <w:pPr>
        <w:ind w:firstLine="420"/>
        <w:jc w:val="right"/>
        <w:rPr>
          <w:rFonts w:ascii="宋体" w:hAnsi="宋体"/>
        </w:rPr>
      </w:pPr>
      <w:r>
        <w:rPr>
          <w:rFonts w:ascii="宋体" w:hAnsi="宋体"/>
        </w:rPr>
        <w:t>（李俊国）</w:t>
      </w:r>
    </w:p>
    <w:p w14:paraId="398698FF">
      <w:pPr>
        <w:ind w:firstLine="422"/>
        <w:rPr>
          <w:rFonts w:ascii="宋体" w:hAnsi="宋体"/>
          <w:b/>
          <w:bCs/>
        </w:rPr>
      </w:pPr>
      <w:r>
        <w:rPr>
          <w:rFonts w:ascii="宋体" w:hAnsi="宋体"/>
          <w:b/>
          <w:bCs/>
        </w:rPr>
        <w:t>附：2010年市人口与计划生育局领导班子成员名单</w:t>
      </w:r>
    </w:p>
    <w:p w14:paraId="2019E4DF">
      <w:pPr>
        <w:ind w:firstLine="422"/>
        <w:rPr>
          <w:rFonts w:ascii="宋体" w:hAnsi="宋体"/>
        </w:rPr>
      </w:pPr>
      <w:r>
        <w:rPr>
          <w:rFonts w:ascii="宋体" w:hAnsi="宋体"/>
          <w:b/>
          <w:bCs/>
        </w:rPr>
        <w:t>局</w:t>
      </w:r>
      <w:r>
        <w:rPr>
          <w:rFonts w:hint="eastAsia" w:ascii="宋体" w:hAnsi="宋体"/>
          <w:b/>
          <w:bCs/>
        </w:rPr>
        <w:t xml:space="preserve">  </w:t>
      </w:r>
      <w:r>
        <w:rPr>
          <w:rFonts w:ascii="宋体" w:hAnsi="宋体"/>
          <w:b/>
          <w:bCs/>
        </w:rPr>
        <w:t>长：</w:t>
      </w:r>
      <w:r>
        <w:rPr>
          <w:rFonts w:ascii="宋体" w:hAnsi="宋体"/>
        </w:rPr>
        <w:t>卢德政</w:t>
      </w:r>
    </w:p>
    <w:p w14:paraId="600AACA2">
      <w:pPr>
        <w:ind w:firstLine="422"/>
        <w:rPr>
          <w:rFonts w:ascii="宋体" w:hAnsi="宋体"/>
        </w:rPr>
      </w:pPr>
      <w:r>
        <w:rPr>
          <w:rFonts w:ascii="宋体" w:hAnsi="宋体"/>
          <w:b/>
          <w:bCs/>
        </w:rPr>
        <w:t>副局长：</w:t>
      </w:r>
      <w:r>
        <w:rPr>
          <w:rFonts w:ascii="宋体" w:hAnsi="宋体"/>
        </w:rPr>
        <w:t>张朝璟</w:t>
      </w:r>
      <w:r>
        <w:rPr>
          <w:rFonts w:hint="eastAsia" w:ascii="宋体" w:hAnsi="宋体"/>
        </w:rPr>
        <w:t xml:space="preserve">  </w:t>
      </w:r>
      <w:r>
        <w:rPr>
          <w:rFonts w:ascii="宋体" w:hAnsi="宋体"/>
        </w:rPr>
        <w:t>廖贤光</w:t>
      </w:r>
      <w:r>
        <w:rPr>
          <w:rFonts w:hint="eastAsia" w:ascii="宋体" w:hAnsi="宋体"/>
        </w:rPr>
        <w:t xml:space="preserve">  </w:t>
      </w:r>
      <w:r>
        <w:rPr>
          <w:rFonts w:ascii="宋体" w:hAnsi="宋体"/>
        </w:rPr>
        <w:t>何荣生</w:t>
      </w:r>
    </w:p>
    <w:p w14:paraId="449DB2CA">
      <w:pPr>
        <w:ind w:firstLine="422"/>
        <w:rPr>
          <w:rFonts w:ascii="宋体" w:hAnsi="宋体"/>
        </w:rPr>
      </w:pPr>
      <w:r>
        <w:rPr>
          <w:rFonts w:ascii="宋体" w:hAnsi="宋体"/>
          <w:b/>
          <w:bCs/>
        </w:rPr>
        <w:t>纪检组长：</w:t>
      </w:r>
      <w:r>
        <w:rPr>
          <w:rFonts w:ascii="宋体" w:hAnsi="宋体"/>
        </w:rPr>
        <w:t>陈道英</w:t>
      </w:r>
    </w:p>
    <w:p w14:paraId="457EEB4D">
      <w:pPr>
        <w:ind w:firstLine="422"/>
        <w:rPr>
          <w:rFonts w:ascii="宋体" w:hAnsi="宋体"/>
        </w:rPr>
      </w:pPr>
      <w:r>
        <w:rPr>
          <w:rFonts w:ascii="宋体" w:hAnsi="宋体"/>
          <w:b/>
          <w:bCs/>
        </w:rPr>
        <w:t>工会主席：</w:t>
      </w:r>
      <w:r>
        <w:rPr>
          <w:rFonts w:ascii="宋体" w:hAnsi="宋体"/>
        </w:rPr>
        <w:t>李镰昌</w:t>
      </w:r>
    </w:p>
    <w:p w14:paraId="60A0F15B">
      <w:pPr>
        <w:pStyle w:val="3"/>
      </w:pPr>
      <w:r>
        <w:rPr>
          <w:rFonts w:hint="eastAsia"/>
        </w:rPr>
        <w:t>老龄工作</w:t>
      </w:r>
    </w:p>
    <w:p w14:paraId="50EED2DD">
      <w:pPr>
        <w:pStyle w:val="4"/>
      </w:pPr>
      <w:r>
        <w:t>【老年人口状况】</w:t>
      </w:r>
    </w:p>
    <w:p w14:paraId="39F8B5E6">
      <w:pPr>
        <w:ind w:firstLine="420"/>
        <w:rPr>
          <w:rFonts w:ascii="宋体" w:hAnsi="宋体"/>
        </w:rPr>
      </w:pPr>
      <w:r>
        <w:rPr>
          <w:rFonts w:ascii="宋体" w:hAnsi="宋体"/>
        </w:rPr>
        <w:t>2010年底，南雄市总人口数47万多人，60岁以上的老年人5.4万人，占总人口数的11.49%，80岁以上的老年人1.62万人，占总人口数的3.45%。全市共有17名百岁老人享受政府每月100元的长寿保健金。</w:t>
      </w:r>
    </w:p>
    <w:p w14:paraId="52068AE2">
      <w:pPr>
        <w:pStyle w:val="4"/>
      </w:pPr>
      <w:r>
        <w:t>【老龄工作概况】</w:t>
      </w:r>
    </w:p>
    <w:p w14:paraId="6A742FBB">
      <w:pPr>
        <w:ind w:firstLine="420"/>
        <w:rPr>
          <w:rFonts w:ascii="宋体" w:hAnsi="宋体"/>
        </w:rPr>
      </w:pPr>
      <w:r>
        <w:rPr>
          <w:rFonts w:ascii="宋体" w:hAnsi="宋体"/>
        </w:rPr>
        <w:t>2010年，办理老年人优待证230个，正常开展老年人权益保护、老年人社会福利服务工作；并负责老年人工作的上下衔接处理，组织老年人活动开展，处理老年人工作的信访问题，推动为老年人提供服务的设施建设，促进老年福利事业的发展。</w:t>
      </w:r>
    </w:p>
    <w:p w14:paraId="422298C8">
      <w:pPr>
        <w:ind w:firstLine="420"/>
        <w:jc w:val="right"/>
        <w:rPr>
          <w:rFonts w:ascii="宋体" w:hAnsi="宋体"/>
        </w:rPr>
      </w:pPr>
      <w:r>
        <w:rPr>
          <w:rFonts w:ascii="宋体" w:hAnsi="宋体"/>
        </w:rPr>
        <w:t>（李根）</w:t>
      </w:r>
    </w:p>
    <w:p w14:paraId="52642A5D">
      <w:pPr>
        <w:pStyle w:val="3"/>
      </w:pPr>
      <w:r>
        <w:rPr>
          <w:rFonts w:hint="eastAsia"/>
        </w:rPr>
        <w:t>关心下一代工作</w:t>
      </w:r>
    </w:p>
    <w:p w14:paraId="3608D681">
      <w:pPr>
        <w:pStyle w:val="4"/>
      </w:pPr>
      <w:r>
        <w:t>【加强关工委工作】</w:t>
      </w:r>
    </w:p>
    <w:p w14:paraId="6CF3874B">
      <w:pPr>
        <w:ind w:firstLine="420"/>
        <w:rPr>
          <w:rFonts w:ascii="宋体" w:hAnsi="宋体"/>
        </w:rPr>
      </w:pPr>
      <w:r>
        <w:rPr>
          <w:rFonts w:ascii="宋体" w:hAnsi="宋体"/>
        </w:rPr>
        <w:t>一是充实市关工委领导班子。二是关工委经费纳入财政预算，并有所增加。三是各镇（街道）和市直机关单位关工组织也相应调整充实，关工委主任均由各镇（街道）党委副书记担任，市直机关单位关工委主任由管政工的副局长担任，村委会关工小组长由村党支部书记担任。各级关工工作均列入党委、政府的议事日程。不定期听取关工工作汇报。黄坑镇党委坚持每月召开一次关工工作例会、听取汇报、布置工作。市教育局坚持“三纳入”、“四同时”即：关工委工作纳入局党委议事日程，纳入三个文明建设、纳入年终考核评估内容。实行年初布置工作，同时布置关工委工作。下属学校汇报工作，同时汇报关工委工作。领导下校检查工作，同时检查关工委工作。年终总结表彰，同时总结表彰关工委工作。</w:t>
      </w:r>
    </w:p>
    <w:p w14:paraId="3FE883D1">
      <w:pPr>
        <w:pStyle w:val="4"/>
      </w:pPr>
      <w:r>
        <w:t>【开展“朝阳读书”活动】</w:t>
      </w:r>
    </w:p>
    <w:p w14:paraId="22F9418E">
      <w:pPr>
        <w:ind w:firstLine="420"/>
        <w:rPr>
          <w:rFonts w:ascii="宋体" w:hAnsi="宋体"/>
        </w:rPr>
      </w:pPr>
      <w:r>
        <w:rPr>
          <w:rFonts w:ascii="宋体" w:hAnsi="宋体"/>
        </w:rPr>
        <w:t>培养学生爱读书、读好书的良好习惯，养成知书达理、好学求进的精神。创新读书方法和内容，把“朝阳读书”活动引向深入。组建辅导读书教师队伍，做好学生读书的辅导工作，不断提高“朝阳读书”水平。把“朝阳读书”活动作为关心下一代工作的一种创新，作为关工委关心青少年健康成长的一个好平台。</w:t>
      </w:r>
    </w:p>
    <w:p w14:paraId="37845BBC">
      <w:pPr>
        <w:pStyle w:val="4"/>
      </w:pPr>
      <w:r>
        <w:t>【奏响“三教”结合关爱之歌】</w:t>
      </w:r>
    </w:p>
    <w:p w14:paraId="0374C476">
      <w:pPr>
        <w:ind w:firstLine="420"/>
        <w:rPr>
          <w:rFonts w:ascii="宋体" w:hAnsi="宋体"/>
        </w:rPr>
      </w:pPr>
      <w:r>
        <w:rPr>
          <w:rFonts w:ascii="宋体" w:hAnsi="宋体"/>
        </w:rPr>
        <w:t>2010年，关工委不断探索学校、家庭和社会三个教育相结合的新路子，关工委协助教育系统关工组织利用寒、暑假开展丰富多彩的、寓教于乐的活动。一是举行主题报告会，暑假期间在全市中小学校开展了“讲文明、知荣辱、促和谐“为主题的教育活动。受教育人数2.5万多人。二是举办主题演讲比赛。三是开展争做“合格小公民”及“立志读书、报效祖国”活动。四是开展征文比赛。2010年，全市中小学校向省、市关工委选送作品70多篇，上送征文稿件35篇，有15人分别获得省、市一、二、三等奖。2010年，全市中小学校学生获得省举办的“可爱的祖国”等征文比赛共83篇作品获奖。</w:t>
      </w:r>
    </w:p>
    <w:p w14:paraId="6C3D121C">
      <w:pPr>
        <w:pStyle w:val="4"/>
      </w:pPr>
      <w:r>
        <w:t>【关爱“留守学生”促进社会和谐】</w:t>
      </w:r>
    </w:p>
    <w:p w14:paraId="2CE114B6">
      <w:pPr>
        <w:ind w:firstLine="420"/>
        <w:rPr>
          <w:rFonts w:ascii="宋体" w:hAnsi="宋体"/>
        </w:rPr>
      </w:pPr>
      <w:r>
        <w:rPr>
          <w:rFonts w:ascii="宋体" w:hAnsi="宋体"/>
        </w:rPr>
        <w:t>各级关工组织采取有力措施，加强对留守儿童的关爱和教育管理。1、各中小学校关工组织建立“留守儿童”档案，定期召开“留守学生”监护人座谈会。如邓坊小学每月召开一次“留守学生”监护人座谈会。2、亲情关爱。教师做到爱生如子。对留守学生多看一眼、多问一声、多帮一把。使学生开心、家长放心。3、倾注关爱。学校要求老师对留守学生要有“三心”即：关心、耐心、有信心。并做到“三多三少”即：多一份理解、少一点指责。多一份鼓励、少一点批评。多一份期待、少一份抱怨。黎口中学采取6条措施，加强对留守学生的管理教育：一是全心服务家长。二是耐心教育感化。三是诚心沟通交流。四是精心组织活动，让留守学生通过活动，增强学习兴趣和上进心。五是细心关怀帮助。六是用心培养。</w:t>
      </w:r>
    </w:p>
    <w:p w14:paraId="1A08437D">
      <w:pPr>
        <w:pStyle w:val="4"/>
      </w:pPr>
      <w:r>
        <w:t>【为新农村建设培育致富奔康领头人】</w:t>
      </w:r>
    </w:p>
    <w:p w14:paraId="12191E4A">
      <w:pPr>
        <w:ind w:firstLine="420"/>
        <w:rPr>
          <w:rFonts w:ascii="宋体" w:hAnsi="宋体"/>
        </w:rPr>
      </w:pPr>
      <w:r>
        <w:rPr>
          <w:rFonts w:ascii="宋体" w:hAnsi="宋体"/>
        </w:rPr>
        <w:t>2004年至2010年，由市委组织部牵头、市关工委、老促会、扶贫办和市委党校联合举办农村创业青年培训班9期，培训学员1016人次。其中提高班2期，184人次。经过培训的1016人中，年收入4万元以上的有155户，5万元以上的93户，6万元以上的50户，10万元以上的20户，20万元以上的10户。</w:t>
      </w:r>
    </w:p>
    <w:p w14:paraId="16B3DAE8">
      <w:pPr>
        <w:pStyle w:val="4"/>
      </w:pPr>
      <w:r>
        <w:t>【坚持做好济困助学工作】</w:t>
      </w:r>
    </w:p>
    <w:p w14:paraId="69B6D8E0">
      <w:pPr>
        <w:ind w:firstLine="420"/>
        <w:rPr>
          <w:rFonts w:ascii="宋体" w:hAnsi="宋体"/>
        </w:rPr>
      </w:pPr>
      <w:r>
        <w:rPr>
          <w:rFonts w:ascii="宋体" w:hAnsi="宋体"/>
        </w:rPr>
        <w:t>关工委发动社会捐资救助。2010年，市烟草公司先后捐资了3.5万元，救助特困学生130名。老游击战士黄汪老同志坚持8年捐资2.5万多元救助贫困家庭学生84人。雄州街道黎口上坪村、水口镇鹩过村以及湖口镇新湖村先后成立奖教奖学基金会。上坪村从1997年以来坚持14年奖教奖学，先后奖励优秀教师64人次，品学兼优的初、高中毕业生125人次，在校就读优秀学生275人次，共计发出奖金68万多元。水口镇篛过村2010年4月4日成立篛过村奖教奖学教育基金会，筹集资金共11.77万元。</w:t>
      </w:r>
    </w:p>
    <w:p w14:paraId="63427084">
      <w:pPr>
        <w:pStyle w:val="4"/>
      </w:pPr>
      <w:r>
        <w:t>【加强网吧监督，优化育人环境】</w:t>
      </w:r>
    </w:p>
    <w:p w14:paraId="14706FD7">
      <w:pPr>
        <w:ind w:firstLine="420"/>
        <w:rPr>
          <w:rFonts w:ascii="宋体" w:hAnsi="宋体"/>
        </w:rPr>
      </w:pPr>
      <w:r>
        <w:rPr>
          <w:rFonts w:ascii="宋体" w:hAnsi="宋体"/>
        </w:rPr>
        <w:t>2010年，各级关工组织采取得力措施，加强网吧监督。发挥“五老”作用，采取“五结合、五注重”即：一是小组集体监督与单独走访监督相结合，注重利用单独买菜购物、散步等空闲时间进行监督；二是平时监督与寒暑假、节日监督相结合，注重增加监督次数，加大监督力度；三是“五老”义务监督与“五老”参与联合执法监督相结合，注重利用执法部门的依法行为为监督网吧业主合法经营，四是义务监督与宣传教育相结合，注重从思想上引导网吧业主合法经营；五是义务监督与举报查处黑网吧相结合，注重加大对黑网吧的明察暗访和举报力度。通过“五老”义务监督。目前，南雄市新老城区的网吧基本上能够循规蹈矩，合法经营。</w:t>
      </w:r>
    </w:p>
    <w:p w14:paraId="20880F2A">
      <w:pPr>
        <w:pStyle w:val="4"/>
      </w:pPr>
      <w:r>
        <w:t>【加大关工工作宣传】</w:t>
      </w:r>
    </w:p>
    <w:p w14:paraId="320F586F">
      <w:pPr>
        <w:ind w:firstLine="420"/>
        <w:rPr>
          <w:rFonts w:ascii="宋体" w:hAnsi="宋体"/>
        </w:rPr>
      </w:pPr>
      <w:r>
        <w:rPr>
          <w:rFonts w:ascii="宋体" w:hAnsi="宋体"/>
        </w:rPr>
        <w:t>关工委建立健全一支22人，有一定写作能力的关工工作通讯员队伍，还组织了一支小记者队伍，他们为各种报刊杂志积极撰写稿件。2010年关工工作通讯员和小记者向各种报刊投稿共有280多篇，采用率75%。与此同时坚持办好南雄《关工动态》月刊，至2010年12月止，共出版118期，印数2.36万份，与此同时还积极向《中国火炬》、《秋光·关心下一代》、广东《源流》杂志和《粤北关工动态》撰写稿件。2010年发稿118篇。</w:t>
      </w:r>
    </w:p>
    <w:p w14:paraId="5B5938F3">
      <w:pPr>
        <w:pStyle w:val="4"/>
      </w:pPr>
      <w:r>
        <w:t>【加强自身建设，构建和谐关工委】</w:t>
      </w:r>
    </w:p>
    <w:p w14:paraId="4448FC7E">
      <w:pPr>
        <w:ind w:firstLine="420"/>
        <w:rPr>
          <w:rFonts w:ascii="宋体" w:hAnsi="宋体"/>
        </w:rPr>
      </w:pPr>
      <w:r>
        <w:rPr>
          <w:rFonts w:ascii="宋体" w:hAnsi="宋体"/>
        </w:rPr>
        <w:t>市关工委几位老同志10年来一直团结合作、勤奋工作、积极主动搞好自身份内工作，并不怕劳累，不顾年事已高，经常冒着酷暑严寒下乡到村镇，调查研究，掌握第一手资料，总结推广好典型、好经验。市关工委成立以来，建立健全各项规章制度、坚持天天上班、坚持学习政治、时事和业务，关工委已形成了一个学习、调研、服务和创新的和谐集体。市关工委连续两年被评为省关心下一代工作先进集体，2010年又被评为韶关市关心下一代工作先进集体。</w:t>
      </w:r>
    </w:p>
    <w:p w14:paraId="3F9802C1">
      <w:pPr>
        <w:ind w:firstLine="420"/>
        <w:jc w:val="right"/>
        <w:rPr>
          <w:rFonts w:ascii="宋体" w:hAnsi="宋体"/>
        </w:rPr>
      </w:pPr>
      <w:r>
        <w:rPr>
          <w:rFonts w:ascii="宋体" w:hAnsi="宋体"/>
        </w:rPr>
        <w:t>（关工委）</w:t>
      </w:r>
    </w:p>
    <w:p w14:paraId="7373082D">
      <w:pPr>
        <w:ind w:firstLine="422"/>
        <w:rPr>
          <w:rFonts w:ascii="宋体" w:hAnsi="宋体"/>
          <w:b/>
          <w:bCs/>
        </w:rPr>
      </w:pPr>
      <w:r>
        <w:rPr>
          <w:rFonts w:ascii="宋体" w:hAnsi="宋体"/>
          <w:b/>
          <w:bCs/>
        </w:rPr>
        <w:t>附：2010年关工委领导成员名单（部分）</w:t>
      </w:r>
    </w:p>
    <w:p w14:paraId="17BCC120">
      <w:pPr>
        <w:ind w:firstLine="422"/>
        <w:rPr>
          <w:rFonts w:ascii="宋体" w:hAnsi="宋体"/>
        </w:rPr>
      </w:pPr>
      <w:r>
        <w:rPr>
          <w:rFonts w:ascii="宋体" w:hAnsi="宋体"/>
          <w:b/>
          <w:bCs/>
        </w:rPr>
        <w:t>执行主任：</w:t>
      </w:r>
      <w:r>
        <w:rPr>
          <w:rFonts w:ascii="宋体" w:hAnsi="宋体"/>
        </w:rPr>
        <w:t>李仕仁</w:t>
      </w:r>
    </w:p>
    <w:p w14:paraId="029B76FB">
      <w:pPr>
        <w:ind w:firstLine="422"/>
        <w:rPr>
          <w:rFonts w:ascii="宋体" w:hAnsi="宋体"/>
        </w:rPr>
      </w:pPr>
      <w:r>
        <w:rPr>
          <w:rFonts w:ascii="宋体" w:hAnsi="宋体"/>
          <w:b/>
          <w:bCs/>
        </w:rPr>
        <w:t>副主任：</w:t>
      </w:r>
      <w:r>
        <w:rPr>
          <w:rFonts w:ascii="宋体" w:hAnsi="宋体"/>
        </w:rPr>
        <w:t>李光洋</w:t>
      </w:r>
      <w:r>
        <w:rPr>
          <w:rFonts w:hint="eastAsia" w:ascii="宋体" w:hAnsi="宋体"/>
        </w:rPr>
        <w:t xml:space="preserve">  </w:t>
      </w:r>
      <w:r>
        <w:rPr>
          <w:rFonts w:ascii="宋体" w:hAnsi="宋体"/>
        </w:rPr>
        <w:t>刘景山</w:t>
      </w:r>
    </w:p>
    <w:p w14:paraId="037E0387">
      <w:pPr>
        <w:pStyle w:val="3"/>
      </w:pPr>
      <w:r>
        <w:rPr>
          <w:rFonts w:hint="eastAsia"/>
        </w:rPr>
        <w:t>老促会</w:t>
      </w:r>
    </w:p>
    <w:p w14:paraId="4BF82829">
      <w:pPr>
        <w:pStyle w:val="4"/>
      </w:pPr>
      <w:r>
        <w:t>【“中央苏区县”申报成功】</w:t>
      </w:r>
    </w:p>
    <w:p w14:paraId="4283E8E7">
      <w:pPr>
        <w:ind w:firstLine="420"/>
        <w:rPr>
          <w:rFonts w:ascii="宋体" w:hAnsi="宋体"/>
        </w:rPr>
      </w:pPr>
      <w:r>
        <w:rPr>
          <w:rFonts w:ascii="宋体" w:hAnsi="宋体"/>
        </w:rPr>
        <w:t>南雄是著名的革命老区，是1929年就划归由赣西南特委管辖的“中央苏区县”之一。但因信息不灵，一直未申报中央党史研究室确认批准。2009年5月9日大埔县被中央党史研究室确认为中央苏区县后，会长及时向市委主要领导汇报，请示准备申苏筹备工作。市政府高度重视，立即组织成立申报组，申报组成员由朱雄、陈景泰、李君祥等组成。申报组人员历经艰辛，行程四万六千公里，从赣至粤走遍多市县寻找当年南雄苏维埃政府材料，形成30多万字报告和一批苏维埃政府补充材料及当年红军领导写回忆录等有关资料，四次由市委领导带队上北京，于2010年5月，中央党史研究确认南雄为中央苏区县。参与筹备6月13日“中央苏区县”广州新闻发布会和6月29日南雄庆祝大会的有关工作。为争取省委、省政府给予南雄“中央苏区县”优惠政策，老促会、老区办积极同省老区办联系汇报工作，省老区办给予南雄大力支持。</w:t>
      </w:r>
    </w:p>
    <w:p w14:paraId="378BF1DD">
      <w:pPr>
        <w:pStyle w:val="4"/>
      </w:pPr>
      <w:r>
        <w:t>【为老区排忧解难，办好事实事】</w:t>
      </w:r>
    </w:p>
    <w:p w14:paraId="2A8DC921">
      <w:pPr>
        <w:ind w:firstLine="420"/>
        <w:rPr>
          <w:rFonts w:ascii="宋体" w:hAnsi="宋体"/>
        </w:rPr>
      </w:pPr>
      <w:r>
        <w:rPr>
          <w:rFonts w:ascii="宋体" w:hAnsi="宋体"/>
        </w:rPr>
        <w:t>争取省、韶关市老促会支持及本级财政共40多万元，先后为苍石村半迳水老区村庄解决村道桥梁资金缺口、油山镇大兰村廖地、百顺镇朱安村、澜河镇上矽村、全安镇荔迳村等地解决公路建设配套资金困难。</w:t>
      </w:r>
    </w:p>
    <w:p w14:paraId="52DAADE7">
      <w:pPr>
        <w:pStyle w:val="4"/>
      </w:pPr>
      <w:r>
        <w:t>【筹集、发放革命烈士后裔助学金】</w:t>
      </w:r>
    </w:p>
    <w:p w14:paraId="3B528888">
      <w:pPr>
        <w:ind w:firstLine="420"/>
        <w:rPr>
          <w:rFonts w:ascii="宋体" w:hAnsi="宋体"/>
        </w:rPr>
      </w:pPr>
      <w:r>
        <w:rPr>
          <w:rFonts w:ascii="宋体" w:hAnsi="宋体"/>
        </w:rPr>
        <w:t>多年来，省老促会非常关心革命烈士后代的成长，对烈士后裔在读大、中专以上的学生每年予以发放助学金。2010年发放革命烈士后裔助学金44人、6.4万元（大专以上每人1500元、中专每人1100元），在湖口、油山、乌迳、珠机、邓坊5个镇采取集中召开受助学生家长座谈会的形式进行发送，还登门家访部分烈属。受助对象的家长都深受感动，衷心感谢党、政府和老促会没有忘记他们，雪中送炭。纷纷表示要立即告知子女，嘱咐他们要知道感恩，要继承革命光荣传统、刻苦学习、立志成才、报效祖国。充分发挥助学的积极作用和收到很好的效果。在乌迳镇座谈会上，家属还将受益学生的感恩信提交给老促会。</w:t>
      </w:r>
    </w:p>
    <w:p w14:paraId="44243351">
      <w:pPr>
        <w:pStyle w:val="4"/>
      </w:pPr>
      <w:r>
        <w:t>【加大老区宣传力度】</w:t>
      </w:r>
    </w:p>
    <w:p w14:paraId="6EB13A69">
      <w:pPr>
        <w:ind w:firstLine="420"/>
        <w:rPr>
          <w:rFonts w:ascii="宋体" w:hAnsi="宋体"/>
        </w:rPr>
      </w:pPr>
      <w:r>
        <w:rPr>
          <w:rFonts w:ascii="宋体" w:hAnsi="宋体"/>
        </w:rPr>
        <w:t>一是完成《中国老区建设》、《源流》两份老区专刊300份订阅任务，发送至机关、学校、农村，扩大宣传面。二是组织一支宣传报道队伍，2010年在报刊上发表的有关老区报导文章达30多份，居韶关之首，并荣获中国老促会授予“中国老区建设工作三等奖”。三是组织总结一批老区建设典型经验材料，已有南雄市委市政府、南雄市老促会、珠玑镇叟里元村、黄坑镇卢隆全共4篇材料入编在《韶关市老区建设经验汇编》，多角度宣传南雄老区，提高南雄革命老区的知名度。</w:t>
      </w:r>
    </w:p>
    <w:p w14:paraId="66A60ED5">
      <w:pPr>
        <w:ind w:firstLine="420"/>
        <w:jc w:val="right"/>
        <w:rPr>
          <w:rFonts w:ascii="宋体" w:hAnsi="宋体"/>
        </w:rPr>
      </w:pPr>
      <w:r>
        <w:rPr>
          <w:rFonts w:ascii="宋体" w:hAnsi="宋体"/>
        </w:rPr>
        <w:t>（老促会）</w:t>
      </w:r>
    </w:p>
    <w:p w14:paraId="58EAA6C3">
      <w:pPr>
        <w:ind w:firstLine="422"/>
        <w:rPr>
          <w:rFonts w:ascii="宋体" w:hAnsi="宋体"/>
          <w:b/>
          <w:bCs/>
        </w:rPr>
      </w:pPr>
      <w:r>
        <w:rPr>
          <w:rFonts w:ascii="宋体" w:hAnsi="宋体"/>
          <w:b/>
          <w:bCs/>
        </w:rPr>
        <w:t>附：2010年老区建设促进会领导成员名单</w:t>
      </w:r>
    </w:p>
    <w:p w14:paraId="7BCE15C5">
      <w:pPr>
        <w:ind w:firstLine="422"/>
        <w:rPr>
          <w:rFonts w:ascii="宋体" w:hAnsi="宋体"/>
        </w:rPr>
      </w:pPr>
      <w:r>
        <w:rPr>
          <w:rFonts w:ascii="宋体" w:hAnsi="宋体"/>
          <w:b/>
          <w:bCs/>
        </w:rPr>
        <w:t>会</w:t>
      </w:r>
      <w:r>
        <w:rPr>
          <w:rFonts w:hint="eastAsia" w:ascii="宋体" w:hAnsi="宋体"/>
          <w:b/>
          <w:bCs/>
        </w:rPr>
        <w:t xml:space="preserve">  </w:t>
      </w:r>
      <w:r>
        <w:rPr>
          <w:rFonts w:ascii="宋体" w:hAnsi="宋体"/>
          <w:b/>
          <w:bCs/>
        </w:rPr>
        <w:t>长：</w:t>
      </w:r>
      <w:r>
        <w:rPr>
          <w:rFonts w:ascii="宋体" w:hAnsi="宋体"/>
        </w:rPr>
        <w:t>朱雄</w:t>
      </w:r>
    </w:p>
    <w:p w14:paraId="31E45830">
      <w:pPr>
        <w:ind w:firstLine="422"/>
        <w:rPr>
          <w:rFonts w:ascii="宋体" w:hAnsi="宋体"/>
        </w:rPr>
      </w:pPr>
      <w:r>
        <w:rPr>
          <w:rFonts w:ascii="宋体" w:hAnsi="宋体"/>
          <w:b/>
          <w:bCs/>
        </w:rPr>
        <w:t>常务副会长：</w:t>
      </w:r>
      <w:r>
        <w:rPr>
          <w:rFonts w:ascii="宋体" w:hAnsi="宋体"/>
        </w:rPr>
        <w:t>林树雄</w:t>
      </w:r>
    </w:p>
    <w:p w14:paraId="11F4057C">
      <w:pPr>
        <w:ind w:firstLine="422"/>
        <w:rPr>
          <w:rFonts w:ascii="宋体" w:hAnsi="宋体"/>
        </w:rPr>
      </w:pPr>
      <w:r>
        <w:rPr>
          <w:rFonts w:ascii="宋体" w:hAnsi="宋体"/>
          <w:b/>
          <w:bCs/>
        </w:rPr>
        <w:t>副会长：</w:t>
      </w:r>
      <w:r>
        <w:rPr>
          <w:rFonts w:ascii="宋体" w:hAnsi="宋体"/>
        </w:rPr>
        <w:t>刘光团</w:t>
      </w:r>
    </w:p>
    <w:p w14:paraId="02C8AB41">
      <w:pPr>
        <w:ind w:firstLine="422"/>
        <w:rPr>
          <w:rFonts w:ascii="宋体" w:hAnsi="宋体"/>
        </w:rPr>
      </w:pPr>
      <w:r>
        <w:rPr>
          <w:rFonts w:ascii="宋体" w:hAnsi="宋体"/>
          <w:b/>
          <w:bCs/>
        </w:rPr>
        <w:t>秘书长：</w:t>
      </w:r>
      <w:r>
        <w:rPr>
          <w:rFonts w:ascii="宋体" w:hAnsi="宋体"/>
        </w:rPr>
        <w:t>蓝师发</w:t>
      </w:r>
    </w:p>
    <w:p w14:paraId="214FD44D">
      <w:pPr>
        <w:pStyle w:val="2"/>
      </w:pPr>
      <w:r>
        <w:t>各镇（街道）</w:t>
      </w:r>
      <w:r>
        <w:rPr>
          <w:rFonts w:hint="eastAsia"/>
        </w:rPr>
        <w:t>概况</w:t>
      </w:r>
    </w:p>
    <w:p w14:paraId="6C963435">
      <w:pPr>
        <w:pStyle w:val="3"/>
      </w:pPr>
      <w:r>
        <w:rPr>
          <w:rFonts w:hint="eastAsia"/>
        </w:rPr>
        <w:t>雄州街道办事处</w:t>
      </w:r>
    </w:p>
    <w:p w14:paraId="221CF9D2">
      <w:pPr>
        <w:pStyle w:val="4"/>
      </w:pPr>
      <w:r>
        <w:t>【概况】</w:t>
      </w:r>
    </w:p>
    <w:p w14:paraId="2F29C0F2">
      <w:pPr>
        <w:ind w:firstLine="420"/>
        <w:rPr>
          <w:rFonts w:ascii="宋体" w:hAnsi="宋体"/>
        </w:rPr>
      </w:pPr>
      <w:r>
        <w:rPr>
          <w:rFonts w:ascii="宋体" w:hAnsi="宋体"/>
        </w:rPr>
        <w:t>雄州街道办事处是南雄市人民政府的派出机构，位于浈江河与凌江河交叉汇合处，是南雄市政治、经济、文化、金融中心，也是粤赣边区著名的商业重镇。东与江头镇为邻，东北与珠玑、湖口两镇接壤，西北靠全安，西南与古市镇相连，南与主田镇为界。2005年6月经省民政厅批准黎口镇并入雄州镇，并于同年8月批准撤销雄州镇，改设雄州街道办事处，下辖13个村委会和7个社区居委会，共有277个村小组（其中农村有193个）。总面积96.88平方公里（其中耕地面积2183.06公顷：水田面积1453.73公顷，旱地面积757.33公顷，林地面积2797.2公顷）；全街道户籍总人口87824人，其中非农人口54092人。区域内以红壤、黄壤、水稻田、潮沙泥土的土壤为主。主要以种植黄烟、水稻蔬菜、花生、瓜果，养殖鱼、猪等为经济来源。国道323线、省道338线、韶赣高速公路和在建的韶赣铁路穿境而过，是广东企业进入中西部市场的桥头堡，258.67公顷精细化工产业园区大部分在雄州街道区域内。</w:t>
      </w:r>
    </w:p>
    <w:p w14:paraId="2A267E07">
      <w:pPr>
        <w:pStyle w:val="4"/>
      </w:pPr>
      <w:r>
        <w:t>【社会经济发展】</w:t>
      </w:r>
    </w:p>
    <w:p w14:paraId="5DF424EF">
      <w:pPr>
        <w:ind w:firstLine="420"/>
        <w:rPr>
          <w:rFonts w:ascii="宋体" w:hAnsi="宋体"/>
        </w:rPr>
      </w:pPr>
      <w:r>
        <w:rPr>
          <w:rFonts w:ascii="宋体" w:hAnsi="宋体"/>
        </w:rPr>
        <w:t>街道调整产业结构，整合原有资源，进行招商引资，先后引进大型企业6间。2010年实现工农业总产值6.9555亿元，其中工业总产值达2.3241亿元，财政收入1092万元，农村人均收入达到5716元，对比2009年分别增长了6%、6%、16%、8%。</w:t>
      </w:r>
    </w:p>
    <w:p w14:paraId="3267B989">
      <w:pPr>
        <w:pStyle w:val="4"/>
      </w:pPr>
      <w:r>
        <w:t>【社会事业发展】</w:t>
      </w:r>
    </w:p>
    <w:p w14:paraId="37BFE805">
      <w:pPr>
        <w:ind w:firstLine="420"/>
        <w:rPr>
          <w:rFonts w:ascii="宋体" w:hAnsi="宋体"/>
        </w:rPr>
      </w:pPr>
      <w:r>
        <w:rPr>
          <w:rFonts w:ascii="宋体" w:hAnsi="宋体"/>
        </w:rPr>
        <w:t>推进民生工作，提高社会保障水平。办理低保对象32户、67人；慰问特困户、低保户、五保户、残疾人，军烈属及革命伤残人员共200多人，发放慰问金10多万元；实施医疗救助76人次，发放大病医疗救助款15万多元，并为11名困难“白内障”患者进行康复复明手术。新型农村合作医疗参保人数32193人，达到总人数的96%。城镇居民参保17255人，超额完成市下达任务的115%。在社区工作站设立服务窗口，重点加强市工业园区企业推介服务工作，为200多人求职人员提供需求信息，转移农村剩余劳动力160人。</w:t>
      </w:r>
    </w:p>
    <w:p w14:paraId="552FC007">
      <w:pPr>
        <w:pStyle w:val="4"/>
      </w:pPr>
      <w:r>
        <w:t>【农业农村工作】</w:t>
      </w:r>
    </w:p>
    <w:p w14:paraId="7220C9AA">
      <w:pPr>
        <w:ind w:firstLine="420"/>
        <w:rPr>
          <w:rFonts w:ascii="宋体" w:hAnsi="宋体"/>
        </w:rPr>
      </w:pPr>
      <w:r>
        <w:rPr>
          <w:rFonts w:ascii="宋体" w:hAnsi="宋体"/>
        </w:rPr>
        <w:t>街道不断优化农业产业结构，推进农村产业化进程，发展、形成数个具有一定特色和规模的城郊经济带：上坪、下坪等村以山上种瓜果，山下养禽畜为主的种养产业经济带；五洲、荆岗、勋口、迳口、铺背等村的“烟、粮、油”产业经济带，在勋口、荆岗进行现代烟草农业试点工作；水南、河南、郊区、莲塘、黎口、观新等村以优质米、生猪、特种鸡、蔬菜、鱼、德国鹅等“菜篮子”基地建设经济带等。2010年粮食作物播种面积2585.07公顷，产量15332吨，分别比上年下降7%和2%。蔬菜种植面积896公顷，增长4%。全年肉类总产量2818吨，淡水产品产量1408吨，分别增长1%和2%。完成黄烟收购29353担，三是全面落实各项支农惠农政策；争取上级及各部门的支持，投资约800万元进行山塘的除险加固工程、水渠三面光建设，逐步完善农田水利设施。</w:t>
      </w:r>
    </w:p>
    <w:p w14:paraId="7BEC2208">
      <w:pPr>
        <w:pStyle w:val="4"/>
      </w:pPr>
      <w:r>
        <w:t>【计生工作】</w:t>
      </w:r>
    </w:p>
    <w:p w14:paraId="0FE40E35">
      <w:pPr>
        <w:ind w:firstLine="420"/>
        <w:rPr>
          <w:rFonts w:ascii="宋体" w:hAnsi="宋体"/>
        </w:rPr>
      </w:pPr>
      <w:r>
        <w:rPr>
          <w:rFonts w:ascii="宋体" w:hAnsi="宋体"/>
        </w:rPr>
        <w:t>先后投入18万多元全面完善“三栏两室一校一会”等基础建设，2010年计生年度，新出生1036人，其中计划内出生995人，计划外出生41人，人口计划生育率96.04%，人口自然增长率6.26‰，落实四术1102例，其中纯二女扎180例，征收社会抚养费200多万元。落实省、市计生奖励制度，街道自筹资金按每人每月15元的标准，对符合省奖励条件的97人、符合市奖励条件的246人、符合街道奖励的254人按时发放奖励金。圆满完成上级下达各项工作任务，先后被韶关市、南雄市评为人口与计划生育先进单位。</w:t>
      </w:r>
    </w:p>
    <w:p w14:paraId="0A913A2C">
      <w:pPr>
        <w:pStyle w:val="4"/>
      </w:pPr>
      <w:r>
        <w:t>【党建工作】</w:t>
      </w:r>
    </w:p>
    <w:p w14:paraId="72EB476D">
      <w:pPr>
        <w:ind w:firstLine="420"/>
        <w:rPr>
          <w:rFonts w:ascii="宋体" w:hAnsi="宋体"/>
        </w:rPr>
      </w:pPr>
      <w:r>
        <w:rPr>
          <w:rFonts w:ascii="宋体" w:hAnsi="宋体"/>
        </w:rPr>
        <w:t>围绕“三落实、三加强”，深入贯彻落实科学发展观，夯实基层组织建设，并从农村致富能手、村组干部、退伍军人、回乡创业青年中培养发展党员，培养后备干部，解决村“两委”干部后续乏人和党员年龄老化等问题，增强党员队伍的生机和活力。2010年，雄州街道党工委有31个支部，党员总数1696人，新发展党员12人。</w:t>
      </w:r>
    </w:p>
    <w:p w14:paraId="41617295">
      <w:pPr>
        <w:pStyle w:val="4"/>
      </w:pPr>
      <w:r>
        <w:t>【社会治安和综合治理】</w:t>
      </w:r>
    </w:p>
    <w:p w14:paraId="4A4E3722">
      <w:pPr>
        <w:ind w:firstLine="420"/>
        <w:rPr>
          <w:rFonts w:ascii="宋体" w:hAnsi="宋体"/>
        </w:rPr>
      </w:pPr>
      <w:r>
        <w:rPr>
          <w:rFonts w:ascii="宋体" w:hAnsi="宋体"/>
        </w:rPr>
        <w:t>街道20个村（社区）创建平安村（社区）建设均达标，韶关市、南雄市综治信访维稳中心工作现场会先后在雄州召开，推广雄州“中心”工作模式。全街道有民兵应急分队14人，调解委员会21个。2010年，共排查不安定因素94宗，调处104宗，调解率100%，成功调解101宗，成功率97.1%。先后荣获优秀综治信访维稳中心、社会治安综合治理先进单位、人民调解先进单位等荣誉。</w:t>
      </w:r>
    </w:p>
    <w:p w14:paraId="6A6E83F7">
      <w:pPr>
        <w:pStyle w:val="4"/>
      </w:pPr>
      <w:r>
        <w:t>【教育】</w:t>
      </w:r>
    </w:p>
    <w:p w14:paraId="5334102D">
      <w:pPr>
        <w:ind w:firstLine="420"/>
        <w:rPr>
          <w:rFonts w:ascii="宋体" w:hAnsi="宋体"/>
        </w:rPr>
      </w:pPr>
      <w:r>
        <w:rPr>
          <w:rFonts w:ascii="宋体" w:hAnsi="宋体"/>
        </w:rPr>
        <w:t>雄州街道现有小学15所，教职员工376人，在校学生5687人，学龄儿童人学率达100%。2010年，街道抓住创建省教育强镇这一契机，加大学校布局调整的力度，发挥教育资源的最大优势，教学质量一直名列全市前茅。</w:t>
      </w:r>
    </w:p>
    <w:p w14:paraId="586FAA0A">
      <w:pPr>
        <w:pStyle w:val="4"/>
      </w:pPr>
      <w:r>
        <w:t>【社区管理】</w:t>
      </w:r>
    </w:p>
    <w:p w14:paraId="0E5CCFCD">
      <w:pPr>
        <w:ind w:firstLine="420"/>
        <w:rPr>
          <w:rFonts w:ascii="宋体" w:hAnsi="宋体"/>
        </w:rPr>
      </w:pPr>
      <w:r>
        <w:rPr>
          <w:rFonts w:ascii="宋体" w:hAnsi="宋体"/>
        </w:rPr>
        <w:t>以创建“六好”平安和谐社区为平台，不断强化社区服务功能管理，完善社区管理制度，提高社区干部的服务水平，提高市民的整体素质，打造宜居宜商宜业的优良发展环境。2010年新城西被评为韶关市文明社区、八一社区被评为广东省文明社区。</w:t>
      </w:r>
    </w:p>
    <w:p w14:paraId="73A6A901">
      <w:pPr>
        <w:pStyle w:val="4"/>
      </w:pPr>
      <w:r>
        <w:t>【省委旧址修复】</w:t>
      </w:r>
    </w:p>
    <w:p w14:paraId="76461034">
      <w:pPr>
        <w:ind w:firstLine="420"/>
        <w:rPr>
          <w:rFonts w:ascii="宋体" w:hAnsi="宋体"/>
        </w:rPr>
      </w:pPr>
      <w:r>
        <w:rPr>
          <w:rFonts w:ascii="宋体" w:hAnsi="宋体"/>
        </w:rPr>
        <w:t>2010年1月，按照省、韶关市委的要求，对瑶坑省委机关办公旧址加以修复保护，省、韶关市财政负责旧址的修复资金，街道全力配合，负责组织协调各项具体工作，同时对瑶坑村进行保护性改造。预先出资20多万元进行旧村整治、征地拆迁工作，加快推进旧址农房“穿衣戴帽”和危房的拆除工作，确保瑶坑旧址修复工程按期保质完成。街道荣获省委机关旧址修复保护工程先进单位荣誉称号。瑶坑省委机关办公旧址于2010年7月1日正式对外开放。</w:t>
      </w:r>
    </w:p>
    <w:p w14:paraId="66B4776E">
      <w:pPr>
        <w:pStyle w:val="4"/>
      </w:pPr>
      <w:r>
        <w:t>【征地拆迁】</w:t>
      </w:r>
    </w:p>
    <w:p w14:paraId="5A0A4D59">
      <w:pPr>
        <w:ind w:firstLine="420"/>
        <w:rPr>
          <w:rFonts w:ascii="宋体" w:hAnsi="宋体"/>
        </w:rPr>
      </w:pPr>
      <w:r>
        <w:rPr>
          <w:rFonts w:ascii="宋体" w:hAnsi="宋体"/>
        </w:rPr>
        <w:t>围绕国家重点项目建设、招商引资、城市建设等重点工作，完成市委市政府下达的征地、拆迁任务，保证工业园、韶赣高速公路、铁路建设、城市发展项目用地。2010年顺利完成金刚小区的征地任务26.67公顷，韶赣铁路征地任务26.67公顷和沿线拆迁及街道辖区内的永骏食品罐头厂扩建等征地拆迁工作。</w:t>
      </w:r>
    </w:p>
    <w:p w14:paraId="4C10728A">
      <w:pPr>
        <w:pStyle w:val="4"/>
      </w:pPr>
      <w:r>
        <w:t>【扶贫双到】</w:t>
      </w:r>
    </w:p>
    <w:p w14:paraId="2AFC47EA">
      <w:pPr>
        <w:ind w:firstLine="420"/>
        <w:rPr>
          <w:rFonts w:ascii="宋体" w:hAnsi="宋体"/>
        </w:rPr>
      </w:pPr>
      <w:r>
        <w:rPr>
          <w:rFonts w:ascii="宋体" w:hAnsi="宋体"/>
        </w:rPr>
        <w:t>2010年，对省重点扶持的贫困村荆岗瑶坑村贫困户101户344人进行重点扶持，对瑶坑村进行村容村貌的整治；扶持12户住房困难户另选地址建设新村；完成雄江公路至瑶坑的公路500米扩建工程；新建饮水工程，解决贫困户的饮、用水问题；发展特色种植业655亩，带动贫困户100多户；养猪820头，带动贫困户15户；养五黑一绿鸡2360只，带动贫困户25户。通过开展扶贫双到工作，已有70户贫困户277人实现脱贫。</w:t>
      </w:r>
    </w:p>
    <w:p w14:paraId="73030CA4">
      <w:pPr>
        <w:pStyle w:val="4"/>
      </w:pPr>
      <w:r>
        <w:t>【集体林权改革】</w:t>
      </w:r>
    </w:p>
    <w:p w14:paraId="77585716">
      <w:pPr>
        <w:ind w:firstLine="420"/>
        <w:rPr>
          <w:rFonts w:ascii="宋体" w:hAnsi="宋体"/>
        </w:rPr>
      </w:pPr>
      <w:r>
        <w:rPr>
          <w:rFonts w:ascii="宋体" w:hAnsi="宋体"/>
        </w:rPr>
        <w:t>街道共有林业面积2956.65公顷，涉及林权改革的村有12个。街道按照均股均利的要求，积极稳妥推进林权改革工作，逐步解决历史遗留问题，整治林区秩序，维护林区稳定，加快林业产业化发展。已按要求全部完成林改各项相关工作，发放集体林权证129本，发放股份权益证书6086本。建立林权类、林权改革类、矛盾纠纷调处类等林改档案。</w:t>
      </w:r>
    </w:p>
    <w:p w14:paraId="1D8F3BC6">
      <w:pPr>
        <w:pStyle w:val="4"/>
      </w:pPr>
      <w:r>
        <w:t>【名人名胜】</w:t>
      </w:r>
    </w:p>
    <w:p w14:paraId="226F70BE">
      <w:pPr>
        <w:ind w:firstLine="420"/>
        <w:rPr>
          <w:rFonts w:ascii="宋体" w:hAnsi="宋体"/>
        </w:rPr>
      </w:pPr>
      <w:r>
        <w:rPr>
          <w:rFonts w:ascii="宋体" w:hAnsi="宋体"/>
        </w:rPr>
        <w:t>雄州街道马丽芸于2008年代表中国队参加第29届北京奥运会女子小轮车比赛，是韶关籍唯一参加第29届北京奥运会的选手，并于2010年广州亚运会上夺得女子小轮车比赛冠军。区域内有瑶坑省委机关办公旧址、尚书里、三影塔、城门楼等名胜景点。</w:t>
      </w:r>
    </w:p>
    <w:p w14:paraId="3C2E19C1">
      <w:pPr>
        <w:pStyle w:val="4"/>
      </w:pPr>
      <w:r>
        <w:t>【特产】</w:t>
      </w:r>
    </w:p>
    <w:p w14:paraId="60C5F91D">
      <w:pPr>
        <w:ind w:firstLine="420"/>
        <w:rPr>
          <w:rFonts w:ascii="宋体" w:hAnsi="宋体"/>
        </w:rPr>
      </w:pPr>
      <w:r>
        <w:rPr>
          <w:rFonts w:ascii="宋体" w:hAnsi="宋体"/>
        </w:rPr>
        <w:t>黎口板鸭、米花糕、萨琪玛、饺仂糍、花生饼、豆饼、多味花生、酸菜糍等。</w:t>
      </w:r>
    </w:p>
    <w:p w14:paraId="0D77C2AA">
      <w:pPr>
        <w:pStyle w:val="3"/>
      </w:pPr>
      <w:r>
        <w:rPr>
          <w:rFonts w:hint="eastAsia"/>
        </w:rPr>
        <w:t>各村委会、社区基本情况</w:t>
      </w:r>
    </w:p>
    <w:p w14:paraId="0F6E398D">
      <w:pPr>
        <w:pStyle w:val="4"/>
      </w:pPr>
      <w:r>
        <w:t>【黎口村委会】</w:t>
      </w:r>
    </w:p>
    <w:p w14:paraId="0ACD34CE">
      <w:pPr>
        <w:ind w:firstLine="420"/>
        <w:rPr>
          <w:rFonts w:ascii="宋体" w:hAnsi="宋体"/>
        </w:rPr>
      </w:pPr>
      <w:r>
        <w:rPr>
          <w:rFonts w:ascii="宋体" w:hAnsi="宋体"/>
        </w:rPr>
        <w:t>总面积5.75平方公里，辖12个村小组，总人口5432人，总户数550户，耕地面积126.87公顷，其中水田102.53公顷。全村工农业总产值2780万元，农村经济总收入2780万元，村集体经济收入42万元，农村人均纯收入5645元，分别比2009年增长7%、1.06%、1.06%和5%。</w:t>
      </w:r>
    </w:p>
    <w:p w14:paraId="3B2AE5DC">
      <w:pPr>
        <w:pStyle w:val="4"/>
      </w:pPr>
      <w:r>
        <w:t>【观新村委会】</w:t>
      </w:r>
    </w:p>
    <w:p w14:paraId="013D09A9">
      <w:pPr>
        <w:ind w:firstLine="420"/>
        <w:rPr>
          <w:rFonts w:ascii="宋体" w:hAnsi="宋体"/>
        </w:rPr>
      </w:pPr>
      <w:r>
        <w:rPr>
          <w:rFonts w:ascii="宋体" w:hAnsi="宋体"/>
        </w:rPr>
        <w:t>总面积5.08平方公里，辖10个村小组，总人口1041人，总户数276户，耕地面积102.27公顷，其中水田71.47公顷。全村工农业总产值1725万元，农村经济总收入1725万元，村集体经济收入37万元，农村人均纯收入5811元，分别比2009年增长6%、1.06%、1.06%和9%。</w:t>
      </w:r>
    </w:p>
    <w:p w14:paraId="7A967D8C">
      <w:pPr>
        <w:pStyle w:val="4"/>
      </w:pPr>
      <w:r>
        <w:t>【荆岗村委会】</w:t>
      </w:r>
    </w:p>
    <w:p w14:paraId="0B0E9322">
      <w:pPr>
        <w:ind w:firstLine="420"/>
        <w:rPr>
          <w:rFonts w:ascii="宋体" w:hAnsi="宋体"/>
        </w:rPr>
      </w:pPr>
      <w:r>
        <w:rPr>
          <w:rFonts w:ascii="宋体" w:hAnsi="宋体"/>
        </w:rPr>
        <w:t>总面积7.47平方公里，辖19个村小组，总人口2634人，总户数609户，耕地面积282.73公顷，其中水田123.53公顷，全村农村工农业总产值3234万元，经济总收入3234万元，村集体经济收入18万元，农村人均纯收入5476元，分别比2009年增长6%、1.06%和、1.06%和5%。</w:t>
      </w:r>
    </w:p>
    <w:p w14:paraId="02EA38AB">
      <w:pPr>
        <w:pStyle w:val="4"/>
      </w:pPr>
      <w:r>
        <w:t>【勋口村委会】</w:t>
      </w:r>
    </w:p>
    <w:p w14:paraId="102BBAFF">
      <w:pPr>
        <w:ind w:firstLine="420"/>
        <w:rPr>
          <w:rFonts w:ascii="宋体" w:hAnsi="宋体"/>
        </w:rPr>
      </w:pPr>
      <w:r>
        <w:rPr>
          <w:rFonts w:ascii="宋体" w:hAnsi="宋体"/>
        </w:rPr>
        <w:t>总面积7.4平方公里，辖21个村小组，总人口3359人，总户数821户，耕地面积282.53公顷，其中水田125.07公顷，全村工农业总产值3435万元，农村经济总收入3435万元，村集体经济收入33万元，农村人均纯收入5849元，分别比2009年增长6%、1.06%、1.06%和13%。</w:t>
      </w:r>
    </w:p>
    <w:p w14:paraId="41132DCF">
      <w:pPr>
        <w:pStyle w:val="4"/>
      </w:pPr>
      <w:r>
        <w:t>【上坪村委会】</w:t>
      </w:r>
    </w:p>
    <w:p w14:paraId="1F7DC403">
      <w:pPr>
        <w:ind w:firstLine="420"/>
        <w:rPr>
          <w:rFonts w:ascii="宋体" w:hAnsi="宋体"/>
        </w:rPr>
      </w:pPr>
      <w:r>
        <w:rPr>
          <w:rFonts w:ascii="宋体" w:hAnsi="宋体"/>
        </w:rPr>
        <w:t>总面积8.67平方公里，辖15个村小组，总人口1687人，总户数347户，耕地面积118.07公顷，其中水田95.73公顷，全村农村工农业总产值1687万元，经济总收入1687万元，村集体经济收入18万元，农村人均纯收入5400元，分别比2009年增长7%、1.06%、1.06%和6%。</w:t>
      </w:r>
    </w:p>
    <w:p w14:paraId="1F5A9D2C">
      <w:pPr>
        <w:pStyle w:val="4"/>
      </w:pPr>
      <w:r>
        <w:t>【下坪村委会】</w:t>
      </w:r>
    </w:p>
    <w:p w14:paraId="683B3608">
      <w:pPr>
        <w:ind w:firstLine="420"/>
        <w:rPr>
          <w:rFonts w:ascii="宋体" w:hAnsi="宋体"/>
        </w:rPr>
      </w:pPr>
      <w:r>
        <w:rPr>
          <w:rFonts w:ascii="宋体" w:hAnsi="宋体"/>
        </w:rPr>
        <w:t>总面积25.08平方公里，辖23个村小组，总人口2990人，总户数655户，耕地面积280.13公顷，其中水田261.47公顷，全村工农业总产值2811万元，农村经济总收入2811万元，村集体经济收入19万元，农村人均纯收入5831元，分别比2009年增6%、1.06%、1.06%和15%。</w:t>
      </w:r>
    </w:p>
    <w:p w14:paraId="64364CF2">
      <w:pPr>
        <w:pStyle w:val="4"/>
      </w:pPr>
      <w:r>
        <w:t>【五洲村委会】</w:t>
      </w:r>
    </w:p>
    <w:p w14:paraId="667FD762">
      <w:pPr>
        <w:ind w:firstLine="420"/>
        <w:rPr>
          <w:rFonts w:ascii="宋体" w:hAnsi="宋体"/>
        </w:rPr>
      </w:pPr>
      <w:r>
        <w:rPr>
          <w:rFonts w:ascii="宋体" w:hAnsi="宋体"/>
        </w:rPr>
        <w:t>总面积8.91平方公里，辖23个村小组，总人口3676人，总户数892户，耕地面积321.13公顷，其中水田161.93公顷，全村农村工农业总产值3780万元，经济总收入3780万元，村集体经济收入20万元，农村人均纯收入5808元，分别比2009年增长7%、1.06%、1.06%和10%。</w:t>
      </w:r>
    </w:p>
    <w:p w14:paraId="646D24D0">
      <w:pPr>
        <w:pStyle w:val="4"/>
      </w:pPr>
      <w:r>
        <w:t>【迳口村委会】</w:t>
      </w:r>
    </w:p>
    <w:p w14:paraId="4045BAD9">
      <w:pPr>
        <w:ind w:firstLine="420"/>
        <w:rPr>
          <w:rFonts w:ascii="宋体" w:hAnsi="宋体"/>
        </w:rPr>
      </w:pPr>
      <w:r>
        <w:rPr>
          <w:rFonts w:ascii="宋体" w:hAnsi="宋体"/>
        </w:rPr>
        <w:t>总面积6.31平方公里，辖15个村小组，总人口2316人，总户数530户，耕地面积230.27公顷，其中水田146.6公顷亩，全村农村工农业总产值2823万元，经济总收入2823万元，村集体经济收入23万元，农村人均纯收入5720元，分别比2009年增长7%、1.06%、1.06%和10%。</w:t>
      </w:r>
    </w:p>
    <w:p w14:paraId="0CDC35E2">
      <w:pPr>
        <w:pStyle w:val="4"/>
      </w:pPr>
      <w:r>
        <w:t>【铺背村委会】</w:t>
      </w:r>
    </w:p>
    <w:p w14:paraId="002CDA26">
      <w:pPr>
        <w:ind w:firstLine="420"/>
        <w:rPr>
          <w:rFonts w:ascii="宋体" w:hAnsi="宋体"/>
        </w:rPr>
      </w:pPr>
      <w:r>
        <w:rPr>
          <w:rFonts w:ascii="宋体" w:hAnsi="宋体"/>
        </w:rPr>
        <w:t>总面积3.22平方公里，辖8个村小组，总人口2268人，总户数600户，耕地面积120.93公顷，其中水田98.73公顷，全村工农业总产值2633万元，农村经济总收入2633万元，村集体经济收入496万元，农村人均纯收入6384元，分别比2009年增长6%、1.06%、1.06%和8%。</w:t>
      </w:r>
    </w:p>
    <w:p w14:paraId="228C65AC">
      <w:pPr>
        <w:pStyle w:val="4"/>
      </w:pPr>
      <w:r>
        <w:t>【莲塘村委会】</w:t>
      </w:r>
    </w:p>
    <w:p w14:paraId="2FB29121">
      <w:pPr>
        <w:ind w:firstLine="420"/>
        <w:rPr>
          <w:rFonts w:ascii="宋体" w:hAnsi="宋体"/>
        </w:rPr>
      </w:pPr>
      <w:r>
        <w:rPr>
          <w:rFonts w:ascii="宋体" w:hAnsi="宋体"/>
        </w:rPr>
        <w:t>总面积3.25平方公里，辖16个村小组，总人口3968人，总户数918户，耕地面积130.13公顷，其中水田121.14公顷，全村工农业总产值6324万元，农村经济总收入6324万元，村集体经济收入2044万元，农村人均纯收入6104元，分别比2009年增长7%、1.06%、1.06%和7%。</w:t>
      </w:r>
    </w:p>
    <w:p w14:paraId="4606F0BE">
      <w:pPr>
        <w:pStyle w:val="4"/>
      </w:pPr>
      <w:r>
        <w:t>【郊区村委会】</w:t>
      </w:r>
    </w:p>
    <w:p w14:paraId="6448D610">
      <w:pPr>
        <w:ind w:firstLine="420"/>
        <w:rPr>
          <w:rFonts w:ascii="宋体" w:hAnsi="宋体"/>
        </w:rPr>
      </w:pPr>
      <w:r>
        <w:rPr>
          <w:rFonts w:ascii="宋体" w:hAnsi="宋体"/>
        </w:rPr>
        <w:t>总面积2.21平方公里，辖14个村小组，总人口5751人，总户数1604户，耕地面积77.47公顷，其中水田76.53公顷，全村工农业总产值6255万元，农村经济总收入6255万元，村集体经济收入1499万元，农村人均纯收入5867元，分别比2009年增长7%、1.06%、1.06%和1%。</w:t>
      </w:r>
    </w:p>
    <w:p w14:paraId="1EA8B87F">
      <w:pPr>
        <w:pStyle w:val="4"/>
      </w:pPr>
      <w:r>
        <w:t>【河南村委会】</w:t>
      </w:r>
    </w:p>
    <w:p w14:paraId="3C4E8CF2">
      <w:pPr>
        <w:ind w:firstLine="420"/>
        <w:rPr>
          <w:rFonts w:ascii="宋体" w:hAnsi="宋体"/>
        </w:rPr>
      </w:pPr>
      <w:r>
        <w:rPr>
          <w:rFonts w:ascii="宋体" w:hAnsi="宋体"/>
        </w:rPr>
        <w:t>总面积3.61平方公里，辖11个村小组，总人口2676人，总户数647户，耕地面积78.33公顷，其中水田51.2公顷，全村工农业总产值4202万元，农村经济总收入4202万元，村集体经济收入1133万元，农村人均纯收入5853元，分别比2009年增长6%、1.06%、1.06和5%。</w:t>
      </w:r>
    </w:p>
    <w:p w14:paraId="769E3ED1">
      <w:pPr>
        <w:pStyle w:val="4"/>
      </w:pPr>
      <w:r>
        <w:t>【水南村委会】</w:t>
      </w:r>
    </w:p>
    <w:p w14:paraId="7E5945F1">
      <w:pPr>
        <w:ind w:firstLine="420"/>
        <w:rPr>
          <w:rFonts w:ascii="宋体" w:hAnsi="宋体"/>
        </w:rPr>
      </w:pPr>
      <w:r>
        <w:rPr>
          <w:rFonts w:ascii="宋体" w:hAnsi="宋体"/>
        </w:rPr>
        <w:t>总面积2.62平方公里，辖6个村小组，总人口4090人，总户数870户，耕地面积32.2公顷，其中水田17.8公顷，全村工农业总产值4625万元，农村经济总收入4625万元，村集体经济收入2514万元，农村人均纯收入5806元，分别比2009年增长6%、1.06%、1.06%和0.4%。</w:t>
      </w:r>
    </w:p>
    <w:p w14:paraId="2E5B08EA">
      <w:pPr>
        <w:pStyle w:val="4"/>
      </w:pPr>
      <w:r>
        <w:t>【八一社区】</w:t>
      </w:r>
    </w:p>
    <w:p w14:paraId="43FA157A">
      <w:pPr>
        <w:ind w:firstLine="420"/>
        <w:rPr>
          <w:rFonts w:ascii="宋体" w:hAnsi="宋体"/>
        </w:rPr>
      </w:pPr>
      <w:r>
        <w:rPr>
          <w:rFonts w:ascii="宋体" w:hAnsi="宋体"/>
        </w:rPr>
        <w:t>总面积1.25平方公里，位于雄州街道东，南北从206号到陵园路市一中止，东西从光明东路153号到大修厂止。有18个居民小组，居民总户数3901户，9527人。</w:t>
      </w:r>
    </w:p>
    <w:p w14:paraId="1CAD3409">
      <w:pPr>
        <w:pStyle w:val="4"/>
      </w:pPr>
      <w:r>
        <w:t>【胜利社区】</w:t>
      </w:r>
    </w:p>
    <w:p w14:paraId="1BCFEE47">
      <w:pPr>
        <w:ind w:firstLine="420"/>
        <w:rPr>
          <w:rFonts w:ascii="宋体" w:hAnsi="宋体"/>
        </w:rPr>
      </w:pPr>
      <w:r>
        <w:rPr>
          <w:rFonts w:ascii="宋体" w:hAnsi="宋体"/>
        </w:rPr>
        <w:t>总面积1.07平方公里，南由永康路西边至灯光球场、环城中路，东由雄州大道中至永康路等主要路段组成，有12个居民小组，居民总户数2362户，5861人。</w:t>
      </w:r>
    </w:p>
    <w:p w14:paraId="083A2A97">
      <w:pPr>
        <w:pStyle w:val="4"/>
      </w:pPr>
      <w:r>
        <w:t>【民主社区】</w:t>
      </w:r>
    </w:p>
    <w:p w14:paraId="269BCFB7">
      <w:pPr>
        <w:ind w:firstLine="420"/>
        <w:rPr>
          <w:rFonts w:ascii="宋体" w:hAnsi="宋体"/>
        </w:rPr>
      </w:pPr>
      <w:r>
        <w:rPr>
          <w:rFonts w:ascii="宋体" w:hAnsi="宋体"/>
        </w:rPr>
        <w:t>总面积1.12平方公里，由永康路西边至灯光球场、环城中路南边至北门街东边、维新路东边、青云东、西等主要路段组成，有13个居民小组，居民总户数4619户，7277人。</w:t>
      </w:r>
    </w:p>
    <w:p w14:paraId="09FA38A6">
      <w:pPr>
        <w:pStyle w:val="4"/>
      </w:pPr>
      <w:r>
        <w:t>【建国社区】</w:t>
      </w:r>
    </w:p>
    <w:p w14:paraId="1A27EE1B">
      <w:pPr>
        <w:ind w:firstLine="420"/>
        <w:rPr>
          <w:rFonts w:ascii="宋体" w:hAnsi="宋体"/>
        </w:rPr>
      </w:pPr>
      <w:r>
        <w:rPr>
          <w:rFonts w:ascii="宋体" w:hAnsi="宋体"/>
        </w:rPr>
        <w:t>在老城区中下部，总面积1.07平方公里，有11个居民小组，居民总户数3379户，5605人。</w:t>
      </w:r>
    </w:p>
    <w:p w14:paraId="41DD47BA">
      <w:pPr>
        <w:pStyle w:val="4"/>
      </w:pPr>
      <w:r>
        <w:t>【幸福社区】</w:t>
      </w:r>
    </w:p>
    <w:p w14:paraId="281A9F84">
      <w:pPr>
        <w:ind w:firstLine="420"/>
        <w:rPr>
          <w:rFonts w:ascii="宋体" w:hAnsi="宋体"/>
        </w:rPr>
      </w:pPr>
      <w:r>
        <w:rPr>
          <w:rFonts w:ascii="宋体" w:hAnsi="宋体"/>
        </w:rPr>
        <w:t>位于老城区西部，总面积0.91平方公里，常住人口5435人，2796户。其中户籍人口3345人、1236户。辖区内居民住宅楼250多栋，企事业单位5个。</w:t>
      </w:r>
    </w:p>
    <w:p w14:paraId="740DDD78">
      <w:pPr>
        <w:pStyle w:val="4"/>
      </w:pPr>
      <w:r>
        <w:t>【新城东社区】</w:t>
      </w:r>
    </w:p>
    <w:p w14:paraId="1345165F">
      <w:pPr>
        <w:ind w:firstLine="420"/>
        <w:rPr>
          <w:rFonts w:ascii="宋体" w:hAnsi="宋体"/>
        </w:rPr>
      </w:pPr>
      <w:r>
        <w:rPr>
          <w:rFonts w:ascii="宋体" w:hAnsi="宋体"/>
        </w:rPr>
        <w:t>位于新城区浈江路以东，总面积0.92平方公里，有8个居民小组，居民总户数2948户，7602人。辖区内有农贸市场1个。</w:t>
      </w:r>
    </w:p>
    <w:p w14:paraId="0F9112C6">
      <w:pPr>
        <w:pStyle w:val="4"/>
      </w:pPr>
      <w:r>
        <w:t>【新城西社区】</w:t>
      </w:r>
    </w:p>
    <w:p w14:paraId="720BE350">
      <w:pPr>
        <w:ind w:firstLine="420"/>
        <w:rPr>
          <w:rFonts w:ascii="宋体" w:hAnsi="宋体"/>
        </w:rPr>
      </w:pPr>
      <w:r>
        <w:rPr>
          <w:rFonts w:ascii="宋体" w:hAnsi="宋体"/>
        </w:rPr>
        <w:t>位于新城区浈江路以西，总面积0.96平方公里，有12个居民小组，住宅全是钢筋水泥结构的楼房。居民总户数2414户，6067人。辖区内有中学1所，小学1所，并有图书馆、体育馆、儿童乐园等。</w:t>
      </w:r>
    </w:p>
    <w:p w14:paraId="5867D559">
      <w:pPr>
        <w:ind w:firstLine="420"/>
        <w:jc w:val="right"/>
        <w:rPr>
          <w:rFonts w:ascii="宋体" w:hAnsi="宋体"/>
        </w:rPr>
      </w:pPr>
      <w:r>
        <w:rPr>
          <w:rFonts w:ascii="宋体" w:hAnsi="宋体"/>
        </w:rPr>
        <w:t>（叶莲萍）</w:t>
      </w:r>
    </w:p>
    <w:p w14:paraId="265A6A98">
      <w:pPr>
        <w:ind w:firstLine="422"/>
        <w:rPr>
          <w:rFonts w:ascii="宋体" w:hAnsi="宋体"/>
          <w:b/>
          <w:bCs/>
        </w:rPr>
      </w:pPr>
      <w:r>
        <w:rPr>
          <w:rFonts w:ascii="宋体" w:hAnsi="宋体"/>
          <w:b/>
          <w:bCs/>
        </w:rPr>
        <w:t>附：2010年雄州街道办事处领导班子成员名单</w:t>
      </w:r>
    </w:p>
    <w:p w14:paraId="3D936AEF">
      <w:pPr>
        <w:ind w:firstLine="422"/>
        <w:rPr>
          <w:rFonts w:ascii="宋体" w:hAnsi="宋体"/>
        </w:rPr>
      </w:pPr>
      <w:r>
        <w:rPr>
          <w:rFonts w:ascii="宋体" w:hAnsi="宋体"/>
          <w:b/>
          <w:bCs/>
        </w:rPr>
        <w:t>党工委书记、人大工委主任：</w:t>
      </w:r>
      <w:r>
        <w:rPr>
          <w:rFonts w:ascii="宋体" w:hAnsi="宋体"/>
        </w:rPr>
        <w:t>陈仁麟</w:t>
      </w:r>
    </w:p>
    <w:p w14:paraId="52753545">
      <w:pPr>
        <w:ind w:firstLine="422"/>
        <w:rPr>
          <w:rFonts w:ascii="宋体" w:hAnsi="宋体"/>
        </w:rPr>
      </w:pPr>
      <w:r>
        <w:rPr>
          <w:rFonts w:ascii="宋体" w:hAnsi="宋体"/>
          <w:b/>
          <w:bCs/>
        </w:rPr>
        <w:t>党工委副书记、办事处主任：</w:t>
      </w:r>
      <w:r>
        <w:rPr>
          <w:rFonts w:ascii="宋体" w:hAnsi="宋体"/>
        </w:rPr>
        <w:t>刘光胜</w:t>
      </w:r>
    </w:p>
    <w:p w14:paraId="3F5D5B05">
      <w:pPr>
        <w:ind w:firstLine="422"/>
        <w:rPr>
          <w:rFonts w:ascii="宋体" w:hAnsi="宋体"/>
        </w:rPr>
      </w:pPr>
      <w:r>
        <w:rPr>
          <w:rFonts w:ascii="宋体" w:hAnsi="宋体"/>
          <w:b/>
          <w:bCs/>
        </w:rPr>
        <w:t>党工委副书记：</w:t>
      </w:r>
      <w:r>
        <w:rPr>
          <w:rFonts w:ascii="宋体" w:hAnsi="宋体"/>
        </w:rPr>
        <w:t>李菊梅</w:t>
      </w:r>
    </w:p>
    <w:p w14:paraId="7C60DA63">
      <w:pPr>
        <w:ind w:firstLine="422"/>
        <w:rPr>
          <w:rFonts w:ascii="宋体" w:hAnsi="宋体"/>
        </w:rPr>
      </w:pPr>
      <w:r>
        <w:rPr>
          <w:rFonts w:ascii="宋体" w:hAnsi="宋体"/>
          <w:b/>
          <w:bCs/>
        </w:rPr>
        <w:t>纪工委书记：</w:t>
      </w:r>
      <w:r>
        <w:rPr>
          <w:rFonts w:ascii="宋体" w:hAnsi="宋体"/>
        </w:rPr>
        <w:t>刘均</w:t>
      </w:r>
    </w:p>
    <w:p w14:paraId="32C1C51E">
      <w:pPr>
        <w:ind w:firstLine="422"/>
        <w:rPr>
          <w:rFonts w:ascii="宋体" w:hAnsi="宋体"/>
        </w:rPr>
      </w:pPr>
      <w:r>
        <w:rPr>
          <w:rFonts w:ascii="宋体" w:hAnsi="宋体"/>
          <w:b/>
          <w:bCs/>
        </w:rPr>
        <w:t>办事处副主任：</w:t>
      </w:r>
      <w:r>
        <w:rPr>
          <w:rFonts w:ascii="宋体" w:hAnsi="宋体"/>
        </w:rPr>
        <w:t>雷会信邓文兴黄历生</w:t>
      </w:r>
    </w:p>
    <w:p w14:paraId="05A027D3">
      <w:pPr>
        <w:ind w:firstLine="422"/>
        <w:rPr>
          <w:rFonts w:ascii="宋体" w:hAnsi="宋体"/>
        </w:rPr>
      </w:pPr>
      <w:r>
        <w:rPr>
          <w:rFonts w:ascii="宋体" w:hAnsi="宋体"/>
          <w:b/>
          <w:bCs/>
        </w:rPr>
        <w:t>人大工委副主任：</w:t>
      </w:r>
      <w:r>
        <w:rPr>
          <w:rFonts w:ascii="宋体" w:hAnsi="宋体"/>
        </w:rPr>
        <w:t>陈如莲</w:t>
      </w:r>
    </w:p>
    <w:p w14:paraId="3D657B38">
      <w:pPr>
        <w:ind w:firstLine="422"/>
        <w:rPr>
          <w:rFonts w:ascii="宋体" w:hAnsi="宋体"/>
        </w:rPr>
      </w:pPr>
      <w:r>
        <w:rPr>
          <w:rFonts w:ascii="宋体" w:hAnsi="宋体"/>
          <w:b/>
          <w:bCs/>
        </w:rPr>
        <w:t>武装部长：</w:t>
      </w:r>
      <w:r>
        <w:rPr>
          <w:rFonts w:ascii="宋体" w:hAnsi="宋体"/>
        </w:rPr>
        <w:t>杨志峰</w:t>
      </w:r>
    </w:p>
    <w:p w14:paraId="02AEBFD2">
      <w:pPr>
        <w:ind w:firstLine="422"/>
        <w:rPr>
          <w:rFonts w:ascii="宋体" w:hAnsi="宋体"/>
        </w:rPr>
      </w:pPr>
      <w:r>
        <w:rPr>
          <w:rFonts w:ascii="宋体" w:hAnsi="宋体"/>
          <w:b/>
          <w:bCs/>
        </w:rPr>
        <w:t>组织委员：</w:t>
      </w:r>
      <w:r>
        <w:rPr>
          <w:rFonts w:ascii="宋体" w:hAnsi="宋体"/>
        </w:rPr>
        <w:t>陈光文</w:t>
      </w:r>
    </w:p>
    <w:p w14:paraId="7A37F3BB">
      <w:pPr>
        <w:ind w:firstLine="422"/>
        <w:rPr>
          <w:rFonts w:ascii="宋体" w:hAnsi="宋体"/>
        </w:rPr>
      </w:pPr>
      <w:r>
        <w:rPr>
          <w:rFonts w:ascii="宋体" w:hAnsi="宋体"/>
          <w:b/>
          <w:bCs/>
        </w:rPr>
        <w:t>宣传委员：</w:t>
      </w:r>
      <w:r>
        <w:rPr>
          <w:rFonts w:ascii="宋体" w:hAnsi="宋体"/>
        </w:rPr>
        <w:t>严日秀</w:t>
      </w:r>
    </w:p>
    <w:p w14:paraId="1E84FFA3">
      <w:pPr>
        <w:pStyle w:val="3"/>
      </w:pPr>
      <w:r>
        <w:rPr>
          <w:rFonts w:hint="eastAsia"/>
        </w:rPr>
        <w:t>界址镇</w:t>
      </w:r>
    </w:p>
    <w:p w14:paraId="21698DF2">
      <w:pPr>
        <w:pStyle w:val="4"/>
      </w:pPr>
      <w:r>
        <w:t>【概况】</w:t>
      </w:r>
    </w:p>
    <w:p w14:paraId="79E65FAB">
      <w:pPr>
        <w:ind w:firstLine="420"/>
        <w:rPr>
          <w:rFonts w:ascii="宋体" w:hAnsi="宋体"/>
        </w:rPr>
      </w:pPr>
      <w:r>
        <w:rPr>
          <w:rFonts w:ascii="宋体" w:hAnsi="宋体"/>
        </w:rPr>
        <w:t>界址，原名界至，因处在广东省与江西省交界地带而得名。位于广东省南雄市东北部，南部与坪田镇相邻，西部与乌迳接壤，东、北部与江西省信丰县交界，距南雄市区47公里，总面积62.5平方公里，其中耕地面积1362.2公顷（常用耕地面积688公顷，其中水田559公顷，水浇地129公顷），山林面积4396公顷。1950年设立界址乡，属第三区（乌迳）。1958年人民公社化，属乌迳人民公社。1962年设立界址人民公社。1980年实行政社分开，改为界址区。1986年设界址镇。全镇现辖8个村委会和界址圩社区居委会，77个村民小组，户数3555户，户籍人口15036人，其中农业人口14071人，常住人口8142人。2010年，全镇实现地方财政总收入403.3万元，农村经济总收入10725万元，农民人均纯收入4675元，居民各项储蓄存款计1300多万元。</w:t>
      </w:r>
    </w:p>
    <w:p w14:paraId="67AA25BA">
      <w:pPr>
        <w:pStyle w:val="4"/>
      </w:pPr>
      <w:r>
        <w:t>【农业和农村经济】</w:t>
      </w:r>
    </w:p>
    <w:p w14:paraId="5AC37770">
      <w:pPr>
        <w:ind w:firstLine="420"/>
        <w:rPr>
          <w:rFonts w:ascii="宋体" w:hAnsi="宋体"/>
        </w:rPr>
      </w:pPr>
      <w:r>
        <w:rPr>
          <w:rFonts w:ascii="宋体" w:hAnsi="宋体"/>
        </w:rPr>
        <w:t>2010年，农作物总播种面积1386.4公顷，其中朝天椒（俗称“霸王椒”）200公顷，总产量3300吨；稻谷730公顷，总产量4407吨；花生总产量480吨；大豆总产量134吨；蕃薯总产量223吨；2010年，生猪出栏量16085头，年末存栏量7076头；牛出栏量192头，年末存栏量1305头；鸡出栏量190036只，年末存栏量46480只鸭出栏量70368只，年末存栏量14102只，鹅出栏量1663只，年末存栏量113只；2010年，开展金银花种植技术培训6000多人次；开展外出农民工技术培训2300人次，向珠三角地区输送农村剩余劳动力3251人，4910人次。</w:t>
      </w:r>
    </w:p>
    <w:p w14:paraId="4AF75CA4">
      <w:pPr>
        <w:pStyle w:val="4"/>
      </w:pPr>
      <w:r>
        <w:t>【特色产业】</w:t>
      </w:r>
    </w:p>
    <w:p w14:paraId="3F9A438C">
      <w:pPr>
        <w:ind w:firstLine="420"/>
        <w:rPr>
          <w:rFonts w:ascii="宋体" w:hAnsi="宋体"/>
        </w:rPr>
      </w:pPr>
      <w:r>
        <w:rPr>
          <w:rFonts w:ascii="宋体" w:hAnsi="宋体"/>
        </w:rPr>
        <w:t>推进以金银花为主、以半夏、茯苓等为辅的中药材产业基地建设。2010年，界址镇组织人员远赴山东、湖南实地考察、深入调研，引进金银花特色农业项目，成功建立金银花种植基地。通过与东莞市南城区和韶关市建设银行等帮扶单位协调，累计为金银花产业项目注入资金106.67万元。金银花种植面积达133.3公顷，半夏66.7公顷，茯苓20公顷，形成以金银花为主导的中草药生产基地。</w:t>
      </w:r>
    </w:p>
    <w:p w14:paraId="47922003">
      <w:pPr>
        <w:pStyle w:val="4"/>
      </w:pPr>
      <w:r>
        <w:t>【林业】</w:t>
      </w:r>
    </w:p>
    <w:p w14:paraId="70958758">
      <w:pPr>
        <w:ind w:firstLine="420"/>
        <w:rPr>
          <w:rFonts w:ascii="宋体" w:hAnsi="宋体"/>
        </w:rPr>
      </w:pPr>
      <w:r>
        <w:rPr>
          <w:rFonts w:ascii="宋体" w:hAnsi="宋体"/>
        </w:rPr>
        <w:t>全年造林更新总面积160公顷，其中营造用材林20公顷，经济林140公顷。零星植树38000株，幼林抚育作业面积3495亩次。勘界、测量、林改工作全面展开。</w:t>
      </w:r>
    </w:p>
    <w:p w14:paraId="0D1ADAE0">
      <w:pPr>
        <w:pStyle w:val="4"/>
      </w:pPr>
      <w:r>
        <w:t>【招商引资】</w:t>
      </w:r>
    </w:p>
    <w:p w14:paraId="6005AC31">
      <w:pPr>
        <w:ind w:firstLine="420"/>
        <w:rPr>
          <w:rFonts w:ascii="宋体" w:hAnsi="宋体"/>
        </w:rPr>
      </w:pPr>
      <w:r>
        <w:rPr>
          <w:rFonts w:ascii="宋体" w:hAnsi="宋体"/>
        </w:rPr>
        <w:t>引进金源铝业实业有限公司、下屋林场等多个投资项目，累计实现招商引资金额1500多万元。</w:t>
      </w:r>
    </w:p>
    <w:p w14:paraId="07417F74">
      <w:pPr>
        <w:pStyle w:val="4"/>
      </w:pPr>
      <w:r>
        <w:t>【人口普查】</w:t>
      </w:r>
    </w:p>
    <w:p w14:paraId="52055D06">
      <w:pPr>
        <w:ind w:firstLine="420"/>
        <w:rPr>
          <w:rFonts w:ascii="宋体" w:hAnsi="宋体"/>
        </w:rPr>
      </w:pPr>
      <w:r>
        <w:rPr>
          <w:rFonts w:ascii="宋体" w:hAnsi="宋体"/>
        </w:rPr>
        <w:t>2010年11月，按照南雄市人口普查办公室要求，开展普查前动员、宣传工作，成立人口普查工作领导小组，安排普查人员参加技术培训，并相继展开第六次人口普查工作。</w:t>
      </w:r>
    </w:p>
    <w:p w14:paraId="50E51F5D">
      <w:pPr>
        <w:pStyle w:val="4"/>
      </w:pPr>
      <w:r>
        <w:t>【民营经济】</w:t>
      </w:r>
    </w:p>
    <w:p w14:paraId="715CBFE3">
      <w:pPr>
        <w:ind w:firstLine="420"/>
        <w:rPr>
          <w:rFonts w:ascii="宋体" w:hAnsi="宋体"/>
        </w:rPr>
      </w:pPr>
      <w:r>
        <w:rPr>
          <w:rFonts w:ascii="宋体" w:hAnsi="宋体"/>
        </w:rPr>
        <w:t>2010年，镇政府通过提供低息贷款、协助办理手续等措施鼓励发展民营经济，至2010年年底，全镇个体工商户达300多户，从业人员1600多人，营业收入7500多万元。</w:t>
      </w:r>
    </w:p>
    <w:p w14:paraId="35AA6EF2">
      <w:pPr>
        <w:pStyle w:val="4"/>
      </w:pPr>
      <w:r>
        <w:t>【扶贫双到工作】</w:t>
      </w:r>
    </w:p>
    <w:p w14:paraId="7AF5E643">
      <w:pPr>
        <w:ind w:firstLine="420"/>
        <w:rPr>
          <w:rFonts w:ascii="宋体" w:hAnsi="宋体"/>
        </w:rPr>
      </w:pPr>
      <w:r>
        <w:rPr>
          <w:rFonts w:ascii="宋体" w:hAnsi="宋体"/>
        </w:rPr>
        <w:t>11月2日，东莞市副市长成洪波一行八人，深入界址镇大坑村委会调研、召开座谈会，指导扶贫开发“双到”工作，并向大坑捐赠“东莞南城·南雄大坑村金融扶贫基金”30万元；2010年，完成界址、百罗、下屋村道路硬底化2公里；投资280万元，启动东莞市南城区帮扶南雄市界址镇大坑村委会安全应用水工程；完成下屋、界址、大坑等村农田灌溉饮水三面光工程；兴建百罗村大治坝桥，并完成该村危房改造25户；完成大坑村荷树坑新农村文化广场建设。</w:t>
      </w:r>
    </w:p>
    <w:p w14:paraId="21FB26B2">
      <w:pPr>
        <w:pStyle w:val="4"/>
      </w:pPr>
      <w:r>
        <w:t>【镇区建设】</w:t>
      </w:r>
    </w:p>
    <w:p w14:paraId="00C7D3AB">
      <w:pPr>
        <w:ind w:firstLine="420"/>
        <w:rPr>
          <w:rFonts w:ascii="宋体" w:hAnsi="宋体"/>
        </w:rPr>
      </w:pPr>
      <w:r>
        <w:rPr>
          <w:rFonts w:ascii="宋体" w:hAnsi="宋体"/>
        </w:rPr>
        <w:t>老镇区基础设施建设稳步发展，小城镇化进程加快，集贸市场设施进一步完善。新修筑公路4.3公里、民房2600平方米，安装路灯8盏，摆放垃圾桶10个，建立垃圾清理场1个；2010年1月，新政府办公大楼竣工，镇政府各部门实现整体搬迁。</w:t>
      </w:r>
    </w:p>
    <w:p w14:paraId="779DA077">
      <w:pPr>
        <w:pStyle w:val="4"/>
      </w:pPr>
      <w:r>
        <w:t>【基础设施建设】</w:t>
      </w:r>
    </w:p>
    <w:p w14:paraId="69463B93">
      <w:pPr>
        <w:ind w:firstLine="420"/>
        <w:rPr>
          <w:rFonts w:ascii="宋体" w:hAnsi="宋体"/>
        </w:rPr>
      </w:pPr>
      <w:r>
        <w:rPr>
          <w:rFonts w:ascii="宋体" w:hAnsi="宋体"/>
        </w:rPr>
        <w:t>至2010年年底，全镇道路硬底化率达90%，通汽车村委（社区）9个，通车率100%；完成县道改道工程（X342线）道路硬底化建设实施方案。投资260多万元完成大坊供水工程，惠及马芫、大坊、大坑三村近5000人；投资200多万元完成南水北调工程水渠6公里；完成大坑松山水库7公里引水渠三面光工程；完成新镇区自来水水管铺设与安装工程。农村电网改造工程全面启动。</w:t>
      </w:r>
    </w:p>
    <w:p w14:paraId="713647EC">
      <w:pPr>
        <w:pStyle w:val="4"/>
      </w:pPr>
      <w:r>
        <w:t>【教育】</w:t>
      </w:r>
    </w:p>
    <w:p w14:paraId="43934EBE">
      <w:pPr>
        <w:ind w:firstLine="420"/>
        <w:rPr>
          <w:rFonts w:ascii="宋体" w:hAnsi="宋体"/>
        </w:rPr>
      </w:pPr>
      <w:r>
        <w:rPr>
          <w:rFonts w:ascii="宋体" w:hAnsi="宋体"/>
        </w:rPr>
        <w:t>全镇有中小学校9所，其中中学1所，小学8所。在校中小学生1728人，其中中学生732人，小学生996人，全体教职工107人。全镇小学适龄儿童入学率、初中阶段入学率分别达99.5%和97.2%；2009年至2010学年度参加中招考试人数201人，考取普通高中91人，职业高中107人，升学率98.5%；2010年全国物理竞赛中，界址中学叶贤华荣获全国一等奖。</w:t>
      </w:r>
    </w:p>
    <w:p w14:paraId="5652CCE2">
      <w:pPr>
        <w:pStyle w:val="4"/>
      </w:pPr>
      <w:r>
        <w:t>【医疗】</w:t>
      </w:r>
    </w:p>
    <w:p w14:paraId="7D8FB412">
      <w:pPr>
        <w:ind w:firstLine="420"/>
        <w:rPr>
          <w:rFonts w:ascii="宋体" w:hAnsi="宋体"/>
        </w:rPr>
      </w:pPr>
      <w:r>
        <w:rPr>
          <w:rFonts w:ascii="宋体" w:hAnsi="宋体"/>
        </w:rPr>
        <w:t>发放新型合作医疗宣传资料3000多份，参加农村合作医疗人数12669人，覆盖率达98%。“四苗”接种率达到98%，住院分娩率达到96%。强化医疗卫生体系建设，至2010年底，共有村卫生站9个，镇级卫生院1个。</w:t>
      </w:r>
    </w:p>
    <w:p w14:paraId="23DAE3AF">
      <w:pPr>
        <w:pStyle w:val="4"/>
      </w:pPr>
      <w:r>
        <w:t>【民生】</w:t>
      </w:r>
    </w:p>
    <w:p w14:paraId="35EB082B">
      <w:pPr>
        <w:ind w:firstLine="420"/>
        <w:rPr>
          <w:rFonts w:ascii="宋体" w:hAnsi="宋体"/>
        </w:rPr>
      </w:pPr>
      <w:r>
        <w:rPr>
          <w:rFonts w:ascii="宋体" w:hAnsi="宋体"/>
        </w:rPr>
        <w:t>落实农村五保户供养24人、农村低保275户397人、农村困难老党员补助13人；落实水库移民补助金193.6万元；发放农村低保金3万元、各类救助金及救助物资约6.8万元、种粮补贴及良种补贴92.2万元、生态公益林资金20.3万元。</w:t>
      </w:r>
    </w:p>
    <w:p w14:paraId="21EE18BC">
      <w:pPr>
        <w:pStyle w:val="4"/>
      </w:pPr>
      <w:r>
        <w:t>【计划生育】</w:t>
      </w:r>
    </w:p>
    <w:p w14:paraId="66C6C79B">
      <w:pPr>
        <w:ind w:firstLine="420"/>
        <w:rPr>
          <w:rFonts w:ascii="宋体" w:hAnsi="宋体"/>
        </w:rPr>
      </w:pPr>
      <w:r>
        <w:rPr>
          <w:rFonts w:ascii="宋体" w:hAnsi="宋体"/>
        </w:rPr>
        <w:t>镇人口自然增长率6.6‰、人口出生率在11.82%、计划生育率90.77%，完成南雄市下达各项指标要求和“四术”任务，通过韶关、南雄市人口与计划生育工作考核。</w:t>
      </w:r>
    </w:p>
    <w:p w14:paraId="15012763">
      <w:pPr>
        <w:pStyle w:val="4"/>
      </w:pPr>
      <w:r>
        <w:t>【基层组织建设】</w:t>
      </w:r>
    </w:p>
    <w:p w14:paraId="3420E314">
      <w:pPr>
        <w:ind w:firstLine="420"/>
        <w:rPr>
          <w:rFonts w:ascii="宋体" w:hAnsi="宋体"/>
        </w:rPr>
      </w:pPr>
      <w:r>
        <w:rPr>
          <w:rFonts w:ascii="宋体" w:hAnsi="宋体"/>
        </w:rPr>
        <w:t>全镇党员总数396名，党员队伍中包括工人、农民、知识分子、机关干部、企事业单位管理人员及专业技术人员等诸多社会阶层人士；完善基层组织基础设施、设备配备工程工作，改善各村委会（社区）现代化办公条件；强化基层组织建设和党风廉政建设，推进党务公开，打造透明阳光政务。</w:t>
      </w:r>
    </w:p>
    <w:p w14:paraId="317505E0">
      <w:pPr>
        <w:pStyle w:val="4"/>
      </w:pPr>
      <w:r>
        <w:t>【政务信息公开】</w:t>
      </w:r>
    </w:p>
    <w:p w14:paraId="0483BAC9">
      <w:pPr>
        <w:ind w:firstLine="420"/>
        <w:rPr>
          <w:rFonts w:ascii="宋体" w:hAnsi="宋体"/>
        </w:rPr>
      </w:pPr>
      <w:r>
        <w:rPr>
          <w:rFonts w:ascii="宋体" w:hAnsi="宋体"/>
        </w:rPr>
        <w:t>2010年度，主动公开的政府信息179条，提供服务类信息167条。网上咨询人数20人次，现场接待人数112人次，咨询电话接听数132人次，网站专栏页面访问量12人次。</w:t>
      </w:r>
    </w:p>
    <w:p w14:paraId="387C5F8B">
      <w:pPr>
        <w:pStyle w:val="4"/>
      </w:pPr>
      <w:r>
        <w:t>【新农村建设】</w:t>
      </w:r>
    </w:p>
    <w:p w14:paraId="69DEC3E9">
      <w:pPr>
        <w:ind w:firstLine="420"/>
        <w:rPr>
          <w:rFonts w:ascii="宋体" w:hAnsi="宋体"/>
        </w:rPr>
      </w:pPr>
      <w:r>
        <w:rPr>
          <w:rFonts w:ascii="宋体" w:hAnsi="宋体"/>
        </w:rPr>
        <w:t>开展年久失修危房改造工程，对存在安全隐患的居民住房进行统一整改；对新筑居民住房积极规划，合理布局，农村脏、乱、差局面得到治理，村容村貌得到改善；开展“三旧”改造、“空心村”拆除工作，利用南城帮扶单位力量解决25户贫困家庭住房问题。启动崇化新村、汶井、新屋俚、叶坑申报市级卫生村、园下新村申报省级卫生村工作。</w:t>
      </w:r>
    </w:p>
    <w:p w14:paraId="40E633AB">
      <w:pPr>
        <w:pStyle w:val="4"/>
      </w:pPr>
      <w:r>
        <w:t>【精神文明建设】</w:t>
      </w:r>
    </w:p>
    <w:p w14:paraId="0207D56D">
      <w:pPr>
        <w:ind w:firstLine="420"/>
        <w:rPr>
          <w:rFonts w:ascii="宋体" w:hAnsi="宋体"/>
        </w:rPr>
      </w:pPr>
      <w:r>
        <w:rPr>
          <w:rFonts w:ascii="宋体" w:hAnsi="宋体"/>
        </w:rPr>
        <w:t>2010年，加强农村法制化管理体系，推进依法治镇、治村进程，用法律的武器管理农村各项事务，开展大型普法宣传教育活动4次，在各村开展法制教育进家庭活动22次；投入使用乡村图书馆9个、文化馆1个；投入60万元，兴建文化中心大楼。</w:t>
      </w:r>
    </w:p>
    <w:p w14:paraId="404F3532">
      <w:pPr>
        <w:pStyle w:val="3"/>
      </w:pPr>
      <w:r>
        <w:rPr>
          <w:rFonts w:hint="eastAsia"/>
        </w:rPr>
        <w:t>各村委会、社区基本情况</w:t>
      </w:r>
    </w:p>
    <w:p w14:paraId="1A943D13">
      <w:pPr>
        <w:pStyle w:val="4"/>
      </w:pPr>
      <w:r>
        <w:t>【界址村委会】</w:t>
      </w:r>
    </w:p>
    <w:p w14:paraId="219F5E62">
      <w:pPr>
        <w:ind w:firstLine="420"/>
        <w:rPr>
          <w:rFonts w:ascii="宋体" w:hAnsi="宋体"/>
        </w:rPr>
      </w:pPr>
      <w:r>
        <w:rPr>
          <w:rFonts w:ascii="宋体" w:hAnsi="宋体"/>
        </w:rPr>
        <w:t>现有“两委”干部5人，全村有12个村民小组，总户数594户，总人口2478人，农民人均纯收入4886元。</w:t>
      </w:r>
    </w:p>
    <w:p w14:paraId="1D6EABAF">
      <w:pPr>
        <w:pStyle w:val="4"/>
      </w:pPr>
      <w:r>
        <w:t>【百罗村委会】</w:t>
      </w:r>
    </w:p>
    <w:p w14:paraId="62F1AC32">
      <w:pPr>
        <w:ind w:firstLine="420"/>
        <w:rPr>
          <w:rFonts w:ascii="宋体" w:hAnsi="宋体"/>
        </w:rPr>
      </w:pPr>
      <w:r>
        <w:rPr>
          <w:rFonts w:ascii="宋体" w:hAnsi="宋体"/>
        </w:rPr>
        <w:t>现有“两委”干部5人，全村有8个村民小组，总户数289户，总人口1228人，农民人均纯收入4889元。</w:t>
      </w:r>
    </w:p>
    <w:p w14:paraId="5C66EE5E">
      <w:pPr>
        <w:pStyle w:val="4"/>
      </w:pPr>
      <w:r>
        <w:t>【赵屋村委会】</w:t>
      </w:r>
    </w:p>
    <w:p w14:paraId="544E124D">
      <w:pPr>
        <w:ind w:firstLine="420"/>
        <w:rPr>
          <w:rFonts w:ascii="宋体" w:hAnsi="宋体"/>
        </w:rPr>
      </w:pPr>
      <w:r>
        <w:rPr>
          <w:rFonts w:ascii="宋体" w:hAnsi="宋体"/>
        </w:rPr>
        <w:t>现有“两委”干部6人，全村有13个村民小组，总户数505户，总人口2303人，农民人均纯收入4910元。</w:t>
      </w:r>
    </w:p>
    <w:p w14:paraId="30C2533D">
      <w:pPr>
        <w:pStyle w:val="4"/>
      </w:pPr>
      <w:r>
        <w:t>【下屋村委会】</w:t>
      </w:r>
    </w:p>
    <w:p w14:paraId="027D2350">
      <w:pPr>
        <w:ind w:firstLine="420"/>
        <w:rPr>
          <w:rFonts w:ascii="宋体" w:hAnsi="宋体"/>
        </w:rPr>
      </w:pPr>
      <w:r>
        <w:rPr>
          <w:rFonts w:ascii="宋体" w:hAnsi="宋体"/>
        </w:rPr>
        <w:t>现有“两委”干部4人，全村有9个村民小组，总户数288户，总人口1200人，农民人均纯收入4913元。</w:t>
      </w:r>
    </w:p>
    <w:p w14:paraId="265DA4B2">
      <w:pPr>
        <w:pStyle w:val="4"/>
      </w:pPr>
      <w:r>
        <w:t>【崇化村委会】</w:t>
      </w:r>
    </w:p>
    <w:p w14:paraId="6312EBEC">
      <w:pPr>
        <w:ind w:firstLine="420"/>
        <w:rPr>
          <w:rFonts w:ascii="宋体" w:hAnsi="宋体"/>
        </w:rPr>
      </w:pPr>
      <w:r>
        <w:rPr>
          <w:rFonts w:ascii="宋体" w:hAnsi="宋体"/>
        </w:rPr>
        <w:t>现有“两委”干部5人，全村有5个村民小组，总户数463户，总人口1960人，农民人均纯收入4904元。</w:t>
      </w:r>
    </w:p>
    <w:p w14:paraId="2BD14925">
      <w:pPr>
        <w:pStyle w:val="4"/>
      </w:pPr>
      <w:r>
        <w:t>【大坊村委会】</w:t>
      </w:r>
    </w:p>
    <w:p w14:paraId="579AB0C2">
      <w:pPr>
        <w:ind w:firstLine="420"/>
        <w:rPr>
          <w:rFonts w:ascii="宋体" w:hAnsi="宋体"/>
        </w:rPr>
      </w:pPr>
      <w:r>
        <w:rPr>
          <w:rFonts w:ascii="宋体" w:hAnsi="宋体"/>
        </w:rPr>
        <w:t>现有“两委”干部5人，全村有12个村民小组，总户数512户，总人口2052人，农民人均纯收入4842元。</w:t>
      </w:r>
    </w:p>
    <w:p w14:paraId="7BDAB84B">
      <w:pPr>
        <w:pStyle w:val="4"/>
      </w:pPr>
      <w:r>
        <w:t>【大坑村委会】</w:t>
      </w:r>
    </w:p>
    <w:p w14:paraId="183DF444">
      <w:pPr>
        <w:ind w:firstLine="420"/>
        <w:rPr>
          <w:rFonts w:ascii="宋体" w:hAnsi="宋体"/>
        </w:rPr>
      </w:pPr>
      <w:r>
        <w:rPr>
          <w:rFonts w:ascii="宋体" w:hAnsi="宋体"/>
        </w:rPr>
        <w:t>现有“两委”干部5人，全村有8个村民小组，总户数411户，总人口1770人，农民人均纯收入4886元。</w:t>
      </w:r>
    </w:p>
    <w:p w14:paraId="1F59F1C9">
      <w:pPr>
        <w:pStyle w:val="4"/>
      </w:pPr>
      <w:r>
        <w:t>【马芫村委会】</w:t>
      </w:r>
    </w:p>
    <w:p w14:paraId="695F5C71">
      <w:pPr>
        <w:ind w:firstLine="420"/>
        <w:rPr>
          <w:rFonts w:ascii="宋体" w:hAnsi="宋体"/>
        </w:rPr>
      </w:pPr>
      <w:r>
        <w:rPr>
          <w:rFonts w:ascii="宋体" w:hAnsi="宋体"/>
        </w:rPr>
        <w:t>现有“两委”干部5人，全村有10个村民小组，总户数264户，总人口1080人，农民人均纯收入4896元。</w:t>
      </w:r>
    </w:p>
    <w:p w14:paraId="3EB79648">
      <w:pPr>
        <w:pStyle w:val="4"/>
      </w:pPr>
      <w:r>
        <w:t>【界址社区】</w:t>
      </w:r>
    </w:p>
    <w:p w14:paraId="62A4A4AA">
      <w:pPr>
        <w:ind w:firstLine="420"/>
        <w:rPr>
          <w:rFonts w:ascii="宋体" w:hAnsi="宋体"/>
        </w:rPr>
      </w:pPr>
      <w:r>
        <w:rPr>
          <w:rFonts w:ascii="宋体" w:hAnsi="宋体"/>
        </w:rPr>
        <w:t>现有“两委”干部3人，有2个村民小组，总户数229户，总人口965人。</w:t>
      </w:r>
    </w:p>
    <w:p w14:paraId="305433B3">
      <w:pPr>
        <w:ind w:firstLine="420"/>
        <w:jc w:val="right"/>
        <w:rPr>
          <w:rFonts w:ascii="宋体" w:hAnsi="宋体"/>
        </w:rPr>
      </w:pPr>
      <w:r>
        <w:rPr>
          <w:rFonts w:ascii="宋体" w:hAnsi="宋体"/>
        </w:rPr>
        <w:t>（贾林东）</w:t>
      </w:r>
    </w:p>
    <w:p w14:paraId="172DA6AC">
      <w:pPr>
        <w:ind w:firstLine="422"/>
        <w:rPr>
          <w:rFonts w:ascii="宋体" w:hAnsi="宋体"/>
          <w:b/>
          <w:bCs/>
        </w:rPr>
      </w:pPr>
      <w:r>
        <w:rPr>
          <w:rFonts w:ascii="宋体" w:hAnsi="宋体"/>
          <w:b/>
          <w:bCs/>
        </w:rPr>
        <w:t>附：2010年界址镇领导班子成员名单</w:t>
      </w:r>
    </w:p>
    <w:p w14:paraId="2C9AB5AA">
      <w:pPr>
        <w:ind w:firstLine="422"/>
        <w:rPr>
          <w:rFonts w:ascii="宋体" w:hAnsi="宋体"/>
        </w:rPr>
      </w:pPr>
      <w:r>
        <w:rPr>
          <w:rFonts w:ascii="宋体" w:hAnsi="宋体"/>
          <w:b/>
          <w:bCs/>
        </w:rPr>
        <w:t>党委书记、人大主席：</w:t>
      </w:r>
      <w:r>
        <w:rPr>
          <w:rFonts w:ascii="宋体" w:hAnsi="宋体"/>
        </w:rPr>
        <w:t>吴敦林</w:t>
      </w:r>
    </w:p>
    <w:p w14:paraId="56B8036D">
      <w:pPr>
        <w:ind w:firstLine="422"/>
        <w:rPr>
          <w:rFonts w:ascii="宋体" w:hAnsi="宋体"/>
        </w:rPr>
      </w:pPr>
      <w:r>
        <w:rPr>
          <w:rFonts w:ascii="宋体" w:hAnsi="宋体"/>
          <w:b/>
          <w:bCs/>
        </w:rPr>
        <w:t>党委副书记、镇长：</w:t>
      </w:r>
      <w:r>
        <w:rPr>
          <w:rFonts w:ascii="宋体" w:hAnsi="宋体"/>
        </w:rPr>
        <w:t>雷明峰</w:t>
      </w:r>
    </w:p>
    <w:p w14:paraId="6E00C363">
      <w:pPr>
        <w:ind w:firstLine="422"/>
        <w:rPr>
          <w:rFonts w:ascii="宋体" w:hAnsi="宋体"/>
        </w:rPr>
      </w:pPr>
      <w:r>
        <w:rPr>
          <w:rFonts w:ascii="宋体" w:hAnsi="宋体"/>
          <w:b/>
          <w:bCs/>
        </w:rPr>
        <w:t>党委副书记：朱建年纪委书记：</w:t>
      </w:r>
      <w:r>
        <w:rPr>
          <w:rFonts w:ascii="宋体" w:hAnsi="宋体"/>
        </w:rPr>
        <w:t>李绍林</w:t>
      </w:r>
    </w:p>
    <w:p w14:paraId="4DF2FD8F">
      <w:pPr>
        <w:ind w:firstLine="422"/>
        <w:rPr>
          <w:rFonts w:ascii="宋体" w:hAnsi="宋体"/>
        </w:rPr>
      </w:pPr>
      <w:r>
        <w:rPr>
          <w:rFonts w:ascii="宋体" w:hAnsi="宋体"/>
          <w:b/>
          <w:bCs/>
        </w:rPr>
        <w:t>副镇长：</w:t>
      </w:r>
      <w:r>
        <w:rPr>
          <w:rFonts w:ascii="宋体" w:hAnsi="宋体"/>
        </w:rPr>
        <w:t>张万敏徐帆</w:t>
      </w:r>
    </w:p>
    <w:p w14:paraId="11011987">
      <w:pPr>
        <w:ind w:firstLine="422"/>
        <w:rPr>
          <w:rFonts w:ascii="宋体" w:hAnsi="宋体"/>
        </w:rPr>
      </w:pPr>
      <w:r>
        <w:rPr>
          <w:rFonts w:ascii="宋体" w:hAnsi="宋体"/>
          <w:b/>
          <w:bCs/>
        </w:rPr>
        <w:t>人大副主席：</w:t>
      </w:r>
      <w:r>
        <w:rPr>
          <w:rFonts w:ascii="宋体" w:hAnsi="宋体"/>
        </w:rPr>
        <w:t>唐泉涌</w:t>
      </w:r>
    </w:p>
    <w:p w14:paraId="3A93E7E9">
      <w:pPr>
        <w:ind w:firstLine="422"/>
        <w:rPr>
          <w:rFonts w:ascii="宋体" w:hAnsi="宋体"/>
        </w:rPr>
      </w:pPr>
      <w:r>
        <w:rPr>
          <w:rFonts w:ascii="宋体" w:hAnsi="宋体"/>
          <w:b/>
          <w:bCs/>
        </w:rPr>
        <w:t>武装部长：</w:t>
      </w:r>
      <w:r>
        <w:rPr>
          <w:rFonts w:ascii="宋体" w:hAnsi="宋体"/>
        </w:rPr>
        <w:t>邓荣林</w:t>
      </w:r>
    </w:p>
    <w:p w14:paraId="2CA36F04">
      <w:pPr>
        <w:ind w:firstLine="422"/>
        <w:rPr>
          <w:rFonts w:ascii="宋体" w:hAnsi="宋体"/>
        </w:rPr>
      </w:pPr>
      <w:r>
        <w:rPr>
          <w:rFonts w:ascii="宋体" w:hAnsi="宋体"/>
          <w:b/>
          <w:bCs/>
        </w:rPr>
        <w:t>组织委员：</w:t>
      </w:r>
      <w:r>
        <w:rPr>
          <w:rFonts w:ascii="宋体" w:hAnsi="宋体"/>
        </w:rPr>
        <w:t>吴显娣</w:t>
      </w:r>
    </w:p>
    <w:p w14:paraId="74BCC0ED">
      <w:pPr>
        <w:ind w:firstLine="422"/>
        <w:rPr>
          <w:rFonts w:ascii="宋体" w:hAnsi="宋体"/>
        </w:rPr>
      </w:pPr>
      <w:r>
        <w:rPr>
          <w:rFonts w:ascii="宋体" w:hAnsi="宋体"/>
          <w:b/>
          <w:bCs/>
        </w:rPr>
        <w:t>宣传委员：</w:t>
      </w:r>
      <w:r>
        <w:rPr>
          <w:rFonts w:ascii="宋体" w:hAnsi="宋体"/>
        </w:rPr>
        <w:t>杨拓</w:t>
      </w:r>
    </w:p>
    <w:p w14:paraId="2EB540B6">
      <w:pPr>
        <w:pStyle w:val="3"/>
      </w:pPr>
      <w:r>
        <w:rPr>
          <w:rFonts w:hint="eastAsia"/>
        </w:rPr>
        <w:t>坪田镇</w:t>
      </w:r>
    </w:p>
    <w:p w14:paraId="53E73A08">
      <w:pPr>
        <w:pStyle w:val="4"/>
      </w:pPr>
      <w:r>
        <w:t>【概况】</w:t>
      </w:r>
    </w:p>
    <w:p w14:paraId="09A2695E">
      <w:pPr>
        <w:ind w:firstLine="420"/>
        <w:rPr>
          <w:rFonts w:ascii="宋体" w:hAnsi="宋体"/>
        </w:rPr>
      </w:pPr>
      <w:r>
        <w:rPr>
          <w:rFonts w:ascii="宋体" w:hAnsi="宋体"/>
        </w:rPr>
        <w:t>南雄市坪田镇位于南雄市东部，距县城43公里。是南粤有名的“银杏之乡”。1958年公社化后，先属上游公社，后属乌迳公社，1962年新建坪田公社。1980年改为坪田区，1986年置乡，1994年建镇，2002年与新龙镇合并成为坪田镇，辖内有14个村委会和老龙社区居委会。总人口24668人，面积142.39平方公里，耕地面积1778.2公顷，山林面积12250公顷，属中亚热带季风性山地湿润气候，全镇50%以上面积在海拔400米以上，农业主产以水稻、黄烟、花生为主。经济林果有白果、油茶、板栗、橙桔等。乡镇企业有花岗岩板材厂、茶厂、砖厂。境内拥有大量百龄以上的银杏古树，“银杏染秋”已成为坪田秋冬时节的一个重要的旅游观光景点。交通、通讯、电力等基础设施逐步完善，实现村村通电、通路。</w:t>
      </w:r>
    </w:p>
    <w:p w14:paraId="7BA03D4D">
      <w:pPr>
        <w:pStyle w:val="4"/>
      </w:pPr>
      <w:r>
        <w:t>【经济发展情况】</w:t>
      </w:r>
    </w:p>
    <w:p w14:paraId="208225BC">
      <w:pPr>
        <w:ind w:firstLine="420"/>
        <w:rPr>
          <w:rFonts w:ascii="宋体" w:hAnsi="宋体"/>
        </w:rPr>
      </w:pPr>
      <w:r>
        <w:rPr>
          <w:rFonts w:ascii="宋体" w:hAnsi="宋体"/>
        </w:rPr>
        <w:t>2010年，该镇实现国民生产总值1.76亿元，同比增长10%；农村居民人均纯收入4749元，同比增长9.9%；财政收入112.8万元，同比增长5%。2010年到坪田观光，摄影2万多人次，旅游为当地农民增收30多万元。</w:t>
      </w:r>
    </w:p>
    <w:p w14:paraId="59F907A3">
      <w:pPr>
        <w:pStyle w:val="4"/>
      </w:pPr>
      <w:r>
        <w:t>【农业情况】</w:t>
      </w:r>
    </w:p>
    <w:p w14:paraId="36F02F0B">
      <w:pPr>
        <w:ind w:firstLine="420"/>
        <w:rPr>
          <w:rFonts w:ascii="宋体" w:hAnsi="宋体"/>
        </w:rPr>
      </w:pPr>
      <w:r>
        <w:rPr>
          <w:rFonts w:ascii="宋体" w:hAnsi="宋体"/>
        </w:rPr>
        <w:t>2010年，该镇种植黄烟5000亩，收购烟叶1.26万担，收购金额980万元，收购均价7.77元/市斤，比上年增收0.15元/市斤，均价上升给种烟户增收300多元/户。该镇自2007年以来，连续四年荣获“市烟叶生产收购工作先进镇一等奖”称号。近五年来坪田政府积极组织林农植树造林1342公顷，大力发展经济林种植；与龙头企业金友集团合作，发展优质稻基地2处，种植优质稻13.3公顷；结合扶贫开发“双到”工作，大力发展辣椒产业，进一步坚定农户科学管护现有油茶和巩固发展辣椒、油茶的</w:t>
      </w:r>
      <w:bookmarkStart w:id="0" w:name="_GoBack"/>
      <w:bookmarkEnd w:id="0"/>
      <w:r>
        <w:rPr>
          <w:rFonts w:ascii="宋体" w:hAnsi="宋体"/>
        </w:rPr>
        <w:t>信心。坪田全镇年出栏1000头以上的养猪大户有20户，在扶贫单位的帮扶下，养殖五黑鸡和养牛的贫困户增加到300多户，坪田镇农业产业化发展迅速。</w:t>
      </w:r>
    </w:p>
    <w:p w14:paraId="099ADD1C">
      <w:pPr>
        <w:ind w:firstLine="420"/>
        <w:rPr>
          <w:rFonts w:ascii="宋体" w:hAnsi="宋体"/>
        </w:rPr>
      </w:pPr>
      <w:r>
        <w:rPr>
          <w:rFonts w:ascii="宋体" w:hAnsi="宋体"/>
        </w:rPr>
        <w:t>该镇有林地1188公顷，生态公益林1065.6公顷，主要经济林木有白果、油茶、板栗、毛竹，用材林有马尾松、衫树、枫树、樟树等。该镇贯彻落实深化集体林权制度改革，进一步解放林业发展生产力，加快林业产业发展，调整林业产业结构，促进农民就业增收。积极引进外商到坪田承包山地，开办股份制林场6家，面积2000公顷，新造林6000公顷。</w:t>
      </w:r>
    </w:p>
    <w:p w14:paraId="530E1084">
      <w:pPr>
        <w:pStyle w:val="4"/>
      </w:pPr>
      <w:r>
        <w:t>【基础设施建设】</w:t>
      </w:r>
    </w:p>
    <w:p w14:paraId="77FC55D3">
      <w:pPr>
        <w:ind w:firstLine="420"/>
        <w:rPr>
          <w:rFonts w:ascii="宋体" w:hAnsi="宋体"/>
        </w:rPr>
      </w:pPr>
      <w:r>
        <w:rPr>
          <w:rFonts w:ascii="宋体" w:hAnsi="宋体"/>
        </w:rPr>
        <w:t>2009年，投资600多万元，改造乌迳黄泥井至坪田21公里县道水泥硬化工程已动工；投资70多万元，完成坪田军营寨至江西社迳塔下村村道4公里水泥硬化工程，小塘枫树下村道1.6公里水泥硬化工程，中坪乐得塘村道3.9公里已经动工。</w:t>
      </w:r>
    </w:p>
    <w:p w14:paraId="08BB4B7F">
      <w:pPr>
        <w:ind w:firstLine="420"/>
        <w:rPr>
          <w:rFonts w:ascii="宋体" w:hAnsi="宋体"/>
        </w:rPr>
      </w:pPr>
      <w:r>
        <w:rPr>
          <w:rFonts w:ascii="宋体" w:hAnsi="宋体"/>
        </w:rPr>
        <w:t>2007年2月投资100万元完成三个村委会的通电；8月投资1000多万元，完成了14个村委会的农村电网改造，并新增装变压器20多台，加快长坑，老龙，官陂等村集约化烤烟房的建设。</w:t>
      </w:r>
    </w:p>
    <w:p w14:paraId="3E2C62A4">
      <w:pPr>
        <w:ind w:firstLine="420"/>
        <w:rPr>
          <w:rFonts w:ascii="宋体" w:hAnsi="宋体"/>
        </w:rPr>
      </w:pPr>
      <w:r>
        <w:rPr>
          <w:rFonts w:ascii="宋体" w:hAnsi="宋体"/>
        </w:rPr>
        <w:t>投资200多万元，完成从横岭洞66.6公顷的省人大议案水坝三面光工程；投资200多万元，加固中坪水库险段工程建设，完成杨梅坑山塘除险加固工程及老龙水坝三面光工程；2010年7月，总投资120万元的坪田下片饮水安全工程建设正式启动，修建一个800多立方米的水池，新铺设了总长5.6公里的输水管道，为下片居民及周边群众和学校用上干净卫生的自来水提供保障。</w:t>
      </w:r>
    </w:p>
    <w:p w14:paraId="4418F583">
      <w:pPr>
        <w:pStyle w:val="4"/>
      </w:pPr>
      <w:r>
        <w:t>【人口计生】</w:t>
      </w:r>
    </w:p>
    <w:p w14:paraId="0ACCA923">
      <w:pPr>
        <w:ind w:firstLine="420"/>
        <w:rPr>
          <w:rFonts w:ascii="宋体" w:hAnsi="宋体"/>
        </w:rPr>
      </w:pPr>
      <w:r>
        <w:rPr>
          <w:rFonts w:ascii="宋体" w:hAnsi="宋体"/>
        </w:rPr>
        <w:t>2010年全镇出生人口285人，计划生育率为93.3%，人口出生率为12.2‰，自然增长率为7.67‰，综合节育率为86.67%，有效控制人口增长。落实出生人口性别比的综合治理工作，2010年性别比为107.59，年均下降1.29个百分点。强力推进社会抚养费征收工作，年均双无率达53%。</w:t>
      </w:r>
    </w:p>
    <w:p w14:paraId="284D8B22">
      <w:pPr>
        <w:pStyle w:val="4"/>
      </w:pPr>
      <w:r>
        <w:t>【文教卫生】</w:t>
      </w:r>
    </w:p>
    <w:p w14:paraId="34C152B7">
      <w:pPr>
        <w:ind w:firstLine="420"/>
        <w:rPr>
          <w:rFonts w:ascii="宋体" w:hAnsi="宋体"/>
        </w:rPr>
      </w:pPr>
      <w:r>
        <w:rPr>
          <w:rFonts w:ascii="宋体" w:hAnsi="宋体"/>
        </w:rPr>
        <w:t>坪田镇政府筹资500多万元，用于改善中小学办学条件。投资150多万元，为长坑小学、坪田中学新建综合大楼；投资120多万元重新修缮了坪田中学、金城小学等10幢危旧的教学楼，改善教师住房环境和提高教师待遇，添置教学设备。全镇有初级中学1所，完全小学2所，小学教学点13处，在校学生2057人，普通九年义务教育毛入学率达100%，巩固率100%，高中毛入学率达86.8%，巩固率100%。</w:t>
      </w:r>
    </w:p>
    <w:p w14:paraId="53159CA3">
      <w:pPr>
        <w:ind w:firstLine="420"/>
        <w:rPr>
          <w:rFonts w:ascii="宋体" w:hAnsi="宋体"/>
        </w:rPr>
      </w:pPr>
      <w:r>
        <w:rPr>
          <w:rFonts w:ascii="宋体" w:hAnsi="宋体"/>
        </w:rPr>
        <w:t>充实医疗队伍，完善村级卫生站办公设施，投资40万元新建医院住院大楼，同时充实医疗队伍，并通过组织学习培训等形式，提高医疗队伍的医疗服务意识和专业技术水平。农村合作医疗覆盖率89.1%，参合人员近22000人。</w:t>
      </w:r>
    </w:p>
    <w:p w14:paraId="4575D808">
      <w:pPr>
        <w:pStyle w:val="4"/>
      </w:pPr>
      <w:r>
        <w:t>【扶贫双到】</w:t>
      </w:r>
    </w:p>
    <w:p w14:paraId="5D441D97">
      <w:pPr>
        <w:ind w:firstLine="420"/>
        <w:rPr>
          <w:rFonts w:ascii="宋体" w:hAnsi="宋体"/>
        </w:rPr>
      </w:pPr>
      <w:r>
        <w:rPr>
          <w:rFonts w:ascii="宋体" w:hAnsi="宋体"/>
        </w:rPr>
        <w:t>至2010年底，全镇落实扶贫专项资金831.87万元，其中184.36万元用于生产性投入。全镇投入贫困户危房改造资金30万元，保障贫困户的居住安全。全镇569户贫困户2052人全部参加了农村合作医疗；组织贫困户参加劳动力转移培训及种养技能培训29次，贫困户适龄子女普及义务教育入学率达100%，实现278户贫困户脱贫，脱贫率达到49%。</w:t>
      </w:r>
    </w:p>
    <w:p w14:paraId="3A46D5E9">
      <w:pPr>
        <w:pStyle w:val="4"/>
      </w:pPr>
      <w:r>
        <w:t>【国土资源】</w:t>
      </w:r>
    </w:p>
    <w:p w14:paraId="44D8E507">
      <w:pPr>
        <w:ind w:firstLine="420"/>
        <w:rPr>
          <w:rFonts w:ascii="宋体" w:hAnsi="宋体"/>
        </w:rPr>
      </w:pPr>
      <w:r>
        <w:rPr>
          <w:rFonts w:ascii="宋体" w:hAnsi="宋体"/>
        </w:rPr>
        <w:t>该镇大力推行土地资源集约节约利用，确保耕地占补平衡，复耕复绿土地34公顷；采取高压态势，严厉打击非法开采稀土矿行为，依法摧毁3个非法采矿点，有效遏制非法开采稀土矿对环境的污染。</w:t>
      </w:r>
    </w:p>
    <w:p w14:paraId="19E0F805">
      <w:pPr>
        <w:pStyle w:val="4"/>
      </w:pPr>
      <w:r>
        <w:t>【民生工作】</w:t>
      </w:r>
    </w:p>
    <w:p w14:paraId="75CAC471">
      <w:pPr>
        <w:ind w:firstLine="420"/>
        <w:rPr>
          <w:rFonts w:ascii="宋体" w:hAnsi="宋体"/>
        </w:rPr>
      </w:pPr>
      <w:r>
        <w:rPr>
          <w:rFonts w:ascii="宋体" w:hAnsi="宋体"/>
        </w:rPr>
        <w:t>五年共发放种粮补贴1100多万元；农村最低生活保障制度进一步完善，救灾救济、五保户、孤儿供养、民政优抚、助残等各项工作扎实开展，全部低保户、五保户及时足额领到生活补助。</w:t>
      </w:r>
    </w:p>
    <w:p w14:paraId="7E1577C9">
      <w:pPr>
        <w:pStyle w:val="4"/>
      </w:pPr>
      <w:r>
        <w:t>【旅游资源】</w:t>
      </w:r>
    </w:p>
    <w:p w14:paraId="307BFC63">
      <w:pPr>
        <w:ind w:firstLine="420"/>
        <w:rPr>
          <w:rFonts w:ascii="宋体" w:hAnsi="宋体"/>
        </w:rPr>
      </w:pPr>
      <w:r>
        <w:rPr>
          <w:rFonts w:ascii="宋体" w:hAnsi="宋体"/>
        </w:rPr>
        <w:t>坪田镇着力打造坪田白果“银杏染秋”旅游品牌，通过整合中坪水库、军营寨等景区资源，完善景区配套设施，利用各种媒体平台加大坪田旅游品牌的宣传力度，促进坪田旅游业的健康发展。自2007年以来，5年间到坪田镇观光、摄影的人数达10万多人次，旅游为当地农民增加收入150多万元。</w:t>
      </w:r>
    </w:p>
    <w:p w14:paraId="5A36A17E">
      <w:pPr>
        <w:pStyle w:val="4"/>
      </w:pPr>
      <w:r>
        <w:t>【名优特产】</w:t>
      </w:r>
    </w:p>
    <w:p w14:paraId="370FB693">
      <w:pPr>
        <w:ind w:firstLine="420"/>
        <w:rPr>
          <w:rFonts w:ascii="宋体" w:hAnsi="宋体"/>
        </w:rPr>
      </w:pPr>
      <w:r>
        <w:rPr>
          <w:rFonts w:ascii="宋体" w:hAnsi="宋体"/>
        </w:rPr>
        <w:t>坪田白果历史悠久名闻遐逛，其粒大壳薄、肉糯柔软、胚芽细小、清香无苦味的特点是其他地方出产白果所无法具备的。</w:t>
      </w:r>
    </w:p>
    <w:p w14:paraId="5339238C">
      <w:pPr>
        <w:pStyle w:val="3"/>
      </w:pPr>
      <w:r>
        <w:rPr>
          <w:rFonts w:hint="eastAsia"/>
        </w:rPr>
        <w:t>各村（居）委会基本情况</w:t>
      </w:r>
    </w:p>
    <w:p w14:paraId="3415E581">
      <w:pPr>
        <w:pStyle w:val="4"/>
      </w:pPr>
      <w:r>
        <w:t>【老龙村委会】</w:t>
      </w:r>
    </w:p>
    <w:p w14:paraId="2CDF8806">
      <w:pPr>
        <w:ind w:firstLine="420"/>
        <w:rPr>
          <w:rFonts w:ascii="宋体" w:hAnsi="宋体"/>
        </w:rPr>
      </w:pPr>
      <w:r>
        <w:rPr>
          <w:rFonts w:ascii="宋体" w:hAnsi="宋体"/>
        </w:rPr>
        <w:t>镇政府旁，有村民小组11个，538户，2397人，耕地面积224.13公顷，有生态公益林164.8公顷，主要经济作物为黄烟；</w:t>
      </w:r>
    </w:p>
    <w:p w14:paraId="0E2632F0">
      <w:pPr>
        <w:pStyle w:val="4"/>
      </w:pPr>
      <w:r>
        <w:t>【长坑村委会】</w:t>
      </w:r>
    </w:p>
    <w:p w14:paraId="2CF935CB">
      <w:pPr>
        <w:ind w:firstLine="420"/>
        <w:rPr>
          <w:rFonts w:ascii="宋体" w:hAnsi="宋体"/>
        </w:rPr>
      </w:pPr>
      <w:r>
        <w:rPr>
          <w:rFonts w:ascii="宋体" w:hAnsi="宋体"/>
        </w:rPr>
        <w:t>位于镇政府东北方向，距离镇政府约2公里，有村民小组7个，468户，2290人，耕地面积220.5公顷，主要经济作物为黄烟；</w:t>
      </w:r>
    </w:p>
    <w:p w14:paraId="15D7931F">
      <w:pPr>
        <w:pStyle w:val="4"/>
      </w:pPr>
      <w:r>
        <w:t>【背迳村委会】</w:t>
      </w:r>
    </w:p>
    <w:p w14:paraId="7308D67A">
      <w:pPr>
        <w:ind w:firstLine="420"/>
        <w:rPr>
          <w:rFonts w:ascii="宋体" w:hAnsi="宋体"/>
        </w:rPr>
      </w:pPr>
      <w:r>
        <w:rPr>
          <w:rFonts w:ascii="宋体" w:hAnsi="宋体"/>
        </w:rPr>
        <w:t>位于镇政府南偏东方向，距离镇政府约2公里，有村民小组14个，446户，1799人，耕地面积127.5公顷，有生态公益林319.6公顷，大量出产辣椒；</w:t>
      </w:r>
    </w:p>
    <w:p w14:paraId="4123CFAB">
      <w:pPr>
        <w:pStyle w:val="4"/>
      </w:pPr>
      <w:r>
        <w:t>【龙口村委会】</w:t>
      </w:r>
    </w:p>
    <w:p w14:paraId="360FA4E1">
      <w:pPr>
        <w:ind w:firstLine="420"/>
        <w:rPr>
          <w:rFonts w:ascii="宋体" w:hAnsi="宋体"/>
        </w:rPr>
      </w:pPr>
      <w:r>
        <w:rPr>
          <w:rFonts w:ascii="宋体" w:hAnsi="宋体"/>
        </w:rPr>
        <w:t>位于镇政府南方，距离镇政府约4公里，有村民小组10个，306户，1362人，耕地面积104.8公顷，有生态公益林171.1公顷，主要经济作物为黄烟；</w:t>
      </w:r>
    </w:p>
    <w:p w14:paraId="42669D40">
      <w:pPr>
        <w:pStyle w:val="4"/>
      </w:pPr>
      <w:r>
        <w:t>【横岭村委会】</w:t>
      </w:r>
    </w:p>
    <w:p w14:paraId="758194A3">
      <w:pPr>
        <w:ind w:firstLine="420"/>
        <w:rPr>
          <w:rFonts w:ascii="宋体" w:hAnsi="宋体"/>
        </w:rPr>
      </w:pPr>
      <w:r>
        <w:rPr>
          <w:rFonts w:ascii="宋体" w:hAnsi="宋体"/>
        </w:rPr>
        <w:t>位于镇政府西南方向，距离镇政府约5公里，有村民小组11个，335户，1515人，耕地面积125.7公顷，经济作物有黄烟、油茶等；</w:t>
      </w:r>
    </w:p>
    <w:p w14:paraId="5258EC41">
      <w:pPr>
        <w:pStyle w:val="4"/>
      </w:pPr>
      <w:r>
        <w:t>【小塘村委会】</w:t>
      </w:r>
    </w:p>
    <w:p w14:paraId="5196D20B">
      <w:pPr>
        <w:ind w:firstLine="420"/>
        <w:rPr>
          <w:rFonts w:ascii="宋体" w:hAnsi="宋体"/>
        </w:rPr>
      </w:pPr>
      <w:r>
        <w:rPr>
          <w:rFonts w:ascii="宋体" w:hAnsi="宋体"/>
        </w:rPr>
        <w:t>位于镇政府西方，直线距离镇政府约2公里，有村民小组9个，306户，1263人，耕地面积79.3公顷，有生态公益林172.2公顷，主要经济作物为黄烟；</w:t>
      </w:r>
    </w:p>
    <w:p w14:paraId="0628CE58">
      <w:pPr>
        <w:pStyle w:val="4"/>
      </w:pPr>
      <w:r>
        <w:t>【官陂村委会】</w:t>
      </w:r>
    </w:p>
    <w:p w14:paraId="02C1E118">
      <w:pPr>
        <w:ind w:firstLine="420"/>
        <w:rPr>
          <w:rFonts w:ascii="宋体" w:hAnsi="宋体"/>
        </w:rPr>
      </w:pPr>
      <w:r>
        <w:rPr>
          <w:rFonts w:ascii="宋体" w:hAnsi="宋体"/>
        </w:rPr>
        <w:t>位于镇政府西方，直线距离镇政府约3公里，有村民小组11个，377户，1786人，耕地面积185.6公顷，有生态公益林223.1公顷，主要经济作物为黄烟；</w:t>
      </w:r>
    </w:p>
    <w:p w14:paraId="0C3856E7">
      <w:pPr>
        <w:pStyle w:val="4"/>
      </w:pPr>
      <w:r>
        <w:t>【坪湖村委会】</w:t>
      </w:r>
    </w:p>
    <w:p w14:paraId="4362E147">
      <w:pPr>
        <w:ind w:firstLine="420"/>
        <w:rPr>
          <w:rFonts w:ascii="宋体" w:hAnsi="宋体"/>
        </w:rPr>
      </w:pPr>
      <w:r>
        <w:rPr>
          <w:rFonts w:ascii="宋体" w:hAnsi="宋体"/>
        </w:rPr>
        <w:t>位于镇政府南方，直线距离镇政府约5公里，有村民小组8个，400户，1858人，耕地面积75.6公顷，主要经济作物有黄烟、油茶、辣椒等；</w:t>
      </w:r>
    </w:p>
    <w:p w14:paraId="7A74622E">
      <w:pPr>
        <w:pStyle w:val="4"/>
      </w:pPr>
      <w:r>
        <w:t>【坪田村委会】</w:t>
      </w:r>
    </w:p>
    <w:p w14:paraId="26D2B396">
      <w:pPr>
        <w:ind w:firstLine="420"/>
        <w:rPr>
          <w:rFonts w:ascii="宋体" w:hAnsi="宋体"/>
        </w:rPr>
      </w:pPr>
      <w:r>
        <w:rPr>
          <w:rFonts w:ascii="宋体" w:hAnsi="宋体"/>
        </w:rPr>
        <w:t>位于镇政府南方，直线距离镇政府约8公里，有村民小组12个，362户，1697人，耕地面积67.4公顷，有生态公益林319.6公顷，坪田村的军营寨也是坪田“银杏染秋”的观赏景点；</w:t>
      </w:r>
    </w:p>
    <w:p w14:paraId="4B30A04D">
      <w:pPr>
        <w:pStyle w:val="4"/>
      </w:pPr>
      <w:r>
        <w:t>【龙头村委会】</w:t>
      </w:r>
    </w:p>
    <w:p w14:paraId="2E65FF40">
      <w:pPr>
        <w:ind w:firstLine="420"/>
        <w:rPr>
          <w:rFonts w:ascii="宋体" w:hAnsi="宋体"/>
        </w:rPr>
      </w:pPr>
      <w:r>
        <w:rPr>
          <w:rFonts w:ascii="宋体" w:hAnsi="宋体"/>
        </w:rPr>
        <w:t>位于镇政府东南方向，距离镇政府约10公里，有村民小组7个，198户，931人，耕地面积9.6公顷，主要经济作物有黄烟、辣椒、板栗等；</w:t>
      </w:r>
    </w:p>
    <w:p w14:paraId="16B63A36">
      <w:pPr>
        <w:pStyle w:val="4"/>
      </w:pPr>
      <w:r>
        <w:t>【迳洞村委会】</w:t>
      </w:r>
    </w:p>
    <w:p w14:paraId="48550E05">
      <w:pPr>
        <w:ind w:firstLine="420"/>
        <w:rPr>
          <w:rFonts w:ascii="宋体" w:hAnsi="宋体"/>
        </w:rPr>
      </w:pPr>
      <w:r>
        <w:rPr>
          <w:rFonts w:ascii="宋体" w:hAnsi="宋体"/>
        </w:rPr>
        <w:t>位于镇政府东南方向，距离镇政府约11公里，有村民小组18个，438户，2033人，耕地面积91.8公顷。迳洞出产香菇，迳洞的冯屋村也是坪田银杏旅游的主要景点之一；</w:t>
      </w:r>
    </w:p>
    <w:p w14:paraId="07E28CEE">
      <w:pPr>
        <w:pStyle w:val="4"/>
      </w:pPr>
      <w:r>
        <w:t>【新圩村委会】</w:t>
      </w:r>
    </w:p>
    <w:p w14:paraId="6F71D764">
      <w:pPr>
        <w:ind w:firstLine="420"/>
        <w:rPr>
          <w:rFonts w:ascii="宋体" w:hAnsi="宋体"/>
        </w:rPr>
      </w:pPr>
      <w:r>
        <w:rPr>
          <w:rFonts w:ascii="宋体" w:hAnsi="宋体"/>
        </w:rPr>
        <w:t>位于镇政府南偏东方向，距离镇政府约6公里，有村民小组25个，302户，1351人，耕地面积132.4公顷。新圩的坳背村，有成片大量古银杏，其中有一株千年雄性银杏树，树高达50多米，树冠覆盖面积超过600多平方米，胸径约8米，需好五六个成年人手拉手才能将其合围，被称为“银杏王</w:t>
      </w:r>
    </w:p>
    <w:p w14:paraId="43227D2A">
      <w:pPr>
        <w:pStyle w:val="4"/>
      </w:pPr>
      <w:r>
        <w:t>【老宅村委会】</w:t>
      </w:r>
    </w:p>
    <w:p w14:paraId="171B78EE">
      <w:pPr>
        <w:ind w:firstLine="420"/>
        <w:rPr>
          <w:rFonts w:ascii="宋体" w:hAnsi="宋体"/>
        </w:rPr>
      </w:pPr>
      <w:r>
        <w:rPr>
          <w:rFonts w:ascii="宋体" w:hAnsi="宋体"/>
        </w:rPr>
        <w:t>位于镇政府东南方向，距离镇政府约5公里，有村民小组15个，314户，1470人，耕地面积100.9公顷，特色经济作物有油茶，有大型养殖场老宅引居坑生态农场；</w:t>
      </w:r>
    </w:p>
    <w:p w14:paraId="6509502F">
      <w:pPr>
        <w:pStyle w:val="4"/>
      </w:pPr>
      <w:r>
        <w:t>【中坪村委会】</w:t>
      </w:r>
    </w:p>
    <w:p w14:paraId="07527036">
      <w:pPr>
        <w:ind w:firstLine="420"/>
        <w:rPr>
          <w:rFonts w:ascii="宋体" w:hAnsi="宋体"/>
        </w:rPr>
      </w:pPr>
      <w:r>
        <w:rPr>
          <w:rFonts w:ascii="宋体" w:hAnsi="宋体"/>
        </w:rPr>
        <w:t>位于镇政府东南方向，距离镇政府约4公里，有村民小组21个，399户，1815人，耕地面积108.6公顷，中坪的老围也是坪田银杏旅游的景点；</w:t>
      </w:r>
    </w:p>
    <w:p w14:paraId="7EF3DC0F">
      <w:pPr>
        <w:pStyle w:val="4"/>
      </w:pPr>
      <w:r>
        <w:t>【老龙居委会】</w:t>
      </w:r>
    </w:p>
    <w:p w14:paraId="64752CE4">
      <w:pPr>
        <w:ind w:firstLine="420"/>
        <w:rPr>
          <w:rFonts w:ascii="宋体" w:hAnsi="宋体"/>
        </w:rPr>
      </w:pPr>
      <w:r>
        <w:rPr>
          <w:rFonts w:ascii="宋体" w:hAnsi="宋体"/>
        </w:rPr>
        <w:t>镇政府所在地，有82户，1118人。</w:t>
      </w:r>
    </w:p>
    <w:p w14:paraId="6D0A3C52">
      <w:pPr>
        <w:ind w:firstLine="420"/>
        <w:jc w:val="right"/>
        <w:rPr>
          <w:rFonts w:ascii="宋体" w:hAnsi="宋体"/>
        </w:rPr>
      </w:pPr>
      <w:r>
        <w:rPr>
          <w:rFonts w:ascii="宋体" w:hAnsi="宋体"/>
        </w:rPr>
        <w:t>（胡世璋）</w:t>
      </w:r>
    </w:p>
    <w:p w14:paraId="2ED2B86D">
      <w:pPr>
        <w:ind w:firstLine="422"/>
        <w:rPr>
          <w:rFonts w:ascii="宋体" w:hAnsi="宋体"/>
          <w:b/>
          <w:bCs/>
        </w:rPr>
      </w:pPr>
      <w:r>
        <w:rPr>
          <w:rFonts w:ascii="宋体" w:hAnsi="宋体"/>
          <w:b/>
          <w:bCs/>
        </w:rPr>
        <w:t>附：2010年坪田镇领导班子成员名单</w:t>
      </w:r>
    </w:p>
    <w:p w14:paraId="6AF62605">
      <w:pPr>
        <w:ind w:firstLine="422"/>
        <w:rPr>
          <w:rFonts w:ascii="宋体" w:hAnsi="宋体"/>
        </w:rPr>
      </w:pPr>
      <w:r>
        <w:rPr>
          <w:rFonts w:ascii="宋体" w:hAnsi="宋体"/>
          <w:b/>
          <w:bCs/>
        </w:rPr>
        <w:t>党委书记，人大主席：</w:t>
      </w:r>
      <w:r>
        <w:rPr>
          <w:rFonts w:ascii="宋体" w:hAnsi="宋体"/>
        </w:rPr>
        <w:t>邓华兴</w:t>
      </w:r>
    </w:p>
    <w:p w14:paraId="5EC7429F">
      <w:pPr>
        <w:ind w:firstLine="422"/>
        <w:rPr>
          <w:rFonts w:ascii="宋体" w:hAnsi="宋体"/>
        </w:rPr>
      </w:pPr>
      <w:r>
        <w:rPr>
          <w:rFonts w:ascii="宋体" w:hAnsi="宋体"/>
          <w:b/>
          <w:bCs/>
        </w:rPr>
        <w:t>党委副书记、镇长：</w:t>
      </w:r>
      <w:r>
        <w:rPr>
          <w:rFonts w:ascii="宋体" w:hAnsi="宋体"/>
        </w:rPr>
        <w:t>邱昌金</w:t>
      </w:r>
    </w:p>
    <w:p w14:paraId="0F0736DF">
      <w:pPr>
        <w:ind w:firstLine="422"/>
        <w:rPr>
          <w:rFonts w:ascii="宋体" w:hAnsi="宋体"/>
        </w:rPr>
      </w:pPr>
      <w:r>
        <w:rPr>
          <w:rFonts w:ascii="宋体" w:hAnsi="宋体"/>
          <w:b/>
          <w:bCs/>
        </w:rPr>
        <w:t>党委副书记：</w:t>
      </w:r>
      <w:r>
        <w:rPr>
          <w:rFonts w:ascii="宋体" w:hAnsi="宋体"/>
        </w:rPr>
        <w:t>林祥辉</w:t>
      </w:r>
    </w:p>
    <w:p w14:paraId="78DD5CC4">
      <w:pPr>
        <w:ind w:firstLine="422"/>
        <w:rPr>
          <w:rFonts w:ascii="宋体" w:hAnsi="宋体"/>
        </w:rPr>
      </w:pPr>
      <w:r>
        <w:rPr>
          <w:rFonts w:ascii="宋体" w:hAnsi="宋体"/>
          <w:b/>
          <w:bCs/>
        </w:rPr>
        <w:t>纪委书记：</w:t>
      </w:r>
      <w:r>
        <w:rPr>
          <w:rFonts w:ascii="宋体" w:hAnsi="宋体"/>
        </w:rPr>
        <w:t>李石明</w:t>
      </w:r>
    </w:p>
    <w:p w14:paraId="0323E9F8">
      <w:pPr>
        <w:ind w:firstLine="422"/>
        <w:rPr>
          <w:rFonts w:ascii="宋体" w:hAnsi="宋体"/>
        </w:rPr>
      </w:pPr>
      <w:r>
        <w:rPr>
          <w:rFonts w:ascii="宋体" w:hAnsi="宋体"/>
          <w:b/>
          <w:bCs/>
        </w:rPr>
        <w:t>人大副主席：</w:t>
      </w:r>
      <w:r>
        <w:rPr>
          <w:rFonts w:ascii="宋体" w:hAnsi="宋体"/>
        </w:rPr>
        <w:t>张朝凤</w:t>
      </w:r>
    </w:p>
    <w:p w14:paraId="3559A9A9">
      <w:pPr>
        <w:ind w:firstLine="422"/>
        <w:rPr>
          <w:rFonts w:ascii="宋体" w:hAnsi="宋体"/>
        </w:rPr>
      </w:pPr>
      <w:r>
        <w:rPr>
          <w:rFonts w:ascii="宋体" w:hAnsi="宋体"/>
          <w:b/>
          <w:bCs/>
        </w:rPr>
        <w:t>武装部长</w:t>
      </w:r>
      <w:r>
        <w:rPr>
          <w:rFonts w:ascii="宋体" w:hAnsi="宋体"/>
        </w:rPr>
        <w:t>：陈如华</w:t>
      </w:r>
    </w:p>
    <w:p w14:paraId="379D58AD">
      <w:pPr>
        <w:ind w:firstLine="422"/>
        <w:rPr>
          <w:rFonts w:ascii="宋体" w:hAnsi="宋体"/>
        </w:rPr>
      </w:pPr>
      <w:r>
        <w:rPr>
          <w:rFonts w:ascii="宋体" w:hAnsi="宋体"/>
          <w:b/>
          <w:bCs/>
        </w:rPr>
        <w:t>副镇长：</w:t>
      </w:r>
      <w:r>
        <w:rPr>
          <w:rFonts w:ascii="宋体" w:hAnsi="宋体"/>
        </w:rPr>
        <w:t>李昌盛</w:t>
      </w:r>
      <w:r>
        <w:rPr>
          <w:rFonts w:hint="eastAsia" w:ascii="宋体" w:hAnsi="宋体"/>
        </w:rPr>
        <w:t xml:space="preserve">  </w:t>
      </w:r>
      <w:r>
        <w:rPr>
          <w:rFonts w:ascii="宋体" w:hAnsi="宋体"/>
        </w:rPr>
        <w:t>吴少华</w:t>
      </w:r>
    </w:p>
    <w:p w14:paraId="00E3A91F">
      <w:pPr>
        <w:ind w:firstLine="422"/>
        <w:rPr>
          <w:rFonts w:ascii="宋体" w:hAnsi="宋体"/>
        </w:rPr>
      </w:pPr>
      <w:r>
        <w:rPr>
          <w:rFonts w:ascii="宋体" w:hAnsi="宋体"/>
          <w:b/>
          <w:bCs/>
        </w:rPr>
        <w:t>组织委员：</w:t>
      </w:r>
      <w:r>
        <w:rPr>
          <w:rFonts w:ascii="宋体" w:hAnsi="宋体"/>
        </w:rPr>
        <w:t>杨忠</w:t>
      </w:r>
    </w:p>
    <w:p w14:paraId="54D9A2C9">
      <w:pPr>
        <w:ind w:firstLine="422"/>
        <w:rPr>
          <w:rFonts w:ascii="宋体" w:hAnsi="宋体"/>
        </w:rPr>
      </w:pPr>
      <w:r>
        <w:rPr>
          <w:rFonts w:ascii="宋体" w:hAnsi="宋体"/>
          <w:b/>
          <w:bCs/>
        </w:rPr>
        <w:t>宣传委员：</w:t>
      </w:r>
      <w:r>
        <w:rPr>
          <w:rFonts w:ascii="宋体" w:hAnsi="宋体"/>
        </w:rPr>
        <w:t>叶银华</w:t>
      </w:r>
    </w:p>
    <w:p w14:paraId="14772A7E">
      <w:pPr>
        <w:pStyle w:val="3"/>
      </w:pPr>
      <w:r>
        <w:rPr>
          <w:rFonts w:hint="eastAsia"/>
        </w:rPr>
        <w:t>乌迳镇</w:t>
      </w:r>
    </w:p>
    <w:p w14:paraId="2E093073">
      <w:pPr>
        <w:pStyle w:val="4"/>
      </w:pPr>
      <w:r>
        <w:t>【概况】</w:t>
      </w:r>
    </w:p>
    <w:p w14:paraId="2E9485B9">
      <w:pPr>
        <w:ind w:firstLine="420"/>
        <w:rPr>
          <w:rFonts w:ascii="宋体" w:hAnsi="宋体"/>
        </w:rPr>
      </w:pPr>
      <w:r>
        <w:rPr>
          <w:rFonts w:ascii="宋体" w:hAnsi="宋体"/>
        </w:rPr>
        <w:t>乌迳镇地处广东省南雄市东北部，东与本市界址镇、南与南亩镇、西与黄坑、油山镇接壤，北与江西省信丰县毗邻，面积15774公倾，其中耕地面积3222公倾。辖21个村委会，1个社区居委会，人口44822人，是南雄市最大的乡镇，属革命老区。广东省级中心镇。乌迳镇交通便利，北距江西省信丰县、105国道和京九铁路42公里，距粤赣高速38公里。南离南雄市区、韶赣铁路、韶赣高速、323国道31公里，省道S342线贯穿全镇。是南雄东部6镇15万人口的经济、文化、交通中心。</w:t>
      </w:r>
    </w:p>
    <w:p w14:paraId="35FBF5E5">
      <w:pPr>
        <w:ind w:firstLine="420"/>
        <w:rPr>
          <w:rFonts w:ascii="宋体" w:hAnsi="宋体"/>
        </w:rPr>
      </w:pPr>
      <w:r>
        <w:rPr>
          <w:rFonts w:ascii="宋体" w:hAnsi="宋体"/>
        </w:rPr>
        <w:t>乌迳镇建有初级中学1所，完全小学14所，中心卫生院1间，较大规模的酒楼宾馆4间，长途客运站2个，11千伏变电站1所，自来水厂1间，液化气充装站1间，功能齐全的大型综合市场1个，中心镇文化广场1个。</w:t>
      </w:r>
    </w:p>
    <w:p w14:paraId="0A94C4A2">
      <w:pPr>
        <w:ind w:firstLine="420"/>
        <w:rPr>
          <w:rFonts w:ascii="宋体" w:hAnsi="宋体"/>
        </w:rPr>
      </w:pPr>
      <w:r>
        <w:rPr>
          <w:rFonts w:ascii="宋体" w:hAnsi="宋体"/>
        </w:rPr>
        <w:t>乌迳镇历史悠久。辖区内的新田村建村于公元315年（西晋建兴三年），至今已有1690多年历史。素有“迁徙南雄第一村”之称。2009年12月，新田村被评为“广东省古村落”、“广东省历史文化名村”。</w:t>
      </w:r>
    </w:p>
    <w:p w14:paraId="118C2429">
      <w:pPr>
        <w:ind w:firstLine="420"/>
        <w:rPr>
          <w:rFonts w:ascii="宋体" w:hAnsi="宋体"/>
        </w:rPr>
      </w:pPr>
      <w:r>
        <w:rPr>
          <w:rFonts w:ascii="宋体" w:hAnsi="宋体"/>
        </w:rPr>
        <w:t>森林覆盖率达58%，四季气候宜人，年平均气温21.5℃左右。有林木、毛竹资源5万多亩，花岗石总储存量超过800万立方米，水力资源丰富，可开发电力3000多千瓦时，现已开发电站6座，装机容量1000千瓦，乌迳烟叶种植历史悠久、品质特优，以乌迳特有的红壤土质种植的乌迳晒黄烟享誉全国。名优特产为大佬匡牌辣椒酱。旅游景点有庙前观音山；孔江百岛湖水上公园；新田古村落等。</w:t>
      </w:r>
    </w:p>
    <w:p w14:paraId="7FA3DF6E">
      <w:pPr>
        <w:pStyle w:val="4"/>
      </w:pPr>
      <w:r>
        <w:t>【经济概述】</w:t>
      </w:r>
    </w:p>
    <w:p w14:paraId="2D521A90">
      <w:pPr>
        <w:ind w:firstLine="420"/>
        <w:rPr>
          <w:rFonts w:ascii="宋体" w:hAnsi="宋体"/>
        </w:rPr>
      </w:pPr>
      <w:r>
        <w:rPr>
          <w:rFonts w:ascii="宋体" w:hAnsi="宋体"/>
        </w:rPr>
        <w:t>全镇工农业总产值4.86亿元，比上年增长9.8%；农民人均纯收入5521元，同比增长9.0%；劳务收入8466万元，同比增加15.4%；第三产业总收入0.8亿元，同比增长12.3%；粮食总产量2.4万吨。2010年全镇落实种植面积526公顷，收购量17795担，种植朝天椒800公顷，并由此产生一大批从事朝天椒购销的农民经纪人，朝天椒购销年交易量达800吨，年交易额近8000万元，形成粤北最大的集生产、加工、销售朝天椒交易中心。先后引进乌迳页岩砖厂、乌迳编织袋厂、乌迳牙签厂、乌迳鑫盛食品厂、乌迳南盈针织厂、乌迳华盛制衣厂、乌迳万利竹地板加工厂、乌迳田心环保砖厂、乌迳印刷厂等项目，总投资额达3500万元。2008年引进东莞金泰源投资有限公司投资600万元建设的乌迳新农村文化广场，现已峻工使用。2010年底止，全镇有民营企业有60余家，涉及食品、五金家电、制造、农副产品加工等行业。</w:t>
      </w:r>
    </w:p>
    <w:p w14:paraId="7B1A07C7">
      <w:pPr>
        <w:pStyle w:val="4"/>
      </w:pPr>
      <w:r>
        <w:t>【社会事业】</w:t>
      </w:r>
    </w:p>
    <w:p w14:paraId="5C4DEB36">
      <w:pPr>
        <w:ind w:firstLine="420"/>
        <w:rPr>
          <w:rFonts w:ascii="宋体" w:hAnsi="宋体"/>
        </w:rPr>
      </w:pPr>
      <w:r>
        <w:rPr>
          <w:rFonts w:ascii="宋体" w:hAnsi="宋体"/>
        </w:rPr>
        <w:t>成立城管队，完善各项管理制度，加强城管队员的管理，市容市貌特别是环境卫生有很大的改观；圩镇的基础配套设施日臻完善，2010年共投入300多万元用于基础设施建设；聘请韶关市城乡规划局规划设计。每月27日为圩镇大扫除活动日，全体镇干部、职工和机关单位干部及中小学师生参加。根据不同村的地域位置、产业发展的特点，全面推进村庄整治。2008年选取高溯溯水新村和鱼塘大园新村为新农村建设示范点，2010年新增孔江明山塘村为示范点。引导农民改水、改厨、改厕、改圈，发展沼气、太阳能等新型清洁能源。连续3年计生工作顺利通过上级的检查考核。顺利完成第二次全国经济普查和第六次全国人口普查工作；对农村低保、五保户实行动态管理，低保65元/人、五保250元/人足额补贴发放到位。新型农村合作医疗覆盖率稳定在95%以上；扶贫开发“双到”工作顺利推进，2010年实现40%以上贫困户脱贫的目标。教育创强工作稳步推进，小学入学率100%，中学入学率99.8%。</w:t>
      </w:r>
    </w:p>
    <w:p w14:paraId="45747A5A">
      <w:pPr>
        <w:pStyle w:val="4"/>
      </w:pPr>
      <w:r>
        <w:t>【党建工作】</w:t>
      </w:r>
    </w:p>
    <w:p w14:paraId="6865E714">
      <w:pPr>
        <w:ind w:firstLine="420"/>
        <w:rPr>
          <w:rFonts w:ascii="宋体" w:hAnsi="宋体"/>
        </w:rPr>
      </w:pPr>
      <w:r>
        <w:rPr>
          <w:rFonts w:ascii="宋体" w:hAnsi="宋体"/>
        </w:rPr>
        <w:t>到2010年底，全镇共有党员1328名，其中：妇女党员181名，占13.6%；少数民族党员12名，占0.9%；大专以上学历的145人，占10.9%；高中、中专学历的504人，占38%。高中及以上学历占48.9%，45岁以下党员37.8%。完善各村（居）委会的党员活动室和电教室，每个村（居）支部配备党员远程教育网络终端设施，建设党员远程教育基地。2009年开展学习实践科学发展观活动；2010年开展创先争优活动。2010年发展党员25名，实行党务、政务、村务公开。</w:t>
      </w:r>
    </w:p>
    <w:p w14:paraId="3775D5C6">
      <w:pPr>
        <w:pStyle w:val="4"/>
      </w:pPr>
      <w:r>
        <w:t>【政府办公场所搬迁】</w:t>
      </w:r>
    </w:p>
    <w:p w14:paraId="313B5009">
      <w:pPr>
        <w:ind w:firstLine="420"/>
        <w:rPr>
          <w:rFonts w:ascii="宋体" w:hAnsi="宋体"/>
        </w:rPr>
      </w:pPr>
      <w:r>
        <w:rPr>
          <w:rFonts w:ascii="宋体" w:hAnsi="宋体"/>
        </w:rPr>
        <w:t>2003年12月，投资600万元兴建的镇政府新办公场所竣工并投入使用，镇政府办公场所搬迁到新址办公，改善办公条件。</w:t>
      </w:r>
    </w:p>
    <w:p w14:paraId="33C68C2A">
      <w:pPr>
        <w:pStyle w:val="4"/>
      </w:pPr>
      <w:r>
        <w:t>【商贸城竣工】</w:t>
      </w:r>
    </w:p>
    <w:p w14:paraId="05015325">
      <w:pPr>
        <w:ind w:firstLine="420"/>
        <w:rPr>
          <w:rFonts w:ascii="宋体" w:hAnsi="宋体"/>
        </w:rPr>
      </w:pPr>
      <w:r>
        <w:rPr>
          <w:rFonts w:ascii="宋体" w:hAnsi="宋体"/>
        </w:rPr>
        <w:t>2004年5月，投资2000万元兴建的集工农业产品贸易、商住、娱乐为一体的乌迳商贸城竣工投入运营，是南雄市最大、功能最全的农村集贸市场。</w:t>
      </w:r>
    </w:p>
    <w:p w14:paraId="1ECB8FCD">
      <w:pPr>
        <w:pStyle w:val="4"/>
      </w:pPr>
      <w:r>
        <w:t>【中心镇基础设施建设】</w:t>
      </w:r>
    </w:p>
    <w:p w14:paraId="01C00B76">
      <w:pPr>
        <w:ind w:firstLine="420"/>
        <w:rPr>
          <w:rFonts w:ascii="宋体" w:hAnsi="宋体"/>
        </w:rPr>
      </w:pPr>
      <w:r>
        <w:rPr>
          <w:rFonts w:ascii="宋体" w:hAnsi="宋体"/>
        </w:rPr>
        <w:t>2005年11月，投资110万元，在镇区主要街道安装路灯118盏；2006年11月，争取上级支持，完成镇区主街道（原省道S342线穿过镇区路段）3公里的水泥硬化工程。</w:t>
      </w:r>
    </w:p>
    <w:p w14:paraId="293ED123">
      <w:pPr>
        <w:pStyle w:val="4"/>
      </w:pPr>
      <w:r>
        <w:t>【农田综合开发】</w:t>
      </w:r>
    </w:p>
    <w:p w14:paraId="02EB000C">
      <w:pPr>
        <w:ind w:firstLine="420"/>
        <w:rPr>
          <w:rFonts w:ascii="宋体" w:hAnsi="宋体"/>
        </w:rPr>
      </w:pPr>
      <w:r>
        <w:rPr>
          <w:rFonts w:ascii="宋体" w:hAnsi="宋体"/>
        </w:rPr>
        <w:t>2007年12月，争取上级扶持，完成高溯、新田、鱼塘、田心、乌迳六个村1.8万亩农田的国家农业综合开发工程建设。</w:t>
      </w:r>
    </w:p>
    <w:p w14:paraId="750BC067">
      <w:pPr>
        <w:pStyle w:val="4"/>
      </w:pPr>
      <w:r>
        <w:t>【新田古村落保护】</w:t>
      </w:r>
    </w:p>
    <w:p w14:paraId="2B49E5B8">
      <w:pPr>
        <w:ind w:firstLine="420"/>
        <w:rPr>
          <w:rFonts w:ascii="宋体" w:hAnsi="宋体"/>
        </w:rPr>
      </w:pPr>
      <w:r>
        <w:rPr>
          <w:rFonts w:ascii="宋体" w:hAnsi="宋体"/>
        </w:rPr>
        <w:t>2009年6月，乌迳镇新田古村被评为“广东省古村落”，稍后又被评为“广东省历史文化名村”。</w:t>
      </w:r>
    </w:p>
    <w:p w14:paraId="71B3431F">
      <w:pPr>
        <w:pStyle w:val="4"/>
      </w:pPr>
      <w:r>
        <w:t>【中心广场竣工】</w:t>
      </w:r>
    </w:p>
    <w:p w14:paraId="498034A3">
      <w:pPr>
        <w:ind w:firstLine="420"/>
        <w:rPr>
          <w:rFonts w:ascii="宋体" w:hAnsi="宋体"/>
        </w:rPr>
      </w:pPr>
      <w:r>
        <w:rPr>
          <w:rFonts w:ascii="宋体" w:hAnsi="宋体"/>
        </w:rPr>
        <w:t>2010年4月，引进500万元建设的乌迳镇中心镇文化广场竣工并投入使用，该广场占地10000平方米，是粤北地区最大的群众性休闲广场。</w:t>
      </w:r>
    </w:p>
    <w:p w14:paraId="15E1B897">
      <w:pPr>
        <w:pStyle w:val="4"/>
      </w:pPr>
      <w:r>
        <w:t>【姓氏节文化】</w:t>
      </w:r>
    </w:p>
    <w:p w14:paraId="4152C935">
      <w:pPr>
        <w:ind w:firstLine="420"/>
        <w:rPr>
          <w:rFonts w:ascii="宋体" w:hAnsi="宋体"/>
        </w:rPr>
      </w:pPr>
      <w:r>
        <w:rPr>
          <w:rFonts w:ascii="宋体" w:hAnsi="宋体"/>
        </w:rPr>
        <w:t>乌迳镇居住着叶、李、董、赖、黄、赵、郭、曾、陈等60多姓村民。这里迄今保持着典型的姓氏节文化，60种姓氏各自有独特的节日，不同的时间，不同的形式，形成独特的风俗文化。节庆一般为期3天，节日期间，各家各户都是亲朋好友云集，客人来得越多主人越高兴。</w:t>
      </w:r>
      <w:r>
        <w:rPr>
          <w:rFonts w:hint="eastAsia" w:ascii="宋体" w:hAnsi="宋体"/>
          <w:lang w:eastAsia="zh-CN"/>
        </w:rPr>
        <w:t>中华人民共和国成立前</w:t>
      </w:r>
      <w:r>
        <w:rPr>
          <w:rFonts w:ascii="宋体" w:hAnsi="宋体"/>
        </w:rPr>
        <w:t>请戏班子在村中唱大戏。解放后一般是放电影。</w:t>
      </w:r>
    </w:p>
    <w:p w14:paraId="5A62C9A7">
      <w:pPr>
        <w:ind w:firstLine="422"/>
        <w:jc w:val="center"/>
        <w:rPr>
          <w:rFonts w:ascii="宋体" w:hAnsi="宋体"/>
          <w:b/>
        </w:rPr>
      </w:pPr>
      <w:r>
        <w:rPr>
          <w:rFonts w:hint="eastAsia" w:ascii="宋体" w:hAnsi="宋体"/>
          <w:b/>
        </w:rPr>
        <w:t>表32-1  各村（居）委会基本情况</w:t>
      </w: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3"/>
        <w:gridCol w:w="1423"/>
        <w:gridCol w:w="1423"/>
        <w:gridCol w:w="1423"/>
        <w:gridCol w:w="1423"/>
        <w:gridCol w:w="1423"/>
        <w:gridCol w:w="1424"/>
      </w:tblGrid>
      <w:tr w14:paraId="46799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pct"/>
            <w:vAlign w:val="center"/>
          </w:tcPr>
          <w:p w14:paraId="552D9C33">
            <w:pPr>
              <w:pStyle w:val="13"/>
              <w:jc w:val="center"/>
              <w:rPr>
                <w:rFonts w:hint="eastAsia"/>
                <w:b/>
              </w:rPr>
            </w:pPr>
            <w:r>
              <w:rPr>
                <w:rFonts w:hint="eastAsia"/>
                <w:b/>
              </w:rPr>
              <w:t>村名</w:t>
            </w:r>
          </w:p>
        </w:tc>
        <w:tc>
          <w:tcPr>
            <w:tcW w:w="714" w:type="pct"/>
            <w:vAlign w:val="center"/>
          </w:tcPr>
          <w:p w14:paraId="69BBF663">
            <w:pPr>
              <w:pStyle w:val="13"/>
              <w:jc w:val="center"/>
              <w:rPr>
                <w:rFonts w:hint="eastAsia"/>
                <w:b/>
              </w:rPr>
            </w:pPr>
            <w:r>
              <w:rPr>
                <w:rFonts w:hint="eastAsia"/>
                <w:b/>
              </w:rPr>
              <w:t>区域面积</w:t>
            </w:r>
          </w:p>
        </w:tc>
        <w:tc>
          <w:tcPr>
            <w:tcW w:w="714" w:type="pct"/>
            <w:vAlign w:val="center"/>
          </w:tcPr>
          <w:p w14:paraId="3478DED0">
            <w:pPr>
              <w:pStyle w:val="13"/>
              <w:jc w:val="center"/>
              <w:rPr>
                <w:rFonts w:hint="eastAsia"/>
                <w:b/>
              </w:rPr>
            </w:pPr>
            <w:r>
              <w:rPr>
                <w:rFonts w:hint="eastAsia"/>
                <w:b/>
              </w:rPr>
              <w:t>人口</w:t>
            </w:r>
          </w:p>
        </w:tc>
        <w:tc>
          <w:tcPr>
            <w:tcW w:w="714" w:type="pct"/>
            <w:vAlign w:val="center"/>
          </w:tcPr>
          <w:p w14:paraId="09DD994D">
            <w:pPr>
              <w:pStyle w:val="13"/>
              <w:jc w:val="center"/>
              <w:rPr>
                <w:rFonts w:hint="eastAsia"/>
                <w:b/>
              </w:rPr>
            </w:pPr>
            <w:r>
              <w:rPr>
                <w:rFonts w:hint="eastAsia"/>
                <w:b/>
              </w:rPr>
              <w:t>耕地面积</w:t>
            </w:r>
          </w:p>
        </w:tc>
        <w:tc>
          <w:tcPr>
            <w:tcW w:w="714" w:type="pct"/>
            <w:vAlign w:val="center"/>
          </w:tcPr>
          <w:p w14:paraId="0FD155F1">
            <w:pPr>
              <w:pStyle w:val="13"/>
              <w:jc w:val="center"/>
              <w:rPr>
                <w:rFonts w:hint="eastAsia"/>
                <w:b/>
              </w:rPr>
            </w:pPr>
            <w:r>
              <w:rPr>
                <w:rFonts w:hint="eastAsia"/>
                <w:b/>
              </w:rPr>
              <w:t>村小组数</w:t>
            </w:r>
          </w:p>
        </w:tc>
        <w:tc>
          <w:tcPr>
            <w:tcW w:w="714" w:type="pct"/>
            <w:vAlign w:val="center"/>
          </w:tcPr>
          <w:p w14:paraId="1F31E04B">
            <w:pPr>
              <w:pStyle w:val="13"/>
              <w:jc w:val="center"/>
              <w:rPr>
                <w:rFonts w:hint="eastAsia"/>
                <w:b/>
              </w:rPr>
            </w:pPr>
            <w:r>
              <w:rPr>
                <w:rFonts w:hint="eastAsia"/>
                <w:b/>
              </w:rPr>
              <w:t>经济总收入</w:t>
            </w:r>
          </w:p>
        </w:tc>
        <w:tc>
          <w:tcPr>
            <w:tcW w:w="714" w:type="pct"/>
            <w:vAlign w:val="center"/>
          </w:tcPr>
          <w:p w14:paraId="60A20C0B">
            <w:pPr>
              <w:pStyle w:val="13"/>
              <w:jc w:val="center"/>
              <w:rPr>
                <w:rFonts w:hint="eastAsia"/>
                <w:b/>
              </w:rPr>
            </w:pPr>
            <w:r>
              <w:rPr>
                <w:rFonts w:hint="eastAsia"/>
                <w:b/>
              </w:rPr>
              <w:t>人均纯收入</w:t>
            </w:r>
          </w:p>
        </w:tc>
      </w:tr>
      <w:tr w14:paraId="6DC61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pct"/>
            <w:vAlign w:val="center"/>
          </w:tcPr>
          <w:p w14:paraId="085B8FD5">
            <w:pPr>
              <w:pStyle w:val="13"/>
              <w:jc w:val="center"/>
              <w:rPr>
                <w:rFonts w:hint="eastAsia"/>
              </w:rPr>
            </w:pPr>
            <w:r>
              <w:rPr>
                <w:rFonts w:hint="eastAsia"/>
              </w:rPr>
              <w:t>居委会</w:t>
            </w:r>
          </w:p>
        </w:tc>
        <w:tc>
          <w:tcPr>
            <w:tcW w:w="714" w:type="pct"/>
            <w:vAlign w:val="center"/>
          </w:tcPr>
          <w:p w14:paraId="173F05CA">
            <w:pPr>
              <w:pStyle w:val="13"/>
              <w:jc w:val="center"/>
              <w:rPr>
                <w:rFonts w:hint="eastAsia"/>
              </w:rPr>
            </w:pPr>
            <w:r>
              <w:rPr>
                <w:rFonts w:hint="eastAsia"/>
              </w:rPr>
              <w:t>4046</w:t>
            </w:r>
          </w:p>
        </w:tc>
        <w:tc>
          <w:tcPr>
            <w:tcW w:w="714" w:type="pct"/>
            <w:vAlign w:val="center"/>
          </w:tcPr>
          <w:p w14:paraId="6359085E">
            <w:pPr>
              <w:pStyle w:val="13"/>
              <w:jc w:val="center"/>
              <w:rPr>
                <w:rFonts w:hint="eastAsia"/>
              </w:rPr>
            </w:pPr>
          </w:p>
        </w:tc>
        <w:tc>
          <w:tcPr>
            <w:tcW w:w="714" w:type="pct"/>
            <w:vAlign w:val="center"/>
          </w:tcPr>
          <w:p w14:paraId="33753FE3">
            <w:pPr>
              <w:pStyle w:val="13"/>
              <w:jc w:val="center"/>
              <w:rPr>
                <w:rFonts w:hint="eastAsia"/>
              </w:rPr>
            </w:pPr>
          </w:p>
        </w:tc>
        <w:tc>
          <w:tcPr>
            <w:tcW w:w="714" w:type="pct"/>
            <w:vAlign w:val="center"/>
          </w:tcPr>
          <w:p w14:paraId="3202293C">
            <w:pPr>
              <w:pStyle w:val="13"/>
              <w:jc w:val="center"/>
              <w:rPr>
                <w:rFonts w:hint="eastAsia"/>
              </w:rPr>
            </w:pPr>
          </w:p>
        </w:tc>
        <w:tc>
          <w:tcPr>
            <w:tcW w:w="714" w:type="pct"/>
            <w:vAlign w:val="center"/>
          </w:tcPr>
          <w:p w14:paraId="341059E8">
            <w:pPr>
              <w:pStyle w:val="13"/>
              <w:jc w:val="center"/>
              <w:rPr>
                <w:rFonts w:hint="eastAsia"/>
              </w:rPr>
            </w:pPr>
          </w:p>
        </w:tc>
        <w:tc>
          <w:tcPr>
            <w:tcW w:w="714" w:type="pct"/>
            <w:vAlign w:val="center"/>
          </w:tcPr>
          <w:p w14:paraId="4B5EC9BE">
            <w:pPr>
              <w:pStyle w:val="13"/>
              <w:jc w:val="center"/>
              <w:rPr>
                <w:rFonts w:hint="eastAsia"/>
              </w:rPr>
            </w:pPr>
          </w:p>
        </w:tc>
      </w:tr>
      <w:tr w14:paraId="4786D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pct"/>
            <w:vAlign w:val="center"/>
          </w:tcPr>
          <w:p w14:paraId="1E6EA700">
            <w:pPr>
              <w:pStyle w:val="13"/>
              <w:jc w:val="center"/>
              <w:rPr>
                <w:rFonts w:hint="eastAsia"/>
              </w:rPr>
            </w:pPr>
            <w:r>
              <w:rPr>
                <w:rFonts w:hint="eastAsia"/>
              </w:rPr>
              <w:t>乌迳</w:t>
            </w:r>
          </w:p>
        </w:tc>
        <w:tc>
          <w:tcPr>
            <w:tcW w:w="714" w:type="pct"/>
            <w:vAlign w:val="center"/>
          </w:tcPr>
          <w:p w14:paraId="0DAB4B71">
            <w:pPr>
              <w:pStyle w:val="13"/>
              <w:jc w:val="center"/>
              <w:rPr>
                <w:rFonts w:hint="eastAsia"/>
              </w:rPr>
            </w:pPr>
            <w:r>
              <w:rPr>
                <w:rFonts w:hint="eastAsia"/>
              </w:rPr>
              <w:t>3.16</w:t>
            </w:r>
          </w:p>
        </w:tc>
        <w:tc>
          <w:tcPr>
            <w:tcW w:w="714" w:type="pct"/>
            <w:vAlign w:val="center"/>
          </w:tcPr>
          <w:p w14:paraId="736C4BCB">
            <w:pPr>
              <w:pStyle w:val="13"/>
              <w:jc w:val="center"/>
              <w:rPr>
                <w:rFonts w:hint="eastAsia"/>
              </w:rPr>
            </w:pPr>
            <w:r>
              <w:rPr>
                <w:rFonts w:hint="eastAsia"/>
              </w:rPr>
              <w:t>2185</w:t>
            </w:r>
          </w:p>
        </w:tc>
        <w:tc>
          <w:tcPr>
            <w:tcW w:w="714" w:type="pct"/>
            <w:vAlign w:val="center"/>
          </w:tcPr>
          <w:p w14:paraId="0CADC45E">
            <w:pPr>
              <w:pStyle w:val="13"/>
              <w:jc w:val="center"/>
              <w:rPr>
                <w:rFonts w:hint="eastAsia"/>
              </w:rPr>
            </w:pPr>
            <w:r>
              <w:rPr>
                <w:rFonts w:hint="eastAsia"/>
              </w:rPr>
              <w:t>1825</w:t>
            </w:r>
          </w:p>
        </w:tc>
        <w:tc>
          <w:tcPr>
            <w:tcW w:w="714" w:type="pct"/>
            <w:vAlign w:val="center"/>
          </w:tcPr>
          <w:p w14:paraId="6CE844CF">
            <w:pPr>
              <w:pStyle w:val="13"/>
              <w:jc w:val="center"/>
              <w:rPr>
                <w:rFonts w:hint="eastAsia"/>
              </w:rPr>
            </w:pPr>
            <w:r>
              <w:rPr>
                <w:rFonts w:hint="eastAsia"/>
              </w:rPr>
              <w:t>5</w:t>
            </w:r>
          </w:p>
        </w:tc>
        <w:tc>
          <w:tcPr>
            <w:tcW w:w="714" w:type="pct"/>
            <w:vAlign w:val="center"/>
          </w:tcPr>
          <w:p w14:paraId="4C50724E">
            <w:pPr>
              <w:pStyle w:val="13"/>
              <w:jc w:val="center"/>
              <w:rPr>
                <w:rFonts w:hint="eastAsia"/>
              </w:rPr>
            </w:pPr>
            <w:r>
              <w:rPr>
                <w:rFonts w:hint="eastAsia"/>
              </w:rPr>
              <w:t>2267.3</w:t>
            </w:r>
          </w:p>
        </w:tc>
        <w:tc>
          <w:tcPr>
            <w:tcW w:w="714" w:type="pct"/>
            <w:vAlign w:val="center"/>
          </w:tcPr>
          <w:p w14:paraId="3A53784D">
            <w:pPr>
              <w:pStyle w:val="13"/>
              <w:jc w:val="center"/>
              <w:rPr>
                <w:rFonts w:hint="eastAsia"/>
              </w:rPr>
            </w:pPr>
            <w:r>
              <w:rPr>
                <w:rFonts w:hint="eastAsia"/>
              </w:rPr>
              <w:t>5816.7</w:t>
            </w:r>
          </w:p>
        </w:tc>
      </w:tr>
      <w:tr w14:paraId="145EAD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pct"/>
            <w:vAlign w:val="center"/>
          </w:tcPr>
          <w:p w14:paraId="4E2B66FF">
            <w:pPr>
              <w:pStyle w:val="13"/>
              <w:jc w:val="center"/>
              <w:rPr>
                <w:rFonts w:hint="eastAsia"/>
              </w:rPr>
            </w:pPr>
            <w:r>
              <w:rPr>
                <w:rFonts w:hint="eastAsia"/>
              </w:rPr>
              <w:t>山下</w:t>
            </w:r>
          </w:p>
        </w:tc>
        <w:tc>
          <w:tcPr>
            <w:tcW w:w="714" w:type="pct"/>
            <w:vAlign w:val="center"/>
          </w:tcPr>
          <w:p w14:paraId="1775283D">
            <w:pPr>
              <w:pStyle w:val="13"/>
              <w:jc w:val="center"/>
              <w:rPr>
                <w:rFonts w:hint="eastAsia"/>
              </w:rPr>
            </w:pPr>
            <w:r>
              <w:rPr>
                <w:rFonts w:hint="eastAsia"/>
              </w:rPr>
              <w:t>3.8</w:t>
            </w:r>
          </w:p>
        </w:tc>
        <w:tc>
          <w:tcPr>
            <w:tcW w:w="714" w:type="pct"/>
            <w:vAlign w:val="center"/>
          </w:tcPr>
          <w:p w14:paraId="5F5698F1">
            <w:pPr>
              <w:pStyle w:val="13"/>
              <w:jc w:val="center"/>
              <w:rPr>
                <w:rFonts w:hint="eastAsia"/>
              </w:rPr>
            </w:pPr>
            <w:r>
              <w:rPr>
                <w:rFonts w:hint="eastAsia"/>
              </w:rPr>
              <w:t>2147</w:t>
            </w:r>
          </w:p>
        </w:tc>
        <w:tc>
          <w:tcPr>
            <w:tcW w:w="714" w:type="pct"/>
            <w:vAlign w:val="center"/>
          </w:tcPr>
          <w:p w14:paraId="02A5A6D0">
            <w:pPr>
              <w:pStyle w:val="13"/>
              <w:jc w:val="center"/>
              <w:rPr>
                <w:rFonts w:hint="eastAsia"/>
              </w:rPr>
            </w:pPr>
            <w:r>
              <w:rPr>
                <w:rFonts w:hint="eastAsia"/>
              </w:rPr>
              <w:t>2263</w:t>
            </w:r>
          </w:p>
        </w:tc>
        <w:tc>
          <w:tcPr>
            <w:tcW w:w="714" w:type="pct"/>
            <w:vAlign w:val="center"/>
          </w:tcPr>
          <w:p w14:paraId="7B2F26E4">
            <w:pPr>
              <w:pStyle w:val="13"/>
              <w:jc w:val="center"/>
              <w:rPr>
                <w:rFonts w:hint="eastAsia"/>
              </w:rPr>
            </w:pPr>
            <w:r>
              <w:rPr>
                <w:rFonts w:hint="eastAsia"/>
              </w:rPr>
              <w:t>4</w:t>
            </w:r>
          </w:p>
        </w:tc>
        <w:tc>
          <w:tcPr>
            <w:tcW w:w="714" w:type="pct"/>
            <w:vAlign w:val="center"/>
          </w:tcPr>
          <w:p w14:paraId="7737ECF8">
            <w:pPr>
              <w:pStyle w:val="13"/>
              <w:jc w:val="center"/>
              <w:rPr>
                <w:rFonts w:hint="eastAsia"/>
              </w:rPr>
            </w:pPr>
            <w:r>
              <w:rPr>
                <w:rFonts w:hint="eastAsia"/>
              </w:rPr>
              <w:t>2414.4</w:t>
            </w:r>
          </w:p>
        </w:tc>
        <w:tc>
          <w:tcPr>
            <w:tcW w:w="714" w:type="pct"/>
            <w:vAlign w:val="center"/>
          </w:tcPr>
          <w:p w14:paraId="4813191A">
            <w:pPr>
              <w:pStyle w:val="13"/>
              <w:jc w:val="center"/>
              <w:rPr>
                <w:rFonts w:hint="eastAsia"/>
              </w:rPr>
            </w:pPr>
            <w:r>
              <w:rPr>
                <w:rFonts w:hint="eastAsia"/>
              </w:rPr>
              <w:t>5827</w:t>
            </w:r>
          </w:p>
        </w:tc>
      </w:tr>
      <w:tr w14:paraId="1A91B5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pct"/>
            <w:vAlign w:val="center"/>
          </w:tcPr>
          <w:p w14:paraId="0918EC08">
            <w:pPr>
              <w:pStyle w:val="13"/>
              <w:jc w:val="center"/>
              <w:rPr>
                <w:rFonts w:hint="eastAsia"/>
              </w:rPr>
            </w:pPr>
            <w:r>
              <w:rPr>
                <w:rFonts w:hint="eastAsia"/>
              </w:rPr>
              <w:t>鱼塘</w:t>
            </w:r>
          </w:p>
        </w:tc>
        <w:tc>
          <w:tcPr>
            <w:tcW w:w="714" w:type="pct"/>
            <w:vAlign w:val="center"/>
          </w:tcPr>
          <w:p w14:paraId="1C00E12F">
            <w:pPr>
              <w:pStyle w:val="13"/>
              <w:jc w:val="center"/>
              <w:rPr>
                <w:rFonts w:hint="eastAsia"/>
              </w:rPr>
            </w:pPr>
            <w:r>
              <w:rPr>
                <w:rFonts w:hint="eastAsia"/>
              </w:rPr>
              <w:t>9</w:t>
            </w:r>
          </w:p>
        </w:tc>
        <w:tc>
          <w:tcPr>
            <w:tcW w:w="714" w:type="pct"/>
            <w:vAlign w:val="center"/>
          </w:tcPr>
          <w:p w14:paraId="105A7847">
            <w:pPr>
              <w:pStyle w:val="13"/>
              <w:jc w:val="center"/>
              <w:rPr>
                <w:rFonts w:hint="eastAsia"/>
              </w:rPr>
            </w:pPr>
            <w:r>
              <w:rPr>
                <w:rFonts w:hint="eastAsia"/>
              </w:rPr>
              <w:t>2293</w:t>
            </w:r>
          </w:p>
        </w:tc>
        <w:tc>
          <w:tcPr>
            <w:tcW w:w="714" w:type="pct"/>
            <w:vAlign w:val="center"/>
          </w:tcPr>
          <w:p w14:paraId="666AD86B">
            <w:pPr>
              <w:pStyle w:val="13"/>
              <w:jc w:val="center"/>
              <w:rPr>
                <w:rFonts w:hint="eastAsia"/>
              </w:rPr>
            </w:pPr>
            <w:r>
              <w:rPr>
                <w:rFonts w:hint="eastAsia"/>
              </w:rPr>
              <w:t>2697</w:t>
            </w:r>
          </w:p>
        </w:tc>
        <w:tc>
          <w:tcPr>
            <w:tcW w:w="714" w:type="pct"/>
            <w:vAlign w:val="center"/>
          </w:tcPr>
          <w:p w14:paraId="288176A6">
            <w:pPr>
              <w:pStyle w:val="13"/>
              <w:jc w:val="center"/>
              <w:rPr>
                <w:rFonts w:hint="eastAsia"/>
              </w:rPr>
            </w:pPr>
            <w:r>
              <w:rPr>
                <w:rFonts w:hint="eastAsia"/>
              </w:rPr>
              <w:t>16</w:t>
            </w:r>
          </w:p>
        </w:tc>
        <w:tc>
          <w:tcPr>
            <w:tcW w:w="714" w:type="pct"/>
            <w:vAlign w:val="center"/>
          </w:tcPr>
          <w:p w14:paraId="1884B0AF">
            <w:pPr>
              <w:pStyle w:val="13"/>
              <w:jc w:val="center"/>
              <w:rPr>
                <w:rFonts w:hint="eastAsia"/>
              </w:rPr>
            </w:pPr>
            <w:r>
              <w:rPr>
                <w:rFonts w:hint="eastAsia"/>
              </w:rPr>
              <w:t>2676.1</w:t>
            </w:r>
          </w:p>
        </w:tc>
        <w:tc>
          <w:tcPr>
            <w:tcW w:w="714" w:type="pct"/>
            <w:vAlign w:val="center"/>
          </w:tcPr>
          <w:p w14:paraId="0E6E0298">
            <w:pPr>
              <w:pStyle w:val="13"/>
              <w:jc w:val="center"/>
              <w:rPr>
                <w:rFonts w:hint="eastAsia"/>
              </w:rPr>
            </w:pPr>
            <w:r>
              <w:rPr>
                <w:rFonts w:hint="eastAsia"/>
              </w:rPr>
              <w:t>5613.7</w:t>
            </w:r>
          </w:p>
        </w:tc>
      </w:tr>
      <w:tr w14:paraId="06E0B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pct"/>
            <w:vAlign w:val="center"/>
          </w:tcPr>
          <w:p w14:paraId="2E37FE08">
            <w:pPr>
              <w:pStyle w:val="13"/>
              <w:jc w:val="center"/>
              <w:rPr>
                <w:rFonts w:hint="eastAsia"/>
              </w:rPr>
            </w:pPr>
            <w:r>
              <w:rPr>
                <w:rFonts w:hint="eastAsia"/>
              </w:rPr>
              <w:t>新田</w:t>
            </w:r>
          </w:p>
        </w:tc>
        <w:tc>
          <w:tcPr>
            <w:tcW w:w="714" w:type="pct"/>
            <w:vAlign w:val="center"/>
          </w:tcPr>
          <w:p w14:paraId="04763762">
            <w:pPr>
              <w:pStyle w:val="13"/>
              <w:jc w:val="center"/>
              <w:rPr>
                <w:rFonts w:hint="eastAsia"/>
              </w:rPr>
            </w:pPr>
            <w:r>
              <w:rPr>
                <w:rFonts w:hint="eastAsia"/>
              </w:rPr>
              <w:t>6.68</w:t>
            </w:r>
          </w:p>
        </w:tc>
        <w:tc>
          <w:tcPr>
            <w:tcW w:w="714" w:type="pct"/>
            <w:vAlign w:val="center"/>
          </w:tcPr>
          <w:p w14:paraId="14F54B5A">
            <w:pPr>
              <w:pStyle w:val="13"/>
              <w:jc w:val="center"/>
              <w:rPr>
                <w:rFonts w:hint="eastAsia"/>
              </w:rPr>
            </w:pPr>
            <w:r>
              <w:rPr>
                <w:rFonts w:hint="eastAsia"/>
              </w:rPr>
              <w:t>2387</w:t>
            </w:r>
          </w:p>
        </w:tc>
        <w:tc>
          <w:tcPr>
            <w:tcW w:w="714" w:type="pct"/>
            <w:vAlign w:val="center"/>
          </w:tcPr>
          <w:p w14:paraId="3F008735">
            <w:pPr>
              <w:pStyle w:val="13"/>
              <w:jc w:val="center"/>
              <w:rPr>
                <w:rFonts w:hint="eastAsia"/>
              </w:rPr>
            </w:pPr>
            <w:r>
              <w:rPr>
                <w:rFonts w:hint="eastAsia"/>
              </w:rPr>
              <w:t>2970</w:t>
            </w:r>
          </w:p>
        </w:tc>
        <w:tc>
          <w:tcPr>
            <w:tcW w:w="714" w:type="pct"/>
            <w:vAlign w:val="center"/>
          </w:tcPr>
          <w:p w14:paraId="46A7DBF4">
            <w:pPr>
              <w:pStyle w:val="13"/>
              <w:jc w:val="center"/>
              <w:rPr>
                <w:rFonts w:hint="eastAsia"/>
              </w:rPr>
            </w:pPr>
            <w:r>
              <w:rPr>
                <w:rFonts w:hint="eastAsia"/>
              </w:rPr>
              <w:t>10</w:t>
            </w:r>
          </w:p>
        </w:tc>
        <w:tc>
          <w:tcPr>
            <w:tcW w:w="714" w:type="pct"/>
            <w:vAlign w:val="center"/>
          </w:tcPr>
          <w:p w14:paraId="15615274">
            <w:pPr>
              <w:pStyle w:val="13"/>
              <w:jc w:val="center"/>
              <w:rPr>
                <w:rFonts w:hint="eastAsia"/>
              </w:rPr>
            </w:pPr>
            <w:r>
              <w:rPr>
                <w:rFonts w:hint="eastAsia"/>
              </w:rPr>
              <w:t>2834.1</w:t>
            </w:r>
          </w:p>
        </w:tc>
        <w:tc>
          <w:tcPr>
            <w:tcW w:w="714" w:type="pct"/>
            <w:vAlign w:val="center"/>
          </w:tcPr>
          <w:p w14:paraId="2E66CE88">
            <w:pPr>
              <w:pStyle w:val="13"/>
              <w:jc w:val="center"/>
              <w:rPr>
                <w:rFonts w:hint="eastAsia"/>
              </w:rPr>
            </w:pPr>
            <w:r>
              <w:rPr>
                <w:rFonts w:hint="eastAsia"/>
              </w:rPr>
              <w:t>5614.7</w:t>
            </w:r>
          </w:p>
        </w:tc>
      </w:tr>
      <w:tr w14:paraId="5BD30E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pct"/>
            <w:vAlign w:val="center"/>
          </w:tcPr>
          <w:p w14:paraId="4CDA752E">
            <w:pPr>
              <w:pStyle w:val="13"/>
              <w:jc w:val="center"/>
              <w:rPr>
                <w:rFonts w:hint="eastAsia"/>
              </w:rPr>
            </w:pPr>
            <w:r>
              <w:rPr>
                <w:rFonts w:hint="eastAsia"/>
              </w:rPr>
              <w:t>高溯</w:t>
            </w:r>
          </w:p>
        </w:tc>
        <w:tc>
          <w:tcPr>
            <w:tcW w:w="714" w:type="pct"/>
            <w:vAlign w:val="center"/>
          </w:tcPr>
          <w:p w14:paraId="2E201CB2">
            <w:pPr>
              <w:pStyle w:val="13"/>
              <w:jc w:val="center"/>
              <w:rPr>
                <w:rFonts w:hint="eastAsia"/>
              </w:rPr>
            </w:pPr>
            <w:r>
              <w:rPr>
                <w:rFonts w:hint="eastAsia"/>
              </w:rPr>
              <w:t>4.41</w:t>
            </w:r>
          </w:p>
        </w:tc>
        <w:tc>
          <w:tcPr>
            <w:tcW w:w="714" w:type="pct"/>
            <w:vAlign w:val="center"/>
          </w:tcPr>
          <w:p w14:paraId="345CAFBF">
            <w:pPr>
              <w:pStyle w:val="13"/>
              <w:jc w:val="center"/>
              <w:rPr>
                <w:rFonts w:hint="eastAsia"/>
              </w:rPr>
            </w:pPr>
            <w:r>
              <w:rPr>
                <w:rFonts w:hint="eastAsia"/>
              </w:rPr>
              <w:t>2576</w:t>
            </w:r>
          </w:p>
        </w:tc>
        <w:tc>
          <w:tcPr>
            <w:tcW w:w="714" w:type="pct"/>
            <w:vAlign w:val="center"/>
          </w:tcPr>
          <w:p w14:paraId="3BB06689">
            <w:pPr>
              <w:pStyle w:val="13"/>
              <w:jc w:val="center"/>
              <w:rPr>
                <w:rFonts w:hint="eastAsia"/>
              </w:rPr>
            </w:pPr>
            <w:r>
              <w:rPr>
                <w:rFonts w:hint="eastAsia"/>
              </w:rPr>
              <w:t>2650</w:t>
            </w:r>
          </w:p>
        </w:tc>
        <w:tc>
          <w:tcPr>
            <w:tcW w:w="714" w:type="pct"/>
            <w:vAlign w:val="center"/>
          </w:tcPr>
          <w:p w14:paraId="412ECFE5">
            <w:pPr>
              <w:pStyle w:val="13"/>
              <w:jc w:val="center"/>
              <w:rPr>
                <w:rFonts w:hint="eastAsia"/>
              </w:rPr>
            </w:pPr>
            <w:r>
              <w:rPr>
                <w:rFonts w:hint="eastAsia"/>
              </w:rPr>
              <w:t>7</w:t>
            </w:r>
          </w:p>
        </w:tc>
        <w:tc>
          <w:tcPr>
            <w:tcW w:w="714" w:type="pct"/>
            <w:vAlign w:val="center"/>
          </w:tcPr>
          <w:p w14:paraId="007AAF1D">
            <w:pPr>
              <w:pStyle w:val="13"/>
              <w:jc w:val="center"/>
              <w:rPr>
                <w:rFonts w:hint="eastAsia"/>
              </w:rPr>
            </w:pPr>
            <w:r>
              <w:rPr>
                <w:rFonts w:hint="eastAsia"/>
              </w:rPr>
              <w:t>2997.4</w:t>
            </w:r>
          </w:p>
        </w:tc>
        <w:tc>
          <w:tcPr>
            <w:tcW w:w="714" w:type="pct"/>
            <w:vAlign w:val="center"/>
          </w:tcPr>
          <w:p w14:paraId="34F6E687">
            <w:pPr>
              <w:pStyle w:val="13"/>
              <w:jc w:val="center"/>
              <w:rPr>
                <w:rFonts w:hint="eastAsia"/>
              </w:rPr>
            </w:pPr>
            <w:r>
              <w:rPr>
                <w:rFonts w:hint="eastAsia"/>
              </w:rPr>
              <w:t>5869.5</w:t>
            </w:r>
          </w:p>
        </w:tc>
      </w:tr>
      <w:tr w14:paraId="11493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pct"/>
            <w:vAlign w:val="center"/>
          </w:tcPr>
          <w:p w14:paraId="7671DAC6">
            <w:pPr>
              <w:pStyle w:val="13"/>
              <w:jc w:val="center"/>
              <w:rPr>
                <w:rFonts w:hint="eastAsia"/>
              </w:rPr>
            </w:pPr>
            <w:r>
              <w:rPr>
                <w:rFonts w:hint="eastAsia"/>
              </w:rPr>
              <w:t>长龙</w:t>
            </w:r>
          </w:p>
        </w:tc>
        <w:tc>
          <w:tcPr>
            <w:tcW w:w="714" w:type="pct"/>
            <w:vAlign w:val="center"/>
          </w:tcPr>
          <w:p w14:paraId="0EBE0D65">
            <w:pPr>
              <w:pStyle w:val="13"/>
              <w:jc w:val="center"/>
              <w:rPr>
                <w:rFonts w:hint="eastAsia"/>
              </w:rPr>
            </w:pPr>
            <w:r>
              <w:rPr>
                <w:rFonts w:hint="eastAsia"/>
              </w:rPr>
              <w:t>5.82</w:t>
            </w:r>
          </w:p>
        </w:tc>
        <w:tc>
          <w:tcPr>
            <w:tcW w:w="714" w:type="pct"/>
            <w:vAlign w:val="center"/>
          </w:tcPr>
          <w:p w14:paraId="6AC72AA9">
            <w:pPr>
              <w:pStyle w:val="13"/>
              <w:jc w:val="center"/>
              <w:rPr>
                <w:rFonts w:hint="eastAsia"/>
              </w:rPr>
            </w:pPr>
            <w:r>
              <w:rPr>
                <w:rFonts w:hint="eastAsia"/>
              </w:rPr>
              <w:t>2335</w:t>
            </w:r>
          </w:p>
        </w:tc>
        <w:tc>
          <w:tcPr>
            <w:tcW w:w="714" w:type="pct"/>
            <w:vAlign w:val="center"/>
          </w:tcPr>
          <w:p w14:paraId="5D18CFFE">
            <w:pPr>
              <w:pStyle w:val="13"/>
              <w:jc w:val="center"/>
              <w:rPr>
                <w:rFonts w:hint="eastAsia"/>
              </w:rPr>
            </w:pPr>
            <w:r>
              <w:rPr>
                <w:rFonts w:hint="eastAsia"/>
              </w:rPr>
              <w:t>3130</w:t>
            </w:r>
          </w:p>
        </w:tc>
        <w:tc>
          <w:tcPr>
            <w:tcW w:w="714" w:type="pct"/>
            <w:vAlign w:val="center"/>
          </w:tcPr>
          <w:p w14:paraId="25359662">
            <w:pPr>
              <w:pStyle w:val="13"/>
              <w:jc w:val="center"/>
              <w:rPr>
                <w:rFonts w:hint="eastAsia"/>
              </w:rPr>
            </w:pPr>
            <w:r>
              <w:rPr>
                <w:rFonts w:hint="eastAsia"/>
              </w:rPr>
              <w:t>10</w:t>
            </w:r>
          </w:p>
        </w:tc>
        <w:tc>
          <w:tcPr>
            <w:tcW w:w="714" w:type="pct"/>
            <w:vAlign w:val="center"/>
          </w:tcPr>
          <w:p w14:paraId="712C8EE0">
            <w:pPr>
              <w:pStyle w:val="13"/>
              <w:jc w:val="center"/>
              <w:rPr>
                <w:rFonts w:hint="eastAsia"/>
              </w:rPr>
            </w:pPr>
            <w:r>
              <w:rPr>
                <w:rFonts w:hint="eastAsia"/>
              </w:rPr>
              <w:t>2714.2</w:t>
            </w:r>
          </w:p>
        </w:tc>
        <w:tc>
          <w:tcPr>
            <w:tcW w:w="714" w:type="pct"/>
            <w:vAlign w:val="center"/>
          </w:tcPr>
          <w:p w14:paraId="7F100826">
            <w:pPr>
              <w:pStyle w:val="13"/>
              <w:jc w:val="center"/>
              <w:rPr>
                <w:rFonts w:hint="eastAsia"/>
              </w:rPr>
            </w:pPr>
            <w:r>
              <w:rPr>
                <w:rFonts w:hint="eastAsia"/>
              </w:rPr>
              <w:t>5615.8</w:t>
            </w:r>
          </w:p>
        </w:tc>
      </w:tr>
      <w:tr w14:paraId="007A19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pct"/>
            <w:vAlign w:val="center"/>
          </w:tcPr>
          <w:p w14:paraId="3403A399">
            <w:pPr>
              <w:pStyle w:val="13"/>
              <w:jc w:val="center"/>
              <w:rPr>
                <w:rFonts w:hint="eastAsia"/>
              </w:rPr>
            </w:pPr>
            <w:r>
              <w:rPr>
                <w:rFonts w:hint="eastAsia"/>
              </w:rPr>
              <w:t>白龙</w:t>
            </w:r>
          </w:p>
        </w:tc>
        <w:tc>
          <w:tcPr>
            <w:tcW w:w="714" w:type="pct"/>
            <w:vAlign w:val="center"/>
          </w:tcPr>
          <w:p w14:paraId="5C228E18">
            <w:pPr>
              <w:pStyle w:val="13"/>
              <w:jc w:val="center"/>
              <w:rPr>
                <w:rFonts w:hint="eastAsia"/>
              </w:rPr>
            </w:pPr>
            <w:r>
              <w:rPr>
                <w:rFonts w:hint="eastAsia"/>
              </w:rPr>
              <w:t>6.11</w:t>
            </w:r>
          </w:p>
        </w:tc>
        <w:tc>
          <w:tcPr>
            <w:tcW w:w="714" w:type="pct"/>
            <w:vAlign w:val="center"/>
          </w:tcPr>
          <w:p w14:paraId="13D7C58B">
            <w:pPr>
              <w:pStyle w:val="13"/>
              <w:jc w:val="center"/>
              <w:rPr>
                <w:rFonts w:hint="eastAsia"/>
              </w:rPr>
            </w:pPr>
            <w:r>
              <w:rPr>
                <w:rFonts w:hint="eastAsia"/>
              </w:rPr>
              <w:t>1159</w:t>
            </w:r>
          </w:p>
        </w:tc>
        <w:tc>
          <w:tcPr>
            <w:tcW w:w="714" w:type="pct"/>
            <w:vAlign w:val="center"/>
          </w:tcPr>
          <w:p w14:paraId="5EED9E63">
            <w:pPr>
              <w:pStyle w:val="13"/>
              <w:jc w:val="center"/>
              <w:rPr>
                <w:rFonts w:hint="eastAsia"/>
              </w:rPr>
            </w:pPr>
            <w:r>
              <w:rPr>
                <w:rFonts w:hint="eastAsia"/>
              </w:rPr>
              <w:t>1933</w:t>
            </w:r>
          </w:p>
        </w:tc>
        <w:tc>
          <w:tcPr>
            <w:tcW w:w="714" w:type="pct"/>
            <w:vAlign w:val="center"/>
          </w:tcPr>
          <w:p w14:paraId="25C3B2DA">
            <w:pPr>
              <w:pStyle w:val="13"/>
              <w:jc w:val="center"/>
              <w:rPr>
                <w:rFonts w:hint="eastAsia"/>
              </w:rPr>
            </w:pPr>
            <w:r>
              <w:rPr>
                <w:rFonts w:hint="eastAsia"/>
              </w:rPr>
              <w:t>9</w:t>
            </w:r>
          </w:p>
        </w:tc>
        <w:tc>
          <w:tcPr>
            <w:tcW w:w="714" w:type="pct"/>
            <w:vAlign w:val="center"/>
          </w:tcPr>
          <w:p w14:paraId="3B707EA3">
            <w:pPr>
              <w:pStyle w:val="13"/>
              <w:jc w:val="center"/>
              <w:rPr>
                <w:rFonts w:hint="eastAsia"/>
              </w:rPr>
            </w:pPr>
            <w:r>
              <w:rPr>
                <w:rFonts w:hint="eastAsia"/>
              </w:rPr>
              <w:t>1509.6</w:t>
            </w:r>
          </w:p>
        </w:tc>
        <w:tc>
          <w:tcPr>
            <w:tcW w:w="714" w:type="pct"/>
            <w:vAlign w:val="center"/>
          </w:tcPr>
          <w:p w14:paraId="131EA9DA">
            <w:pPr>
              <w:pStyle w:val="13"/>
              <w:jc w:val="center"/>
              <w:rPr>
                <w:rFonts w:hint="eastAsia"/>
              </w:rPr>
            </w:pPr>
            <w:r>
              <w:rPr>
                <w:rFonts w:hint="eastAsia"/>
              </w:rPr>
              <w:t>5616.2</w:t>
            </w:r>
          </w:p>
        </w:tc>
      </w:tr>
      <w:tr w14:paraId="0660B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pct"/>
            <w:vAlign w:val="center"/>
          </w:tcPr>
          <w:p w14:paraId="7596916C">
            <w:pPr>
              <w:pStyle w:val="13"/>
              <w:jc w:val="center"/>
              <w:rPr>
                <w:rFonts w:hint="eastAsia"/>
              </w:rPr>
            </w:pPr>
            <w:r>
              <w:rPr>
                <w:rFonts w:hint="eastAsia"/>
              </w:rPr>
              <w:t>坪塘</w:t>
            </w:r>
          </w:p>
        </w:tc>
        <w:tc>
          <w:tcPr>
            <w:tcW w:w="714" w:type="pct"/>
            <w:vAlign w:val="center"/>
          </w:tcPr>
          <w:p w14:paraId="41348512">
            <w:pPr>
              <w:pStyle w:val="13"/>
              <w:jc w:val="center"/>
              <w:rPr>
                <w:rFonts w:hint="eastAsia"/>
              </w:rPr>
            </w:pPr>
            <w:r>
              <w:rPr>
                <w:rFonts w:hint="eastAsia"/>
              </w:rPr>
              <w:t>5.07</w:t>
            </w:r>
          </w:p>
        </w:tc>
        <w:tc>
          <w:tcPr>
            <w:tcW w:w="714" w:type="pct"/>
            <w:vAlign w:val="center"/>
          </w:tcPr>
          <w:p w14:paraId="77B95F2D">
            <w:pPr>
              <w:pStyle w:val="13"/>
              <w:jc w:val="center"/>
              <w:rPr>
                <w:rFonts w:hint="eastAsia"/>
              </w:rPr>
            </w:pPr>
            <w:r>
              <w:rPr>
                <w:rFonts w:hint="eastAsia"/>
              </w:rPr>
              <w:t>2438</w:t>
            </w:r>
          </w:p>
        </w:tc>
        <w:tc>
          <w:tcPr>
            <w:tcW w:w="714" w:type="pct"/>
            <w:vAlign w:val="center"/>
          </w:tcPr>
          <w:p w14:paraId="2237037B">
            <w:pPr>
              <w:pStyle w:val="13"/>
              <w:jc w:val="center"/>
              <w:rPr>
                <w:rFonts w:hint="eastAsia"/>
              </w:rPr>
            </w:pPr>
            <w:r>
              <w:rPr>
                <w:rFonts w:hint="eastAsia"/>
              </w:rPr>
              <w:t>2866</w:t>
            </w:r>
          </w:p>
        </w:tc>
        <w:tc>
          <w:tcPr>
            <w:tcW w:w="714" w:type="pct"/>
            <w:vAlign w:val="center"/>
          </w:tcPr>
          <w:p w14:paraId="1477F279">
            <w:pPr>
              <w:pStyle w:val="13"/>
              <w:jc w:val="center"/>
              <w:rPr>
                <w:rFonts w:hint="eastAsia"/>
              </w:rPr>
            </w:pPr>
            <w:r>
              <w:rPr>
                <w:rFonts w:hint="eastAsia"/>
              </w:rPr>
              <w:t>15</w:t>
            </w:r>
          </w:p>
        </w:tc>
        <w:tc>
          <w:tcPr>
            <w:tcW w:w="714" w:type="pct"/>
            <w:vAlign w:val="center"/>
          </w:tcPr>
          <w:p w14:paraId="14DD8550">
            <w:pPr>
              <w:pStyle w:val="13"/>
              <w:jc w:val="center"/>
              <w:rPr>
                <w:rFonts w:hint="eastAsia"/>
              </w:rPr>
            </w:pPr>
            <w:r>
              <w:rPr>
                <w:rFonts w:hint="eastAsia"/>
              </w:rPr>
              <w:t>2932.2</w:t>
            </w:r>
          </w:p>
        </w:tc>
        <w:tc>
          <w:tcPr>
            <w:tcW w:w="714" w:type="pct"/>
            <w:vAlign w:val="center"/>
          </w:tcPr>
          <w:p w14:paraId="569C5127">
            <w:pPr>
              <w:pStyle w:val="13"/>
              <w:jc w:val="center"/>
              <w:rPr>
                <w:rFonts w:hint="eastAsia"/>
              </w:rPr>
            </w:pPr>
            <w:r>
              <w:rPr>
                <w:rFonts w:hint="eastAsia"/>
              </w:rPr>
              <w:t>5567.5</w:t>
            </w:r>
          </w:p>
        </w:tc>
      </w:tr>
      <w:tr w14:paraId="32825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pct"/>
            <w:vAlign w:val="center"/>
          </w:tcPr>
          <w:p w14:paraId="537A6866">
            <w:pPr>
              <w:pStyle w:val="13"/>
              <w:jc w:val="center"/>
              <w:rPr>
                <w:rFonts w:hint="eastAsia"/>
              </w:rPr>
            </w:pPr>
            <w:r>
              <w:rPr>
                <w:rFonts w:hint="eastAsia"/>
              </w:rPr>
              <w:t>响联</w:t>
            </w:r>
          </w:p>
        </w:tc>
        <w:tc>
          <w:tcPr>
            <w:tcW w:w="714" w:type="pct"/>
            <w:vAlign w:val="center"/>
          </w:tcPr>
          <w:p w14:paraId="1DCD1DA5">
            <w:pPr>
              <w:pStyle w:val="13"/>
              <w:jc w:val="center"/>
              <w:rPr>
                <w:rFonts w:hint="eastAsia"/>
              </w:rPr>
            </w:pPr>
            <w:r>
              <w:rPr>
                <w:rFonts w:hint="eastAsia"/>
              </w:rPr>
              <w:t>3.91</w:t>
            </w:r>
          </w:p>
        </w:tc>
        <w:tc>
          <w:tcPr>
            <w:tcW w:w="714" w:type="pct"/>
            <w:vAlign w:val="center"/>
          </w:tcPr>
          <w:p w14:paraId="429B129E">
            <w:pPr>
              <w:pStyle w:val="13"/>
              <w:jc w:val="center"/>
              <w:rPr>
                <w:rFonts w:hint="eastAsia"/>
              </w:rPr>
            </w:pPr>
            <w:r>
              <w:rPr>
                <w:rFonts w:hint="eastAsia"/>
              </w:rPr>
              <w:t>1260</w:t>
            </w:r>
          </w:p>
        </w:tc>
        <w:tc>
          <w:tcPr>
            <w:tcW w:w="714" w:type="pct"/>
            <w:vAlign w:val="center"/>
          </w:tcPr>
          <w:p w14:paraId="7E8D330B">
            <w:pPr>
              <w:pStyle w:val="13"/>
              <w:jc w:val="center"/>
              <w:rPr>
                <w:rFonts w:hint="eastAsia"/>
              </w:rPr>
            </w:pPr>
            <w:r>
              <w:rPr>
                <w:rFonts w:hint="eastAsia"/>
              </w:rPr>
              <w:t>1785</w:t>
            </w:r>
          </w:p>
        </w:tc>
        <w:tc>
          <w:tcPr>
            <w:tcW w:w="714" w:type="pct"/>
            <w:vAlign w:val="center"/>
          </w:tcPr>
          <w:p w14:paraId="731CD344">
            <w:pPr>
              <w:pStyle w:val="13"/>
              <w:jc w:val="center"/>
              <w:rPr>
                <w:rFonts w:hint="eastAsia"/>
              </w:rPr>
            </w:pPr>
            <w:r>
              <w:rPr>
                <w:rFonts w:hint="eastAsia"/>
              </w:rPr>
              <w:t>8</w:t>
            </w:r>
          </w:p>
        </w:tc>
        <w:tc>
          <w:tcPr>
            <w:tcW w:w="714" w:type="pct"/>
            <w:vAlign w:val="center"/>
          </w:tcPr>
          <w:p w14:paraId="7C4BB8D4">
            <w:pPr>
              <w:pStyle w:val="13"/>
              <w:jc w:val="center"/>
              <w:rPr>
                <w:rFonts w:hint="eastAsia"/>
              </w:rPr>
            </w:pPr>
            <w:r>
              <w:rPr>
                <w:rFonts w:hint="eastAsia"/>
              </w:rPr>
              <w:t>1520.6</w:t>
            </w:r>
          </w:p>
        </w:tc>
        <w:tc>
          <w:tcPr>
            <w:tcW w:w="714" w:type="pct"/>
            <w:vAlign w:val="center"/>
          </w:tcPr>
          <w:p w14:paraId="02EE189F">
            <w:pPr>
              <w:pStyle w:val="13"/>
              <w:jc w:val="center"/>
              <w:rPr>
                <w:rFonts w:hint="eastAsia"/>
              </w:rPr>
            </w:pPr>
            <w:r>
              <w:rPr>
                <w:rFonts w:hint="eastAsia"/>
              </w:rPr>
              <w:t>5523.1</w:t>
            </w:r>
          </w:p>
        </w:tc>
      </w:tr>
      <w:tr w14:paraId="44431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pct"/>
            <w:vAlign w:val="center"/>
          </w:tcPr>
          <w:p w14:paraId="21B877DF">
            <w:pPr>
              <w:pStyle w:val="13"/>
              <w:jc w:val="center"/>
              <w:rPr>
                <w:rFonts w:hint="eastAsia"/>
              </w:rPr>
            </w:pPr>
            <w:r>
              <w:rPr>
                <w:rFonts w:hint="eastAsia"/>
              </w:rPr>
              <w:t>龙迳</w:t>
            </w:r>
          </w:p>
        </w:tc>
        <w:tc>
          <w:tcPr>
            <w:tcW w:w="714" w:type="pct"/>
            <w:vAlign w:val="center"/>
          </w:tcPr>
          <w:p w14:paraId="7981BC1F">
            <w:pPr>
              <w:pStyle w:val="13"/>
              <w:jc w:val="center"/>
              <w:rPr>
                <w:rFonts w:hint="eastAsia"/>
              </w:rPr>
            </w:pPr>
            <w:r>
              <w:rPr>
                <w:rFonts w:hint="eastAsia"/>
              </w:rPr>
              <w:t>3.8</w:t>
            </w:r>
          </w:p>
        </w:tc>
        <w:tc>
          <w:tcPr>
            <w:tcW w:w="714" w:type="pct"/>
            <w:vAlign w:val="center"/>
          </w:tcPr>
          <w:p w14:paraId="75C51DE7">
            <w:pPr>
              <w:pStyle w:val="13"/>
              <w:jc w:val="center"/>
              <w:rPr>
                <w:rFonts w:hint="eastAsia"/>
              </w:rPr>
            </w:pPr>
            <w:r>
              <w:rPr>
                <w:rFonts w:hint="eastAsia"/>
              </w:rPr>
              <w:t>1391</w:t>
            </w:r>
          </w:p>
        </w:tc>
        <w:tc>
          <w:tcPr>
            <w:tcW w:w="714" w:type="pct"/>
            <w:vAlign w:val="center"/>
          </w:tcPr>
          <w:p w14:paraId="1A92CD0C">
            <w:pPr>
              <w:pStyle w:val="13"/>
              <w:jc w:val="center"/>
              <w:rPr>
                <w:rFonts w:hint="eastAsia"/>
              </w:rPr>
            </w:pPr>
            <w:r>
              <w:rPr>
                <w:rFonts w:hint="eastAsia"/>
              </w:rPr>
              <w:t>1991</w:t>
            </w:r>
          </w:p>
        </w:tc>
        <w:tc>
          <w:tcPr>
            <w:tcW w:w="714" w:type="pct"/>
            <w:vAlign w:val="center"/>
          </w:tcPr>
          <w:p w14:paraId="39BEBF79">
            <w:pPr>
              <w:pStyle w:val="13"/>
              <w:jc w:val="center"/>
              <w:rPr>
                <w:rFonts w:hint="eastAsia"/>
              </w:rPr>
            </w:pPr>
            <w:r>
              <w:rPr>
                <w:rFonts w:hint="eastAsia"/>
              </w:rPr>
              <w:t>5</w:t>
            </w:r>
          </w:p>
        </w:tc>
        <w:tc>
          <w:tcPr>
            <w:tcW w:w="714" w:type="pct"/>
            <w:vAlign w:val="center"/>
          </w:tcPr>
          <w:p w14:paraId="70F18962">
            <w:pPr>
              <w:pStyle w:val="13"/>
              <w:jc w:val="center"/>
              <w:rPr>
                <w:rFonts w:hint="eastAsia"/>
              </w:rPr>
            </w:pPr>
            <w:r>
              <w:rPr>
                <w:rFonts w:hint="eastAsia"/>
              </w:rPr>
              <w:t>1624.2</w:t>
            </w:r>
          </w:p>
        </w:tc>
        <w:tc>
          <w:tcPr>
            <w:tcW w:w="714" w:type="pct"/>
            <w:vAlign w:val="center"/>
          </w:tcPr>
          <w:p w14:paraId="44C7A2DA">
            <w:pPr>
              <w:pStyle w:val="13"/>
              <w:jc w:val="center"/>
              <w:rPr>
                <w:rFonts w:hint="eastAsia"/>
              </w:rPr>
            </w:pPr>
            <w:r>
              <w:rPr>
                <w:rFonts w:hint="eastAsia"/>
              </w:rPr>
              <w:t>5613.1</w:t>
            </w:r>
          </w:p>
        </w:tc>
      </w:tr>
      <w:tr w14:paraId="5F453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pct"/>
            <w:vAlign w:val="center"/>
          </w:tcPr>
          <w:p w14:paraId="0CDFBD12">
            <w:pPr>
              <w:pStyle w:val="13"/>
              <w:jc w:val="center"/>
              <w:rPr>
                <w:rFonts w:hint="eastAsia"/>
              </w:rPr>
            </w:pPr>
            <w:r>
              <w:rPr>
                <w:rFonts w:hint="eastAsia"/>
              </w:rPr>
              <w:t>黄塘</w:t>
            </w:r>
          </w:p>
        </w:tc>
        <w:tc>
          <w:tcPr>
            <w:tcW w:w="714" w:type="pct"/>
            <w:vAlign w:val="center"/>
          </w:tcPr>
          <w:p w14:paraId="61B541A1">
            <w:pPr>
              <w:pStyle w:val="13"/>
              <w:jc w:val="center"/>
              <w:rPr>
                <w:rFonts w:hint="eastAsia"/>
              </w:rPr>
            </w:pPr>
            <w:r>
              <w:rPr>
                <w:rFonts w:hint="eastAsia"/>
              </w:rPr>
              <w:t>4.96</w:t>
            </w:r>
          </w:p>
        </w:tc>
        <w:tc>
          <w:tcPr>
            <w:tcW w:w="714" w:type="pct"/>
            <w:vAlign w:val="center"/>
          </w:tcPr>
          <w:p w14:paraId="64332E85">
            <w:pPr>
              <w:pStyle w:val="13"/>
              <w:jc w:val="center"/>
              <w:rPr>
                <w:rFonts w:hint="eastAsia"/>
              </w:rPr>
            </w:pPr>
            <w:r>
              <w:rPr>
                <w:rFonts w:hint="eastAsia"/>
              </w:rPr>
              <w:t>2585</w:t>
            </w:r>
          </w:p>
        </w:tc>
        <w:tc>
          <w:tcPr>
            <w:tcW w:w="714" w:type="pct"/>
            <w:vAlign w:val="center"/>
          </w:tcPr>
          <w:p w14:paraId="3F49FFA5">
            <w:pPr>
              <w:pStyle w:val="13"/>
              <w:jc w:val="center"/>
              <w:rPr>
                <w:rFonts w:hint="eastAsia"/>
              </w:rPr>
            </w:pPr>
            <w:r>
              <w:rPr>
                <w:rFonts w:hint="eastAsia"/>
              </w:rPr>
              <w:t>3396</w:t>
            </w:r>
          </w:p>
        </w:tc>
        <w:tc>
          <w:tcPr>
            <w:tcW w:w="714" w:type="pct"/>
            <w:vAlign w:val="center"/>
          </w:tcPr>
          <w:p w14:paraId="4DD33F0C">
            <w:pPr>
              <w:pStyle w:val="13"/>
              <w:jc w:val="center"/>
              <w:rPr>
                <w:rFonts w:hint="eastAsia"/>
              </w:rPr>
            </w:pPr>
            <w:r>
              <w:rPr>
                <w:rFonts w:hint="eastAsia"/>
              </w:rPr>
              <w:t>10</w:t>
            </w:r>
          </w:p>
        </w:tc>
        <w:tc>
          <w:tcPr>
            <w:tcW w:w="714" w:type="pct"/>
            <w:vAlign w:val="center"/>
          </w:tcPr>
          <w:p w14:paraId="029D2923">
            <w:pPr>
              <w:pStyle w:val="13"/>
              <w:jc w:val="center"/>
              <w:rPr>
                <w:rFonts w:hint="eastAsia"/>
              </w:rPr>
            </w:pPr>
            <w:r>
              <w:rPr>
                <w:rFonts w:hint="eastAsia"/>
              </w:rPr>
              <w:t>2894</w:t>
            </w:r>
          </w:p>
        </w:tc>
        <w:tc>
          <w:tcPr>
            <w:tcW w:w="714" w:type="pct"/>
            <w:vAlign w:val="center"/>
          </w:tcPr>
          <w:p w14:paraId="26A7FC26">
            <w:pPr>
              <w:pStyle w:val="13"/>
              <w:jc w:val="center"/>
              <w:rPr>
                <w:rFonts w:hint="eastAsia"/>
              </w:rPr>
            </w:pPr>
            <w:r>
              <w:rPr>
                <w:rFonts w:hint="eastAsia"/>
              </w:rPr>
              <w:t>5613.3</w:t>
            </w:r>
          </w:p>
        </w:tc>
      </w:tr>
      <w:tr w14:paraId="4B6FF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pct"/>
            <w:vAlign w:val="center"/>
          </w:tcPr>
          <w:p w14:paraId="151F5709">
            <w:pPr>
              <w:pStyle w:val="13"/>
              <w:jc w:val="center"/>
              <w:rPr>
                <w:rFonts w:hint="eastAsia"/>
              </w:rPr>
            </w:pPr>
            <w:r>
              <w:rPr>
                <w:rFonts w:hint="eastAsia"/>
              </w:rPr>
              <w:t>官门楼</w:t>
            </w:r>
          </w:p>
        </w:tc>
        <w:tc>
          <w:tcPr>
            <w:tcW w:w="714" w:type="pct"/>
            <w:vAlign w:val="center"/>
          </w:tcPr>
          <w:p w14:paraId="5456FFC5">
            <w:pPr>
              <w:pStyle w:val="13"/>
              <w:jc w:val="center"/>
              <w:rPr>
                <w:rFonts w:hint="eastAsia"/>
              </w:rPr>
            </w:pPr>
            <w:r>
              <w:rPr>
                <w:rFonts w:hint="eastAsia"/>
              </w:rPr>
              <w:t>3.1</w:t>
            </w:r>
          </w:p>
        </w:tc>
        <w:tc>
          <w:tcPr>
            <w:tcW w:w="714" w:type="pct"/>
            <w:vAlign w:val="center"/>
          </w:tcPr>
          <w:p w14:paraId="79A3190C">
            <w:pPr>
              <w:pStyle w:val="13"/>
              <w:jc w:val="center"/>
              <w:rPr>
                <w:rFonts w:hint="eastAsia"/>
              </w:rPr>
            </w:pPr>
            <w:r>
              <w:rPr>
                <w:rFonts w:hint="eastAsia"/>
              </w:rPr>
              <w:t>1530</w:t>
            </w:r>
          </w:p>
        </w:tc>
        <w:tc>
          <w:tcPr>
            <w:tcW w:w="714" w:type="pct"/>
            <w:vAlign w:val="center"/>
          </w:tcPr>
          <w:p w14:paraId="59E435D5">
            <w:pPr>
              <w:pStyle w:val="13"/>
              <w:jc w:val="center"/>
              <w:rPr>
                <w:rFonts w:hint="eastAsia"/>
              </w:rPr>
            </w:pPr>
            <w:r>
              <w:rPr>
                <w:rFonts w:hint="eastAsia"/>
              </w:rPr>
              <w:t>1943</w:t>
            </w:r>
          </w:p>
        </w:tc>
        <w:tc>
          <w:tcPr>
            <w:tcW w:w="714" w:type="pct"/>
            <w:vAlign w:val="center"/>
          </w:tcPr>
          <w:p w14:paraId="01C53EDF">
            <w:pPr>
              <w:pStyle w:val="13"/>
              <w:jc w:val="center"/>
              <w:rPr>
                <w:rFonts w:hint="eastAsia"/>
              </w:rPr>
            </w:pPr>
            <w:r>
              <w:rPr>
                <w:rFonts w:hint="eastAsia"/>
              </w:rPr>
              <w:t>7</w:t>
            </w:r>
          </w:p>
        </w:tc>
        <w:tc>
          <w:tcPr>
            <w:tcW w:w="714" w:type="pct"/>
            <w:vAlign w:val="center"/>
          </w:tcPr>
          <w:p w14:paraId="14356070">
            <w:pPr>
              <w:pStyle w:val="13"/>
              <w:jc w:val="center"/>
              <w:rPr>
                <w:rFonts w:hint="eastAsia"/>
              </w:rPr>
            </w:pPr>
            <w:r>
              <w:rPr>
                <w:rFonts w:hint="eastAsia"/>
              </w:rPr>
              <w:t>1842.2</w:t>
            </w:r>
          </w:p>
        </w:tc>
        <w:tc>
          <w:tcPr>
            <w:tcW w:w="714" w:type="pct"/>
            <w:vAlign w:val="center"/>
          </w:tcPr>
          <w:p w14:paraId="164382C3">
            <w:pPr>
              <w:pStyle w:val="13"/>
              <w:jc w:val="center"/>
              <w:rPr>
                <w:rFonts w:hint="eastAsia"/>
              </w:rPr>
            </w:pPr>
            <w:r>
              <w:rPr>
                <w:rFonts w:hint="eastAsia"/>
              </w:rPr>
              <w:t>5617.2</w:t>
            </w:r>
          </w:p>
        </w:tc>
      </w:tr>
      <w:tr w14:paraId="44CE9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pct"/>
            <w:vAlign w:val="center"/>
          </w:tcPr>
          <w:p w14:paraId="72FBC43C">
            <w:pPr>
              <w:pStyle w:val="13"/>
              <w:jc w:val="center"/>
              <w:rPr>
                <w:rFonts w:hint="eastAsia"/>
              </w:rPr>
            </w:pPr>
            <w:r>
              <w:rPr>
                <w:rFonts w:hint="eastAsia"/>
              </w:rPr>
              <w:t>孔塘</w:t>
            </w:r>
          </w:p>
        </w:tc>
        <w:tc>
          <w:tcPr>
            <w:tcW w:w="714" w:type="pct"/>
            <w:vAlign w:val="center"/>
          </w:tcPr>
          <w:p w14:paraId="7EAAA1E4">
            <w:pPr>
              <w:pStyle w:val="13"/>
              <w:jc w:val="center"/>
              <w:rPr>
                <w:rFonts w:hint="eastAsia"/>
              </w:rPr>
            </w:pPr>
            <w:r>
              <w:rPr>
                <w:rFonts w:hint="eastAsia"/>
              </w:rPr>
              <w:t>10.26</w:t>
            </w:r>
          </w:p>
        </w:tc>
        <w:tc>
          <w:tcPr>
            <w:tcW w:w="714" w:type="pct"/>
            <w:vAlign w:val="center"/>
          </w:tcPr>
          <w:p w14:paraId="56BB3219">
            <w:pPr>
              <w:pStyle w:val="13"/>
              <w:jc w:val="center"/>
              <w:rPr>
                <w:rFonts w:hint="eastAsia"/>
              </w:rPr>
            </w:pPr>
            <w:r>
              <w:rPr>
                <w:rFonts w:hint="eastAsia"/>
              </w:rPr>
              <w:t>2280</w:t>
            </w:r>
          </w:p>
        </w:tc>
        <w:tc>
          <w:tcPr>
            <w:tcW w:w="714" w:type="pct"/>
            <w:vAlign w:val="center"/>
          </w:tcPr>
          <w:p w14:paraId="4F86CF4D">
            <w:pPr>
              <w:pStyle w:val="13"/>
              <w:jc w:val="center"/>
              <w:rPr>
                <w:rFonts w:hint="eastAsia"/>
              </w:rPr>
            </w:pPr>
            <w:r>
              <w:rPr>
                <w:rFonts w:hint="eastAsia"/>
              </w:rPr>
              <w:t>2197</w:t>
            </w:r>
          </w:p>
        </w:tc>
        <w:tc>
          <w:tcPr>
            <w:tcW w:w="714" w:type="pct"/>
            <w:vAlign w:val="center"/>
          </w:tcPr>
          <w:p w14:paraId="74A43012">
            <w:pPr>
              <w:pStyle w:val="13"/>
              <w:jc w:val="center"/>
              <w:rPr>
                <w:rFonts w:hint="eastAsia"/>
              </w:rPr>
            </w:pPr>
            <w:r>
              <w:rPr>
                <w:rFonts w:hint="eastAsia"/>
              </w:rPr>
              <w:t>12</w:t>
            </w:r>
          </w:p>
        </w:tc>
        <w:tc>
          <w:tcPr>
            <w:tcW w:w="714" w:type="pct"/>
            <w:vAlign w:val="center"/>
          </w:tcPr>
          <w:p w14:paraId="41850391">
            <w:pPr>
              <w:pStyle w:val="13"/>
              <w:jc w:val="center"/>
              <w:rPr>
                <w:rFonts w:hint="eastAsia"/>
              </w:rPr>
            </w:pPr>
            <w:r>
              <w:rPr>
                <w:rFonts w:hint="eastAsia"/>
              </w:rPr>
              <w:t>2616</w:t>
            </w:r>
          </w:p>
        </w:tc>
        <w:tc>
          <w:tcPr>
            <w:tcW w:w="714" w:type="pct"/>
            <w:vAlign w:val="center"/>
          </w:tcPr>
          <w:p w14:paraId="35C011BF">
            <w:pPr>
              <w:pStyle w:val="13"/>
              <w:jc w:val="center"/>
              <w:rPr>
                <w:rFonts w:hint="eastAsia"/>
              </w:rPr>
            </w:pPr>
            <w:r>
              <w:rPr>
                <w:rFonts w:hint="eastAsia"/>
              </w:rPr>
              <w:t>5514.9</w:t>
            </w:r>
          </w:p>
        </w:tc>
      </w:tr>
      <w:tr w14:paraId="5BCE9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pct"/>
            <w:vAlign w:val="center"/>
          </w:tcPr>
          <w:p w14:paraId="595B17E9">
            <w:pPr>
              <w:pStyle w:val="13"/>
              <w:jc w:val="center"/>
              <w:rPr>
                <w:rFonts w:hint="eastAsia"/>
              </w:rPr>
            </w:pPr>
            <w:r>
              <w:rPr>
                <w:rFonts w:hint="eastAsia"/>
              </w:rPr>
              <w:t>庙前</w:t>
            </w:r>
          </w:p>
        </w:tc>
        <w:tc>
          <w:tcPr>
            <w:tcW w:w="714" w:type="pct"/>
            <w:vAlign w:val="center"/>
          </w:tcPr>
          <w:p w14:paraId="57A69C7E">
            <w:pPr>
              <w:pStyle w:val="13"/>
              <w:jc w:val="center"/>
              <w:rPr>
                <w:rFonts w:hint="eastAsia"/>
              </w:rPr>
            </w:pPr>
            <w:r>
              <w:rPr>
                <w:rFonts w:hint="eastAsia"/>
              </w:rPr>
              <w:t>8.44</w:t>
            </w:r>
          </w:p>
        </w:tc>
        <w:tc>
          <w:tcPr>
            <w:tcW w:w="714" w:type="pct"/>
            <w:vAlign w:val="center"/>
          </w:tcPr>
          <w:p w14:paraId="5294521F">
            <w:pPr>
              <w:pStyle w:val="13"/>
              <w:jc w:val="center"/>
              <w:rPr>
                <w:rFonts w:hint="eastAsia"/>
              </w:rPr>
            </w:pPr>
            <w:r>
              <w:rPr>
                <w:rFonts w:hint="eastAsia"/>
              </w:rPr>
              <w:t>1714</w:t>
            </w:r>
          </w:p>
        </w:tc>
        <w:tc>
          <w:tcPr>
            <w:tcW w:w="714" w:type="pct"/>
            <w:vAlign w:val="center"/>
          </w:tcPr>
          <w:p w14:paraId="33BC342A">
            <w:pPr>
              <w:pStyle w:val="13"/>
              <w:jc w:val="center"/>
              <w:rPr>
                <w:rFonts w:hint="eastAsia"/>
              </w:rPr>
            </w:pPr>
            <w:r>
              <w:rPr>
                <w:rFonts w:hint="eastAsia"/>
              </w:rPr>
              <w:t>1895</w:t>
            </w:r>
          </w:p>
        </w:tc>
        <w:tc>
          <w:tcPr>
            <w:tcW w:w="714" w:type="pct"/>
            <w:vAlign w:val="center"/>
          </w:tcPr>
          <w:p w14:paraId="60D0DED6">
            <w:pPr>
              <w:pStyle w:val="13"/>
              <w:jc w:val="center"/>
              <w:rPr>
                <w:rFonts w:hint="eastAsia"/>
              </w:rPr>
            </w:pPr>
            <w:r>
              <w:rPr>
                <w:rFonts w:hint="eastAsia"/>
              </w:rPr>
              <w:t>9</w:t>
            </w:r>
          </w:p>
        </w:tc>
        <w:tc>
          <w:tcPr>
            <w:tcW w:w="714" w:type="pct"/>
            <w:vAlign w:val="center"/>
          </w:tcPr>
          <w:p w14:paraId="3FD99B47">
            <w:pPr>
              <w:pStyle w:val="13"/>
              <w:jc w:val="center"/>
              <w:rPr>
                <w:rFonts w:hint="eastAsia"/>
              </w:rPr>
            </w:pPr>
            <w:r>
              <w:rPr>
                <w:rFonts w:hint="eastAsia"/>
              </w:rPr>
              <w:t>1907.6</w:t>
            </w:r>
          </w:p>
        </w:tc>
        <w:tc>
          <w:tcPr>
            <w:tcW w:w="714" w:type="pct"/>
            <w:vAlign w:val="center"/>
          </w:tcPr>
          <w:p w14:paraId="66884B99">
            <w:pPr>
              <w:pStyle w:val="13"/>
              <w:jc w:val="center"/>
              <w:rPr>
                <w:rFonts w:hint="eastAsia"/>
              </w:rPr>
            </w:pPr>
            <w:r>
              <w:rPr>
                <w:rFonts w:hint="eastAsia"/>
              </w:rPr>
              <w:t>5614.5</w:t>
            </w:r>
          </w:p>
        </w:tc>
      </w:tr>
      <w:tr w14:paraId="2AD05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pct"/>
            <w:vAlign w:val="center"/>
          </w:tcPr>
          <w:p w14:paraId="1C0922AD">
            <w:pPr>
              <w:pStyle w:val="13"/>
              <w:jc w:val="center"/>
              <w:rPr>
                <w:rFonts w:hint="eastAsia"/>
              </w:rPr>
            </w:pPr>
            <w:r>
              <w:rPr>
                <w:rFonts w:hint="eastAsia"/>
              </w:rPr>
              <w:t>水松</w:t>
            </w:r>
          </w:p>
        </w:tc>
        <w:tc>
          <w:tcPr>
            <w:tcW w:w="714" w:type="pct"/>
            <w:vAlign w:val="center"/>
          </w:tcPr>
          <w:p w14:paraId="6FA7B7DB">
            <w:pPr>
              <w:pStyle w:val="13"/>
              <w:jc w:val="center"/>
              <w:rPr>
                <w:rFonts w:hint="eastAsia"/>
              </w:rPr>
            </w:pPr>
            <w:r>
              <w:rPr>
                <w:rFonts w:hint="eastAsia"/>
              </w:rPr>
              <w:t>7.27</w:t>
            </w:r>
          </w:p>
        </w:tc>
        <w:tc>
          <w:tcPr>
            <w:tcW w:w="714" w:type="pct"/>
            <w:vAlign w:val="center"/>
          </w:tcPr>
          <w:p w14:paraId="715ED9A2">
            <w:pPr>
              <w:pStyle w:val="13"/>
              <w:jc w:val="center"/>
              <w:rPr>
                <w:rFonts w:hint="eastAsia"/>
              </w:rPr>
            </w:pPr>
            <w:r>
              <w:rPr>
                <w:rFonts w:hint="eastAsia"/>
              </w:rPr>
              <w:t>2375</w:t>
            </w:r>
          </w:p>
        </w:tc>
        <w:tc>
          <w:tcPr>
            <w:tcW w:w="714" w:type="pct"/>
            <w:vAlign w:val="center"/>
          </w:tcPr>
          <w:p w14:paraId="72A34409">
            <w:pPr>
              <w:pStyle w:val="13"/>
              <w:jc w:val="center"/>
              <w:rPr>
                <w:rFonts w:hint="eastAsia"/>
              </w:rPr>
            </w:pPr>
            <w:r>
              <w:rPr>
                <w:rFonts w:hint="eastAsia"/>
              </w:rPr>
              <w:t>2963</w:t>
            </w:r>
          </w:p>
        </w:tc>
        <w:tc>
          <w:tcPr>
            <w:tcW w:w="714" w:type="pct"/>
            <w:vAlign w:val="center"/>
          </w:tcPr>
          <w:p w14:paraId="1285430B">
            <w:pPr>
              <w:pStyle w:val="13"/>
              <w:jc w:val="center"/>
              <w:rPr>
                <w:rFonts w:hint="eastAsia"/>
              </w:rPr>
            </w:pPr>
            <w:r>
              <w:rPr>
                <w:rFonts w:hint="eastAsia"/>
              </w:rPr>
              <w:t>13</w:t>
            </w:r>
          </w:p>
        </w:tc>
        <w:tc>
          <w:tcPr>
            <w:tcW w:w="714" w:type="pct"/>
            <w:vAlign w:val="center"/>
          </w:tcPr>
          <w:p w14:paraId="6353D3F1">
            <w:pPr>
              <w:pStyle w:val="13"/>
              <w:jc w:val="center"/>
              <w:rPr>
                <w:rFonts w:hint="eastAsia"/>
              </w:rPr>
            </w:pPr>
            <w:r>
              <w:rPr>
                <w:rFonts w:hint="eastAsia"/>
              </w:rPr>
              <w:t>2823.2</w:t>
            </w:r>
          </w:p>
        </w:tc>
        <w:tc>
          <w:tcPr>
            <w:tcW w:w="714" w:type="pct"/>
            <w:vAlign w:val="center"/>
          </w:tcPr>
          <w:p w14:paraId="1C26440C">
            <w:pPr>
              <w:pStyle w:val="13"/>
              <w:jc w:val="center"/>
              <w:rPr>
                <w:rFonts w:hint="eastAsia"/>
              </w:rPr>
            </w:pPr>
            <w:r>
              <w:rPr>
                <w:rFonts w:hint="eastAsia"/>
              </w:rPr>
              <w:t>5293.8</w:t>
            </w:r>
          </w:p>
        </w:tc>
      </w:tr>
      <w:tr w14:paraId="14B4B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pct"/>
            <w:vAlign w:val="center"/>
          </w:tcPr>
          <w:p w14:paraId="04F32B76">
            <w:pPr>
              <w:pStyle w:val="13"/>
              <w:jc w:val="center"/>
              <w:rPr>
                <w:rFonts w:hint="eastAsia"/>
              </w:rPr>
            </w:pPr>
            <w:r>
              <w:rPr>
                <w:rFonts w:hint="eastAsia"/>
              </w:rPr>
              <w:t>黄洞</w:t>
            </w:r>
          </w:p>
        </w:tc>
        <w:tc>
          <w:tcPr>
            <w:tcW w:w="714" w:type="pct"/>
            <w:vAlign w:val="center"/>
          </w:tcPr>
          <w:p w14:paraId="1C0E2B99">
            <w:pPr>
              <w:pStyle w:val="13"/>
              <w:jc w:val="center"/>
              <w:rPr>
                <w:rFonts w:hint="eastAsia"/>
              </w:rPr>
            </w:pPr>
            <w:r>
              <w:rPr>
                <w:rFonts w:hint="eastAsia"/>
              </w:rPr>
              <w:t>4.41</w:t>
            </w:r>
          </w:p>
        </w:tc>
        <w:tc>
          <w:tcPr>
            <w:tcW w:w="714" w:type="pct"/>
            <w:vAlign w:val="center"/>
          </w:tcPr>
          <w:p w14:paraId="3BE41A2D">
            <w:pPr>
              <w:pStyle w:val="13"/>
              <w:jc w:val="center"/>
              <w:rPr>
                <w:rFonts w:hint="eastAsia"/>
              </w:rPr>
            </w:pPr>
            <w:r>
              <w:rPr>
                <w:rFonts w:hint="eastAsia"/>
              </w:rPr>
              <w:t>1080</w:t>
            </w:r>
          </w:p>
        </w:tc>
        <w:tc>
          <w:tcPr>
            <w:tcW w:w="714" w:type="pct"/>
            <w:vAlign w:val="center"/>
          </w:tcPr>
          <w:p w14:paraId="310A97CD">
            <w:pPr>
              <w:pStyle w:val="13"/>
              <w:jc w:val="center"/>
              <w:rPr>
                <w:rFonts w:hint="eastAsia"/>
              </w:rPr>
            </w:pPr>
            <w:r>
              <w:rPr>
                <w:rFonts w:hint="eastAsia"/>
              </w:rPr>
              <w:t>1597</w:t>
            </w:r>
          </w:p>
        </w:tc>
        <w:tc>
          <w:tcPr>
            <w:tcW w:w="714" w:type="pct"/>
            <w:vAlign w:val="center"/>
          </w:tcPr>
          <w:p w14:paraId="1E4849B3">
            <w:pPr>
              <w:pStyle w:val="13"/>
              <w:jc w:val="center"/>
              <w:rPr>
                <w:rFonts w:hint="eastAsia"/>
              </w:rPr>
            </w:pPr>
            <w:r>
              <w:rPr>
                <w:rFonts w:hint="eastAsia"/>
              </w:rPr>
              <w:t>8</w:t>
            </w:r>
          </w:p>
        </w:tc>
        <w:tc>
          <w:tcPr>
            <w:tcW w:w="714" w:type="pct"/>
            <w:vAlign w:val="center"/>
          </w:tcPr>
          <w:p w14:paraId="6FC9E8FC">
            <w:pPr>
              <w:pStyle w:val="13"/>
              <w:jc w:val="center"/>
              <w:rPr>
                <w:rFonts w:hint="eastAsia"/>
              </w:rPr>
            </w:pPr>
            <w:r>
              <w:rPr>
                <w:rFonts w:hint="eastAsia"/>
              </w:rPr>
              <w:t>1335.3</w:t>
            </w:r>
          </w:p>
        </w:tc>
        <w:tc>
          <w:tcPr>
            <w:tcW w:w="714" w:type="pct"/>
            <w:vAlign w:val="center"/>
          </w:tcPr>
          <w:p w14:paraId="47DF7283">
            <w:pPr>
              <w:pStyle w:val="13"/>
              <w:jc w:val="center"/>
              <w:rPr>
                <w:rFonts w:hint="eastAsia"/>
              </w:rPr>
            </w:pPr>
            <w:r>
              <w:rPr>
                <w:rFonts w:hint="eastAsia"/>
              </w:rPr>
              <w:t>5505.2</w:t>
            </w:r>
          </w:p>
        </w:tc>
      </w:tr>
      <w:tr w14:paraId="5E3C0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pct"/>
            <w:vAlign w:val="center"/>
          </w:tcPr>
          <w:p w14:paraId="5D702784">
            <w:pPr>
              <w:pStyle w:val="13"/>
              <w:jc w:val="center"/>
              <w:rPr>
                <w:rFonts w:hint="eastAsia"/>
              </w:rPr>
            </w:pPr>
            <w:r>
              <w:rPr>
                <w:rFonts w:hint="eastAsia"/>
              </w:rPr>
              <w:t>白胜</w:t>
            </w:r>
          </w:p>
        </w:tc>
        <w:tc>
          <w:tcPr>
            <w:tcW w:w="714" w:type="pct"/>
            <w:vAlign w:val="center"/>
          </w:tcPr>
          <w:p w14:paraId="3D189E66">
            <w:pPr>
              <w:pStyle w:val="13"/>
              <w:jc w:val="center"/>
              <w:rPr>
                <w:rFonts w:hint="eastAsia"/>
              </w:rPr>
            </w:pPr>
            <w:r>
              <w:rPr>
                <w:rFonts w:hint="eastAsia"/>
              </w:rPr>
              <w:t>13.79</w:t>
            </w:r>
          </w:p>
        </w:tc>
        <w:tc>
          <w:tcPr>
            <w:tcW w:w="714" w:type="pct"/>
            <w:vAlign w:val="center"/>
          </w:tcPr>
          <w:p w14:paraId="63DA32CD">
            <w:pPr>
              <w:pStyle w:val="13"/>
              <w:jc w:val="center"/>
              <w:rPr>
                <w:rFonts w:hint="eastAsia"/>
              </w:rPr>
            </w:pPr>
            <w:r>
              <w:rPr>
                <w:rFonts w:hint="eastAsia"/>
              </w:rPr>
              <w:t>2759</w:t>
            </w:r>
          </w:p>
        </w:tc>
        <w:tc>
          <w:tcPr>
            <w:tcW w:w="714" w:type="pct"/>
            <w:vAlign w:val="center"/>
          </w:tcPr>
          <w:p w14:paraId="2DE0D76D">
            <w:pPr>
              <w:pStyle w:val="13"/>
              <w:jc w:val="center"/>
              <w:rPr>
                <w:rFonts w:hint="eastAsia"/>
              </w:rPr>
            </w:pPr>
            <w:r>
              <w:rPr>
                <w:rFonts w:hint="eastAsia"/>
              </w:rPr>
              <w:t>3385</w:t>
            </w:r>
          </w:p>
        </w:tc>
        <w:tc>
          <w:tcPr>
            <w:tcW w:w="714" w:type="pct"/>
            <w:vAlign w:val="center"/>
          </w:tcPr>
          <w:p w14:paraId="340EB02D">
            <w:pPr>
              <w:pStyle w:val="13"/>
              <w:jc w:val="center"/>
              <w:rPr>
                <w:rFonts w:hint="eastAsia"/>
              </w:rPr>
            </w:pPr>
            <w:r>
              <w:rPr>
                <w:rFonts w:hint="eastAsia"/>
              </w:rPr>
              <w:t>17</w:t>
            </w:r>
          </w:p>
        </w:tc>
        <w:tc>
          <w:tcPr>
            <w:tcW w:w="714" w:type="pct"/>
            <w:vAlign w:val="center"/>
          </w:tcPr>
          <w:p w14:paraId="4EB6A569">
            <w:pPr>
              <w:pStyle w:val="13"/>
              <w:jc w:val="center"/>
              <w:rPr>
                <w:rFonts w:hint="eastAsia"/>
              </w:rPr>
            </w:pPr>
            <w:r>
              <w:rPr>
                <w:rFonts w:hint="eastAsia"/>
              </w:rPr>
              <w:t>3286.5</w:t>
            </w:r>
          </w:p>
        </w:tc>
        <w:tc>
          <w:tcPr>
            <w:tcW w:w="714" w:type="pct"/>
            <w:vAlign w:val="center"/>
          </w:tcPr>
          <w:p w14:paraId="184619A2">
            <w:pPr>
              <w:pStyle w:val="13"/>
              <w:jc w:val="center"/>
              <w:rPr>
                <w:rFonts w:hint="eastAsia"/>
              </w:rPr>
            </w:pPr>
            <w:r>
              <w:rPr>
                <w:rFonts w:hint="eastAsia"/>
              </w:rPr>
              <w:t>5861.2</w:t>
            </w:r>
          </w:p>
        </w:tc>
      </w:tr>
      <w:tr w14:paraId="1E732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pct"/>
            <w:vAlign w:val="center"/>
          </w:tcPr>
          <w:p w14:paraId="3023B09B">
            <w:pPr>
              <w:pStyle w:val="13"/>
              <w:jc w:val="center"/>
              <w:rPr>
                <w:rFonts w:hint="eastAsia"/>
              </w:rPr>
            </w:pPr>
            <w:r>
              <w:rPr>
                <w:rFonts w:hint="eastAsia"/>
              </w:rPr>
              <w:t>田心</w:t>
            </w:r>
          </w:p>
        </w:tc>
        <w:tc>
          <w:tcPr>
            <w:tcW w:w="714" w:type="pct"/>
            <w:vAlign w:val="center"/>
          </w:tcPr>
          <w:p w14:paraId="5E79E60E">
            <w:pPr>
              <w:pStyle w:val="13"/>
              <w:jc w:val="center"/>
              <w:rPr>
                <w:rFonts w:hint="eastAsia"/>
              </w:rPr>
            </w:pPr>
            <w:r>
              <w:rPr>
                <w:rFonts w:hint="eastAsia"/>
              </w:rPr>
              <w:t>7.47</w:t>
            </w:r>
          </w:p>
        </w:tc>
        <w:tc>
          <w:tcPr>
            <w:tcW w:w="714" w:type="pct"/>
            <w:vAlign w:val="center"/>
          </w:tcPr>
          <w:p w14:paraId="086B6320">
            <w:pPr>
              <w:pStyle w:val="13"/>
              <w:jc w:val="center"/>
              <w:rPr>
                <w:rFonts w:hint="eastAsia"/>
              </w:rPr>
            </w:pPr>
            <w:r>
              <w:rPr>
                <w:rFonts w:hint="eastAsia"/>
              </w:rPr>
              <w:t>1913</w:t>
            </w:r>
          </w:p>
        </w:tc>
        <w:tc>
          <w:tcPr>
            <w:tcW w:w="714" w:type="pct"/>
            <w:vAlign w:val="center"/>
          </w:tcPr>
          <w:p w14:paraId="439AC718">
            <w:pPr>
              <w:pStyle w:val="13"/>
              <w:jc w:val="center"/>
              <w:rPr>
                <w:rFonts w:hint="eastAsia"/>
              </w:rPr>
            </w:pPr>
            <w:r>
              <w:rPr>
                <w:rFonts w:hint="eastAsia"/>
              </w:rPr>
              <w:t>1860</w:t>
            </w:r>
          </w:p>
        </w:tc>
        <w:tc>
          <w:tcPr>
            <w:tcW w:w="714" w:type="pct"/>
            <w:vAlign w:val="center"/>
          </w:tcPr>
          <w:p w14:paraId="2E6BA3E6">
            <w:pPr>
              <w:pStyle w:val="13"/>
              <w:jc w:val="center"/>
              <w:rPr>
                <w:rFonts w:hint="eastAsia"/>
              </w:rPr>
            </w:pPr>
            <w:r>
              <w:rPr>
                <w:rFonts w:hint="eastAsia"/>
              </w:rPr>
              <w:t>11</w:t>
            </w:r>
          </w:p>
        </w:tc>
        <w:tc>
          <w:tcPr>
            <w:tcW w:w="714" w:type="pct"/>
            <w:vAlign w:val="center"/>
          </w:tcPr>
          <w:p w14:paraId="3E3DC308">
            <w:pPr>
              <w:pStyle w:val="13"/>
              <w:jc w:val="center"/>
              <w:rPr>
                <w:rFonts w:hint="eastAsia"/>
              </w:rPr>
            </w:pPr>
            <w:r>
              <w:rPr>
                <w:rFonts w:hint="eastAsia"/>
              </w:rPr>
              <w:t>2294.5</w:t>
            </w:r>
          </w:p>
        </w:tc>
        <w:tc>
          <w:tcPr>
            <w:tcW w:w="714" w:type="pct"/>
            <w:vAlign w:val="center"/>
          </w:tcPr>
          <w:p w14:paraId="5AAC22C6">
            <w:pPr>
              <w:pStyle w:val="13"/>
              <w:jc w:val="center"/>
              <w:rPr>
                <w:rFonts w:hint="eastAsia"/>
              </w:rPr>
            </w:pPr>
            <w:r>
              <w:rPr>
                <w:rFonts w:hint="eastAsia"/>
              </w:rPr>
              <w:t>5613.2</w:t>
            </w:r>
          </w:p>
        </w:tc>
      </w:tr>
      <w:tr w14:paraId="0E606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pct"/>
            <w:vAlign w:val="center"/>
          </w:tcPr>
          <w:p w14:paraId="0F9A3B49">
            <w:pPr>
              <w:pStyle w:val="13"/>
              <w:jc w:val="center"/>
              <w:rPr>
                <w:rFonts w:hint="eastAsia"/>
              </w:rPr>
            </w:pPr>
            <w:r>
              <w:rPr>
                <w:rFonts w:hint="eastAsia"/>
              </w:rPr>
              <w:t>大竹</w:t>
            </w:r>
          </w:p>
        </w:tc>
        <w:tc>
          <w:tcPr>
            <w:tcW w:w="714" w:type="pct"/>
            <w:vAlign w:val="center"/>
          </w:tcPr>
          <w:p w14:paraId="5CB6D546">
            <w:pPr>
              <w:pStyle w:val="13"/>
              <w:jc w:val="center"/>
              <w:rPr>
                <w:rFonts w:hint="eastAsia"/>
              </w:rPr>
            </w:pPr>
            <w:r>
              <w:rPr>
                <w:rFonts w:hint="eastAsia"/>
              </w:rPr>
              <w:t>19.6</w:t>
            </w:r>
          </w:p>
        </w:tc>
        <w:tc>
          <w:tcPr>
            <w:tcW w:w="714" w:type="pct"/>
            <w:vAlign w:val="center"/>
          </w:tcPr>
          <w:p w14:paraId="02F1D51F">
            <w:pPr>
              <w:pStyle w:val="13"/>
              <w:jc w:val="center"/>
              <w:rPr>
                <w:rFonts w:hint="eastAsia"/>
              </w:rPr>
            </w:pPr>
            <w:r>
              <w:rPr>
                <w:rFonts w:hint="eastAsia"/>
              </w:rPr>
              <w:t>1733</w:t>
            </w:r>
          </w:p>
        </w:tc>
        <w:tc>
          <w:tcPr>
            <w:tcW w:w="714" w:type="pct"/>
            <w:vAlign w:val="center"/>
          </w:tcPr>
          <w:p w14:paraId="18B4575C">
            <w:pPr>
              <w:pStyle w:val="13"/>
              <w:jc w:val="center"/>
              <w:rPr>
                <w:rFonts w:hint="eastAsia"/>
              </w:rPr>
            </w:pPr>
            <w:r>
              <w:rPr>
                <w:rFonts w:hint="eastAsia"/>
              </w:rPr>
              <w:t>1791</w:t>
            </w:r>
          </w:p>
        </w:tc>
        <w:tc>
          <w:tcPr>
            <w:tcW w:w="714" w:type="pct"/>
            <w:vAlign w:val="center"/>
          </w:tcPr>
          <w:p w14:paraId="5B595E1F">
            <w:pPr>
              <w:pStyle w:val="13"/>
              <w:jc w:val="center"/>
              <w:rPr>
                <w:rFonts w:hint="eastAsia"/>
              </w:rPr>
            </w:pPr>
            <w:r>
              <w:rPr>
                <w:rFonts w:hint="eastAsia"/>
              </w:rPr>
              <w:t>14</w:t>
            </w:r>
          </w:p>
        </w:tc>
        <w:tc>
          <w:tcPr>
            <w:tcW w:w="714" w:type="pct"/>
            <w:vAlign w:val="center"/>
          </w:tcPr>
          <w:p w14:paraId="17ADB784">
            <w:pPr>
              <w:pStyle w:val="13"/>
              <w:jc w:val="center"/>
              <w:rPr>
                <w:rFonts w:hint="eastAsia"/>
              </w:rPr>
            </w:pPr>
            <w:r>
              <w:rPr>
                <w:rFonts w:hint="eastAsia"/>
              </w:rPr>
              <w:t>2071.2</w:t>
            </w:r>
          </w:p>
        </w:tc>
        <w:tc>
          <w:tcPr>
            <w:tcW w:w="714" w:type="pct"/>
            <w:vAlign w:val="center"/>
          </w:tcPr>
          <w:p w14:paraId="57C28F9F">
            <w:pPr>
              <w:pStyle w:val="13"/>
              <w:jc w:val="center"/>
              <w:rPr>
                <w:rFonts w:hint="eastAsia"/>
              </w:rPr>
            </w:pPr>
            <w:r>
              <w:rPr>
                <w:rFonts w:hint="eastAsia"/>
              </w:rPr>
              <w:t>5615.9</w:t>
            </w:r>
          </w:p>
        </w:tc>
      </w:tr>
      <w:tr w14:paraId="3A4D25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pct"/>
            <w:vAlign w:val="center"/>
          </w:tcPr>
          <w:p w14:paraId="7B441CB1">
            <w:pPr>
              <w:pStyle w:val="13"/>
              <w:jc w:val="center"/>
              <w:rPr>
                <w:rFonts w:hint="eastAsia"/>
              </w:rPr>
            </w:pPr>
            <w:r>
              <w:rPr>
                <w:rFonts w:hint="eastAsia"/>
              </w:rPr>
              <w:t>孔江</w:t>
            </w:r>
          </w:p>
        </w:tc>
        <w:tc>
          <w:tcPr>
            <w:tcW w:w="714" w:type="pct"/>
            <w:vAlign w:val="center"/>
          </w:tcPr>
          <w:p w14:paraId="5A4DA3BD">
            <w:pPr>
              <w:pStyle w:val="13"/>
              <w:jc w:val="center"/>
              <w:rPr>
                <w:rFonts w:hint="eastAsia"/>
              </w:rPr>
            </w:pPr>
            <w:r>
              <w:rPr>
                <w:rFonts w:hint="eastAsia"/>
              </w:rPr>
              <w:t>16.89</w:t>
            </w:r>
          </w:p>
        </w:tc>
        <w:tc>
          <w:tcPr>
            <w:tcW w:w="714" w:type="pct"/>
            <w:vAlign w:val="center"/>
          </w:tcPr>
          <w:p w14:paraId="61CB8A46">
            <w:pPr>
              <w:pStyle w:val="13"/>
              <w:jc w:val="center"/>
              <w:rPr>
                <w:rFonts w:hint="eastAsia"/>
              </w:rPr>
            </w:pPr>
            <w:r>
              <w:rPr>
                <w:rFonts w:hint="eastAsia"/>
              </w:rPr>
              <w:t>1687</w:t>
            </w:r>
          </w:p>
        </w:tc>
        <w:tc>
          <w:tcPr>
            <w:tcW w:w="714" w:type="pct"/>
            <w:vAlign w:val="center"/>
          </w:tcPr>
          <w:p w14:paraId="7DE30B14">
            <w:pPr>
              <w:pStyle w:val="13"/>
              <w:jc w:val="center"/>
              <w:rPr>
                <w:rFonts w:hint="eastAsia"/>
              </w:rPr>
            </w:pPr>
            <w:r>
              <w:rPr>
                <w:rFonts w:hint="eastAsia"/>
              </w:rPr>
              <w:t>2027</w:t>
            </w:r>
          </w:p>
        </w:tc>
        <w:tc>
          <w:tcPr>
            <w:tcW w:w="714" w:type="pct"/>
            <w:vAlign w:val="center"/>
          </w:tcPr>
          <w:p w14:paraId="2C9846E9">
            <w:pPr>
              <w:pStyle w:val="13"/>
              <w:jc w:val="center"/>
              <w:rPr>
                <w:rFonts w:hint="eastAsia"/>
              </w:rPr>
            </w:pPr>
            <w:r>
              <w:rPr>
                <w:rFonts w:hint="eastAsia"/>
              </w:rPr>
              <w:t>16</w:t>
            </w:r>
          </w:p>
        </w:tc>
        <w:tc>
          <w:tcPr>
            <w:tcW w:w="714" w:type="pct"/>
            <w:vAlign w:val="center"/>
          </w:tcPr>
          <w:p w14:paraId="0EBA1AB5">
            <w:pPr>
              <w:pStyle w:val="13"/>
              <w:jc w:val="center"/>
              <w:rPr>
                <w:rFonts w:hint="eastAsia"/>
              </w:rPr>
            </w:pPr>
            <w:r>
              <w:rPr>
                <w:rFonts w:hint="eastAsia"/>
              </w:rPr>
              <w:t>1945.7</w:t>
            </w:r>
          </w:p>
        </w:tc>
        <w:tc>
          <w:tcPr>
            <w:tcW w:w="714" w:type="pct"/>
            <w:vAlign w:val="center"/>
          </w:tcPr>
          <w:p w14:paraId="5BFE816A">
            <w:pPr>
              <w:pStyle w:val="13"/>
              <w:jc w:val="center"/>
              <w:rPr>
                <w:rFonts w:hint="eastAsia"/>
              </w:rPr>
            </w:pPr>
            <w:r>
              <w:rPr>
                <w:rFonts w:hint="eastAsia"/>
              </w:rPr>
              <w:t>5275.6</w:t>
            </w:r>
          </w:p>
        </w:tc>
      </w:tr>
      <w:tr w14:paraId="0F232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pct"/>
            <w:vAlign w:val="center"/>
          </w:tcPr>
          <w:p w14:paraId="0CA004F8">
            <w:pPr>
              <w:pStyle w:val="13"/>
              <w:jc w:val="center"/>
              <w:rPr>
                <w:rFonts w:hint="eastAsia"/>
              </w:rPr>
            </w:pPr>
            <w:r>
              <w:rPr>
                <w:rFonts w:hint="eastAsia"/>
              </w:rPr>
              <w:t>兰坵</w:t>
            </w:r>
          </w:p>
        </w:tc>
        <w:tc>
          <w:tcPr>
            <w:tcW w:w="714" w:type="pct"/>
            <w:vAlign w:val="center"/>
          </w:tcPr>
          <w:p w14:paraId="00CCBAA6">
            <w:pPr>
              <w:pStyle w:val="13"/>
              <w:jc w:val="center"/>
              <w:rPr>
                <w:rFonts w:hint="eastAsia"/>
              </w:rPr>
            </w:pPr>
            <w:r>
              <w:rPr>
                <w:rFonts w:hint="eastAsia"/>
              </w:rPr>
              <w:t>9.79</w:t>
            </w:r>
          </w:p>
        </w:tc>
        <w:tc>
          <w:tcPr>
            <w:tcW w:w="714" w:type="pct"/>
            <w:vAlign w:val="center"/>
          </w:tcPr>
          <w:p w14:paraId="637FAA60">
            <w:pPr>
              <w:pStyle w:val="13"/>
              <w:jc w:val="center"/>
              <w:rPr>
                <w:rFonts w:hint="eastAsia"/>
              </w:rPr>
            </w:pPr>
            <w:r>
              <w:rPr>
                <w:rFonts w:hint="eastAsia"/>
              </w:rPr>
              <w:t>949</w:t>
            </w:r>
          </w:p>
        </w:tc>
        <w:tc>
          <w:tcPr>
            <w:tcW w:w="714" w:type="pct"/>
            <w:vAlign w:val="center"/>
          </w:tcPr>
          <w:p w14:paraId="603AFB2C">
            <w:pPr>
              <w:pStyle w:val="13"/>
              <w:jc w:val="center"/>
              <w:rPr>
                <w:rFonts w:hint="eastAsia"/>
              </w:rPr>
            </w:pPr>
            <w:r>
              <w:rPr>
                <w:rFonts w:hint="eastAsia"/>
              </w:rPr>
              <w:t>1171</w:t>
            </w:r>
          </w:p>
        </w:tc>
        <w:tc>
          <w:tcPr>
            <w:tcW w:w="714" w:type="pct"/>
            <w:vAlign w:val="center"/>
          </w:tcPr>
          <w:p w14:paraId="5E0DC4E4">
            <w:pPr>
              <w:pStyle w:val="13"/>
              <w:jc w:val="center"/>
              <w:rPr>
                <w:rFonts w:hint="eastAsia"/>
              </w:rPr>
            </w:pPr>
            <w:r>
              <w:rPr>
                <w:rFonts w:hint="eastAsia"/>
              </w:rPr>
              <w:t>9</w:t>
            </w:r>
          </w:p>
        </w:tc>
        <w:tc>
          <w:tcPr>
            <w:tcW w:w="714" w:type="pct"/>
            <w:vAlign w:val="center"/>
          </w:tcPr>
          <w:p w14:paraId="691AB93F">
            <w:pPr>
              <w:pStyle w:val="13"/>
              <w:jc w:val="center"/>
              <w:rPr>
                <w:rFonts w:hint="eastAsia"/>
              </w:rPr>
            </w:pPr>
            <w:r>
              <w:rPr>
                <w:rFonts w:hint="eastAsia"/>
              </w:rPr>
              <w:t>1122.7</w:t>
            </w:r>
          </w:p>
        </w:tc>
        <w:tc>
          <w:tcPr>
            <w:tcW w:w="714" w:type="pct"/>
            <w:vAlign w:val="center"/>
          </w:tcPr>
          <w:p w14:paraId="51E29B60">
            <w:pPr>
              <w:pStyle w:val="13"/>
              <w:jc w:val="center"/>
              <w:rPr>
                <w:rFonts w:hint="eastAsia"/>
              </w:rPr>
            </w:pPr>
            <w:r>
              <w:rPr>
                <w:rFonts w:hint="eastAsia"/>
              </w:rPr>
              <w:t>5250.3</w:t>
            </w:r>
          </w:p>
        </w:tc>
      </w:tr>
      <w:tr w14:paraId="2033BB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4" w:type="pct"/>
            <w:vAlign w:val="center"/>
          </w:tcPr>
          <w:p w14:paraId="05BF745B">
            <w:pPr>
              <w:pStyle w:val="13"/>
              <w:jc w:val="center"/>
              <w:rPr>
                <w:rFonts w:hint="eastAsia"/>
              </w:rPr>
            </w:pPr>
            <w:r>
              <w:rPr>
                <w:rFonts w:hint="eastAsia"/>
              </w:rPr>
              <w:t>合计</w:t>
            </w:r>
          </w:p>
        </w:tc>
        <w:tc>
          <w:tcPr>
            <w:tcW w:w="714" w:type="pct"/>
            <w:vAlign w:val="center"/>
          </w:tcPr>
          <w:p w14:paraId="0E8E155C">
            <w:pPr>
              <w:pStyle w:val="13"/>
              <w:jc w:val="center"/>
              <w:rPr>
                <w:rFonts w:hint="eastAsia"/>
              </w:rPr>
            </w:pPr>
            <w:r>
              <w:rPr>
                <w:rFonts w:hint="eastAsia"/>
              </w:rPr>
              <w:t>157.74</w:t>
            </w:r>
          </w:p>
        </w:tc>
        <w:tc>
          <w:tcPr>
            <w:tcW w:w="714" w:type="pct"/>
            <w:vAlign w:val="center"/>
          </w:tcPr>
          <w:p w14:paraId="12865338">
            <w:pPr>
              <w:pStyle w:val="13"/>
              <w:jc w:val="center"/>
              <w:rPr>
                <w:rFonts w:hint="eastAsia"/>
              </w:rPr>
            </w:pPr>
            <w:r>
              <w:rPr>
                <w:rFonts w:hint="eastAsia"/>
              </w:rPr>
              <w:t>44822</w:t>
            </w:r>
          </w:p>
        </w:tc>
        <w:tc>
          <w:tcPr>
            <w:tcW w:w="714" w:type="pct"/>
            <w:vAlign w:val="center"/>
          </w:tcPr>
          <w:p w14:paraId="0AEAED01">
            <w:pPr>
              <w:pStyle w:val="13"/>
              <w:jc w:val="center"/>
              <w:rPr>
                <w:rFonts w:hint="eastAsia"/>
              </w:rPr>
            </w:pPr>
            <w:r>
              <w:rPr>
                <w:rFonts w:hint="eastAsia"/>
              </w:rPr>
              <w:t>48335</w:t>
            </w:r>
          </w:p>
        </w:tc>
        <w:tc>
          <w:tcPr>
            <w:tcW w:w="714" w:type="pct"/>
            <w:vAlign w:val="center"/>
          </w:tcPr>
          <w:p w14:paraId="47CBA2E7">
            <w:pPr>
              <w:pStyle w:val="13"/>
              <w:jc w:val="center"/>
              <w:rPr>
                <w:rFonts w:hint="eastAsia"/>
              </w:rPr>
            </w:pPr>
            <w:r>
              <w:rPr>
                <w:rFonts w:hint="eastAsia"/>
              </w:rPr>
              <w:t>215</w:t>
            </w:r>
          </w:p>
        </w:tc>
        <w:tc>
          <w:tcPr>
            <w:tcW w:w="714" w:type="pct"/>
            <w:vAlign w:val="center"/>
          </w:tcPr>
          <w:p w14:paraId="2ABD2A9D">
            <w:pPr>
              <w:pStyle w:val="13"/>
              <w:jc w:val="center"/>
              <w:rPr>
                <w:rFonts w:hint="eastAsia"/>
              </w:rPr>
            </w:pPr>
            <w:r>
              <w:rPr>
                <w:rFonts w:hint="eastAsia"/>
              </w:rPr>
              <w:t>47629</w:t>
            </w:r>
          </w:p>
        </w:tc>
        <w:tc>
          <w:tcPr>
            <w:tcW w:w="714" w:type="pct"/>
            <w:vAlign w:val="center"/>
          </w:tcPr>
          <w:p w14:paraId="1B6A4308">
            <w:pPr>
              <w:pStyle w:val="13"/>
              <w:jc w:val="center"/>
              <w:rPr>
                <w:rFonts w:hint="eastAsia"/>
              </w:rPr>
            </w:pPr>
            <w:r>
              <w:rPr>
                <w:rFonts w:hint="eastAsia"/>
              </w:rPr>
              <w:t>5614.7</w:t>
            </w:r>
          </w:p>
        </w:tc>
      </w:tr>
    </w:tbl>
    <w:p w14:paraId="5D1E833A">
      <w:pPr>
        <w:ind w:firstLine="420"/>
        <w:jc w:val="right"/>
        <w:rPr>
          <w:rFonts w:ascii="宋体" w:hAnsi="宋体"/>
        </w:rPr>
      </w:pPr>
      <w:r>
        <w:rPr>
          <w:rFonts w:hint="eastAsia" w:ascii="宋体" w:hAnsi="宋体"/>
        </w:rPr>
        <w:t>（曾庆权）</w:t>
      </w:r>
    </w:p>
    <w:p w14:paraId="34A1F45D">
      <w:pPr>
        <w:ind w:firstLine="422"/>
        <w:rPr>
          <w:rFonts w:ascii="宋体" w:hAnsi="宋体"/>
          <w:b/>
          <w:bCs/>
        </w:rPr>
      </w:pPr>
      <w:r>
        <w:rPr>
          <w:rFonts w:hint="eastAsia" w:ascii="宋体" w:hAnsi="宋体"/>
          <w:b/>
          <w:bCs/>
        </w:rPr>
        <w:t>附：2010年乌迳镇领导班子成员名单</w:t>
      </w:r>
    </w:p>
    <w:p w14:paraId="25FBEBE2">
      <w:pPr>
        <w:ind w:firstLine="422"/>
        <w:rPr>
          <w:rFonts w:ascii="宋体" w:hAnsi="宋体"/>
        </w:rPr>
      </w:pPr>
      <w:r>
        <w:rPr>
          <w:rFonts w:hint="eastAsia" w:ascii="宋体" w:hAnsi="宋体"/>
          <w:b/>
          <w:bCs/>
        </w:rPr>
        <w:t>党委书记、人大主席：</w:t>
      </w:r>
      <w:r>
        <w:rPr>
          <w:rFonts w:hint="eastAsia" w:ascii="宋体" w:hAnsi="宋体"/>
        </w:rPr>
        <w:t>苏德椿</w:t>
      </w:r>
    </w:p>
    <w:p w14:paraId="03C2A49A">
      <w:pPr>
        <w:ind w:firstLine="422"/>
        <w:rPr>
          <w:rFonts w:ascii="宋体" w:hAnsi="宋体"/>
        </w:rPr>
      </w:pPr>
      <w:r>
        <w:rPr>
          <w:rFonts w:hint="eastAsia" w:ascii="宋体" w:hAnsi="宋体"/>
          <w:b/>
          <w:bCs/>
        </w:rPr>
        <w:t>党委副书记、镇长：</w:t>
      </w:r>
      <w:r>
        <w:rPr>
          <w:rFonts w:hint="eastAsia" w:ascii="宋体" w:hAnsi="宋体"/>
        </w:rPr>
        <w:t>张英军</w:t>
      </w:r>
    </w:p>
    <w:p w14:paraId="2082CD07">
      <w:pPr>
        <w:ind w:firstLine="422"/>
        <w:rPr>
          <w:rFonts w:ascii="宋体" w:hAnsi="宋体"/>
        </w:rPr>
      </w:pPr>
      <w:r>
        <w:rPr>
          <w:rFonts w:hint="eastAsia" w:ascii="宋体" w:hAnsi="宋体"/>
          <w:b/>
          <w:bCs/>
        </w:rPr>
        <w:t>党委副书记：</w:t>
      </w:r>
      <w:r>
        <w:rPr>
          <w:rFonts w:hint="eastAsia" w:ascii="宋体" w:hAnsi="宋体"/>
        </w:rPr>
        <w:t>李泉州</w:t>
      </w:r>
    </w:p>
    <w:p w14:paraId="3996ECE7">
      <w:pPr>
        <w:ind w:firstLine="422"/>
        <w:rPr>
          <w:rFonts w:ascii="宋体" w:hAnsi="宋体"/>
        </w:rPr>
      </w:pPr>
      <w:r>
        <w:rPr>
          <w:rFonts w:hint="eastAsia" w:ascii="宋体" w:hAnsi="宋体"/>
          <w:b/>
          <w:bCs/>
        </w:rPr>
        <w:t>纪委书记：</w:t>
      </w:r>
      <w:r>
        <w:rPr>
          <w:rFonts w:hint="eastAsia" w:ascii="宋体" w:hAnsi="宋体"/>
        </w:rPr>
        <w:t>王长连</w:t>
      </w:r>
    </w:p>
    <w:p w14:paraId="4BF64D22">
      <w:pPr>
        <w:ind w:firstLine="422"/>
        <w:rPr>
          <w:rFonts w:ascii="宋体" w:hAnsi="宋体"/>
        </w:rPr>
      </w:pPr>
      <w:r>
        <w:rPr>
          <w:rFonts w:hint="eastAsia" w:ascii="宋体" w:hAnsi="宋体"/>
          <w:b/>
          <w:bCs/>
        </w:rPr>
        <w:t>副镇长：</w:t>
      </w:r>
      <w:r>
        <w:rPr>
          <w:rFonts w:hint="eastAsia" w:ascii="宋体" w:hAnsi="宋体"/>
        </w:rPr>
        <w:t>苏学才  袁小平  沈建强</w:t>
      </w:r>
    </w:p>
    <w:p w14:paraId="5895CD7D">
      <w:pPr>
        <w:ind w:firstLine="422"/>
        <w:rPr>
          <w:rFonts w:ascii="宋体" w:hAnsi="宋体"/>
        </w:rPr>
      </w:pPr>
      <w:r>
        <w:rPr>
          <w:rFonts w:ascii="宋体" w:hAnsi="宋体"/>
          <w:b/>
          <w:bCs/>
        </w:rPr>
        <w:t>人大副主席：</w:t>
      </w:r>
      <w:r>
        <w:rPr>
          <w:rFonts w:ascii="宋体" w:hAnsi="宋体"/>
        </w:rPr>
        <w:t>赖荣禄</w:t>
      </w:r>
    </w:p>
    <w:p w14:paraId="3C9DFE8C">
      <w:pPr>
        <w:ind w:firstLine="422"/>
        <w:rPr>
          <w:rFonts w:ascii="宋体" w:hAnsi="宋体"/>
        </w:rPr>
      </w:pPr>
      <w:r>
        <w:rPr>
          <w:rFonts w:ascii="宋体" w:hAnsi="宋体"/>
          <w:b/>
          <w:bCs/>
        </w:rPr>
        <w:t>武装部长：</w:t>
      </w:r>
      <w:r>
        <w:rPr>
          <w:rFonts w:ascii="宋体" w:hAnsi="宋体"/>
        </w:rPr>
        <w:t>张卫平</w:t>
      </w:r>
    </w:p>
    <w:p w14:paraId="0E33EC4F">
      <w:pPr>
        <w:ind w:firstLine="422"/>
        <w:rPr>
          <w:rFonts w:ascii="宋体" w:hAnsi="宋体"/>
        </w:rPr>
      </w:pPr>
      <w:r>
        <w:rPr>
          <w:rFonts w:ascii="宋体" w:hAnsi="宋体"/>
          <w:b/>
          <w:bCs/>
        </w:rPr>
        <w:t>组织委员：</w:t>
      </w:r>
      <w:r>
        <w:rPr>
          <w:rFonts w:ascii="宋体" w:hAnsi="宋体"/>
        </w:rPr>
        <w:t>卢德斌</w:t>
      </w:r>
    </w:p>
    <w:p w14:paraId="113867F8">
      <w:pPr>
        <w:ind w:firstLine="422"/>
        <w:rPr>
          <w:rFonts w:ascii="宋体" w:hAnsi="宋体"/>
        </w:rPr>
      </w:pPr>
      <w:r>
        <w:rPr>
          <w:rFonts w:ascii="宋体" w:hAnsi="宋体"/>
          <w:b/>
          <w:bCs/>
        </w:rPr>
        <w:t>宣传委员：</w:t>
      </w:r>
      <w:r>
        <w:rPr>
          <w:rFonts w:ascii="宋体" w:hAnsi="宋体"/>
        </w:rPr>
        <w:t>苏渊白</w:t>
      </w:r>
    </w:p>
    <w:p w14:paraId="76069421">
      <w:pPr>
        <w:pStyle w:val="3"/>
      </w:pPr>
      <w:r>
        <w:rPr>
          <w:rFonts w:hint="eastAsia"/>
        </w:rPr>
        <w:t>油田镇</w:t>
      </w:r>
    </w:p>
    <w:p w14:paraId="0FF9A674">
      <w:pPr>
        <w:pStyle w:val="4"/>
      </w:pPr>
      <w:r>
        <w:t>【概况】</w:t>
      </w:r>
    </w:p>
    <w:p w14:paraId="31014D20">
      <w:pPr>
        <w:ind w:firstLine="420"/>
        <w:rPr>
          <w:rFonts w:ascii="宋体" w:hAnsi="宋体"/>
        </w:rPr>
      </w:pPr>
      <w:r>
        <w:rPr>
          <w:rFonts w:ascii="宋体" w:hAnsi="宋体"/>
        </w:rPr>
        <w:t>油山镇位于南雄东北部30公里，地处东经114°3′，北纬25°2′。东与乌迳镇相邻，南与黄坑镇交界，西与邓坊镇接壤，北与江西大余的池江镇为邻。油山镇是革命老区，是陈毅、项英三年游击战争的根据地，1928年在油山镇上朔村建立的苏维埃政权。全镇有耕地面积2524公顷，山林面积14160公顷，辖17个村委会和1个居委会、191个村小组。全镇人口3.4万。2010年种植烤烟面积达526公顷。辖区内适龄儿童入学率达到100%，初中阶段毛入学率达100%，毕业率达到100%。新型农村合作医疗参保人数27072人，覆盖率达95%。</w:t>
      </w:r>
    </w:p>
    <w:p w14:paraId="6BEF2E01">
      <w:pPr>
        <w:pStyle w:val="4"/>
      </w:pPr>
      <w:r>
        <w:t>【社会经济发展】</w:t>
      </w:r>
    </w:p>
    <w:p w14:paraId="5DB6C397">
      <w:pPr>
        <w:ind w:firstLine="420"/>
        <w:rPr>
          <w:rFonts w:ascii="宋体" w:hAnsi="宋体"/>
        </w:rPr>
      </w:pPr>
      <w:r>
        <w:rPr>
          <w:rFonts w:ascii="宋体" w:hAnsi="宋体"/>
        </w:rPr>
        <w:t>2010年，油山镇实现国民生产总值2.1亿元，比2006年增长12%。其中黄烟收购从2006年11000担增加到2010年18628担，增长69.3%，黄烟收购产值实现1408万元，税收收入130万元，民营企业实现产值4万元，全镇农民人均收入达5000元，比2006年增长64.8%。完成爱敬等7个村的农综开发工作，目前拥有沼气池2100多个，完成危房改造24户，投入155万元参股浈江电业。</w:t>
      </w:r>
    </w:p>
    <w:p w14:paraId="6DADC065">
      <w:pPr>
        <w:pStyle w:val="4"/>
      </w:pPr>
      <w:r>
        <w:t>【社会事业发展】</w:t>
      </w:r>
    </w:p>
    <w:p w14:paraId="649E06B5">
      <w:pPr>
        <w:ind w:firstLine="420"/>
        <w:rPr>
          <w:rFonts w:ascii="宋体" w:hAnsi="宋体"/>
        </w:rPr>
      </w:pPr>
      <w:r>
        <w:rPr>
          <w:rFonts w:ascii="宋体" w:hAnsi="宋体"/>
        </w:rPr>
        <w:t>油山镇致力于全面推行素质教育，加大教育投入与扶贫助学的工作力度，筹集资金350多万元，兴建校舍5280平方米。新型农村合作医疗参保人数27072人。发放低保金625户1375人共计101.64万元。补助五保户98人共计103万元。优抚退伍军人、烈士遗属58人共计2.3万元。新建敬老院宿舍楼一栋，现有在住老人16人。2010年油山镇人口出生率控制在12.93%，计划生育率提高到94.04%，双查率99.13%，综合节育率89%。</w:t>
      </w:r>
    </w:p>
    <w:p w14:paraId="502D06DE">
      <w:pPr>
        <w:pStyle w:val="4"/>
      </w:pPr>
      <w:r>
        <w:t>【重点项目建设】</w:t>
      </w:r>
    </w:p>
    <w:p w14:paraId="2F85AD04">
      <w:pPr>
        <w:ind w:firstLine="420"/>
        <w:rPr>
          <w:rFonts w:ascii="宋体" w:hAnsi="宋体"/>
        </w:rPr>
      </w:pPr>
      <w:r>
        <w:rPr>
          <w:rFonts w:ascii="宋体" w:hAnsi="宋体"/>
        </w:rPr>
        <w:t>投资1000万元兴修水利，修渡槽、筑陂头，清淤抗旱。东莞常平镇投入78万元帮助莲山、浆田、上浆三村建设农业生产基础设施。韶关交通局、韶关医学院工作组投入资金63万元，帮助完成爱敬村电灌站的扩建，公路涵洞维修，村道路面硬化等工程。筹集资金350万元，新建校舍。</w:t>
      </w:r>
    </w:p>
    <w:p w14:paraId="538E9EB5">
      <w:pPr>
        <w:pStyle w:val="4"/>
      </w:pPr>
      <w:r>
        <w:t>【党建工作】</w:t>
      </w:r>
    </w:p>
    <w:p w14:paraId="59C71AFC">
      <w:pPr>
        <w:ind w:firstLine="420"/>
        <w:rPr>
          <w:rFonts w:ascii="宋体" w:hAnsi="宋体"/>
        </w:rPr>
      </w:pPr>
      <w:r>
        <w:rPr>
          <w:rFonts w:ascii="宋体" w:hAnsi="宋体"/>
        </w:rPr>
        <w:t>油山镇下辖23个党支部，其中机关党支部6个，农村党支部17个，社区尚未成立党支部。共有党员927名，其中预备党员39名，党员平均年龄46岁。</w:t>
      </w:r>
    </w:p>
    <w:p w14:paraId="154CE001">
      <w:pPr>
        <w:pStyle w:val="4"/>
      </w:pPr>
      <w:r>
        <w:t>【教育及文化】</w:t>
      </w:r>
    </w:p>
    <w:p w14:paraId="6A28382F">
      <w:pPr>
        <w:ind w:firstLine="420"/>
        <w:rPr>
          <w:rFonts w:ascii="宋体" w:hAnsi="宋体"/>
        </w:rPr>
      </w:pPr>
      <w:r>
        <w:rPr>
          <w:rFonts w:ascii="宋体" w:hAnsi="宋体"/>
        </w:rPr>
        <w:t>投入资金350多万元，改善硬件设施，兴建校舍5280平方米，向887名贫困生发放生活补助共计8.87万元。目前在园幼儿420人。普九成果得到巩固，适龄儿童入学率达到100%，辍学率为0，初中阶段毛入学率达到100%。</w:t>
      </w:r>
    </w:p>
    <w:p w14:paraId="6D4CEDF9">
      <w:pPr>
        <w:pStyle w:val="4"/>
      </w:pPr>
      <w:r>
        <w:t>【卫生】</w:t>
      </w:r>
    </w:p>
    <w:p w14:paraId="502C5936">
      <w:pPr>
        <w:ind w:firstLine="420"/>
        <w:rPr>
          <w:rFonts w:ascii="宋体" w:hAnsi="宋体"/>
        </w:rPr>
      </w:pPr>
      <w:r>
        <w:rPr>
          <w:rFonts w:ascii="宋体" w:hAnsi="宋体"/>
        </w:rPr>
        <w:t>2010年着重加强妇幼保健、疾病控制和传染病的预防工作，预防各种传染病的流行，镇、村医疗机构规范化建设工作全面推进，产妇住院分娩率、儿童强制预防接种率分别达到100%，传染病、流行病防治工作扎实开展。</w:t>
      </w:r>
    </w:p>
    <w:p w14:paraId="433BFF6A">
      <w:pPr>
        <w:pStyle w:val="4"/>
      </w:pPr>
      <w:r>
        <w:t>【计划生育】</w:t>
      </w:r>
    </w:p>
    <w:p w14:paraId="001D3AA3">
      <w:pPr>
        <w:ind w:firstLine="420"/>
        <w:rPr>
          <w:rFonts w:ascii="宋体" w:hAnsi="宋体"/>
        </w:rPr>
      </w:pPr>
      <w:r>
        <w:rPr>
          <w:rFonts w:ascii="宋体" w:hAnsi="宋体"/>
        </w:rPr>
        <w:t>政府加大资金的投入力度，完善镇村三栏二室一校及村委会基础设施建设。通过以计划生育例会制度为抓手和对镇村干部实行层级动态管理的方式，人口出生率下降到12.93%，计划生育率提高到94.04%，双查率提高到99.13%，综合节育率达到89%，出生性别比例下降至107.11。</w:t>
      </w:r>
    </w:p>
    <w:p w14:paraId="35576D5E">
      <w:pPr>
        <w:pStyle w:val="3"/>
      </w:pPr>
      <w:r>
        <w:rPr>
          <w:rFonts w:hint="eastAsia"/>
        </w:rPr>
        <w:t>各村（居）委会基本情况</w:t>
      </w:r>
    </w:p>
    <w:p w14:paraId="35B42ED3">
      <w:pPr>
        <w:pStyle w:val="4"/>
      </w:pPr>
      <w:r>
        <w:t>【坪田坳村委会】</w:t>
      </w:r>
    </w:p>
    <w:p w14:paraId="61A35FCA">
      <w:pPr>
        <w:ind w:firstLine="420"/>
        <w:rPr>
          <w:rFonts w:ascii="宋体" w:hAnsi="宋体"/>
        </w:rPr>
      </w:pPr>
      <w:r>
        <w:rPr>
          <w:rFonts w:ascii="宋体" w:hAnsi="宋体"/>
        </w:rPr>
        <w:t>位于南雄市油山镇北部，总面积15.85平方公里，有耕地面积194.8公顷，山地面积1524.6公顷，有林面积1269.6公顷。林木有松、衫、竹等。辖11个村民小组，自然村6个，有272户，1368人。村年集体收入23872元，现有党员35人，村干部4人。</w:t>
      </w:r>
    </w:p>
    <w:p w14:paraId="4A27136A">
      <w:pPr>
        <w:pStyle w:val="4"/>
      </w:pPr>
      <w:r>
        <w:t>【莲山村委会】</w:t>
      </w:r>
    </w:p>
    <w:p w14:paraId="06ABE44B">
      <w:pPr>
        <w:ind w:firstLine="420"/>
        <w:rPr>
          <w:rFonts w:ascii="宋体" w:hAnsi="宋体"/>
        </w:rPr>
      </w:pPr>
      <w:r>
        <w:rPr>
          <w:rFonts w:ascii="宋体" w:hAnsi="宋体"/>
        </w:rPr>
        <w:t>位于南雄市油山镇西北部，总面积18.25平方公里，有耕地面积198.2公顷，山地面积1517.2公顷，有林面积1193.5公顷。林木有松、衫、竹等。辖15个村民小组，有自然村14个，有370户，18811人。村年集体收入10307元、党员39人，村干部4人。</w:t>
      </w:r>
    </w:p>
    <w:p w14:paraId="4B0B6F6C">
      <w:pPr>
        <w:pStyle w:val="4"/>
      </w:pPr>
      <w:r>
        <w:t>【大兰村委会】</w:t>
      </w:r>
    </w:p>
    <w:p w14:paraId="200F3B5F">
      <w:pPr>
        <w:ind w:firstLine="420"/>
        <w:rPr>
          <w:rFonts w:ascii="宋体" w:hAnsi="宋体"/>
        </w:rPr>
      </w:pPr>
      <w:r>
        <w:rPr>
          <w:rFonts w:ascii="宋体" w:hAnsi="宋体"/>
        </w:rPr>
        <w:t>位于南雄市油山镇北部，毗邻江西省池江镇，总面积13.61平方公里，有耕地面积113.8公顷，山地面积1394.4公顷，有林面积1122.2公顷。辖7个村民小组，有自然村9个，有255户，1134人。村年集体收入11720元、现有村干部3人，党员40人。</w:t>
      </w:r>
    </w:p>
    <w:p w14:paraId="79344FBF">
      <w:pPr>
        <w:pStyle w:val="4"/>
      </w:pPr>
      <w:r>
        <w:t>【平林村委会】</w:t>
      </w:r>
    </w:p>
    <w:p w14:paraId="4A4CB7AB">
      <w:pPr>
        <w:ind w:firstLine="420"/>
        <w:rPr>
          <w:rFonts w:ascii="宋体" w:hAnsi="宋体"/>
        </w:rPr>
      </w:pPr>
      <w:r>
        <w:rPr>
          <w:rFonts w:ascii="宋体" w:hAnsi="宋体"/>
        </w:rPr>
        <w:t>位于南雄市油山镇北部，总面积19.96平方公里，有耕地面积282.4公顷，山地面积2081公顷，有林面积1619.3公顷。林木有松、衫、竹等。辖16个村民小组，自然村13个，有513户，人口2200人。村年集体收入30590元、现有党员45人，村干部4人。</w:t>
      </w:r>
    </w:p>
    <w:p w14:paraId="472FD0D0">
      <w:pPr>
        <w:pStyle w:val="4"/>
      </w:pPr>
      <w:r>
        <w:t>【黄地村委会】</w:t>
      </w:r>
    </w:p>
    <w:p w14:paraId="35ABA7B9">
      <w:pPr>
        <w:ind w:firstLine="420"/>
        <w:rPr>
          <w:rFonts w:ascii="宋体" w:hAnsi="宋体"/>
        </w:rPr>
      </w:pPr>
      <w:r>
        <w:rPr>
          <w:rFonts w:ascii="宋体" w:hAnsi="宋体"/>
        </w:rPr>
        <w:t>位于南雄市油山镇北部，总面积13.65平方公里，有耕地面积86.5公顷，山地面积751.8公顷，有林面积609.6公顷。辖5个村民小组，有自然村5个，有153户，783人。村年集体收入9346元、党员27人，村干部3人。</w:t>
      </w:r>
    </w:p>
    <w:p w14:paraId="0DDCDCCB">
      <w:pPr>
        <w:pStyle w:val="4"/>
      </w:pPr>
      <w:r>
        <w:t>【爱敬村委会】</w:t>
      </w:r>
    </w:p>
    <w:p w14:paraId="5AD2A75F">
      <w:pPr>
        <w:ind w:firstLine="420"/>
        <w:rPr>
          <w:rFonts w:ascii="宋体" w:hAnsi="宋体"/>
        </w:rPr>
      </w:pPr>
      <w:r>
        <w:rPr>
          <w:rFonts w:ascii="宋体" w:hAnsi="宋体"/>
        </w:rPr>
        <w:t>位于南雄市镇南部，总面积3.03平方公里，有耕地面积114公顷，其中水田66.5公顷，旱地47.2公顷。辖8个村民小组，自然村8个，有404户，人口17330村年集体收入15123元、现有村干部4人，党员40人。</w:t>
      </w:r>
    </w:p>
    <w:p w14:paraId="33E82432">
      <w:pPr>
        <w:pStyle w:val="4"/>
      </w:pPr>
      <w:r>
        <w:t>【浆田村委会】</w:t>
      </w:r>
    </w:p>
    <w:p w14:paraId="16436B02">
      <w:pPr>
        <w:ind w:firstLine="420"/>
        <w:rPr>
          <w:rFonts w:ascii="宋体" w:hAnsi="宋体"/>
        </w:rPr>
      </w:pPr>
      <w:r>
        <w:rPr>
          <w:rFonts w:ascii="宋体" w:hAnsi="宋体"/>
        </w:rPr>
        <w:t>位于南雄市镇南部，总面积2.39平方公里，有耕地面积133.9公顷，其中水田83.9公顷，旱地50.1公顷。辖9个村民小组，自然村2个，有376户，人口19960。村年集体收入20360元、现有村干部5人，党员88人。</w:t>
      </w:r>
    </w:p>
    <w:p w14:paraId="0D927CAE">
      <w:pPr>
        <w:pStyle w:val="4"/>
      </w:pPr>
      <w:r>
        <w:t>【上浆村委会】</w:t>
      </w:r>
    </w:p>
    <w:p w14:paraId="71DB4CE7">
      <w:pPr>
        <w:ind w:firstLine="420"/>
        <w:rPr>
          <w:rFonts w:ascii="宋体" w:hAnsi="宋体"/>
        </w:rPr>
      </w:pPr>
      <w:r>
        <w:rPr>
          <w:rFonts w:ascii="宋体" w:hAnsi="宋体"/>
        </w:rPr>
        <w:t>位于南雄市镇南部，总面积3.9平方公里，有耕地面积120.8公顷，其中水田70公顷，旱地50.8公顷。辖6个村民小组，自然村5个，有327户，人口1549。村年集体收入9564元、现有村干部4人，党员41人。</w:t>
      </w:r>
    </w:p>
    <w:p w14:paraId="52C6CE2D">
      <w:pPr>
        <w:pStyle w:val="4"/>
      </w:pPr>
      <w:r>
        <w:t>【孔村村委会】</w:t>
      </w:r>
    </w:p>
    <w:p w14:paraId="5927FE73">
      <w:pPr>
        <w:ind w:firstLine="420"/>
        <w:rPr>
          <w:rFonts w:ascii="宋体" w:hAnsi="宋体"/>
        </w:rPr>
      </w:pPr>
      <w:r>
        <w:rPr>
          <w:rFonts w:ascii="宋体" w:hAnsi="宋体"/>
        </w:rPr>
        <w:t>位于镇政府南部，总面积2.79平方公里，有耕地面积86.5公顷，其中水田75.5公顷，旱地10.7公顷。辖5个村民小组，自然村2个，有267户，人口12940。村年集体收入8522元、现有村干部3人，党员31人。</w:t>
      </w:r>
    </w:p>
    <w:p w14:paraId="14C78191">
      <w:pPr>
        <w:pStyle w:val="4"/>
      </w:pPr>
      <w:r>
        <w:t>【延村村委会】</w:t>
      </w:r>
    </w:p>
    <w:p w14:paraId="29EFC1D0">
      <w:pPr>
        <w:ind w:firstLine="420"/>
        <w:rPr>
          <w:rFonts w:ascii="宋体" w:hAnsi="宋体"/>
        </w:rPr>
      </w:pPr>
      <w:r>
        <w:rPr>
          <w:rFonts w:ascii="宋体" w:hAnsi="宋体"/>
        </w:rPr>
        <w:t>位于镇政府东部，总面积4.58平方公里，有耕地面积159.1公顷，其中水田132.1公顷，旱地27公顷。辖11个村民小组，自然村9个，有441户，人口21980村年集体收入18636元、现有村干部7人，党员52人。</w:t>
      </w:r>
    </w:p>
    <w:p w14:paraId="6D4204E9">
      <w:pPr>
        <w:pStyle w:val="4"/>
      </w:pPr>
      <w:r>
        <w:t>【锦陂村委会】</w:t>
      </w:r>
    </w:p>
    <w:p w14:paraId="1AA7538C">
      <w:pPr>
        <w:ind w:firstLine="420"/>
        <w:rPr>
          <w:rFonts w:ascii="宋体" w:hAnsi="宋体"/>
        </w:rPr>
      </w:pPr>
      <w:r>
        <w:rPr>
          <w:rFonts w:ascii="宋体" w:hAnsi="宋体"/>
        </w:rPr>
        <w:t>位于南雄市镇东部，总面积7.5平方公里，有耕地面积134.6公顷，其中水田119.5公顷，旱地15.1公顷。辖10个村民小组，自然村12个，有371户，人口1755。村年集体收入15561元、现有村干部4人，党员29人。</w:t>
      </w:r>
    </w:p>
    <w:p w14:paraId="70F568A6">
      <w:pPr>
        <w:pStyle w:val="4"/>
      </w:pPr>
      <w:r>
        <w:t>【上朔村委会】</w:t>
      </w:r>
    </w:p>
    <w:p w14:paraId="32A11F92">
      <w:pPr>
        <w:ind w:firstLine="420"/>
        <w:rPr>
          <w:rFonts w:ascii="宋体" w:hAnsi="宋体"/>
        </w:rPr>
      </w:pPr>
      <w:r>
        <w:rPr>
          <w:rFonts w:ascii="宋体" w:hAnsi="宋体"/>
        </w:rPr>
        <w:t>位于南雄市镇东部，总面积8.46平方公里，有耕地面积201.5公顷，其中水田147.2公顷，旱地58.8公顷。辖26个村民小组，自然村1个，有603户，人口3344。村年集体收入15890元，现有村干部6人，党员53人。</w:t>
      </w:r>
    </w:p>
    <w:p w14:paraId="5700749D">
      <w:pPr>
        <w:pStyle w:val="4"/>
      </w:pPr>
      <w:r>
        <w:t>【夹河口村委会】</w:t>
      </w:r>
    </w:p>
    <w:p w14:paraId="5C396135">
      <w:pPr>
        <w:ind w:firstLine="420"/>
        <w:rPr>
          <w:rFonts w:ascii="宋体" w:hAnsi="宋体"/>
        </w:rPr>
      </w:pPr>
      <w:r>
        <w:rPr>
          <w:rFonts w:ascii="宋体" w:hAnsi="宋体"/>
        </w:rPr>
        <w:t>位于南雄市油山镇北部，总面积13.05平方公里，有耕地面积103.2公顷，山地面积1386.4公顷，有林面积1002.3公顷。林木有松、衫、竹等。辖9个村民小组，自然村7个，有275户，人口1470。村年集体收入29863元、现有村干部4人，党员31人。</w:t>
      </w:r>
    </w:p>
    <w:p w14:paraId="03353E6F">
      <w:pPr>
        <w:pStyle w:val="4"/>
      </w:pPr>
      <w:r>
        <w:t>【大塘村委会】</w:t>
      </w:r>
    </w:p>
    <w:p w14:paraId="73679883">
      <w:pPr>
        <w:ind w:firstLine="420"/>
        <w:rPr>
          <w:rFonts w:ascii="宋体" w:hAnsi="宋体"/>
        </w:rPr>
      </w:pPr>
      <w:r>
        <w:rPr>
          <w:rFonts w:ascii="宋体" w:hAnsi="宋体"/>
        </w:rPr>
        <w:t>位于南雄市镇南部，总面积2.16平方公里，有耕地面积69.5公顷，其中水田56.2公顷，旱地13.3公顷。辖5个村民小组，自然村2个，有195户，人口916。村年集体收入13014元、现有村干部4人，党员25人。</w:t>
      </w:r>
    </w:p>
    <w:p w14:paraId="2A5FB310">
      <w:pPr>
        <w:pStyle w:val="4"/>
      </w:pPr>
      <w:r>
        <w:t>【黄田村委会】</w:t>
      </w:r>
    </w:p>
    <w:p w14:paraId="0A467CA6">
      <w:pPr>
        <w:ind w:firstLine="420"/>
        <w:rPr>
          <w:rFonts w:ascii="宋体" w:hAnsi="宋体"/>
        </w:rPr>
      </w:pPr>
      <w:r>
        <w:rPr>
          <w:rFonts w:ascii="宋体" w:hAnsi="宋体"/>
        </w:rPr>
        <w:t>位于南雄市油山镇西部，总面积4.41平方公里，有耕地面积145.9公顷，其中水田114公顷，旱地31.9公顷。辖16个村民小组，自然村6个，有430户，人口2241。村年集体收入20964元、现有村干部5人，党员39人。</w:t>
      </w:r>
    </w:p>
    <w:p w14:paraId="17516988">
      <w:pPr>
        <w:pStyle w:val="4"/>
      </w:pPr>
      <w:r>
        <w:t>【下惠村委会】</w:t>
      </w:r>
    </w:p>
    <w:p w14:paraId="11C14E65">
      <w:pPr>
        <w:ind w:firstLine="420"/>
        <w:rPr>
          <w:rFonts w:ascii="宋体" w:hAnsi="宋体"/>
        </w:rPr>
      </w:pPr>
      <w:r>
        <w:rPr>
          <w:rFonts w:ascii="宋体" w:hAnsi="宋体"/>
        </w:rPr>
        <w:t>位于南雄市油山镇西部，总面积6.57平方公里，有耕地面积205.9公顷，其中水田142.9公顷，旱地62.9公顷。辖20个村民小组，自然村13个，有593户，人口3083。村年集体收入18500元、现有村干部5人，党员53人。</w:t>
      </w:r>
    </w:p>
    <w:p w14:paraId="73754CC9">
      <w:pPr>
        <w:pStyle w:val="4"/>
      </w:pPr>
      <w:r>
        <w:t>【古城村委会】</w:t>
      </w:r>
    </w:p>
    <w:p w14:paraId="1336899E">
      <w:pPr>
        <w:ind w:firstLine="420"/>
        <w:rPr>
          <w:rFonts w:ascii="宋体" w:hAnsi="宋体"/>
        </w:rPr>
      </w:pPr>
      <w:r>
        <w:rPr>
          <w:rFonts w:ascii="宋体" w:hAnsi="宋体"/>
        </w:rPr>
        <w:t>位于南雄市油山镇西部，总面积10.12平方公里，有耕地面积189.7公顷，其中水田171.3公顷，旱地18.3公顷。辖12个村民小组，自然村10个，有412户，人口2002。村年集体收入27500元、现有村干部5人，党员53人。</w:t>
      </w:r>
    </w:p>
    <w:p w14:paraId="4D6BA619">
      <w:pPr>
        <w:pStyle w:val="4"/>
      </w:pPr>
      <w:r>
        <w:t>【油山居委会】</w:t>
      </w:r>
    </w:p>
    <w:p w14:paraId="0E354698">
      <w:pPr>
        <w:ind w:firstLine="420"/>
        <w:rPr>
          <w:rFonts w:ascii="宋体" w:hAnsi="宋体"/>
        </w:rPr>
      </w:pPr>
      <w:r>
        <w:rPr>
          <w:rFonts w:ascii="宋体" w:hAnsi="宋体"/>
        </w:rPr>
        <w:t>位于南雄市镇南部，总面积10.12平方公里，有耕地面积189.7公顷，其中水田171.3公顷，旱田18.3公顷。辖12个村民小组，有412户，人口数2002人。现有村干部4人。</w:t>
      </w:r>
    </w:p>
    <w:p w14:paraId="4D73B569">
      <w:pPr>
        <w:ind w:firstLine="420"/>
        <w:jc w:val="right"/>
        <w:rPr>
          <w:rFonts w:ascii="宋体" w:hAnsi="宋体"/>
        </w:rPr>
      </w:pPr>
      <w:r>
        <w:rPr>
          <w:rFonts w:ascii="宋体" w:hAnsi="宋体"/>
        </w:rPr>
        <w:t>（金晶）</w:t>
      </w:r>
    </w:p>
    <w:p w14:paraId="64FA71B6">
      <w:pPr>
        <w:ind w:firstLine="422"/>
        <w:rPr>
          <w:rFonts w:ascii="宋体" w:hAnsi="宋体"/>
          <w:b/>
          <w:bCs/>
        </w:rPr>
      </w:pPr>
      <w:r>
        <w:rPr>
          <w:rFonts w:ascii="宋体" w:hAnsi="宋体"/>
          <w:b/>
          <w:bCs/>
        </w:rPr>
        <w:t>附：2010年油山镇领导班子成员名单</w:t>
      </w:r>
    </w:p>
    <w:p w14:paraId="3B867596">
      <w:pPr>
        <w:ind w:firstLine="422"/>
        <w:rPr>
          <w:rFonts w:ascii="宋体" w:hAnsi="宋体"/>
        </w:rPr>
      </w:pPr>
      <w:r>
        <w:rPr>
          <w:rFonts w:ascii="宋体" w:hAnsi="宋体"/>
          <w:b/>
          <w:bCs/>
        </w:rPr>
        <w:t>党委书记、人大主席：</w:t>
      </w:r>
      <w:r>
        <w:rPr>
          <w:rFonts w:ascii="宋体" w:hAnsi="宋体"/>
        </w:rPr>
        <w:t>叶凌峰</w:t>
      </w:r>
    </w:p>
    <w:p w14:paraId="73C2764D">
      <w:pPr>
        <w:ind w:firstLine="422"/>
        <w:rPr>
          <w:rFonts w:ascii="宋体" w:hAnsi="宋体"/>
        </w:rPr>
      </w:pPr>
      <w:r>
        <w:rPr>
          <w:rFonts w:ascii="宋体" w:hAnsi="宋体"/>
          <w:b/>
          <w:bCs/>
        </w:rPr>
        <w:t>党委副书记、镇长：</w:t>
      </w:r>
      <w:r>
        <w:rPr>
          <w:rFonts w:ascii="宋体" w:hAnsi="宋体"/>
        </w:rPr>
        <w:t>李世勤</w:t>
      </w:r>
    </w:p>
    <w:p w14:paraId="0F286388">
      <w:pPr>
        <w:ind w:firstLine="422"/>
        <w:rPr>
          <w:rFonts w:ascii="宋体" w:hAnsi="宋体"/>
        </w:rPr>
      </w:pPr>
      <w:r>
        <w:rPr>
          <w:rFonts w:ascii="宋体" w:hAnsi="宋体"/>
          <w:b/>
          <w:bCs/>
        </w:rPr>
        <w:t>党委副书记：</w:t>
      </w:r>
      <w:r>
        <w:rPr>
          <w:rFonts w:ascii="宋体" w:hAnsi="宋体"/>
        </w:rPr>
        <w:t>罗福胜</w:t>
      </w:r>
    </w:p>
    <w:p w14:paraId="1A7C556F">
      <w:pPr>
        <w:ind w:firstLine="422"/>
        <w:rPr>
          <w:rFonts w:ascii="宋体" w:hAnsi="宋体"/>
        </w:rPr>
      </w:pPr>
      <w:r>
        <w:rPr>
          <w:rFonts w:ascii="宋体" w:hAnsi="宋体"/>
          <w:b/>
          <w:bCs/>
        </w:rPr>
        <w:t>纪委书记：</w:t>
      </w:r>
      <w:r>
        <w:rPr>
          <w:rFonts w:ascii="宋体" w:hAnsi="宋体"/>
        </w:rPr>
        <w:t>蓝连山</w:t>
      </w:r>
    </w:p>
    <w:p w14:paraId="161242FD">
      <w:pPr>
        <w:ind w:firstLine="422"/>
        <w:rPr>
          <w:rFonts w:ascii="宋体" w:hAnsi="宋体"/>
        </w:rPr>
      </w:pPr>
      <w:r>
        <w:rPr>
          <w:rFonts w:ascii="宋体" w:hAnsi="宋体"/>
          <w:b/>
          <w:bCs/>
        </w:rPr>
        <w:t>副镇长：</w:t>
      </w:r>
      <w:r>
        <w:rPr>
          <w:rFonts w:ascii="宋体" w:hAnsi="宋体"/>
        </w:rPr>
        <w:t>蔡庆娟刘军</w:t>
      </w:r>
    </w:p>
    <w:p w14:paraId="4CDE6333">
      <w:pPr>
        <w:ind w:firstLine="422"/>
        <w:rPr>
          <w:rFonts w:ascii="宋体" w:hAnsi="宋体"/>
        </w:rPr>
      </w:pPr>
      <w:r>
        <w:rPr>
          <w:rFonts w:ascii="宋体" w:hAnsi="宋体"/>
          <w:b/>
          <w:bCs/>
        </w:rPr>
        <w:t>人大副主席：</w:t>
      </w:r>
      <w:r>
        <w:rPr>
          <w:rFonts w:ascii="宋体" w:hAnsi="宋体"/>
        </w:rPr>
        <w:t>卢章美</w:t>
      </w:r>
    </w:p>
    <w:p w14:paraId="78C6EC58">
      <w:pPr>
        <w:ind w:firstLine="422"/>
        <w:rPr>
          <w:rFonts w:ascii="宋体" w:hAnsi="宋体"/>
        </w:rPr>
      </w:pPr>
      <w:r>
        <w:rPr>
          <w:rFonts w:ascii="宋体" w:hAnsi="宋体"/>
          <w:b/>
          <w:bCs/>
        </w:rPr>
        <w:t>武装部长：</w:t>
      </w:r>
      <w:r>
        <w:rPr>
          <w:rFonts w:ascii="宋体" w:hAnsi="宋体"/>
        </w:rPr>
        <w:t>黄祖旺</w:t>
      </w:r>
    </w:p>
    <w:p w14:paraId="002BB011">
      <w:pPr>
        <w:ind w:firstLine="422"/>
        <w:rPr>
          <w:rFonts w:ascii="宋体" w:hAnsi="宋体"/>
        </w:rPr>
      </w:pPr>
      <w:r>
        <w:rPr>
          <w:rFonts w:ascii="宋体" w:hAnsi="宋体"/>
          <w:b/>
          <w:bCs/>
        </w:rPr>
        <w:t>组织委员：</w:t>
      </w:r>
      <w:r>
        <w:rPr>
          <w:rFonts w:ascii="宋体" w:hAnsi="宋体"/>
        </w:rPr>
        <w:t>何松山</w:t>
      </w:r>
    </w:p>
    <w:p w14:paraId="6A2A88BD">
      <w:pPr>
        <w:ind w:firstLine="422"/>
        <w:rPr>
          <w:rFonts w:ascii="宋体" w:hAnsi="宋体"/>
        </w:rPr>
      </w:pPr>
      <w:r>
        <w:rPr>
          <w:rFonts w:ascii="宋体" w:hAnsi="宋体"/>
          <w:b/>
          <w:bCs/>
        </w:rPr>
        <w:t>宣传委员：</w:t>
      </w:r>
      <w:r>
        <w:rPr>
          <w:rFonts w:ascii="宋体" w:hAnsi="宋体"/>
        </w:rPr>
        <w:t>陈宗华</w:t>
      </w:r>
    </w:p>
    <w:p w14:paraId="3CF5630E">
      <w:pPr>
        <w:ind w:firstLine="422"/>
        <w:rPr>
          <w:rFonts w:ascii="宋体" w:hAnsi="宋体"/>
        </w:rPr>
      </w:pPr>
      <w:r>
        <w:rPr>
          <w:rFonts w:ascii="宋体" w:hAnsi="宋体"/>
          <w:b/>
          <w:bCs/>
        </w:rPr>
        <w:t>党委委员：</w:t>
      </w:r>
      <w:r>
        <w:rPr>
          <w:rFonts w:ascii="宋体" w:hAnsi="宋体"/>
        </w:rPr>
        <w:t>陈世锋</w:t>
      </w:r>
    </w:p>
    <w:p w14:paraId="6B7F22EF">
      <w:pPr>
        <w:pStyle w:val="3"/>
      </w:pPr>
      <w:r>
        <w:rPr>
          <w:rFonts w:hint="eastAsia"/>
        </w:rPr>
        <w:t>黄坑镇</w:t>
      </w:r>
    </w:p>
    <w:p w14:paraId="16634A78">
      <w:pPr>
        <w:pStyle w:val="4"/>
      </w:pPr>
      <w:r>
        <w:t>【概况】</w:t>
      </w:r>
    </w:p>
    <w:p w14:paraId="5AF8BAC4">
      <w:pPr>
        <w:ind w:firstLine="420"/>
        <w:rPr>
          <w:rFonts w:ascii="宋体" w:hAnsi="宋体"/>
        </w:rPr>
      </w:pPr>
      <w:r>
        <w:rPr>
          <w:rFonts w:ascii="宋体" w:hAnsi="宋体"/>
        </w:rPr>
        <w:t>黄坑镇位于南雄市东北部，距市区21公里，与本市邓坊、油山、乌迳、水口、湖口五镇相邻，总面积55.75平方公里，耕地面积2056.7公顷，山林面积1211.5公顷。矿产资源主要有溪塘红石，水利资源主要有1个围背水库，水面面积121.1公顷，年蓄水量714万立方米，全镇312口山塘。农产品主要有黄烟、水稻、花生、毛竹、百草鹅、小辣椒等，其中以黄烟最为出名，2个国家替代进口优质烟叶示范基地和1个现代烟草农业示范园区。2009年该镇被广东省社会治安综合治理委员会评为2005年至2008年全省平安建设先进镇；2009年该镇被国家体育总局评为全国群众体育先进单位</w:t>
      </w:r>
    </w:p>
    <w:p w14:paraId="349F327E">
      <w:pPr>
        <w:pStyle w:val="4"/>
      </w:pPr>
      <w:r>
        <w:t>【经济发展】</w:t>
      </w:r>
    </w:p>
    <w:p w14:paraId="2E882559">
      <w:pPr>
        <w:ind w:firstLine="420"/>
        <w:rPr>
          <w:rFonts w:ascii="宋体" w:hAnsi="宋体"/>
        </w:rPr>
      </w:pPr>
      <w:r>
        <w:rPr>
          <w:rFonts w:ascii="宋体" w:hAnsi="宋体"/>
        </w:rPr>
        <w:t>2010年全镇工农业总产值3.43亿元，财政收入634万元，农村人均收入5580元，比2002年分别增长19.1%，20.3%和34.8%。</w:t>
      </w:r>
    </w:p>
    <w:p w14:paraId="507EE19A">
      <w:pPr>
        <w:pStyle w:val="4"/>
      </w:pPr>
      <w:r>
        <w:t>【人文名胜】</w:t>
      </w:r>
    </w:p>
    <w:p w14:paraId="754BA104">
      <w:pPr>
        <w:ind w:firstLine="420"/>
        <w:rPr>
          <w:rFonts w:ascii="宋体" w:hAnsi="宋体"/>
        </w:rPr>
      </w:pPr>
      <w:r>
        <w:rPr>
          <w:rFonts w:ascii="宋体" w:hAnsi="宋体"/>
        </w:rPr>
        <w:t>1928年2月，南雄第一届苏维埃政府成立万人大会在黄坑墟召开；镇内18个村落至今保留完好的进士拴马石、板桥文化节、墟镇骄阳采茶剧团。</w:t>
      </w:r>
    </w:p>
    <w:p w14:paraId="2D471168">
      <w:pPr>
        <w:pStyle w:val="4"/>
      </w:pPr>
      <w:r>
        <w:t>【农业】</w:t>
      </w:r>
    </w:p>
    <w:p w14:paraId="62F3E4C8">
      <w:pPr>
        <w:ind w:firstLine="420"/>
        <w:rPr>
          <w:rFonts w:ascii="宋体" w:hAnsi="宋体"/>
        </w:rPr>
      </w:pPr>
      <w:r>
        <w:rPr>
          <w:rFonts w:ascii="宋体" w:hAnsi="宋体"/>
        </w:rPr>
        <w:t>一是发展黄烟生产，提高烟叶产业水平。2010年全镇黄烟种植面积1060公顷，收购量达2050吨，平均价7.82元/斤，居全市之首；2010年全镇种植水稻1648.5公顷，其中优质稻1090公顷，总产量10829吨，花生，总产1508吨，大豆，总产537吨，番薯，总产1400吨。还种植红瓜子，小辣椒。2010年，全镇出栏肉猪2.3万头，出售和自宰家禽28.6万只。二是抓好林业创业工作，落实各项优惠政策和措施，培植林业资源，在路旁，河堤岸，村旁等宜林地种植，强化林政管理，巩固绿化成果，现有森林面积1223.7公顷，其中省级生态林554公顷，森林覆盖率达40%。</w:t>
      </w:r>
    </w:p>
    <w:p w14:paraId="44A408A5">
      <w:pPr>
        <w:pStyle w:val="4"/>
      </w:pPr>
      <w:r>
        <w:t>【乡镇企业】</w:t>
      </w:r>
    </w:p>
    <w:p w14:paraId="7279B2E9">
      <w:pPr>
        <w:ind w:firstLine="420"/>
        <w:rPr>
          <w:rFonts w:ascii="宋体" w:hAnsi="宋体"/>
        </w:rPr>
      </w:pPr>
      <w:r>
        <w:rPr>
          <w:rFonts w:ascii="宋体" w:hAnsi="宋体"/>
        </w:rPr>
        <w:t>2008年，建设罗坑工业园区。截至2010年，共有鸿基塑料厂、湘雄塑料厂、鸿基砖厂、千杰彩瓦厂、和吉建材厂、金土地粮油加工厂、罗业针织厂等7家规模以上企业入驻该园区。</w:t>
      </w:r>
    </w:p>
    <w:p w14:paraId="5C45CE38">
      <w:pPr>
        <w:pStyle w:val="4"/>
      </w:pPr>
      <w:r>
        <w:t>【国土工作】</w:t>
      </w:r>
    </w:p>
    <w:p w14:paraId="0EE9BB43">
      <w:pPr>
        <w:ind w:firstLine="420"/>
        <w:rPr>
          <w:rFonts w:ascii="宋体" w:hAnsi="宋体"/>
        </w:rPr>
      </w:pPr>
      <w:r>
        <w:rPr>
          <w:rFonts w:ascii="宋体" w:hAnsi="宋体"/>
        </w:rPr>
        <w:t>依法管地，阳光批地，打击违法用地，全镇基本农田保持稳定。建立和完善国土资源动态巡查制度与地质灾害险情巡查制度，查处各种违法用地20宗。开展征地工作，先后完成许村现代烟草农业示范点及8家企业用地征地工作，共计征地6.6公顷。投资500万元，共完成省级投资土地整理项目82.5公顷，净增耕地900亩。化解土地纠纷，维护社会稳定，调解土地纠纷135宗。</w:t>
      </w:r>
    </w:p>
    <w:p w14:paraId="3FEEF84B">
      <w:pPr>
        <w:pStyle w:val="4"/>
      </w:pPr>
      <w:r>
        <w:t>【计划生育】</w:t>
      </w:r>
    </w:p>
    <w:p w14:paraId="5693EE21">
      <w:pPr>
        <w:ind w:firstLine="420"/>
        <w:rPr>
          <w:rFonts w:ascii="宋体" w:hAnsi="宋体"/>
        </w:rPr>
      </w:pPr>
      <w:r>
        <w:rPr>
          <w:rFonts w:ascii="宋体" w:hAnsi="宋体"/>
        </w:rPr>
        <w:t>实行以“三为主”和计划生育重心下移为重点，狠抓人口与计生目标责任各项指标的落实。2010年，人口出生率为14.79‰，人口自然增长率为8.14‰，计划生育率达到96.03%。</w:t>
      </w:r>
    </w:p>
    <w:p w14:paraId="0452DC77">
      <w:pPr>
        <w:pStyle w:val="4"/>
      </w:pPr>
      <w:r>
        <w:t>【民兵工作】</w:t>
      </w:r>
    </w:p>
    <w:p w14:paraId="4E8FDE0C">
      <w:pPr>
        <w:ind w:firstLine="420"/>
        <w:rPr>
          <w:rFonts w:ascii="宋体" w:hAnsi="宋体"/>
        </w:rPr>
      </w:pPr>
      <w:r>
        <w:rPr>
          <w:rFonts w:ascii="宋体" w:hAnsi="宋体"/>
        </w:rPr>
        <w:t>现有民兵连2个，6个排，18个班，共200人，重点抓好基干民兵和预备役的军事训练，贯彻执行《兵役法》，2010年完成征兵任务7人。2008年3月11日，120多名基层民兵主动帮助遭受天灾的耶溪村村委会清淤水圳。</w:t>
      </w:r>
    </w:p>
    <w:p w14:paraId="13E1C9EA">
      <w:pPr>
        <w:pStyle w:val="4"/>
      </w:pPr>
      <w:r>
        <w:t>【社会治安综合治理】</w:t>
      </w:r>
    </w:p>
    <w:p w14:paraId="195B4AF7">
      <w:pPr>
        <w:ind w:firstLine="420"/>
        <w:rPr>
          <w:rFonts w:ascii="宋体" w:hAnsi="宋体"/>
        </w:rPr>
      </w:pPr>
      <w:r>
        <w:rPr>
          <w:rFonts w:ascii="宋体" w:hAnsi="宋体"/>
        </w:rPr>
        <w:t>加强对综治工作的领导，健全群防群治网络，落实行政执法责任制，提高依法行政水平，解决群众热点、难点问题，化解社会矛盾，调处率达100%。全镇未发生群体性突出事件和越级上访案件。</w:t>
      </w:r>
    </w:p>
    <w:p w14:paraId="640F2335">
      <w:pPr>
        <w:pStyle w:val="4"/>
      </w:pPr>
      <w:r>
        <w:t>【社会福利事业】</w:t>
      </w:r>
    </w:p>
    <w:p w14:paraId="5A26D2A8">
      <w:pPr>
        <w:ind w:firstLine="420"/>
        <w:rPr>
          <w:rFonts w:ascii="宋体" w:hAnsi="宋体"/>
        </w:rPr>
      </w:pPr>
      <w:r>
        <w:rPr>
          <w:rFonts w:ascii="宋体" w:hAnsi="宋体"/>
        </w:rPr>
        <w:t>黄坑镇福利院建筑面积954平方米，现有老人19人，环境优美，交通方便，各种基础设施齐全。镇党委政府还每年拨出70多万元做好军烈属、五保户、特困户的优抚工作和计划生育社会保障工作。</w:t>
      </w:r>
    </w:p>
    <w:p w14:paraId="58B70B00">
      <w:pPr>
        <w:pStyle w:val="4"/>
      </w:pPr>
      <w:r>
        <w:t>【基础设施】</w:t>
      </w:r>
    </w:p>
    <w:p w14:paraId="28B806DF">
      <w:pPr>
        <w:ind w:firstLine="420"/>
        <w:rPr>
          <w:rFonts w:ascii="宋体" w:hAnsi="宋体"/>
        </w:rPr>
      </w:pPr>
      <w:r>
        <w:rPr>
          <w:rFonts w:ascii="宋体" w:hAnsi="宋体"/>
        </w:rPr>
        <w:t>一是推进农村公路建设工程，完成公路建设投资568.8万元，铺设水泥路31.6公里，100%行政村实现了道路水泥硬底化，90%的村小组实现了组组通，新建改造桥梁5座。二是投入水利建设资金2765万元。开挖水井一口实施墟镇饮用水解困工程；建成国家替代进口烟叶节水灌溉工程1处；建设密集式烤房296间，完成许村、上象、耶溪8000公顷农业综合开发项目；完成山塘（水库）除险加固26宗；改造电排（陂头）12宗，实施水圳三面光21.6公里，水圳清淤39.5公里。三是投资42万元，兴建镇政府干部职工宿舍楼，建筑面积950平方米；兴建河滨公园和文化广场，建筑面积3130平方米；投资85万元，兴建居委会办公大楼和重新装饰耶溪、溪塘等村委会办公大楼；四是完成全镇各村农电线路改造，共安装程控电话2630门；有线电视覆盖全镇各个村庄。</w:t>
      </w:r>
    </w:p>
    <w:p w14:paraId="0DA1A328">
      <w:pPr>
        <w:pStyle w:val="4"/>
      </w:pPr>
      <w:r>
        <w:t>【小城镇建设】</w:t>
      </w:r>
    </w:p>
    <w:p w14:paraId="3BC86949">
      <w:pPr>
        <w:ind w:firstLine="420"/>
        <w:rPr>
          <w:rFonts w:ascii="宋体" w:hAnsi="宋体"/>
        </w:rPr>
      </w:pPr>
      <w:r>
        <w:rPr>
          <w:rFonts w:ascii="宋体" w:hAnsi="宋体"/>
        </w:rPr>
        <w:t>完善黄坑商贸城的基础设施建设，居民生活水平得到提高，新增住户500户。建成0.2公顷地的河滨公园，2000平方米的文化广场，为居民提供良好的休闲场所，加固1000米的河堤护城工程，主要街道全面安装路灯，为居民的文化生活提供保障。</w:t>
      </w:r>
    </w:p>
    <w:p w14:paraId="16BA7A6C">
      <w:pPr>
        <w:pStyle w:val="4"/>
      </w:pPr>
      <w:r>
        <w:t>【文教卫生】</w:t>
      </w:r>
    </w:p>
    <w:p w14:paraId="08C1E724">
      <w:pPr>
        <w:ind w:firstLine="420"/>
        <w:rPr>
          <w:rFonts w:ascii="宋体" w:hAnsi="宋体"/>
        </w:rPr>
      </w:pPr>
      <w:r>
        <w:rPr>
          <w:rFonts w:ascii="宋体" w:hAnsi="宋体"/>
        </w:rPr>
        <w:t>该镇有省一级学校的完全中学1所，成人文化技术学校1所，韶关市一级学校中心小学1所，村小学教学点6个，公办幼儿园1所，民办幼儿园2所。高中在校学生1482人，初中在校学生1555人，小学在校学生1559人，入园幼儿739人，中小学在职教职工386人。初中毕业生优秀率达25%以上，合格率达95%以上。高考连续三年入重点线、本科线均圆满完成南雄市教育局下达任务的200%以上，其中单科进入全市前十名的平均每年有15人次。高考入大专线以上每年平均达350人，毛入线率达到60%。镇内办有5家农家书屋。该镇于2010年12月28日通过广东省教育强镇工作的检查验收。黄坑镇有二级甲等医疗卫生院，医技人员28人，有较先进的B超、X光机、CT等先进设备，具有较高的诊疗水平。还有10个村卫生站，医务人员10多名，医疗和预防工作取得成效。</w:t>
      </w:r>
    </w:p>
    <w:p w14:paraId="323D8FFF">
      <w:pPr>
        <w:pStyle w:val="3"/>
      </w:pPr>
      <w:r>
        <w:rPr>
          <w:rFonts w:hint="eastAsia"/>
        </w:rPr>
        <w:t>各村委会基本情况</w:t>
      </w:r>
    </w:p>
    <w:p w14:paraId="704DCF22">
      <w:pPr>
        <w:pStyle w:val="4"/>
      </w:pPr>
      <w:r>
        <w:t>【黄坑村】</w:t>
      </w:r>
    </w:p>
    <w:p w14:paraId="6C2E8442">
      <w:pPr>
        <w:ind w:firstLine="420"/>
        <w:rPr>
          <w:rFonts w:ascii="宋体" w:hAnsi="宋体"/>
        </w:rPr>
      </w:pPr>
      <w:r>
        <w:rPr>
          <w:rFonts w:ascii="宋体" w:hAnsi="宋体"/>
        </w:rPr>
        <w:t>位于南雄市黄坑镇西部，距离市区23公里，有7个自然村、14个村小组，有沈、何、余等5个姓氏。村集体经济收入3.5万元，人均纯收入6015元。全村共有农户576户，总人口2399人，耕地面积169.3公顷，其中水田面积81.5公顷，旱地87.5公顷。农业以种植黄烟、水稻、花生为主。</w:t>
      </w:r>
    </w:p>
    <w:p w14:paraId="6A4B3FE1">
      <w:pPr>
        <w:pStyle w:val="4"/>
      </w:pPr>
      <w:r>
        <w:t>【社前村】</w:t>
      </w:r>
    </w:p>
    <w:p w14:paraId="28AA75C2">
      <w:pPr>
        <w:ind w:firstLine="420"/>
        <w:rPr>
          <w:rFonts w:ascii="宋体" w:hAnsi="宋体"/>
        </w:rPr>
      </w:pPr>
      <w:r>
        <w:rPr>
          <w:rFonts w:ascii="宋体" w:hAnsi="宋体"/>
        </w:rPr>
        <w:t>位于南雄市黄坑镇北部，距离市区25公里，与镇政府所在地相距2公里，有8个自然村、8个村小组，有何、黄、杨、雷、卢、李6个姓氏。村集体经济收入4.8万元，人均纯收入6048元。全村共有农户567户，总人口2032人，耕地面积175.5公顷，其中水田面积71.5公顷，旱地104公顷。农业以种植黄烟、水稻、花生为主。</w:t>
      </w:r>
    </w:p>
    <w:p w14:paraId="25250DBE">
      <w:pPr>
        <w:pStyle w:val="4"/>
      </w:pPr>
      <w:r>
        <w:t>【小陂村】</w:t>
      </w:r>
    </w:p>
    <w:p w14:paraId="4E78A597">
      <w:pPr>
        <w:ind w:firstLine="420"/>
        <w:rPr>
          <w:rFonts w:ascii="宋体" w:hAnsi="宋体"/>
        </w:rPr>
      </w:pPr>
      <w:r>
        <w:rPr>
          <w:rFonts w:ascii="宋体" w:hAnsi="宋体"/>
        </w:rPr>
        <w:t>位于南雄市黄坑镇东北方向，距离市区26公里，与镇政府所在地相距2.5公里，有8个自然村、10个村小组，有沈、张、雷、刘、陈、卢6个姓氏。村集体经济收入3.5万元，人均纯收入5983元。全村共有农户510户，总人口2231人，耕地面积231.9公顷，其中水田面积108.9公顷，旱地123公顷。农业以种植黄烟、水稻、花生为主。该村杨梅坑恐龙化石遗址是省自然保护区。</w:t>
      </w:r>
    </w:p>
    <w:p w14:paraId="350B2E2B">
      <w:pPr>
        <w:pStyle w:val="4"/>
      </w:pPr>
      <w:r>
        <w:t>【塘源村】</w:t>
      </w:r>
    </w:p>
    <w:p w14:paraId="4E528FC6">
      <w:pPr>
        <w:ind w:firstLine="420"/>
        <w:rPr>
          <w:rFonts w:ascii="宋体" w:hAnsi="宋体"/>
        </w:rPr>
      </w:pPr>
      <w:r>
        <w:rPr>
          <w:rFonts w:ascii="宋体" w:hAnsi="宋体"/>
        </w:rPr>
        <w:t>位于南雄市黄坑镇东部，距离市区25公里，与镇政府所在地相距1公里，是黄坑镇的人口大村，有13个自然村、18个村小组，有沈、蓝、马、叶、陈、李、廖、温、吴等11个姓氏。村集体经济收入4.5万元，人均纯收入5672元。全村共有农户786户，总人口3132人，耕地面积322.7公顷，其中水田面积150.5公顷，旱地172.2公顷。农业以种植黄烟、水稻、花生为主。</w:t>
      </w:r>
    </w:p>
    <w:p w14:paraId="3CF18A71">
      <w:pPr>
        <w:pStyle w:val="4"/>
      </w:pPr>
      <w:r>
        <w:t>【溪塘村】</w:t>
      </w:r>
    </w:p>
    <w:p w14:paraId="3D45FE29">
      <w:pPr>
        <w:ind w:firstLine="420"/>
        <w:rPr>
          <w:rFonts w:ascii="宋体" w:hAnsi="宋体"/>
        </w:rPr>
      </w:pPr>
      <w:r>
        <w:rPr>
          <w:rFonts w:ascii="宋体" w:hAnsi="宋体"/>
        </w:rPr>
        <w:t>位于南雄市黄坑镇东南方向，距离市区28公里，与镇政府所在地相距5公里，是黄坑镇的人口大村，有6个自然村、15个村小组，有陈、范、周、李、董、阳、郭、沈、张等11个姓氏。村集体经济收入3.1万元，人均纯收入4755元。全村共有农户682户，总人口2912人，耕地面积247.5公顷，其中水田面积135.7公顷，旱地111.8公顷。农业以种植黄烟、水稻、花生、柿子为主，淡水鱼塘养殖初具规模，2009年评为广东省古村落。</w:t>
      </w:r>
    </w:p>
    <w:p w14:paraId="573C60F9">
      <w:pPr>
        <w:pStyle w:val="4"/>
      </w:pPr>
      <w:r>
        <w:t>【耶溪村】</w:t>
      </w:r>
    </w:p>
    <w:p w14:paraId="03579CE5">
      <w:pPr>
        <w:ind w:firstLine="420"/>
        <w:rPr>
          <w:rFonts w:ascii="宋体" w:hAnsi="宋体"/>
        </w:rPr>
      </w:pPr>
      <w:r>
        <w:rPr>
          <w:rFonts w:ascii="宋体" w:hAnsi="宋体"/>
        </w:rPr>
        <w:t>位于南雄市黄坑镇西南方向，距离市区21公里，与镇政府所在地相距3公里，有5个自然村、14个村小组，有沈、陈、林、黄、阳、何、肖7个姓氏。村集体经济收入5万元，人均纯收入6110元。全村共有农户512户，总人口2317人，耕地面积226.7公顷，其中水田面积123.7公顷，旱地103公顷，林地面积126.7公顷，鱼塘水面面积17.3公顷。农业以种植黄烟、水稻、花生、柿子为主。</w:t>
      </w:r>
    </w:p>
    <w:p w14:paraId="04D6EAD9">
      <w:pPr>
        <w:pStyle w:val="4"/>
      </w:pPr>
      <w:r>
        <w:t>【中心村】</w:t>
      </w:r>
    </w:p>
    <w:p w14:paraId="1341F614">
      <w:pPr>
        <w:ind w:firstLine="420"/>
        <w:rPr>
          <w:rFonts w:ascii="宋体" w:hAnsi="宋体"/>
        </w:rPr>
      </w:pPr>
      <w:r>
        <w:rPr>
          <w:rFonts w:ascii="宋体" w:hAnsi="宋体"/>
        </w:rPr>
        <w:t>位于南雄市黄坑镇南部，距离市区26公里，与镇政府所在地相距3公里，有13个自然村、13个村小组，有周、杨、刘、曾、陈、沈等11个姓氏。村集体经济收入3.5万元，人均纯收入5937元。全村共有农户475户，总人口1997人，耕地面积207.2公顷，其中水田面积100.2公顷，旱地107公顷。农业以种植黄烟、水稻为主。</w:t>
      </w:r>
    </w:p>
    <w:p w14:paraId="50DC33E8">
      <w:pPr>
        <w:pStyle w:val="4"/>
      </w:pPr>
      <w:r>
        <w:t>【园岭村】</w:t>
      </w:r>
    </w:p>
    <w:p w14:paraId="286F8208">
      <w:pPr>
        <w:ind w:firstLine="420"/>
        <w:rPr>
          <w:rFonts w:ascii="宋体" w:hAnsi="宋体"/>
        </w:rPr>
      </w:pPr>
      <w:r>
        <w:rPr>
          <w:rFonts w:ascii="宋体" w:hAnsi="宋体"/>
        </w:rPr>
        <w:t>位于南雄市黄坑镇南部，距离市区28公里，与镇政府所在地相距5公里，有6个自然村、9个村小组，有沈、廖、周、刘4个姓氏。村集体经济收入3.2万元，人均纯收入6059元。全村共有农户333户，总人口1459人，耕地面积173.4公顷，其中水田面积67.5公顷，旱地105.8公顷。农业以种植黄烟、水稻、花生为主。</w:t>
      </w:r>
    </w:p>
    <w:p w14:paraId="3E98C5C3">
      <w:pPr>
        <w:pStyle w:val="4"/>
      </w:pPr>
      <w:r>
        <w:t>【许村村】</w:t>
      </w:r>
    </w:p>
    <w:p w14:paraId="650E9EE0">
      <w:pPr>
        <w:ind w:firstLine="420"/>
        <w:rPr>
          <w:rFonts w:ascii="宋体" w:hAnsi="宋体"/>
        </w:rPr>
      </w:pPr>
      <w:r>
        <w:rPr>
          <w:rFonts w:ascii="宋体" w:hAnsi="宋体"/>
        </w:rPr>
        <w:t>位于南雄市黄坑镇西部，距离市区21公里，与镇政府所在地相距2公里，有5个自然村、12个村小组，有蓝、刘、赖、陈、沈等8个姓氏。村集体经济收入3.6万元，人均纯收入5870元。全村共有农户546户，总人口2318人，耕地面积176.1公顷，其中水田面积124.5公顷，旱地51.7公顷。农业以种植黄烟、水稻、花生为主，养殖以优质鱼、山地鸡、鸭为主。</w:t>
      </w:r>
    </w:p>
    <w:p w14:paraId="44E4663A">
      <w:pPr>
        <w:pStyle w:val="4"/>
      </w:pPr>
      <w:r>
        <w:t>【上象村】</w:t>
      </w:r>
    </w:p>
    <w:p w14:paraId="19A2EAB3">
      <w:pPr>
        <w:ind w:firstLine="420"/>
        <w:rPr>
          <w:rFonts w:ascii="宋体" w:hAnsi="宋体"/>
        </w:rPr>
      </w:pPr>
      <w:r>
        <w:rPr>
          <w:rFonts w:ascii="宋体" w:hAnsi="宋体"/>
        </w:rPr>
        <w:t>位于南雄市黄坑镇南部，距离市区23公里，与镇政府所在地相距2公里，有8个自然村、10个村小组，有沈、刘、卢3个姓氏。村集体经济收入3.3万元，人均纯收入5820元。全村共有农户386户，总人口1643人，耕地面积147公顷，其中水田面积73.4公顷，旱地73.6公顷。农业以种植黄烟、水稻、花生为主。</w:t>
      </w:r>
    </w:p>
    <w:p w14:paraId="79F5BE8E">
      <w:pPr>
        <w:ind w:firstLine="420"/>
        <w:jc w:val="right"/>
        <w:rPr>
          <w:rFonts w:ascii="宋体" w:hAnsi="宋体"/>
        </w:rPr>
      </w:pPr>
      <w:r>
        <w:rPr>
          <w:rFonts w:ascii="宋体" w:hAnsi="宋体"/>
        </w:rPr>
        <w:t>（朱光晃）</w:t>
      </w:r>
    </w:p>
    <w:p w14:paraId="4196F628">
      <w:pPr>
        <w:ind w:firstLine="422"/>
        <w:rPr>
          <w:rFonts w:ascii="宋体" w:hAnsi="宋体"/>
          <w:b/>
          <w:bCs/>
        </w:rPr>
      </w:pPr>
      <w:r>
        <w:rPr>
          <w:rFonts w:ascii="宋体" w:hAnsi="宋体"/>
          <w:b/>
          <w:bCs/>
        </w:rPr>
        <w:t>附：2010年黄坑镇领导班子成员名单</w:t>
      </w:r>
    </w:p>
    <w:p w14:paraId="6D006E6C">
      <w:pPr>
        <w:ind w:firstLine="422"/>
        <w:rPr>
          <w:rFonts w:ascii="宋体" w:hAnsi="宋体"/>
        </w:rPr>
      </w:pPr>
      <w:r>
        <w:rPr>
          <w:rFonts w:ascii="宋体" w:hAnsi="宋体"/>
          <w:b/>
          <w:bCs/>
        </w:rPr>
        <w:t>党委书记、人大主席：</w:t>
      </w:r>
      <w:r>
        <w:rPr>
          <w:rFonts w:ascii="宋体" w:hAnsi="宋体"/>
        </w:rPr>
        <w:t>刘世冬</w:t>
      </w:r>
    </w:p>
    <w:p w14:paraId="2A40DDFF">
      <w:pPr>
        <w:ind w:firstLine="422"/>
        <w:rPr>
          <w:rFonts w:ascii="宋体" w:hAnsi="宋体"/>
        </w:rPr>
      </w:pPr>
      <w:r>
        <w:rPr>
          <w:rFonts w:ascii="宋体" w:hAnsi="宋体"/>
          <w:b/>
          <w:bCs/>
        </w:rPr>
        <w:t>党委副书记、镇长：</w:t>
      </w:r>
      <w:r>
        <w:rPr>
          <w:rFonts w:ascii="宋体" w:hAnsi="宋体"/>
        </w:rPr>
        <w:t>钟祥文</w:t>
      </w:r>
    </w:p>
    <w:p w14:paraId="699A817E">
      <w:pPr>
        <w:ind w:firstLine="422"/>
        <w:rPr>
          <w:rFonts w:ascii="宋体" w:hAnsi="宋体"/>
        </w:rPr>
      </w:pPr>
      <w:r>
        <w:rPr>
          <w:rFonts w:ascii="宋体" w:hAnsi="宋体"/>
          <w:b/>
          <w:bCs/>
        </w:rPr>
        <w:t>党委副书记：</w:t>
      </w:r>
      <w:r>
        <w:rPr>
          <w:rFonts w:ascii="宋体" w:hAnsi="宋体"/>
        </w:rPr>
        <w:t>郭君</w:t>
      </w:r>
    </w:p>
    <w:p w14:paraId="3E5D3223">
      <w:pPr>
        <w:ind w:firstLine="422"/>
        <w:rPr>
          <w:rFonts w:ascii="宋体" w:hAnsi="宋体"/>
        </w:rPr>
      </w:pPr>
      <w:r>
        <w:rPr>
          <w:rFonts w:ascii="宋体" w:hAnsi="宋体"/>
          <w:b/>
          <w:bCs/>
        </w:rPr>
        <w:t>纪委书记：</w:t>
      </w:r>
      <w:r>
        <w:rPr>
          <w:rFonts w:ascii="宋体" w:hAnsi="宋体"/>
        </w:rPr>
        <w:t>叶培兰</w:t>
      </w:r>
    </w:p>
    <w:p w14:paraId="2613BA74">
      <w:pPr>
        <w:ind w:firstLine="422"/>
        <w:rPr>
          <w:rFonts w:ascii="宋体" w:hAnsi="宋体"/>
        </w:rPr>
      </w:pPr>
      <w:r>
        <w:rPr>
          <w:rFonts w:ascii="宋体" w:hAnsi="宋体"/>
          <w:b/>
          <w:bCs/>
        </w:rPr>
        <w:t>副镇长：</w:t>
      </w:r>
      <w:r>
        <w:rPr>
          <w:rFonts w:ascii="宋体" w:hAnsi="宋体"/>
        </w:rPr>
        <w:t>戴明海</w:t>
      </w:r>
      <w:r>
        <w:rPr>
          <w:rFonts w:hint="eastAsia" w:ascii="宋体" w:hAnsi="宋体"/>
        </w:rPr>
        <w:t xml:space="preserve">  </w:t>
      </w:r>
      <w:r>
        <w:rPr>
          <w:rFonts w:ascii="宋体" w:hAnsi="宋体"/>
        </w:rPr>
        <w:t>何少莲</w:t>
      </w:r>
    </w:p>
    <w:p w14:paraId="08C9163E">
      <w:pPr>
        <w:ind w:firstLine="422"/>
        <w:rPr>
          <w:rFonts w:ascii="宋体" w:hAnsi="宋体"/>
        </w:rPr>
      </w:pPr>
      <w:r>
        <w:rPr>
          <w:rFonts w:ascii="宋体" w:hAnsi="宋体"/>
          <w:b/>
          <w:bCs/>
        </w:rPr>
        <w:t>人大副主席：</w:t>
      </w:r>
      <w:r>
        <w:rPr>
          <w:rFonts w:ascii="宋体" w:hAnsi="宋体"/>
        </w:rPr>
        <w:t>陈桂香</w:t>
      </w:r>
    </w:p>
    <w:p w14:paraId="31D7A84E">
      <w:pPr>
        <w:ind w:firstLine="422"/>
        <w:rPr>
          <w:rFonts w:ascii="宋体" w:hAnsi="宋体"/>
        </w:rPr>
      </w:pPr>
      <w:r>
        <w:rPr>
          <w:rFonts w:ascii="宋体" w:hAnsi="宋体"/>
          <w:b/>
          <w:bCs/>
        </w:rPr>
        <w:t>武装部长：</w:t>
      </w:r>
      <w:r>
        <w:rPr>
          <w:rFonts w:ascii="宋体" w:hAnsi="宋体"/>
        </w:rPr>
        <w:t>谭章洪</w:t>
      </w:r>
    </w:p>
    <w:p w14:paraId="0F15C9EC">
      <w:pPr>
        <w:ind w:firstLine="422"/>
        <w:rPr>
          <w:rFonts w:ascii="宋体" w:hAnsi="宋体"/>
        </w:rPr>
      </w:pPr>
      <w:r>
        <w:rPr>
          <w:rFonts w:ascii="宋体" w:hAnsi="宋体"/>
          <w:b/>
          <w:bCs/>
        </w:rPr>
        <w:t>组织委员：</w:t>
      </w:r>
      <w:r>
        <w:rPr>
          <w:rFonts w:ascii="宋体" w:hAnsi="宋体"/>
        </w:rPr>
        <w:t>王庭泉</w:t>
      </w:r>
    </w:p>
    <w:p w14:paraId="20171600">
      <w:pPr>
        <w:ind w:firstLine="422"/>
        <w:rPr>
          <w:rFonts w:ascii="宋体" w:hAnsi="宋体"/>
        </w:rPr>
      </w:pPr>
      <w:r>
        <w:rPr>
          <w:rFonts w:ascii="宋体" w:hAnsi="宋体"/>
          <w:b/>
          <w:bCs/>
        </w:rPr>
        <w:t>宣传委员：</w:t>
      </w:r>
      <w:r>
        <w:rPr>
          <w:rFonts w:ascii="宋体" w:hAnsi="宋体"/>
        </w:rPr>
        <w:t>陈冬生</w:t>
      </w:r>
    </w:p>
    <w:p w14:paraId="4F6C5251">
      <w:pPr>
        <w:pStyle w:val="3"/>
      </w:pPr>
      <w:r>
        <w:rPr>
          <w:rFonts w:hint="eastAsia"/>
        </w:rPr>
        <w:t>邓坊镇</w:t>
      </w:r>
    </w:p>
    <w:p w14:paraId="354246DD">
      <w:pPr>
        <w:pStyle w:val="4"/>
      </w:pPr>
      <w:r>
        <w:t>【概况】</w:t>
      </w:r>
    </w:p>
    <w:p w14:paraId="5BB9614F">
      <w:pPr>
        <w:ind w:firstLine="420"/>
        <w:rPr>
          <w:rFonts w:ascii="宋体" w:hAnsi="宋体"/>
        </w:rPr>
      </w:pPr>
      <w:r>
        <w:rPr>
          <w:rFonts w:ascii="宋体" w:hAnsi="宋体"/>
        </w:rPr>
        <w:t>邓坊1957年建立乡，1958年属火箭公社，1962年析建邓坊公社，1984年改区，1986年置乡，1994年改镇，2001年原油山镇四个村委会划回邓坊。邓坊镇是革命老区.东邻油山、黄坑，南通湖口，西接珠玑，北望江西大余。政府所在地邓坊墟距城区雄州26公里，国道G323、韶赣高速公路、铁路擦边而过，县道雄邓线、黄邓线、梅邓线穿境而过。辖9个村委会和邓坊社区1个居委会，106个村民小组，人口15761人，总户数4564户，其中农业人口14706人，农业户数4258户。全镇境内地形地貌以半山区为主，平原、丘陵、河流、坡地相互交错，最高海拔850米。辖区总面积118.94平方公里，其中山区面积88.4平方公里，山林面积8340公顷，耕地面积1460公顷。气候四季如春，夏无酷暑，冬少严寒，干湿季节分明。一月均温8.7℃，7月均温28.5℃，年平均降水量1554.9毫米。主要种植黄烟、水稻、玉米、花生、蔬菜、水果为主，是“甜玉米之乡”，有高寒蔬菜、有机米基地。有钨、铁、铀、稀土、花岗岩等矿藏，其中花岗岩蓄量大、品种多、品位高；有三七、天葵、杜仲等“南药”；有油桐、松、杉等林木；有香菇、木耳、竹笋等土特产；有黄狼、野猪等野生动物。</w:t>
      </w:r>
    </w:p>
    <w:p w14:paraId="6E981D72">
      <w:pPr>
        <w:pStyle w:val="4"/>
      </w:pPr>
      <w:r>
        <w:t>【经济发展】</w:t>
      </w:r>
    </w:p>
    <w:p w14:paraId="6EB9B76E">
      <w:pPr>
        <w:ind w:firstLine="420"/>
        <w:rPr>
          <w:rFonts w:ascii="宋体" w:hAnsi="宋体"/>
        </w:rPr>
      </w:pPr>
      <w:r>
        <w:rPr>
          <w:rFonts w:ascii="宋体" w:hAnsi="宋体"/>
        </w:rPr>
        <w:t>2011年，黄烟种植340公顷，收购烟叶15000担，实现农业总产值11600万元，农民人均收入4700元，全镇共有6家农民专业合作社，发展有机稻133公顷，优质稻400公顷，马铃薯60公顷，朝天椒250公顷，甜玉米135公顷，三华李1000公顷，安全食水工程完善，村村通公路硬底化全面实现，新造经济林350公顷，生态林业面积发展2241公顷，完成农房改造300户，沼气池建设68个，修复水毁堤坝3公里。新挖蓄水山塘3.8公顷。</w:t>
      </w:r>
    </w:p>
    <w:p w14:paraId="5F0D05F4">
      <w:pPr>
        <w:pStyle w:val="4"/>
      </w:pPr>
      <w:r>
        <w:t>【社会事业发展概述】</w:t>
      </w:r>
    </w:p>
    <w:p w14:paraId="048CDC6B">
      <w:pPr>
        <w:ind w:firstLine="420"/>
        <w:rPr>
          <w:rFonts w:ascii="宋体" w:hAnsi="宋体"/>
        </w:rPr>
      </w:pPr>
      <w:r>
        <w:rPr>
          <w:rFonts w:ascii="宋体" w:hAnsi="宋体"/>
        </w:rPr>
        <w:t>2010年，投入100万元兴建卫生大楼，投入3万元修建茶头背小学篮球场，其他小学投资25万元完善校坪。完成西气东输工程8.9公里，普九成果：适龄儿童入学率100%，初中阶段毛入学率134%，初中毕业生升学率98.2%，毕业率为100%，学前3年幼儿园入园率96%。新型农村合作医疗参保人数13750人，参合率95%。开展农村青年技能培训班5次，完成技能培训2000人，转移农村剩余劳动力650人，完成城乡就业援助100人，全年纳入低保救助家庭285户536人。计划生育率95.51%，人口出生率15.35‰，人口自然增长率8.83‰。里源、竹山下、邓坊三个自然村投资450万元的自来水改造工程完成50%。全镇铺设水泥路30公路，行政建制村路面100%水泥硬底化，自然村75%铺上水泥路。</w:t>
      </w:r>
    </w:p>
    <w:p w14:paraId="2DF2A19A">
      <w:pPr>
        <w:pStyle w:val="4"/>
      </w:pPr>
      <w:r>
        <w:t>【新建市场】</w:t>
      </w:r>
    </w:p>
    <w:p w14:paraId="7B9C7E3B">
      <w:pPr>
        <w:ind w:firstLine="420"/>
        <w:rPr>
          <w:rFonts w:ascii="宋体" w:hAnsi="宋体"/>
        </w:rPr>
      </w:pPr>
      <w:r>
        <w:rPr>
          <w:rFonts w:ascii="宋体" w:hAnsi="宋体"/>
        </w:rPr>
        <w:t>2007年4月，韶关浈江房地产公司投资1100万元兴建邓坊农土特商贸市场；</w:t>
      </w:r>
    </w:p>
    <w:p w14:paraId="361678C2">
      <w:pPr>
        <w:pStyle w:val="4"/>
      </w:pPr>
      <w:r>
        <w:t>【建立合作社】</w:t>
      </w:r>
    </w:p>
    <w:p w14:paraId="64226B20">
      <w:pPr>
        <w:ind w:firstLine="420"/>
        <w:rPr>
          <w:rFonts w:ascii="宋体" w:hAnsi="宋体"/>
        </w:rPr>
      </w:pPr>
      <w:r>
        <w:rPr>
          <w:rFonts w:ascii="宋体" w:hAnsi="宋体"/>
        </w:rPr>
        <w:t>2007年11月南雄第一家邓坊绿园果菜农民专业合作社在邓坊镇成立</w:t>
      </w:r>
    </w:p>
    <w:p w14:paraId="26AC3203">
      <w:pPr>
        <w:pStyle w:val="4"/>
      </w:pPr>
      <w:r>
        <w:t>【管理升级】</w:t>
      </w:r>
    </w:p>
    <w:p w14:paraId="71224F85">
      <w:pPr>
        <w:ind w:firstLine="420"/>
        <w:rPr>
          <w:rFonts w:ascii="宋体" w:hAnsi="宋体"/>
        </w:rPr>
      </w:pPr>
      <w:r>
        <w:rPr>
          <w:rFonts w:ascii="宋体" w:hAnsi="宋体"/>
        </w:rPr>
        <w:t>2009年有四个村委会获得“两无村”称号，镇获得“无政策外多孩出生镇”称号，计生工作由“二类”镇升为“一类”镇管理：</w:t>
      </w:r>
    </w:p>
    <w:p w14:paraId="3AF7FA9E">
      <w:pPr>
        <w:pStyle w:val="4"/>
      </w:pPr>
      <w:r>
        <w:t>【人口普查】</w:t>
      </w:r>
    </w:p>
    <w:p w14:paraId="6557286F">
      <w:pPr>
        <w:ind w:firstLine="420"/>
        <w:rPr>
          <w:rFonts w:ascii="宋体" w:hAnsi="宋体"/>
        </w:rPr>
      </w:pPr>
      <w:r>
        <w:rPr>
          <w:rFonts w:ascii="宋体" w:hAnsi="宋体"/>
        </w:rPr>
        <w:t>2010年全镇9个村委会和1个居委会开展第六次人口普查。</w:t>
      </w:r>
    </w:p>
    <w:p w14:paraId="721F9D5D">
      <w:pPr>
        <w:pStyle w:val="3"/>
      </w:pPr>
      <w:r>
        <w:rPr>
          <w:rFonts w:hint="eastAsia"/>
        </w:rPr>
        <w:t>各村委会基本情况</w:t>
      </w:r>
    </w:p>
    <w:p w14:paraId="5642A764">
      <w:pPr>
        <w:pStyle w:val="4"/>
      </w:pPr>
      <w:r>
        <w:t>【茶头背村】</w:t>
      </w:r>
    </w:p>
    <w:p w14:paraId="6D281E1A">
      <w:pPr>
        <w:ind w:firstLine="420"/>
        <w:rPr>
          <w:rFonts w:ascii="宋体" w:hAnsi="宋体"/>
        </w:rPr>
      </w:pPr>
      <w:r>
        <w:rPr>
          <w:rFonts w:ascii="宋体" w:hAnsi="宋体"/>
        </w:rPr>
        <w:t>在邓坊镇东北部，距政府所在地8公里。有10个村民小组，总户数203户，739人。全村参加农村合作医疗人数700人，参加率94.7%，低保户10户，低保人口29人。全村土地面积735公顷，其中旱地25.2公顷，水田86公顷，林地600公顷，其他25公顷。主要种植水稻、高寒蔬菜。</w:t>
      </w:r>
    </w:p>
    <w:p w14:paraId="64ACCC74">
      <w:pPr>
        <w:pStyle w:val="4"/>
      </w:pPr>
      <w:r>
        <w:t>【兰田村】</w:t>
      </w:r>
    </w:p>
    <w:p w14:paraId="3C9AB60F">
      <w:pPr>
        <w:ind w:firstLine="420"/>
        <w:rPr>
          <w:rFonts w:ascii="宋体" w:hAnsi="宋体"/>
        </w:rPr>
      </w:pPr>
      <w:r>
        <w:rPr>
          <w:rFonts w:ascii="宋体" w:hAnsi="宋体"/>
        </w:rPr>
        <w:t>位于邓坊镇北部山区，距政府所在地16公里。有12个村民小组，总户数398户1656人。全村参加农村合作医疗人数1570人，参加率95.1%，低保户32户，低保人口40人。全村土地面积296公顷，其中耕地90公顷，旱地9.9公顷，水田158公顷，林地267.3公顷，其他119.3公顷。主要产业有水稻、香菇、竹木。</w:t>
      </w:r>
    </w:p>
    <w:p w14:paraId="2B3B79EE">
      <w:pPr>
        <w:pStyle w:val="4"/>
      </w:pPr>
      <w:r>
        <w:t>【上湖村】</w:t>
      </w:r>
    </w:p>
    <w:p w14:paraId="72EB05C4">
      <w:pPr>
        <w:ind w:firstLine="420"/>
        <w:rPr>
          <w:rFonts w:ascii="宋体" w:hAnsi="宋体"/>
        </w:rPr>
      </w:pPr>
      <w:r>
        <w:rPr>
          <w:rFonts w:ascii="宋体" w:hAnsi="宋体"/>
        </w:rPr>
        <w:t>在邓坊镇东北部，距镇政府所在地14公里，最高海拔850米。辖区面积15平方公里，山林面积1400公顷，其中用材林967公顷，毛竹林300公顷，油茶林21.3公顷，果树经济林147公顷；耕地面积91公顷，水稻面积61.3公顷，经济作物29.6公顷。全村有10个村民小组，225户，总人口938人。建立党小组3个，有中共党员26人。</w:t>
      </w:r>
    </w:p>
    <w:p w14:paraId="503768F0">
      <w:pPr>
        <w:pStyle w:val="4"/>
      </w:pPr>
      <w:r>
        <w:t>【洋西村】</w:t>
      </w:r>
    </w:p>
    <w:p w14:paraId="344EB280">
      <w:pPr>
        <w:ind w:firstLine="420"/>
        <w:rPr>
          <w:rFonts w:ascii="宋体" w:hAnsi="宋体"/>
        </w:rPr>
      </w:pPr>
      <w:r>
        <w:rPr>
          <w:rFonts w:ascii="宋体" w:hAnsi="宋体"/>
        </w:rPr>
        <w:t>位于邓坊镇东南部，距政府所在地3公里，为典型半山区村。全村总面积1163.2公顷，其中耕地面积168.5公顷，林地面积724.4公顷，辖18个村民小组，总户数553户，总人口2185人。全村以种植黄烟为主导产业。</w:t>
      </w:r>
    </w:p>
    <w:p w14:paraId="06C0FB8D">
      <w:pPr>
        <w:pStyle w:val="4"/>
      </w:pPr>
      <w:r>
        <w:t>【邓坊村】</w:t>
      </w:r>
    </w:p>
    <w:p w14:paraId="33850B0C">
      <w:pPr>
        <w:ind w:firstLine="420"/>
        <w:rPr>
          <w:rFonts w:ascii="宋体" w:hAnsi="宋体"/>
        </w:rPr>
      </w:pPr>
      <w:r>
        <w:rPr>
          <w:rFonts w:ascii="宋体" w:hAnsi="宋体"/>
        </w:rPr>
        <w:t>位于邓坊镇中心，是镇政府所在地，为半山区村。全村总面积1051.3公顷，其中耕地面积191.3公顷，林地面积556.2公顷，辖14个村民小组，总户数640户，总人口2503人。全村以种植黄烟、甜玉米为主导产业。</w:t>
      </w:r>
    </w:p>
    <w:p w14:paraId="529E623F">
      <w:pPr>
        <w:pStyle w:val="4"/>
      </w:pPr>
      <w:r>
        <w:t>【赤石村】</w:t>
      </w:r>
    </w:p>
    <w:p w14:paraId="6FA82B49">
      <w:pPr>
        <w:ind w:firstLine="420"/>
        <w:rPr>
          <w:rFonts w:ascii="宋体" w:hAnsi="宋体"/>
        </w:rPr>
      </w:pPr>
      <w:r>
        <w:rPr>
          <w:rFonts w:ascii="宋体" w:hAnsi="宋体"/>
        </w:rPr>
        <w:t>位于南雄市东北部，邓坊镇和黄坑镇的交界处，全村共有12个村小组，总户数520户，总人口2003人。全村土地面积749.4公顷，其中耕地170.8公顷，林地31.7公顷。全村主要是以种植水稻和黄烟为主导产业。</w:t>
      </w:r>
    </w:p>
    <w:p w14:paraId="3B30A085">
      <w:pPr>
        <w:pStyle w:val="4"/>
      </w:pPr>
      <w:r>
        <w:t>【赤马村】</w:t>
      </w:r>
    </w:p>
    <w:p w14:paraId="71B60DB2">
      <w:pPr>
        <w:ind w:firstLine="420"/>
        <w:rPr>
          <w:rFonts w:ascii="宋体" w:hAnsi="宋体"/>
        </w:rPr>
      </w:pPr>
      <w:r>
        <w:rPr>
          <w:rFonts w:ascii="宋体" w:hAnsi="宋体"/>
        </w:rPr>
        <w:t>位于邓坊镇南部，距离镇政府所在地4.5公里，为平原村。全村总面积662.2公顷，其中耕地面积141.3公顷，林地面积222.7公顷，辖8个村民小组，总户数455户，总人口1738人。全村以种植黄烟为主导产业。</w:t>
      </w:r>
    </w:p>
    <w:p w14:paraId="317CB659">
      <w:pPr>
        <w:pStyle w:val="4"/>
      </w:pPr>
      <w:r>
        <w:t>【马战村】</w:t>
      </w:r>
    </w:p>
    <w:p w14:paraId="38D6C38B">
      <w:pPr>
        <w:ind w:firstLine="420"/>
        <w:rPr>
          <w:rFonts w:ascii="宋体" w:hAnsi="宋体"/>
        </w:rPr>
      </w:pPr>
      <w:r>
        <w:rPr>
          <w:rFonts w:ascii="宋体" w:hAnsi="宋体"/>
        </w:rPr>
        <w:t>位于邓坊镇西北部，距离镇政府所在地2.5公里，为半山区村。全村总面积259.3公顷，其中耕地面积85.2公顷，林地面积63.6公顷，辖7个村民小组，总户数277户，总人口1106人。全村以种植黄烟为主导产业。</w:t>
      </w:r>
    </w:p>
    <w:p w14:paraId="2B5A27A2">
      <w:pPr>
        <w:pStyle w:val="4"/>
      </w:pPr>
      <w:r>
        <w:t>【里源村】</w:t>
      </w:r>
    </w:p>
    <w:p w14:paraId="031400DD">
      <w:pPr>
        <w:ind w:firstLine="420"/>
        <w:rPr>
          <w:rFonts w:ascii="宋体" w:hAnsi="宋体"/>
        </w:rPr>
      </w:pPr>
      <w:r>
        <w:rPr>
          <w:rFonts w:ascii="宋体" w:hAnsi="宋体"/>
        </w:rPr>
        <w:t>地处邓坊镇东北部，距离镇政府所在地6公里。有14个村民小组，总户数483户，人口1858人。2008年人均纯收入4129元。全村参加农村合作医疗人数1794人，参加率96.8%。低保户38户，低保人口84人。全村土地面积1385.8公顷，其中旱地34.8公顷，水田138.6公顷，林地1313.3公顷，其它32.3公顷。主要产业：优质水稻、黄烟、竹木和甜玉米。</w:t>
      </w:r>
    </w:p>
    <w:p w14:paraId="462259C8">
      <w:pPr>
        <w:ind w:firstLine="420"/>
        <w:jc w:val="right"/>
        <w:rPr>
          <w:rFonts w:ascii="宋体" w:hAnsi="宋体"/>
        </w:rPr>
      </w:pPr>
      <w:r>
        <w:rPr>
          <w:rFonts w:ascii="宋体" w:hAnsi="宋体"/>
        </w:rPr>
        <w:t>（朱祖福）</w:t>
      </w:r>
    </w:p>
    <w:p w14:paraId="2BA6431C">
      <w:pPr>
        <w:ind w:firstLine="422"/>
        <w:rPr>
          <w:rFonts w:ascii="宋体" w:hAnsi="宋体"/>
          <w:b/>
          <w:bCs/>
        </w:rPr>
      </w:pPr>
      <w:r>
        <w:rPr>
          <w:rFonts w:ascii="宋体" w:hAnsi="宋体"/>
          <w:b/>
          <w:bCs/>
        </w:rPr>
        <w:t>附：2010年邓坊镇领导班子成员名单</w:t>
      </w:r>
    </w:p>
    <w:p w14:paraId="60BB3A2D">
      <w:pPr>
        <w:ind w:firstLine="422"/>
        <w:rPr>
          <w:rFonts w:ascii="宋体" w:hAnsi="宋体"/>
        </w:rPr>
      </w:pPr>
      <w:r>
        <w:rPr>
          <w:rFonts w:ascii="宋体" w:hAnsi="宋体"/>
          <w:b/>
          <w:bCs/>
        </w:rPr>
        <w:t>党委书记、人大主席：</w:t>
      </w:r>
      <w:r>
        <w:rPr>
          <w:rFonts w:ascii="宋体" w:hAnsi="宋体"/>
        </w:rPr>
        <w:t>姚远华</w:t>
      </w:r>
    </w:p>
    <w:p w14:paraId="414E8758">
      <w:pPr>
        <w:ind w:firstLine="422"/>
        <w:rPr>
          <w:rFonts w:ascii="宋体" w:hAnsi="宋体"/>
        </w:rPr>
      </w:pPr>
      <w:r>
        <w:rPr>
          <w:rFonts w:ascii="宋体" w:hAnsi="宋体"/>
          <w:b/>
          <w:bCs/>
        </w:rPr>
        <w:t>党委副书记、镇长：</w:t>
      </w:r>
      <w:r>
        <w:rPr>
          <w:rFonts w:ascii="宋体" w:hAnsi="宋体"/>
        </w:rPr>
        <w:t>叶忠</w:t>
      </w:r>
    </w:p>
    <w:p w14:paraId="13258CCD">
      <w:pPr>
        <w:ind w:firstLine="422"/>
        <w:rPr>
          <w:rFonts w:ascii="宋体" w:hAnsi="宋体"/>
        </w:rPr>
      </w:pPr>
      <w:r>
        <w:rPr>
          <w:rFonts w:ascii="宋体" w:hAnsi="宋体"/>
          <w:b/>
          <w:bCs/>
        </w:rPr>
        <w:t>党委副书记：</w:t>
      </w:r>
      <w:r>
        <w:rPr>
          <w:rFonts w:ascii="宋体" w:hAnsi="宋体"/>
        </w:rPr>
        <w:t>罗青洋</w:t>
      </w:r>
    </w:p>
    <w:p w14:paraId="216CACE1">
      <w:pPr>
        <w:ind w:firstLine="422"/>
        <w:rPr>
          <w:rFonts w:ascii="宋体" w:hAnsi="宋体"/>
        </w:rPr>
      </w:pPr>
      <w:r>
        <w:rPr>
          <w:rFonts w:ascii="宋体" w:hAnsi="宋体"/>
          <w:b/>
          <w:bCs/>
        </w:rPr>
        <w:t>纪委书记：</w:t>
      </w:r>
      <w:r>
        <w:rPr>
          <w:rFonts w:ascii="宋体" w:hAnsi="宋体"/>
        </w:rPr>
        <w:t>刘海燕</w:t>
      </w:r>
    </w:p>
    <w:p w14:paraId="7FF9AB22">
      <w:pPr>
        <w:ind w:firstLine="422"/>
        <w:rPr>
          <w:rFonts w:ascii="宋体" w:hAnsi="宋体"/>
        </w:rPr>
      </w:pPr>
      <w:r>
        <w:rPr>
          <w:rFonts w:ascii="宋体" w:hAnsi="宋体"/>
          <w:b/>
          <w:bCs/>
        </w:rPr>
        <w:t>副镇长：</w:t>
      </w:r>
      <w:r>
        <w:rPr>
          <w:rFonts w:ascii="宋体" w:hAnsi="宋体"/>
        </w:rPr>
        <w:t>陈文</w:t>
      </w:r>
      <w:r>
        <w:rPr>
          <w:rFonts w:hint="eastAsia" w:ascii="宋体" w:hAnsi="宋体"/>
        </w:rPr>
        <w:t xml:space="preserve">  </w:t>
      </w:r>
      <w:r>
        <w:rPr>
          <w:rFonts w:ascii="宋体" w:hAnsi="宋体"/>
        </w:rPr>
        <w:t>罗清华</w:t>
      </w:r>
    </w:p>
    <w:p w14:paraId="4B3883AC">
      <w:pPr>
        <w:ind w:firstLine="422"/>
        <w:rPr>
          <w:rFonts w:ascii="宋体" w:hAnsi="宋体"/>
        </w:rPr>
      </w:pPr>
      <w:r>
        <w:rPr>
          <w:rFonts w:ascii="宋体" w:hAnsi="宋体"/>
          <w:b/>
          <w:bCs/>
        </w:rPr>
        <w:t>人大副主席：</w:t>
      </w:r>
      <w:r>
        <w:rPr>
          <w:rFonts w:ascii="宋体" w:hAnsi="宋体"/>
        </w:rPr>
        <w:t>钟海英</w:t>
      </w:r>
    </w:p>
    <w:p w14:paraId="1E9DF6B2">
      <w:pPr>
        <w:ind w:firstLine="422"/>
        <w:rPr>
          <w:rFonts w:ascii="宋体" w:hAnsi="宋体"/>
        </w:rPr>
      </w:pPr>
      <w:r>
        <w:rPr>
          <w:rFonts w:ascii="宋体" w:hAnsi="宋体"/>
          <w:b/>
          <w:bCs/>
        </w:rPr>
        <w:t>武装部长：</w:t>
      </w:r>
      <w:r>
        <w:rPr>
          <w:rFonts w:ascii="宋体" w:hAnsi="宋体"/>
        </w:rPr>
        <w:t>胡锦平</w:t>
      </w:r>
    </w:p>
    <w:p w14:paraId="6EA881D6">
      <w:pPr>
        <w:ind w:firstLine="422"/>
        <w:rPr>
          <w:rFonts w:ascii="宋体" w:hAnsi="宋体"/>
        </w:rPr>
      </w:pPr>
      <w:r>
        <w:rPr>
          <w:rFonts w:ascii="宋体" w:hAnsi="宋体"/>
          <w:b/>
          <w:bCs/>
        </w:rPr>
        <w:t>组织委员：</w:t>
      </w:r>
      <w:r>
        <w:rPr>
          <w:rFonts w:ascii="宋体" w:hAnsi="宋体"/>
        </w:rPr>
        <w:t>梁常荣</w:t>
      </w:r>
    </w:p>
    <w:p w14:paraId="5EE8B8E1">
      <w:pPr>
        <w:ind w:firstLine="422"/>
        <w:rPr>
          <w:rFonts w:ascii="宋体" w:hAnsi="宋体"/>
        </w:rPr>
      </w:pPr>
      <w:r>
        <w:rPr>
          <w:rFonts w:ascii="宋体" w:hAnsi="宋体"/>
          <w:b/>
          <w:bCs/>
        </w:rPr>
        <w:t>宣传委员：</w:t>
      </w:r>
      <w:r>
        <w:rPr>
          <w:rFonts w:ascii="宋体" w:hAnsi="宋体"/>
        </w:rPr>
        <w:t>朱兆协</w:t>
      </w:r>
    </w:p>
    <w:p w14:paraId="2A7A3500">
      <w:pPr>
        <w:pStyle w:val="3"/>
      </w:pPr>
      <w:r>
        <w:rPr>
          <w:rFonts w:hint="eastAsia"/>
        </w:rPr>
        <w:t>珠玑镇</w:t>
      </w:r>
    </w:p>
    <w:p w14:paraId="59228335">
      <w:pPr>
        <w:pStyle w:val="4"/>
      </w:pPr>
      <w:r>
        <w:t>【概况】</w:t>
      </w:r>
    </w:p>
    <w:p w14:paraId="54DD137C">
      <w:pPr>
        <w:ind w:firstLine="420"/>
        <w:rPr>
          <w:rFonts w:ascii="宋体" w:hAnsi="宋体"/>
        </w:rPr>
      </w:pPr>
      <w:r>
        <w:rPr>
          <w:rFonts w:ascii="宋体" w:hAnsi="宋体"/>
        </w:rPr>
        <w:t>珠玑镇位于南雄市区东北部9公里，辖22个村委会，1个居委会，257个村民小组，共11184户，总人口44396人。全镇总面积222.25平方公里，山林面积11133.3公顷，耕地面积2151.8公顷，属亚热带季风气候。辖区内有珠玑古巷、梅关古道、钟鼓岩旅游景区。2010年全镇国民生产总收入4.2029亿元，财政收入1250万元，农村人均纯收入达5518元。被评为“广东省教育强镇”、“广东省历史文化名镇”、“发现中国·魅力小镇”。</w:t>
      </w:r>
    </w:p>
    <w:p w14:paraId="1031C8A8">
      <w:pPr>
        <w:pStyle w:val="4"/>
      </w:pPr>
      <w:r>
        <w:t>【农业生产】</w:t>
      </w:r>
    </w:p>
    <w:p w14:paraId="1077BF81">
      <w:pPr>
        <w:ind w:firstLine="420"/>
        <w:rPr>
          <w:rFonts w:ascii="宋体" w:hAnsi="宋体"/>
        </w:rPr>
      </w:pPr>
      <w:r>
        <w:rPr>
          <w:rFonts w:ascii="宋体" w:hAnsi="宋体"/>
        </w:rPr>
        <w:t>2010年全镇粮食种植面积2336.9公顷，其中，种植水稻131.05公顷，总产量达12575吨；种植花生37.9公顷，总产量1855吨，粮食生产保持较稳定的增长。2010年全镇种植黄烟面积为356公顷，收购烟叶19884担，完成收购金额达1532万元，烟叶平均收购价格达7.71元/斤，位于全市中上水平，获得南雄市“烟叶生产先进镇”荣誉称号。猪、牛、三鸟、水产养殖稳步增长，生猪存栏量21755头，出栏量23115头，家禽存栏量112582只，出栏量343721只，其中鸡存栏量88575只，出栏量249535只，水产总量1003吨。</w:t>
      </w:r>
    </w:p>
    <w:p w14:paraId="4C6C53F4">
      <w:pPr>
        <w:pStyle w:val="4"/>
      </w:pPr>
      <w:r>
        <w:t>【林权改革】</w:t>
      </w:r>
    </w:p>
    <w:p w14:paraId="2CC341BF">
      <w:pPr>
        <w:ind w:firstLine="420"/>
        <w:rPr>
          <w:rFonts w:ascii="宋体" w:hAnsi="宋体"/>
        </w:rPr>
      </w:pPr>
      <w:r>
        <w:rPr>
          <w:rFonts w:ascii="宋体" w:hAnsi="宋体"/>
        </w:rPr>
        <w:t>全镇共确权面积13533.3公顷，其中集体山林12000多公顷，自留山800多公顷。同时，抓好植树造林、林政管理、资源保护、护林防火和山林调处工作。全年造林26.7多公顷，“万村绿”工程造林2000多株。</w:t>
      </w:r>
    </w:p>
    <w:p w14:paraId="3747F94D">
      <w:pPr>
        <w:pStyle w:val="4"/>
      </w:pPr>
      <w:r>
        <w:t>【基础设施】</w:t>
      </w:r>
    </w:p>
    <w:p w14:paraId="50D705B1">
      <w:pPr>
        <w:ind w:firstLine="420"/>
        <w:rPr>
          <w:rFonts w:ascii="宋体" w:hAnsi="宋体"/>
        </w:rPr>
      </w:pPr>
      <w:r>
        <w:rPr>
          <w:rFonts w:ascii="宋体" w:hAnsi="宋体"/>
        </w:rPr>
        <w:t>多渠道争取农村基础建设资金，建设以农田水利改造、水库除险加固、农村食水工程为重点的基础设施建设，完成里东桥下坝圳等4宗冬修水利工程，完成罗田、里仁、祗芫水圳三面光及古田、大路下电排等4宗烟水配套工程，农业生产条件有较大改善。</w:t>
      </w:r>
    </w:p>
    <w:p w14:paraId="2ABDC1ED">
      <w:pPr>
        <w:pStyle w:val="4"/>
      </w:pPr>
      <w:r>
        <w:t>【新农村建设】</w:t>
      </w:r>
    </w:p>
    <w:p w14:paraId="68AA9143">
      <w:pPr>
        <w:ind w:firstLine="420"/>
        <w:rPr>
          <w:rFonts w:ascii="宋体" w:hAnsi="宋体"/>
        </w:rPr>
      </w:pPr>
      <w:r>
        <w:rPr>
          <w:rFonts w:ascii="宋体" w:hAnsi="宋体"/>
        </w:rPr>
        <w:t>抓好灵潭槐花新村、珠玑新村等新农村示范点建设，2010年12月通过韶关市有关部门的检查验收。</w:t>
      </w:r>
    </w:p>
    <w:p w14:paraId="6E41312F">
      <w:pPr>
        <w:pStyle w:val="4"/>
      </w:pPr>
      <w:r>
        <w:t>【文教卫生】</w:t>
      </w:r>
    </w:p>
    <w:p w14:paraId="726937B1">
      <w:pPr>
        <w:ind w:firstLine="420"/>
        <w:rPr>
          <w:rFonts w:ascii="宋体" w:hAnsi="宋体"/>
        </w:rPr>
      </w:pPr>
      <w:r>
        <w:rPr>
          <w:rFonts w:ascii="宋体" w:hAnsi="宋体"/>
        </w:rPr>
        <w:t>牢固树立教育优先发展理念，举全镇之力实施“科教兴镇”战略，加强教学基础工作，加大教育基础投入和奖教奖学力度，整合教学资源，加快布局调整，2010年5月，该镇通过省创建教育强镇督导验收专家组的督导验收，成为南雄首个教育强镇。成人文化教育不断加强，种养大户的培训和劳动力转移培训力度加大，农村文化基础设施日益完善，新增农家书屋17间，改善农村文化宣传环境。加强村级卫生站规范化管理，完善农村卫生站基本功能，实施镇村两级医疗机构一体化管理，兴建珠玑卫生院门诊大楼，全镇医疗卫生条件得到完善。城镇建设</w:t>
      </w:r>
    </w:p>
    <w:p w14:paraId="4B89BEB4">
      <w:pPr>
        <w:ind w:firstLine="420"/>
        <w:rPr>
          <w:rFonts w:ascii="宋体" w:hAnsi="宋体"/>
        </w:rPr>
      </w:pPr>
      <w:r>
        <w:rPr>
          <w:rFonts w:ascii="宋体" w:hAnsi="宋体"/>
        </w:rPr>
        <w:t>筹集资金60多万元对珠玑墟镇中心进行整治，在商业街和广场铺设街砖，并配套了美化、绿化、亮化工程；投入资金修整“仿宋一条街”，铺设商业街广场街砖约2800多平方米，建成社区文化广场，满足社区居民群众的精神文化需求。招商引资</w:t>
      </w:r>
    </w:p>
    <w:p w14:paraId="2631B6EF">
      <w:pPr>
        <w:ind w:firstLine="420"/>
        <w:rPr>
          <w:rFonts w:ascii="宋体" w:hAnsi="宋体"/>
        </w:rPr>
      </w:pPr>
      <w:r>
        <w:rPr>
          <w:rFonts w:ascii="宋体" w:hAnsi="宋体"/>
        </w:rPr>
        <w:t>巩固招商引资成果，强化对企业的跟踪服务，为企业扩大生产、招聘工人等提供帮助。韶关伟洛仕电子有限公司正常生产并正在扩建，溢香园食品厂产品供不应求，金友粮油加工基地和珠玑驾校正在紧张筹建，引进良晨食品有限公司、旭兴玩具厂和竹博园水疗中心。通过加大招商引资力度，解决800多名农民的就业问题。</w:t>
      </w:r>
    </w:p>
    <w:p w14:paraId="4FF390D2">
      <w:pPr>
        <w:pStyle w:val="4"/>
      </w:pPr>
      <w:r>
        <w:t>【扶贫双到】</w:t>
      </w:r>
    </w:p>
    <w:p w14:paraId="3E7C4F6A">
      <w:pPr>
        <w:ind w:firstLine="420"/>
        <w:rPr>
          <w:rFonts w:ascii="宋体" w:hAnsi="宋体"/>
        </w:rPr>
      </w:pPr>
      <w:r>
        <w:rPr>
          <w:rFonts w:ascii="宋体" w:hAnsi="宋体"/>
        </w:rPr>
        <w:t>协调韶关市公路局、韶关农信社等挂扶单位，落实扶贫资金、扶贫项目。通过技能培训和项目带动，改善贫困村基础设施，启动贫困户种养特色项目，转移贫困户劳动力。2010年，落实省级贫困村上嵩村帮扶资金、物资共计46.6万元，30户贫困户脱贫，占贫困户的44%。扶贫工作有条不紊开展，大量的扶助资金、物资及时地送到贫困户手中。</w:t>
      </w:r>
    </w:p>
    <w:p w14:paraId="7819DB14">
      <w:pPr>
        <w:pStyle w:val="4"/>
      </w:pPr>
      <w:r>
        <w:t>【重点项目建设】</w:t>
      </w:r>
    </w:p>
    <w:p w14:paraId="789C2130">
      <w:pPr>
        <w:ind w:firstLine="420"/>
        <w:rPr>
          <w:rFonts w:ascii="宋体" w:hAnsi="宋体"/>
        </w:rPr>
      </w:pPr>
      <w:r>
        <w:rPr>
          <w:rFonts w:ascii="宋体" w:hAnsi="宋体"/>
        </w:rPr>
        <w:t>推进韶赣铁路、彤置富水泥厂、珠玑旅游大道、珠玑220KV变电站等重点项目建设工程的征地及房屋拆迁补偿安置工作。提前完成韶赣铁路、彤置富水泥厂工程项目建设用地的任务。全年共征地116.5多公顷，拆迁房屋14400平方米。妥善解决韶赣高速公路、西气东输、金友集团公司粮油加工基地等存在的遗留问题。珠玑220KV变电站已建成投产，韶赣高速公路于2010年12月30日建成通车，韶赣铁路和彤置富水泥厂正在加紧施工建设。</w:t>
      </w:r>
    </w:p>
    <w:p w14:paraId="316ABBCE">
      <w:pPr>
        <w:pStyle w:val="4"/>
      </w:pPr>
      <w:r>
        <w:t>【民心工程】</w:t>
      </w:r>
    </w:p>
    <w:p w14:paraId="7463E573">
      <w:pPr>
        <w:ind w:firstLine="420"/>
        <w:rPr>
          <w:rFonts w:ascii="宋体" w:hAnsi="宋体"/>
        </w:rPr>
      </w:pPr>
      <w:r>
        <w:rPr>
          <w:rFonts w:ascii="宋体" w:hAnsi="宋体"/>
        </w:rPr>
        <w:t>2010共有38145人参加新型农村合作医疗，参合率达95%，全年农村合作医疗补贴金额193万多元，惠及农户470多人；落实种粮直补211.6万元，惠及农户8900多户；家电下乡补贴48万多元，惠及农户1500多户；汽车下乡补贴39.6万元，惠及农户近300户。做好低保救济工作及低保年审工作，2010年共有570户1580人次享受低保。开展社会弱势群体关爱活动，开展“广东扶贫济困日”捐赠活动，困难党员、困难群众及病残、老弱、孤寡等社会弱势群体得到有效救助。利用社会资金扶助贫困家庭学生，全年全镇受华恩基金资助学生共39名。</w:t>
      </w:r>
    </w:p>
    <w:p w14:paraId="3701B0B8">
      <w:pPr>
        <w:pStyle w:val="4"/>
      </w:pPr>
      <w:r>
        <w:t>【旅游业】</w:t>
      </w:r>
    </w:p>
    <w:p w14:paraId="585F9178">
      <w:pPr>
        <w:ind w:firstLine="420"/>
        <w:rPr>
          <w:rFonts w:ascii="宋体" w:hAnsi="宋体"/>
        </w:rPr>
      </w:pPr>
      <w:r>
        <w:rPr>
          <w:rFonts w:ascii="宋体" w:hAnsi="宋体"/>
        </w:rPr>
        <w:t>以珠玑古巷、梅关古道为依托，深入挖掘旅游资源，打响大雄禅寺、钟鼓岩、竹博园水疗中心等旅游品牌。发挥人文优势，做强、做大旅游产业，2010年，珠玑古巷、梅关古道共接待游客60多万人次。</w:t>
      </w:r>
    </w:p>
    <w:p w14:paraId="08DC91C4">
      <w:pPr>
        <w:pStyle w:val="3"/>
      </w:pPr>
      <w:r>
        <w:rPr>
          <w:rFonts w:hint="eastAsia"/>
        </w:rPr>
        <w:t>各村（居）委会基本情况</w:t>
      </w:r>
    </w:p>
    <w:p w14:paraId="1DC2F970">
      <w:pPr>
        <w:pStyle w:val="4"/>
      </w:pPr>
      <w:r>
        <w:t>【长迳村委会】</w:t>
      </w:r>
    </w:p>
    <w:p w14:paraId="6BC78174">
      <w:pPr>
        <w:ind w:firstLine="420"/>
        <w:rPr>
          <w:rFonts w:ascii="宋体" w:hAnsi="宋体"/>
        </w:rPr>
      </w:pPr>
      <w:r>
        <w:rPr>
          <w:rFonts w:ascii="宋体" w:hAnsi="宋体"/>
        </w:rPr>
        <w:t>位于珠玑镇西南方，距镇政府3公里，辖10个村民小组，673户，2655人，耕地面积141.4公顷。2010年，集体经济收入10万元，农村人均纯收入5668元。</w:t>
      </w:r>
    </w:p>
    <w:p w14:paraId="6CC1D5E3">
      <w:pPr>
        <w:pStyle w:val="4"/>
      </w:pPr>
      <w:r>
        <w:t>【新村村委会】</w:t>
      </w:r>
    </w:p>
    <w:p w14:paraId="3A461CF1">
      <w:pPr>
        <w:ind w:firstLine="420"/>
        <w:rPr>
          <w:rFonts w:ascii="宋体" w:hAnsi="宋体"/>
        </w:rPr>
      </w:pPr>
      <w:r>
        <w:rPr>
          <w:rFonts w:ascii="宋体" w:hAnsi="宋体"/>
        </w:rPr>
        <w:t>位于珠玑镇西南方，距镇政府2公里，辖7个村民小组，251户，1071人，耕地面积37.27公顷。2010年，集体经济收入6万元，农村人均纯收入6246元。</w:t>
      </w:r>
    </w:p>
    <w:p w14:paraId="3DEAAD56">
      <w:pPr>
        <w:pStyle w:val="4"/>
      </w:pPr>
      <w:r>
        <w:t>【古田村委会】</w:t>
      </w:r>
    </w:p>
    <w:p w14:paraId="5EF1A82C">
      <w:pPr>
        <w:ind w:firstLine="420"/>
        <w:rPr>
          <w:rFonts w:ascii="宋体" w:hAnsi="宋体"/>
        </w:rPr>
      </w:pPr>
      <w:r>
        <w:rPr>
          <w:rFonts w:ascii="宋体" w:hAnsi="宋体"/>
        </w:rPr>
        <w:t>位于珠玑镇东南方，距镇政府5公里，辖17个村民小组，638户，2902人，耕地面积188.5公顷。2010年，集体经济收入9万元，农村人均纯收入5513元。</w:t>
      </w:r>
    </w:p>
    <w:p w14:paraId="5AF4C691">
      <w:pPr>
        <w:pStyle w:val="4"/>
      </w:pPr>
      <w:r>
        <w:t>【聪辈村委会】</w:t>
      </w:r>
    </w:p>
    <w:p w14:paraId="1370B5C9">
      <w:pPr>
        <w:ind w:firstLine="420"/>
        <w:rPr>
          <w:rFonts w:ascii="宋体" w:hAnsi="宋体"/>
        </w:rPr>
      </w:pPr>
      <w:r>
        <w:rPr>
          <w:rFonts w:ascii="宋体" w:hAnsi="宋体"/>
        </w:rPr>
        <w:t>位于珠玑镇东南方，距镇政府2公里，辖9个村民小组，334户，1529人，耕地面积69.7公顷。2010年，集体经济收入9万元，农村人均纯收入5997元。</w:t>
      </w:r>
    </w:p>
    <w:p w14:paraId="63B583E5">
      <w:pPr>
        <w:pStyle w:val="4"/>
      </w:pPr>
      <w:r>
        <w:t>【珠玑村委会】</w:t>
      </w:r>
    </w:p>
    <w:p w14:paraId="5F2A9E93">
      <w:pPr>
        <w:ind w:firstLine="420"/>
        <w:rPr>
          <w:rFonts w:ascii="宋体" w:hAnsi="宋体"/>
        </w:rPr>
      </w:pPr>
      <w:r>
        <w:rPr>
          <w:rFonts w:ascii="宋体" w:hAnsi="宋体"/>
        </w:rPr>
        <w:t>位于珠玑镇南方，距镇政府1公里，辖14个村民小组，586户，2245人，耕地面积56.7公顷。2010年，集体经济收入11万元，农村人均纯收入5746元。</w:t>
      </w:r>
    </w:p>
    <w:p w14:paraId="3D81AAB0">
      <w:pPr>
        <w:pStyle w:val="4"/>
      </w:pPr>
      <w:r>
        <w:t>【洋湖村委会】</w:t>
      </w:r>
    </w:p>
    <w:p w14:paraId="437F525E">
      <w:pPr>
        <w:ind w:firstLine="420"/>
        <w:rPr>
          <w:rFonts w:ascii="宋体" w:hAnsi="宋体"/>
        </w:rPr>
      </w:pPr>
      <w:r>
        <w:rPr>
          <w:rFonts w:ascii="宋体" w:hAnsi="宋体"/>
        </w:rPr>
        <w:t>位于珠玑镇西方，距镇政府1公里，辖10个村民小组，492户，2158人，耕地面积77.3公顷。2010年，集体经济收入6万元，农村人均纯收入5699元。</w:t>
      </w:r>
    </w:p>
    <w:p w14:paraId="54805051">
      <w:pPr>
        <w:pStyle w:val="4"/>
      </w:pPr>
      <w:r>
        <w:t>【叟里元村委会】</w:t>
      </w:r>
    </w:p>
    <w:p w14:paraId="56966082">
      <w:pPr>
        <w:ind w:firstLine="420"/>
        <w:rPr>
          <w:rFonts w:ascii="宋体" w:hAnsi="宋体"/>
        </w:rPr>
      </w:pPr>
      <w:r>
        <w:rPr>
          <w:rFonts w:ascii="宋体" w:hAnsi="宋体"/>
        </w:rPr>
        <w:t>位于珠玑镇西北方，距镇政府3公里，辖29个村民小组，648户，2950人，耕地面积135.5公顷。2010年，集体经济收入14万元，农村人均纯收入5098元。</w:t>
      </w:r>
    </w:p>
    <w:p w14:paraId="1C20DC70">
      <w:pPr>
        <w:pStyle w:val="4"/>
      </w:pPr>
      <w:r>
        <w:t>【上嵩村委会】</w:t>
      </w:r>
    </w:p>
    <w:p w14:paraId="3B4DA99C">
      <w:pPr>
        <w:ind w:firstLine="420"/>
        <w:rPr>
          <w:rFonts w:ascii="宋体" w:hAnsi="宋体"/>
        </w:rPr>
      </w:pPr>
      <w:r>
        <w:rPr>
          <w:rFonts w:ascii="宋体" w:hAnsi="宋体"/>
        </w:rPr>
        <w:t>位于珠玑镇西北方，距镇政府11公里，辖4个村民小组，119户，532人，耕地面积51.3公顷。2010年，集体经济收入4万元，农村人均纯收入5187元。</w:t>
      </w:r>
    </w:p>
    <w:p w14:paraId="6878A511">
      <w:pPr>
        <w:pStyle w:val="4"/>
      </w:pPr>
      <w:r>
        <w:t>【里仁村委会】</w:t>
      </w:r>
    </w:p>
    <w:p w14:paraId="6F253225">
      <w:pPr>
        <w:ind w:firstLine="420"/>
        <w:rPr>
          <w:rFonts w:ascii="宋体" w:hAnsi="宋体"/>
        </w:rPr>
      </w:pPr>
      <w:r>
        <w:rPr>
          <w:rFonts w:ascii="宋体" w:hAnsi="宋体"/>
        </w:rPr>
        <w:t>位于珠玑镇东方，距镇政府2公里，辖10个村民小组，359户，1578人，耕地面积78.9公顷。2010年，集体经济收入8万元，农村人均纯收入5944元。</w:t>
      </w:r>
    </w:p>
    <w:p w14:paraId="147BCB4B">
      <w:pPr>
        <w:pStyle w:val="4"/>
      </w:pPr>
      <w:r>
        <w:t>【塘东村委会】</w:t>
      </w:r>
    </w:p>
    <w:p w14:paraId="2C65CC46">
      <w:pPr>
        <w:ind w:firstLine="420"/>
        <w:rPr>
          <w:rFonts w:ascii="宋体" w:hAnsi="宋体"/>
        </w:rPr>
      </w:pPr>
      <w:r>
        <w:rPr>
          <w:rFonts w:ascii="宋体" w:hAnsi="宋体"/>
        </w:rPr>
        <w:t>位于珠玑镇东方，距镇政府3公里，辖12个村民小组，558户，2293人，耕地面积102公顷。2010年，集体经济收入7万元，农村人均纯收入5887元。</w:t>
      </w:r>
    </w:p>
    <w:p w14:paraId="78AE84FA">
      <w:pPr>
        <w:pStyle w:val="4"/>
      </w:pPr>
      <w:r>
        <w:t>【石塘村委会】</w:t>
      </w:r>
    </w:p>
    <w:p w14:paraId="15EB664F">
      <w:pPr>
        <w:ind w:firstLine="420"/>
        <w:rPr>
          <w:rFonts w:ascii="宋体" w:hAnsi="宋体"/>
        </w:rPr>
      </w:pPr>
      <w:r>
        <w:rPr>
          <w:rFonts w:ascii="宋体" w:hAnsi="宋体"/>
        </w:rPr>
        <w:t>位于珠玑镇东北方，距镇政府5公里，辖11个村民小组，383户，1754人，耕地面积82.6公顷。2010年，集体经济收入6万元，农村人均纯收入5763元。</w:t>
      </w:r>
    </w:p>
    <w:p w14:paraId="6B1A377E">
      <w:pPr>
        <w:pStyle w:val="4"/>
      </w:pPr>
      <w:r>
        <w:t>【里东村委会】</w:t>
      </w:r>
    </w:p>
    <w:p w14:paraId="5500AADF">
      <w:pPr>
        <w:ind w:firstLine="420"/>
        <w:rPr>
          <w:rFonts w:ascii="宋体" w:hAnsi="宋体"/>
        </w:rPr>
      </w:pPr>
      <w:r>
        <w:rPr>
          <w:rFonts w:ascii="宋体" w:hAnsi="宋体"/>
        </w:rPr>
        <w:t>位于珠玑镇北方，距镇政府6公里，辖16个村民小组，646户，3381人，耕地面积103.5公顷。2010年，集体经济收入8万元，农村人均纯收入5232元。</w:t>
      </w:r>
    </w:p>
    <w:p w14:paraId="6B7BCEF9">
      <w:pPr>
        <w:pStyle w:val="4"/>
      </w:pPr>
      <w:r>
        <w:t>【灵潭村委会】</w:t>
      </w:r>
    </w:p>
    <w:p w14:paraId="358C0386">
      <w:pPr>
        <w:ind w:firstLine="420"/>
        <w:rPr>
          <w:rFonts w:ascii="宋体" w:hAnsi="宋体"/>
        </w:rPr>
      </w:pPr>
      <w:r>
        <w:rPr>
          <w:rFonts w:ascii="宋体" w:hAnsi="宋体"/>
        </w:rPr>
        <w:t>位于珠玑镇东北方，距镇政府8公里，辖11个村民小组，383户，1754人，耕地面积82.3公顷。2010年，集体经济收入5万元，农村人均纯收入5463元。</w:t>
      </w:r>
    </w:p>
    <w:p w14:paraId="2829222B">
      <w:pPr>
        <w:pStyle w:val="4"/>
      </w:pPr>
      <w:r>
        <w:t>【祇芫村委会】</w:t>
      </w:r>
    </w:p>
    <w:p w14:paraId="08298104">
      <w:pPr>
        <w:ind w:firstLine="420"/>
        <w:rPr>
          <w:rFonts w:ascii="宋体" w:hAnsi="宋体"/>
        </w:rPr>
      </w:pPr>
      <w:r>
        <w:rPr>
          <w:rFonts w:ascii="宋体" w:hAnsi="宋体"/>
        </w:rPr>
        <w:t>位于珠玑镇东北方，距镇政府10公里，辖11个村民小组，437户，2018人，耕地面积109.3公顷。2010年，集体经济收入11万元，农村人均纯收入5822元。</w:t>
      </w:r>
    </w:p>
    <w:p w14:paraId="4A94D0FA">
      <w:pPr>
        <w:pStyle w:val="4"/>
      </w:pPr>
      <w:r>
        <w:t>【下坋村委会】</w:t>
      </w:r>
    </w:p>
    <w:p w14:paraId="7C84F60A">
      <w:pPr>
        <w:ind w:firstLine="420"/>
        <w:rPr>
          <w:rFonts w:ascii="宋体" w:hAnsi="宋体"/>
        </w:rPr>
      </w:pPr>
      <w:r>
        <w:rPr>
          <w:rFonts w:ascii="宋体" w:hAnsi="宋体"/>
        </w:rPr>
        <w:t>位于珠玑镇东北方，距镇政府8公里，辖6个村民小组，304户，1288人，耕地面积57.9公顷。2010年，集体经济收入8万元，农村人均纯收入6475元。</w:t>
      </w:r>
    </w:p>
    <w:p w14:paraId="7BEC0892">
      <w:pPr>
        <w:pStyle w:val="4"/>
      </w:pPr>
      <w:r>
        <w:t>【罗田村委会】</w:t>
      </w:r>
    </w:p>
    <w:p w14:paraId="177160AF">
      <w:pPr>
        <w:ind w:firstLine="420"/>
        <w:rPr>
          <w:rFonts w:ascii="宋体" w:hAnsi="宋体"/>
        </w:rPr>
      </w:pPr>
      <w:r>
        <w:rPr>
          <w:rFonts w:ascii="宋体" w:hAnsi="宋体"/>
        </w:rPr>
        <w:t>位于珠玑镇东北方，距镇政府10公里，辖5个村民小组，232户，1358人，耕地面积56.2公顷。2010年，集体经济收入4万元，农村人均纯收入6399元。</w:t>
      </w:r>
    </w:p>
    <w:p w14:paraId="242FCAE2">
      <w:pPr>
        <w:pStyle w:val="4"/>
      </w:pPr>
      <w:r>
        <w:t>【南山村委会】</w:t>
      </w:r>
    </w:p>
    <w:p w14:paraId="49BA6EFF">
      <w:pPr>
        <w:ind w:firstLine="420"/>
        <w:rPr>
          <w:rFonts w:ascii="宋体" w:hAnsi="宋体"/>
        </w:rPr>
      </w:pPr>
      <w:r>
        <w:rPr>
          <w:rFonts w:ascii="宋体" w:hAnsi="宋体"/>
        </w:rPr>
        <w:t>位于珠玑镇东北方，距镇政府8公里，辖6个村民小组，208户，850人，耕地面积46.2公顷。2010年，集体经济收入3万元，农村人均纯收入6117元。</w:t>
      </w:r>
    </w:p>
    <w:p w14:paraId="71CDE57F">
      <w:pPr>
        <w:pStyle w:val="4"/>
      </w:pPr>
      <w:r>
        <w:t>【角湾村委会】</w:t>
      </w:r>
    </w:p>
    <w:p w14:paraId="532B79A2">
      <w:pPr>
        <w:ind w:firstLine="420"/>
        <w:rPr>
          <w:rFonts w:ascii="宋体" w:hAnsi="宋体"/>
        </w:rPr>
      </w:pPr>
      <w:r>
        <w:rPr>
          <w:rFonts w:ascii="宋体" w:hAnsi="宋体"/>
        </w:rPr>
        <w:t>位于珠玑镇东北方，距镇政府10公里，辖9个村民小组，362户，1499人，耕地面积57.3公顷。2010年，集体经济收入6万元，农村人均纯收入5623元。</w:t>
      </w:r>
    </w:p>
    <w:p w14:paraId="594860B0">
      <w:pPr>
        <w:pStyle w:val="4"/>
      </w:pPr>
      <w:r>
        <w:t>【中站村委会】</w:t>
      </w:r>
    </w:p>
    <w:p w14:paraId="60DFDE12">
      <w:pPr>
        <w:ind w:firstLine="420"/>
        <w:rPr>
          <w:rFonts w:ascii="宋体" w:hAnsi="宋体"/>
        </w:rPr>
      </w:pPr>
      <w:r>
        <w:rPr>
          <w:rFonts w:ascii="宋体" w:hAnsi="宋体"/>
        </w:rPr>
        <w:t>位于珠玑镇北方，距镇政府11公里，辖9个村民小组，269户，1129人，耕地面积40公顷。2010年，集体经济收入15万元，农村人均纯收入6182元</w:t>
      </w:r>
    </w:p>
    <w:p w14:paraId="354E81CF">
      <w:pPr>
        <w:pStyle w:val="4"/>
      </w:pPr>
      <w:r>
        <w:t>【泰源村委会】</w:t>
      </w:r>
    </w:p>
    <w:p w14:paraId="2621AD3C">
      <w:pPr>
        <w:ind w:firstLine="420"/>
        <w:rPr>
          <w:rFonts w:ascii="宋体" w:hAnsi="宋体"/>
        </w:rPr>
      </w:pPr>
      <w:r>
        <w:rPr>
          <w:rFonts w:ascii="宋体" w:hAnsi="宋体"/>
        </w:rPr>
        <w:t>位于珠玑镇东北方，距镇政府12公里，辖15个村民小组，427户，1678人，耕地面积54.1公顷。2010年，集体经济收入7万元，农村人均纯收入5655元。</w:t>
      </w:r>
    </w:p>
    <w:p w14:paraId="09ECD39F">
      <w:pPr>
        <w:pStyle w:val="4"/>
      </w:pPr>
      <w:r>
        <w:t>【梅岭村委会】</w:t>
      </w:r>
    </w:p>
    <w:p w14:paraId="04E5B018">
      <w:pPr>
        <w:ind w:firstLine="420"/>
        <w:rPr>
          <w:rFonts w:ascii="宋体" w:hAnsi="宋体"/>
        </w:rPr>
      </w:pPr>
      <w:r>
        <w:rPr>
          <w:rFonts w:ascii="宋体" w:hAnsi="宋体"/>
        </w:rPr>
        <w:t>位于珠玑镇北方，距镇政府13公里，辖14个村民小组，478户，2072人，耕地面积82.5公顷。2010年，集体经济收入7万元，农村人均纯收入4966元。</w:t>
      </w:r>
    </w:p>
    <w:p w14:paraId="2B647C76">
      <w:pPr>
        <w:pStyle w:val="4"/>
      </w:pPr>
      <w:r>
        <w:t>【梅关村委会】</w:t>
      </w:r>
    </w:p>
    <w:p w14:paraId="4D6DB767">
      <w:pPr>
        <w:ind w:firstLine="420"/>
        <w:rPr>
          <w:rFonts w:ascii="宋体" w:hAnsi="宋体"/>
        </w:rPr>
      </w:pPr>
      <w:r>
        <w:rPr>
          <w:rFonts w:ascii="宋体" w:hAnsi="宋体"/>
        </w:rPr>
        <w:t>位于珠玑镇北方，距镇政府14公里，辖10个村民小组，356户，1525人，耕地面积60公顷。2010年，集体经济收入7万元，农村人均纯收入5783元。</w:t>
      </w:r>
    </w:p>
    <w:p w14:paraId="0717FE9C">
      <w:pPr>
        <w:pStyle w:val="4"/>
      </w:pPr>
      <w:r>
        <w:t>【居委会】</w:t>
      </w:r>
    </w:p>
    <w:p w14:paraId="61B88C31">
      <w:pPr>
        <w:ind w:firstLine="420"/>
        <w:rPr>
          <w:rFonts w:ascii="宋体" w:hAnsi="宋体"/>
        </w:rPr>
      </w:pPr>
      <w:r>
        <w:rPr>
          <w:rFonts w:ascii="宋体" w:hAnsi="宋体"/>
        </w:rPr>
        <w:t>辖1个居民小组，1053户，3225人，居民人均纯收入10158元。</w:t>
      </w:r>
    </w:p>
    <w:p w14:paraId="667CC8D7">
      <w:pPr>
        <w:ind w:firstLine="420"/>
        <w:jc w:val="right"/>
        <w:rPr>
          <w:rFonts w:ascii="宋体" w:hAnsi="宋体"/>
        </w:rPr>
      </w:pPr>
      <w:r>
        <w:rPr>
          <w:rFonts w:ascii="宋体" w:hAnsi="宋体"/>
        </w:rPr>
        <w:t>（雷秋萍）</w:t>
      </w:r>
    </w:p>
    <w:p w14:paraId="3CB7708D">
      <w:pPr>
        <w:ind w:firstLine="422"/>
        <w:rPr>
          <w:rFonts w:ascii="宋体" w:hAnsi="宋体"/>
          <w:b/>
          <w:bCs/>
        </w:rPr>
      </w:pPr>
      <w:r>
        <w:rPr>
          <w:rFonts w:ascii="宋体" w:hAnsi="宋体"/>
          <w:b/>
          <w:bCs/>
        </w:rPr>
        <w:t>附：2010年珠玑镇领导班子成员名单</w:t>
      </w:r>
    </w:p>
    <w:p w14:paraId="2C31BC61">
      <w:pPr>
        <w:ind w:firstLine="422"/>
        <w:rPr>
          <w:rFonts w:ascii="宋体" w:hAnsi="宋体"/>
        </w:rPr>
      </w:pPr>
      <w:r>
        <w:rPr>
          <w:rFonts w:ascii="宋体" w:hAnsi="宋体"/>
          <w:b/>
          <w:bCs/>
        </w:rPr>
        <w:t>党委书记、人大主席：</w:t>
      </w:r>
      <w:r>
        <w:rPr>
          <w:rFonts w:ascii="宋体" w:hAnsi="宋体"/>
        </w:rPr>
        <w:t>吴良彬</w:t>
      </w:r>
    </w:p>
    <w:p w14:paraId="7D056B72">
      <w:pPr>
        <w:ind w:firstLine="422"/>
        <w:rPr>
          <w:rFonts w:ascii="宋体" w:hAnsi="宋体"/>
        </w:rPr>
      </w:pPr>
      <w:r>
        <w:rPr>
          <w:rFonts w:ascii="宋体" w:hAnsi="宋体"/>
          <w:b/>
          <w:bCs/>
        </w:rPr>
        <w:t>党委副书记、镇长：</w:t>
      </w:r>
      <w:r>
        <w:rPr>
          <w:rFonts w:ascii="宋体" w:hAnsi="宋体"/>
        </w:rPr>
        <w:t>何少波</w:t>
      </w:r>
    </w:p>
    <w:p w14:paraId="0BB239E4">
      <w:pPr>
        <w:ind w:firstLine="422"/>
        <w:rPr>
          <w:rFonts w:ascii="宋体" w:hAnsi="宋体"/>
        </w:rPr>
      </w:pPr>
      <w:r>
        <w:rPr>
          <w:rFonts w:ascii="宋体" w:hAnsi="宋体"/>
          <w:b/>
          <w:bCs/>
        </w:rPr>
        <w:t>党委副书记：</w:t>
      </w:r>
      <w:r>
        <w:rPr>
          <w:rFonts w:ascii="宋体" w:hAnsi="宋体"/>
        </w:rPr>
        <w:t>刘章灿</w:t>
      </w:r>
    </w:p>
    <w:p w14:paraId="70EB9E80">
      <w:pPr>
        <w:ind w:firstLine="422"/>
        <w:rPr>
          <w:rFonts w:ascii="宋体" w:hAnsi="宋体"/>
        </w:rPr>
      </w:pPr>
      <w:r>
        <w:rPr>
          <w:rFonts w:ascii="宋体" w:hAnsi="宋体"/>
          <w:b/>
          <w:bCs/>
        </w:rPr>
        <w:t>副镇长：</w:t>
      </w:r>
      <w:r>
        <w:rPr>
          <w:rFonts w:ascii="宋体" w:hAnsi="宋体"/>
        </w:rPr>
        <w:t>巫钟晟</w:t>
      </w:r>
      <w:r>
        <w:rPr>
          <w:rFonts w:hint="eastAsia" w:ascii="宋体" w:hAnsi="宋体"/>
        </w:rPr>
        <w:t xml:space="preserve">  </w:t>
      </w:r>
      <w:r>
        <w:rPr>
          <w:rFonts w:ascii="宋体" w:hAnsi="宋体"/>
        </w:rPr>
        <w:t>叶东明</w:t>
      </w:r>
      <w:r>
        <w:rPr>
          <w:rFonts w:hint="eastAsia" w:ascii="宋体" w:hAnsi="宋体"/>
        </w:rPr>
        <w:t xml:space="preserve">  </w:t>
      </w:r>
      <w:r>
        <w:rPr>
          <w:rFonts w:ascii="宋体" w:hAnsi="宋体"/>
        </w:rPr>
        <w:t>高铭</w:t>
      </w:r>
    </w:p>
    <w:p w14:paraId="56CE54AD">
      <w:pPr>
        <w:ind w:firstLine="422"/>
        <w:rPr>
          <w:rFonts w:ascii="宋体" w:hAnsi="宋体"/>
        </w:rPr>
      </w:pPr>
      <w:r>
        <w:rPr>
          <w:rFonts w:ascii="宋体" w:hAnsi="宋体"/>
          <w:b/>
          <w:bCs/>
        </w:rPr>
        <w:t>纪委书记：</w:t>
      </w:r>
      <w:r>
        <w:rPr>
          <w:rFonts w:ascii="宋体" w:hAnsi="宋体"/>
        </w:rPr>
        <w:t>邱建平</w:t>
      </w:r>
    </w:p>
    <w:p w14:paraId="26766BE2">
      <w:pPr>
        <w:ind w:firstLine="422"/>
        <w:rPr>
          <w:rFonts w:ascii="宋体" w:hAnsi="宋体"/>
        </w:rPr>
      </w:pPr>
      <w:r>
        <w:rPr>
          <w:rFonts w:ascii="宋体" w:hAnsi="宋体"/>
          <w:b/>
          <w:bCs/>
        </w:rPr>
        <w:t>人大副主席：</w:t>
      </w:r>
      <w:r>
        <w:rPr>
          <w:rFonts w:ascii="宋体" w:hAnsi="宋体"/>
        </w:rPr>
        <w:t>陈文英</w:t>
      </w:r>
    </w:p>
    <w:p w14:paraId="276056E6">
      <w:pPr>
        <w:ind w:firstLine="422"/>
        <w:rPr>
          <w:rFonts w:ascii="宋体" w:hAnsi="宋体"/>
        </w:rPr>
      </w:pPr>
      <w:r>
        <w:rPr>
          <w:rFonts w:ascii="宋体" w:hAnsi="宋体"/>
          <w:b/>
          <w:bCs/>
        </w:rPr>
        <w:t>武装部长：</w:t>
      </w:r>
      <w:r>
        <w:rPr>
          <w:rFonts w:ascii="宋体" w:hAnsi="宋体"/>
        </w:rPr>
        <w:t>卢隆舟</w:t>
      </w:r>
    </w:p>
    <w:p w14:paraId="74F16A97">
      <w:pPr>
        <w:ind w:firstLine="422"/>
        <w:rPr>
          <w:rFonts w:ascii="宋体" w:hAnsi="宋体"/>
        </w:rPr>
      </w:pPr>
      <w:r>
        <w:rPr>
          <w:rFonts w:ascii="宋体" w:hAnsi="宋体"/>
          <w:b/>
          <w:bCs/>
        </w:rPr>
        <w:t>组织委员：</w:t>
      </w:r>
      <w:r>
        <w:rPr>
          <w:rFonts w:ascii="宋体" w:hAnsi="宋体"/>
        </w:rPr>
        <w:t>刘志鹏</w:t>
      </w:r>
    </w:p>
    <w:p w14:paraId="7F524FDC">
      <w:pPr>
        <w:ind w:firstLine="422"/>
        <w:rPr>
          <w:rFonts w:ascii="宋体" w:hAnsi="宋体"/>
        </w:rPr>
      </w:pPr>
      <w:r>
        <w:rPr>
          <w:rFonts w:ascii="宋体" w:hAnsi="宋体"/>
          <w:b/>
          <w:bCs/>
        </w:rPr>
        <w:t>宣传委员：</w:t>
      </w:r>
      <w:r>
        <w:rPr>
          <w:rFonts w:ascii="宋体" w:hAnsi="宋体"/>
        </w:rPr>
        <w:t>赖宝平</w:t>
      </w:r>
    </w:p>
    <w:p w14:paraId="095FFF10">
      <w:pPr>
        <w:ind w:firstLine="422"/>
        <w:rPr>
          <w:rFonts w:ascii="宋体" w:hAnsi="宋体"/>
        </w:rPr>
      </w:pPr>
      <w:r>
        <w:rPr>
          <w:rFonts w:ascii="宋体" w:hAnsi="宋体"/>
          <w:b/>
          <w:bCs/>
        </w:rPr>
        <w:t>党委委员：</w:t>
      </w:r>
      <w:r>
        <w:rPr>
          <w:rFonts w:ascii="宋体" w:hAnsi="宋体"/>
        </w:rPr>
        <w:t>张东林</w:t>
      </w:r>
    </w:p>
    <w:p w14:paraId="74D9B523">
      <w:pPr>
        <w:pStyle w:val="3"/>
      </w:pPr>
      <w:r>
        <w:rPr>
          <w:rFonts w:hint="eastAsia"/>
        </w:rPr>
        <w:t>湖口镇</w:t>
      </w:r>
    </w:p>
    <w:p w14:paraId="5393BCCE">
      <w:pPr>
        <w:pStyle w:val="4"/>
      </w:pPr>
      <w:r>
        <w:t>【概况】</w:t>
      </w:r>
    </w:p>
    <w:p w14:paraId="3F62CB0E">
      <w:pPr>
        <w:ind w:firstLine="420"/>
        <w:rPr>
          <w:rFonts w:ascii="宋体" w:hAnsi="宋体"/>
        </w:rPr>
      </w:pPr>
      <w:r>
        <w:rPr>
          <w:rFonts w:ascii="宋体" w:hAnsi="宋体"/>
        </w:rPr>
        <w:t>湖口，1956年设湖口乡，1958年改红旗公社，1961年更名湖口公社，1980年设区，1986年建镇，是革命老区。地处南雄市腹部，距市区九公里，毗邻雄州、珠玑、邓坊、黄坑、水口等镇。省道342线穿过湖口墟镇，两翼有湖珠和湖水公路贯穿。辖12个村委会1个居委会，有194个村小组，128个自然村。镇属辖区内多以丘陵地貌为主。2010年末，总人口为36500人，其中农业人口33798人。总面积73.6平方千米，耕地面积2400公顷。全镇经济产业以农业为主，形成上造种黄烟下造种水稻的生产模式。2010年黄烟种植面积1.73万亩，收购量为南雄之最，共49770担，湖口黄烟名扬广东，素有“广东金叶第一镇”的美誉。下造以优质稻为主，总产量达2万吨。湖口农贸市场占地面积13028平方米，每隔一天为集市日，集市人次达2万多人次，工业有建材、食品加工、竹木加工、塑料制品等厂。境内罗佛寨一带是南雄“红层”古生物化石的典型地段，地质学家以罗佛寨群命名。</w:t>
      </w:r>
    </w:p>
    <w:p w14:paraId="0E3FBE81">
      <w:pPr>
        <w:pStyle w:val="4"/>
      </w:pPr>
      <w:r>
        <w:t>【社会经济发展】</w:t>
      </w:r>
    </w:p>
    <w:p w14:paraId="0098A628">
      <w:pPr>
        <w:ind w:firstLine="420"/>
        <w:rPr>
          <w:rFonts w:ascii="宋体" w:hAnsi="宋体"/>
        </w:rPr>
      </w:pPr>
      <w:r>
        <w:rPr>
          <w:rFonts w:ascii="宋体" w:hAnsi="宋体"/>
        </w:rPr>
        <w:t>全年实现工农业生产总值超过19273万元，同比增长6.5%；财政收入达290万元；农民人均纯收入达5517元；2010年新引进利用外资900多万元，投资600万元的湖口液化气站正紧锣密鼓建设中，投资300万元的里和塑料管厂已建成投产。</w:t>
      </w:r>
    </w:p>
    <w:p w14:paraId="61E43EF6">
      <w:pPr>
        <w:pStyle w:val="4"/>
      </w:pPr>
      <w:r>
        <w:t>【林业改革】</w:t>
      </w:r>
    </w:p>
    <w:p w14:paraId="2346B667">
      <w:pPr>
        <w:ind w:firstLine="420"/>
        <w:rPr>
          <w:rFonts w:ascii="宋体" w:hAnsi="宋体"/>
        </w:rPr>
      </w:pPr>
      <w:r>
        <w:rPr>
          <w:rFonts w:ascii="宋体" w:hAnsi="宋体"/>
        </w:rPr>
        <w:t>2010年，累计完成退耕还林补植补造160亩，生态公益林补植套种150亩，低残林续改120亩，查处各类林业行政案件36起。林权制度改革已完成村委会12个，村小组194个，调处矛盾纠纷10起。</w:t>
      </w:r>
    </w:p>
    <w:p w14:paraId="7E229594">
      <w:pPr>
        <w:pStyle w:val="4"/>
      </w:pPr>
      <w:r>
        <w:t>【农业基础设施建设】</w:t>
      </w:r>
    </w:p>
    <w:p w14:paraId="64FF0EC9">
      <w:pPr>
        <w:ind w:firstLine="420"/>
        <w:rPr>
          <w:rFonts w:ascii="宋体" w:hAnsi="宋体"/>
        </w:rPr>
      </w:pPr>
      <w:r>
        <w:rPr>
          <w:rFonts w:ascii="宋体" w:hAnsi="宋体"/>
        </w:rPr>
        <w:t>筹集资金150余万元，完成里和至公陂坑村道、新湖至罗田上村、矿石村至石坑村等地76公里的水泥硬化路建设。修建12公里水圳三面光，对3口山塘进行除险加固。完成8个烤房群137间电烤房的建设。</w:t>
      </w:r>
    </w:p>
    <w:p w14:paraId="7B178236">
      <w:pPr>
        <w:pStyle w:val="4"/>
      </w:pPr>
      <w:r>
        <w:t>【计划生育】</w:t>
      </w:r>
    </w:p>
    <w:p w14:paraId="5AA7D483">
      <w:pPr>
        <w:ind w:firstLine="420"/>
        <w:rPr>
          <w:rFonts w:ascii="宋体" w:hAnsi="宋体"/>
        </w:rPr>
      </w:pPr>
      <w:r>
        <w:rPr>
          <w:rFonts w:ascii="宋体" w:hAnsi="宋体"/>
        </w:rPr>
        <w:t>人口和计划生育工作取得新进展，出生354人（男婴182人，出生女婴172人，出生人口性别比为108.81），出生率控制在10.14‰内，计划生育率为94.07%，死亡147人，死亡率为4.21%，自然增长207人，自然增长率为5.93‰。至2010年，全镇有6个“无政策外出生的村（社区）”，占全镇村（社区）总数的46.15%。做计划生育手术466例，其中上环291例（一孩上环286例），结扎148例（其中二女户结扎46例），补救措施27例。</w:t>
      </w:r>
    </w:p>
    <w:p w14:paraId="1890B240">
      <w:pPr>
        <w:pStyle w:val="4"/>
      </w:pPr>
      <w:r>
        <w:t>【人口普查】</w:t>
      </w:r>
    </w:p>
    <w:p w14:paraId="17ECFC2F">
      <w:pPr>
        <w:ind w:firstLine="420"/>
        <w:rPr>
          <w:rFonts w:ascii="宋体" w:hAnsi="宋体"/>
        </w:rPr>
      </w:pPr>
      <w:r>
        <w:rPr>
          <w:rFonts w:ascii="宋体" w:hAnsi="宋体"/>
        </w:rPr>
        <w:t>组织93位普查员走进全镇8000多个家庭，完成湖口镇的全国第六次人口普查任务。</w:t>
      </w:r>
    </w:p>
    <w:p w14:paraId="3F7E2900">
      <w:pPr>
        <w:pStyle w:val="4"/>
      </w:pPr>
      <w:r>
        <w:t>【民政优扶救济】</w:t>
      </w:r>
    </w:p>
    <w:p w14:paraId="197CBE8F">
      <w:pPr>
        <w:ind w:firstLine="420"/>
        <w:rPr>
          <w:rFonts w:ascii="宋体" w:hAnsi="宋体"/>
        </w:rPr>
      </w:pPr>
      <w:r>
        <w:rPr>
          <w:rFonts w:ascii="宋体" w:hAnsi="宋体"/>
        </w:rPr>
        <w:t>为548户特困家庭11.38人提供生活救助，发放低保金90.4万元；为110户五保户发放生活费21.5万元；为61户困难户医疗救助11.3万元、大米15000公斤、衣物150件；帮扶烈士后代3人，发放烈士后代助学金3000元。</w:t>
      </w:r>
    </w:p>
    <w:p w14:paraId="3DC2472A">
      <w:pPr>
        <w:pStyle w:val="4"/>
      </w:pPr>
      <w:r>
        <w:t>【全国第三期女性社会地位调查】</w:t>
      </w:r>
    </w:p>
    <w:p w14:paraId="594BFAD6">
      <w:pPr>
        <w:ind w:firstLine="420"/>
        <w:rPr>
          <w:rFonts w:ascii="宋体" w:hAnsi="宋体"/>
        </w:rPr>
      </w:pPr>
      <w:r>
        <w:rPr>
          <w:rFonts w:ascii="宋体" w:hAnsi="宋体"/>
        </w:rPr>
        <w:t>2010年开展全国（广东）第三期女性社会地位调查，本镇岗围村、新迳村被入选为样本，各村随机抽样完成15户的调查。</w:t>
      </w:r>
    </w:p>
    <w:p w14:paraId="001A52F0">
      <w:pPr>
        <w:pStyle w:val="4"/>
      </w:pPr>
      <w:r>
        <w:t>【劳动和社会保障事业】</w:t>
      </w:r>
    </w:p>
    <w:p w14:paraId="19EA0EEF">
      <w:pPr>
        <w:ind w:firstLine="420"/>
        <w:rPr>
          <w:rFonts w:ascii="宋体" w:hAnsi="宋体"/>
        </w:rPr>
      </w:pPr>
      <w:r>
        <w:rPr>
          <w:rFonts w:ascii="宋体" w:hAnsi="宋体"/>
        </w:rPr>
        <w:t>全镇参加新型农村合作医疗7871户，参合人数32026人、覆盖率95%，全年补偿人数2109人、补偿金额4672356元，大额救助11人。住院人数1211人次、门诊人数22606人次，兑现参合报销金额230万元。</w:t>
      </w:r>
    </w:p>
    <w:p w14:paraId="7DF531CF">
      <w:pPr>
        <w:pStyle w:val="4"/>
      </w:pPr>
      <w:r>
        <w:t>【党建工作】</w:t>
      </w:r>
    </w:p>
    <w:p w14:paraId="5F5261F6">
      <w:pPr>
        <w:ind w:firstLine="420"/>
        <w:rPr>
          <w:rFonts w:ascii="宋体" w:hAnsi="宋体"/>
        </w:rPr>
      </w:pPr>
      <w:r>
        <w:rPr>
          <w:rFonts w:ascii="宋体" w:hAnsi="宋体"/>
        </w:rPr>
        <w:t>全镇25个党支部，新发展党员32名。收缴党费11083.1元，上交抗旱救灾捐款3860元、抗震救灾捐款15350元、党员互助金34445.4元。组织基层党组织和198名党员开展向党组织和党员的“双向承诺”，共承诺事项200余件，直接受益群众2000多人。加强基层组织建设，全面完善镇党委和社区及12个村委的农村现代远程教育网络，组织党员干部观看反腐倡廉电教片，严格执行党风廉政建设责任制。</w:t>
      </w:r>
    </w:p>
    <w:p w14:paraId="53504676">
      <w:pPr>
        <w:pStyle w:val="4"/>
      </w:pPr>
      <w:r>
        <w:t>【五代同堂】</w:t>
      </w:r>
    </w:p>
    <w:p w14:paraId="3F147BFA">
      <w:pPr>
        <w:ind w:firstLine="420"/>
        <w:rPr>
          <w:rFonts w:ascii="宋体" w:hAnsi="宋体"/>
        </w:rPr>
      </w:pPr>
      <w:r>
        <w:rPr>
          <w:rFonts w:ascii="宋体" w:hAnsi="宋体"/>
        </w:rPr>
        <w:t>长市村委会江背村百岁老人戴石板（女）102岁，育有两女一男，都有古稀之年，尚健在，膝下二十几位儿孙，五代同堂。</w:t>
      </w:r>
    </w:p>
    <w:p w14:paraId="69FF9FE7">
      <w:pPr>
        <w:pStyle w:val="4"/>
      </w:pPr>
      <w:r>
        <w:t>【庵】</w:t>
      </w:r>
    </w:p>
    <w:p w14:paraId="2874D012">
      <w:pPr>
        <w:ind w:firstLine="420"/>
        <w:rPr>
          <w:rFonts w:ascii="宋体" w:hAnsi="宋体"/>
        </w:rPr>
      </w:pPr>
      <w:r>
        <w:rPr>
          <w:rFonts w:ascii="宋体" w:hAnsi="宋体"/>
        </w:rPr>
        <w:t>长市村委会长浦桥村集资捐款4万余元，按原貌重建了祭拜“九房公”的庵。</w:t>
      </w:r>
    </w:p>
    <w:p w14:paraId="2B739D96">
      <w:pPr>
        <w:ind w:firstLine="422"/>
        <w:jc w:val="center"/>
        <w:rPr>
          <w:rFonts w:ascii="宋体" w:hAnsi="宋体"/>
          <w:b/>
        </w:rPr>
      </w:pPr>
      <w:r>
        <w:rPr>
          <w:rFonts w:hint="eastAsia" w:ascii="宋体" w:hAnsi="宋体"/>
          <w:b/>
        </w:rPr>
        <w:t>表32-2  2010年湖口镇村村居情况表</w:t>
      </w: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614"/>
        <w:gridCol w:w="934"/>
        <w:gridCol w:w="3494"/>
        <w:gridCol w:w="734"/>
        <w:gridCol w:w="734"/>
        <w:gridCol w:w="734"/>
        <w:gridCol w:w="734"/>
        <w:gridCol w:w="949"/>
        <w:gridCol w:w="933"/>
      </w:tblGrid>
      <w:tr w14:paraId="64E94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12" w:type="pct"/>
            <w:vAlign w:val="center"/>
          </w:tcPr>
          <w:p w14:paraId="75A582C7">
            <w:pPr>
              <w:pStyle w:val="13"/>
              <w:jc w:val="center"/>
              <w:rPr>
                <w:rFonts w:hint="eastAsia"/>
                <w:b/>
              </w:rPr>
            </w:pPr>
            <w:r>
              <w:rPr>
                <w:rFonts w:hint="eastAsia"/>
                <w:b/>
              </w:rPr>
              <w:t>序号</w:t>
            </w:r>
          </w:p>
        </w:tc>
        <w:tc>
          <w:tcPr>
            <w:tcW w:w="474" w:type="pct"/>
            <w:vAlign w:val="center"/>
          </w:tcPr>
          <w:p w14:paraId="6EE42448">
            <w:pPr>
              <w:pStyle w:val="13"/>
              <w:jc w:val="center"/>
              <w:rPr>
                <w:rFonts w:hint="eastAsia"/>
                <w:b/>
              </w:rPr>
            </w:pPr>
            <w:r>
              <w:rPr>
                <w:rFonts w:hint="eastAsia"/>
                <w:b/>
              </w:rPr>
              <w:t>村（居）</w:t>
            </w:r>
          </w:p>
        </w:tc>
        <w:tc>
          <w:tcPr>
            <w:tcW w:w="1772" w:type="pct"/>
            <w:vAlign w:val="center"/>
          </w:tcPr>
          <w:p w14:paraId="3205F094">
            <w:pPr>
              <w:pStyle w:val="13"/>
              <w:jc w:val="center"/>
              <w:rPr>
                <w:rFonts w:hint="eastAsia"/>
                <w:b/>
              </w:rPr>
            </w:pPr>
            <w:r>
              <w:rPr>
                <w:rFonts w:hint="eastAsia"/>
                <w:b/>
              </w:rPr>
              <w:t>方位（地址）</w:t>
            </w:r>
          </w:p>
          <w:p w14:paraId="174CEB83">
            <w:pPr>
              <w:pStyle w:val="13"/>
              <w:jc w:val="center"/>
              <w:rPr>
                <w:rFonts w:hint="eastAsia"/>
                <w:b/>
              </w:rPr>
            </w:pPr>
            <w:r>
              <w:rPr>
                <w:rFonts w:hint="eastAsia"/>
                <w:b/>
              </w:rPr>
              <w:t>（以镇政府为中心）</w:t>
            </w:r>
          </w:p>
        </w:tc>
        <w:tc>
          <w:tcPr>
            <w:tcW w:w="372" w:type="pct"/>
            <w:vAlign w:val="center"/>
          </w:tcPr>
          <w:p w14:paraId="1239D5C9">
            <w:pPr>
              <w:pStyle w:val="13"/>
              <w:jc w:val="center"/>
              <w:rPr>
                <w:rFonts w:hint="eastAsia"/>
                <w:b/>
              </w:rPr>
            </w:pPr>
            <w:r>
              <w:rPr>
                <w:rFonts w:hint="eastAsia"/>
                <w:b/>
              </w:rPr>
              <w:t>村民小组</w:t>
            </w:r>
          </w:p>
        </w:tc>
        <w:tc>
          <w:tcPr>
            <w:tcW w:w="372" w:type="pct"/>
            <w:vAlign w:val="center"/>
          </w:tcPr>
          <w:p w14:paraId="26011202">
            <w:pPr>
              <w:pStyle w:val="13"/>
              <w:jc w:val="center"/>
              <w:rPr>
                <w:rFonts w:hint="eastAsia"/>
                <w:b/>
              </w:rPr>
            </w:pPr>
            <w:r>
              <w:rPr>
                <w:rFonts w:hint="eastAsia"/>
                <w:b/>
              </w:rPr>
              <w:t>居民小组</w:t>
            </w:r>
          </w:p>
        </w:tc>
        <w:tc>
          <w:tcPr>
            <w:tcW w:w="372" w:type="pct"/>
            <w:vAlign w:val="center"/>
          </w:tcPr>
          <w:p w14:paraId="47073304">
            <w:pPr>
              <w:pStyle w:val="13"/>
              <w:jc w:val="center"/>
              <w:rPr>
                <w:rFonts w:hint="eastAsia"/>
                <w:b/>
              </w:rPr>
            </w:pPr>
            <w:r>
              <w:rPr>
                <w:rFonts w:hint="eastAsia"/>
                <w:b/>
              </w:rPr>
              <w:t>自然村</w:t>
            </w:r>
          </w:p>
        </w:tc>
        <w:tc>
          <w:tcPr>
            <w:tcW w:w="372" w:type="pct"/>
            <w:vAlign w:val="center"/>
          </w:tcPr>
          <w:p w14:paraId="5D9E9790">
            <w:pPr>
              <w:pStyle w:val="13"/>
              <w:jc w:val="center"/>
              <w:rPr>
                <w:rFonts w:hint="eastAsia"/>
                <w:b/>
              </w:rPr>
            </w:pPr>
            <w:r>
              <w:rPr>
                <w:rFonts w:hint="eastAsia"/>
                <w:b/>
              </w:rPr>
              <w:t>总户数</w:t>
            </w:r>
          </w:p>
        </w:tc>
        <w:tc>
          <w:tcPr>
            <w:tcW w:w="481" w:type="pct"/>
            <w:vAlign w:val="center"/>
          </w:tcPr>
          <w:p w14:paraId="6851754D">
            <w:pPr>
              <w:pStyle w:val="13"/>
              <w:jc w:val="center"/>
              <w:rPr>
                <w:rFonts w:hint="eastAsia"/>
                <w:b/>
              </w:rPr>
            </w:pPr>
            <w:r>
              <w:rPr>
                <w:rFonts w:hint="eastAsia"/>
                <w:b/>
              </w:rPr>
              <w:t>总人口</w:t>
            </w:r>
          </w:p>
        </w:tc>
        <w:tc>
          <w:tcPr>
            <w:tcW w:w="474" w:type="pct"/>
            <w:vAlign w:val="center"/>
          </w:tcPr>
          <w:p w14:paraId="093AA238">
            <w:pPr>
              <w:pStyle w:val="13"/>
              <w:jc w:val="center"/>
              <w:rPr>
                <w:rFonts w:hint="eastAsia"/>
                <w:b/>
              </w:rPr>
            </w:pPr>
            <w:r>
              <w:rPr>
                <w:rFonts w:hint="eastAsia"/>
                <w:b/>
              </w:rPr>
              <w:t>集体经济收入（万元）</w:t>
            </w:r>
          </w:p>
        </w:tc>
      </w:tr>
      <w:tr w14:paraId="5F8FF6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12" w:type="pct"/>
            <w:vAlign w:val="center"/>
          </w:tcPr>
          <w:p w14:paraId="32A3D5ED">
            <w:pPr>
              <w:pStyle w:val="13"/>
              <w:jc w:val="center"/>
              <w:rPr>
                <w:rFonts w:hint="eastAsia"/>
              </w:rPr>
            </w:pPr>
            <w:r>
              <w:rPr>
                <w:rFonts w:hint="eastAsia"/>
              </w:rPr>
              <w:t>1</w:t>
            </w:r>
          </w:p>
        </w:tc>
        <w:tc>
          <w:tcPr>
            <w:tcW w:w="474" w:type="pct"/>
            <w:vAlign w:val="center"/>
          </w:tcPr>
          <w:p w14:paraId="3D02187B">
            <w:pPr>
              <w:pStyle w:val="13"/>
              <w:jc w:val="center"/>
              <w:rPr>
                <w:rFonts w:hint="eastAsia"/>
              </w:rPr>
            </w:pPr>
            <w:r>
              <w:rPr>
                <w:rFonts w:hint="eastAsia"/>
              </w:rPr>
              <w:t>里和村</w:t>
            </w:r>
          </w:p>
        </w:tc>
        <w:tc>
          <w:tcPr>
            <w:tcW w:w="1772" w:type="pct"/>
            <w:vAlign w:val="center"/>
          </w:tcPr>
          <w:p w14:paraId="74DEDAC7">
            <w:pPr>
              <w:pStyle w:val="13"/>
              <w:jc w:val="left"/>
              <w:rPr>
                <w:rFonts w:hint="eastAsia"/>
              </w:rPr>
            </w:pPr>
            <w:r>
              <w:rPr>
                <w:rFonts w:hint="eastAsia"/>
              </w:rPr>
              <w:t>东面，S342线旁，距镇政府约3.5公里左右</w:t>
            </w:r>
          </w:p>
        </w:tc>
        <w:tc>
          <w:tcPr>
            <w:tcW w:w="372" w:type="pct"/>
            <w:vAlign w:val="center"/>
          </w:tcPr>
          <w:p w14:paraId="7206E827">
            <w:pPr>
              <w:pStyle w:val="13"/>
              <w:jc w:val="center"/>
              <w:rPr>
                <w:rFonts w:hint="eastAsia"/>
              </w:rPr>
            </w:pPr>
            <w:r>
              <w:rPr>
                <w:rFonts w:hint="eastAsia"/>
              </w:rPr>
              <w:t>26</w:t>
            </w:r>
          </w:p>
        </w:tc>
        <w:tc>
          <w:tcPr>
            <w:tcW w:w="372" w:type="pct"/>
            <w:vAlign w:val="center"/>
          </w:tcPr>
          <w:p w14:paraId="20457B2D">
            <w:pPr>
              <w:pStyle w:val="13"/>
              <w:jc w:val="center"/>
              <w:rPr>
                <w:rFonts w:hint="eastAsia"/>
              </w:rPr>
            </w:pPr>
          </w:p>
        </w:tc>
        <w:tc>
          <w:tcPr>
            <w:tcW w:w="372" w:type="pct"/>
            <w:vAlign w:val="center"/>
          </w:tcPr>
          <w:p w14:paraId="72F6E27C">
            <w:pPr>
              <w:pStyle w:val="13"/>
              <w:jc w:val="center"/>
              <w:rPr>
                <w:rFonts w:hint="eastAsia"/>
              </w:rPr>
            </w:pPr>
            <w:r>
              <w:rPr>
                <w:rFonts w:hint="eastAsia"/>
              </w:rPr>
              <w:t>22</w:t>
            </w:r>
          </w:p>
        </w:tc>
        <w:tc>
          <w:tcPr>
            <w:tcW w:w="372" w:type="pct"/>
            <w:vAlign w:val="center"/>
          </w:tcPr>
          <w:p w14:paraId="343510C8">
            <w:pPr>
              <w:pStyle w:val="13"/>
              <w:jc w:val="center"/>
              <w:rPr>
                <w:rFonts w:hint="eastAsia"/>
              </w:rPr>
            </w:pPr>
            <w:r>
              <w:rPr>
                <w:rFonts w:hint="eastAsia"/>
              </w:rPr>
              <w:t>923</w:t>
            </w:r>
          </w:p>
        </w:tc>
        <w:tc>
          <w:tcPr>
            <w:tcW w:w="481" w:type="pct"/>
            <w:vAlign w:val="center"/>
          </w:tcPr>
          <w:p w14:paraId="16474AB4">
            <w:pPr>
              <w:pStyle w:val="13"/>
              <w:jc w:val="center"/>
              <w:rPr>
                <w:rFonts w:hint="eastAsia"/>
              </w:rPr>
            </w:pPr>
            <w:r>
              <w:rPr>
                <w:rFonts w:hint="eastAsia"/>
              </w:rPr>
              <w:t>3808</w:t>
            </w:r>
          </w:p>
        </w:tc>
        <w:tc>
          <w:tcPr>
            <w:tcW w:w="474" w:type="pct"/>
            <w:vAlign w:val="center"/>
          </w:tcPr>
          <w:p w14:paraId="5CED8C94">
            <w:pPr>
              <w:pStyle w:val="13"/>
              <w:jc w:val="center"/>
              <w:rPr>
                <w:rFonts w:hint="eastAsia"/>
              </w:rPr>
            </w:pPr>
            <w:r>
              <w:rPr>
                <w:rFonts w:hint="eastAsia"/>
              </w:rPr>
              <w:t>7.195864</w:t>
            </w:r>
          </w:p>
        </w:tc>
      </w:tr>
      <w:tr w14:paraId="20257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12" w:type="pct"/>
            <w:vAlign w:val="center"/>
          </w:tcPr>
          <w:p w14:paraId="07B8C455">
            <w:pPr>
              <w:pStyle w:val="13"/>
              <w:jc w:val="center"/>
              <w:rPr>
                <w:rFonts w:hint="eastAsia"/>
              </w:rPr>
            </w:pPr>
            <w:r>
              <w:rPr>
                <w:rFonts w:hint="eastAsia"/>
              </w:rPr>
              <w:t>2</w:t>
            </w:r>
          </w:p>
        </w:tc>
        <w:tc>
          <w:tcPr>
            <w:tcW w:w="474" w:type="pct"/>
            <w:vAlign w:val="center"/>
          </w:tcPr>
          <w:p w14:paraId="7EC7DD9D">
            <w:pPr>
              <w:pStyle w:val="13"/>
              <w:jc w:val="center"/>
              <w:rPr>
                <w:rFonts w:hint="eastAsia"/>
              </w:rPr>
            </w:pPr>
            <w:r>
              <w:rPr>
                <w:rFonts w:hint="eastAsia"/>
              </w:rPr>
              <w:t>三角村</w:t>
            </w:r>
          </w:p>
        </w:tc>
        <w:tc>
          <w:tcPr>
            <w:tcW w:w="1772" w:type="pct"/>
            <w:vAlign w:val="center"/>
          </w:tcPr>
          <w:p w14:paraId="52826B75">
            <w:pPr>
              <w:pStyle w:val="13"/>
              <w:jc w:val="left"/>
              <w:rPr>
                <w:rFonts w:hint="eastAsia"/>
              </w:rPr>
            </w:pPr>
            <w:r>
              <w:rPr>
                <w:rFonts w:hint="eastAsia"/>
              </w:rPr>
              <w:t>东南方向，距镇政府约4.5公里左右</w:t>
            </w:r>
          </w:p>
        </w:tc>
        <w:tc>
          <w:tcPr>
            <w:tcW w:w="372" w:type="pct"/>
            <w:vAlign w:val="center"/>
          </w:tcPr>
          <w:p w14:paraId="6D7415BB">
            <w:pPr>
              <w:pStyle w:val="13"/>
              <w:jc w:val="center"/>
              <w:rPr>
                <w:rFonts w:hint="eastAsia"/>
              </w:rPr>
            </w:pPr>
            <w:r>
              <w:rPr>
                <w:rFonts w:hint="eastAsia"/>
              </w:rPr>
              <w:t>16</w:t>
            </w:r>
          </w:p>
        </w:tc>
        <w:tc>
          <w:tcPr>
            <w:tcW w:w="372" w:type="pct"/>
            <w:vAlign w:val="center"/>
          </w:tcPr>
          <w:p w14:paraId="5275A49F">
            <w:pPr>
              <w:pStyle w:val="13"/>
              <w:jc w:val="center"/>
              <w:rPr>
                <w:rFonts w:hint="eastAsia"/>
              </w:rPr>
            </w:pPr>
          </w:p>
        </w:tc>
        <w:tc>
          <w:tcPr>
            <w:tcW w:w="372" w:type="pct"/>
            <w:vAlign w:val="center"/>
          </w:tcPr>
          <w:p w14:paraId="5153383F">
            <w:pPr>
              <w:pStyle w:val="13"/>
              <w:jc w:val="center"/>
              <w:rPr>
                <w:rFonts w:hint="eastAsia"/>
              </w:rPr>
            </w:pPr>
            <w:r>
              <w:rPr>
                <w:rFonts w:hint="eastAsia"/>
              </w:rPr>
              <w:t>16</w:t>
            </w:r>
          </w:p>
        </w:tc>
        <w:tc>
          <w:tcPr>
            <w:tcW w:w="372" w:type="pct"/>
            <w:vAlign w:val="center"/>
          </w:tcPr>
          <w:p w14:paraId="79C4FBEB">
            <w:pPr>
              <w:pStyle w:val="13"/>
              <w:jc w:val="center"/>
              <w:rPr>
                <w:rFonts w:hint="eastAsia"/>
              </w:rPr>
            </w:pPr>
            <w:r>
              <w:rPr>
                <w:rFonts w:hint="eastAsia"/>
              </w:rPr>
              <w:t>632</w:t>
            </w:r>
          </w:p>
        </w:tc>
        <w:tc>
          <w:tcPr>
            <w:tcW w:w="481" w:type="pct"/>
            <w:vAlign w:val="center"/>
          </w:tcPr>
          <w:p w14:paraId="79EAF978">
            <w:pPr>
              <w:pStyle w:val="13"/>
              <w:jc w:val="center"/>
              <w:rPr>
                <w:rFonts w:hint="eastAsia"/>
              </w:rPr>
            </w:pPr>
            <w:r>
              <w:rPr>
                <w:rFonts w:hint="eastAsia"/>
              </w:rPr>
              <w:t>2015</w:t>
            </w:r>
          </w:p>
        </w:tc>
        <w:tc>
          <w:tcPr>
            <w:tcW w:w="474" w:type="pct"/>
            <w:vAlign w:val="center"/>
          </w:tcPr>
          <w:p w14:paraId="7973F804">
            <w:pPr>
              <w:pStyle w:val="13"/>
              <w:jc w:val="center"/>
              <w:rPr>
                <w:rFonts w:hint="eastAsia"/>
              </w:rPr>
            </w:pPr>
            <w:r>
              <w:rPr>
                <w:rFonts w:hint="eastAsia"/>
              </w:rPr>
              <w:t>2.35075</w:t>
            </w:r>
          </w:p>
        </w:tc>
      </w:tr>
      <w:tr w14:paraId="391EF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12" w:type="pct"/>
            <w:vAlign w:val="center"/>
          </w:tcPr>
          <w:p w14:paraId="5240D787">
            <w:pPr>
              <w:pStyle w:val="13"/>
              <w:jc w:val="center"/>
              <w:rPr>
                <w:rFonts w:hint="eastAsia"/>
              </w:rPr>
            </w:pPr>
            <w:r>
              <w:rPr>
                <w:rFonts w:hint="eastAsia"/>
              </w:rPr>
              <w:t>3</w:t>
            </w:r>
          </w:p>
        </w:tc>
        <w:tc>
          <w:tcPr>
            <w:tcW w:w="474" w:type="pct"/>
            <w:vAlign w:val="center"/>
          </w:tcPr>
          <w:p w14:paraId="7AF9E13D">
            <w:pPr>
              <w:pStyle w:val="13"/>
              <w:jc w:val="center"/>
              <w:rPr>
                <w:rFonts w:hint="eastAsia"/>
              </w:rPr>
            </w:pPr>
            <w:r>
              <w:rPr>
                <w:rFonts w:hint="eastAsia"/>
              </w:rPr>
              <w:t>积塔村</w:t>
            </w:r>
          </w:p>
        </w:tc>
        <w:tc>
          <w:tcPr>
            <w:tcW w:w="1772" w:type="pct"/>
            <w:vAlign w:val="center"/>
          </w:tcPr>
          <w:p w14:paraId="6E13B22A">
            <w:pPr>
              <w:pStyle w:val="13"/>
              <w:jc w:val="left"/>
              <w:rPr>
                <w:rFonts w:hint="eastAsia"/>
              </w:rPr>
            </w:pPr>
            <w:r>
              <w:rPr>
                <w:rFonts w:hint="eastAsia"/>
              </w:rPr>
              <w:t>东南方向，距镇政府约5.5公里左右</w:t>
            </w:r>
          </w:p>
        </w:tc>
        <w:tc>
          <w:tcPr>
            <w:tcW w:w="372" w:type="pct"/>
            <w:vAlign w:val="center"/>
          </w:tcPr>
          <w:p w14:paraId="28DB0605">
            <w:pPr>
              <w:pStyle w:val="13"/>
              <w:jc w:val="center"/>
              <w:rPr>
                <w:rFonts w:hint="eastAsia"/>
              </w:rPr>
            </w:pPr>
            <w:r>
              <w:rPr>
                <w:rFonts w:hint="eastAsia"/>
              </w:rPr>
              <w:t>7</w:t>
            </w:r>
          </w:p>
        </w:tc>
        <w:tc>
          <w:tcPr>
            <w:tcW w:w="372" w:type="pct"/>
            <w:vAlign w:val="center"/>
          </w:tcPr>
          <w:p w14:paraId="550A61CC">
            <w:pPr>
              <w:pStyle w:val="13"/>
              <w:jc w:val="center"/>
              <w:rPr>
                <w:rFonts w:hint="eastAsia"/>
              </w:rPr>
            </w:pPr>
          </w:p>
        </w:tc>
        <w:tc>
          <w:tcPr>
            <w:tcW w:w="372" w:type="pct"/>
            <w:vAlign w:val="center"/>
          </w:tcPr>
          <w:p w14:paraId="6F2C64DC">
            <w:pPr>
              <w:pStyle w:val="13"/>
              <w:jc w:val="center"/>
              <w:rPr>
                <w:rFonts w:hint="eastAsia"/>
              </w:rPr>
            </w:pPr>
            <w:r>
              <w:rPr>
                <w:rFonts w:hint="eastAsia"/>
              </w:rPr>
              <w:t>3</w:t>
            </w:r>
          </w:p>
        </w:tc>
        <w:tc>
          <w:tcPr>
            <w:tcW w:w="372" w:type="pct"/>
            <w:vAlign w:val="center"/>
          </w:tcPr>
          <w:p w14:paraId="379312F6">
            <w:pPr>
              <w:pStyle w:val="13"/>
              <w:jc w:val="center"/>
              <w:rPr>
                <w:rFonts w:hint="eastAsia"/>
              </w:rPr>
            </w:pPr>
            <w:r>
              <w:rPr>
                <w:rFonts w:hint="eastAsia"/>
              </w:rPr>
              <w:t>338</w:t>
            </w:r>
          </w:p>
        </w:tc>
        <w:tc>
          <w:tcPr>
            <w:tcW w:w="481" w:type="pct"/>
            <w:vAlign w:val="center"/>
          </w:tcPr>
          <w:p w14:paraId="6F9CB633">
            <w:pPr>
              <w:pStyle w:val="13"/>
              <w:jc w:val="center"/>
              <w:rPr>
                <w:rFonts w:hint="eastAsia"/>
              </w:rPr>
            </w:pPr>
            <w:r>
              <w:rPr>
                <w:rFonts w:hint="eastAsia"/>
              </w:rPr>
              <w:t>1370</w:t>
            </w:r>
          </w:p>
        </w:tc>
        <w:tc>
          <w:tcPr>
            <w:tcW w:w="474" w:type="pct"/>
            <w:vAlign w:val="center"/>
          </w:tcPr>
          <w:p w14:paraId="49DE602C">
            <w:pPr>
              <w:pStyle w:val="13"/>
              <w:jc w:val="center"/>
              <w:rPr>
                <w:rFonts w:hint="eastAsia"/>
              </w:rPr>
            </w:pPr>
            <w:r>
              <w:rPr>
                <w:rFonts w:hint="eastAsia"/>
              </w:rPr>
              <w:t>1.193415</w:t>
            </w:r>
          </w:p>
        </w:tc>
      </w:tr>
      <w:tr w14:paraId="16220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12" w:type="pct"/>
            <w:vAlign w:val="center"/>
          </w:tcPr>
          <w:p w14:paraId="5EF4AF4D">
            <w:pPr>
              <w:pStyle w:val="13"/>
              <w:jc w:val="center"/>
              <w:rPr>
                <w:rFonts w:hint="eastAsia"/>
              </w:rPr>
            </w:pPr>
            <w:r>
              <w:rPr>
                <w:rFonts w:hint="eastAsia"/>
              </w:rPr>
              <w:t>4</w:t>
            </w:r>
          </w:p>
        </w:tc>
        <w:tc>
          <w:tcPr>
            <w:tcW w:w="474" w:type="pct"/>
            <w:vAlign w:val="center"/>
          </w:tcPr>
          <w:p w14:paraId="2A31B470">
            <w:pPr>
              <w:pStyle w:val="13"/>
              <w:jc w:val="center"/>
              <w:rPr>
                <w:rFonts w:hint="eastAsia"/>
              </w:rPr>
            </w:pPr>
            <w:r>
              <w:rPr>
                <w:rFonts w:hint="eastAsia"/>
              </w:rPr>
              <w:t>三水村</w:t>
            </w:r>
          </w:p>
        </w:tc>
        <w:tc>
          <w:tcPr>
            <w:tcW w:w="1772" w:type="pct"/>
            <w:vAlign w:val="center"/>
          </w:tcPr>
          <w:p w14:paraId="018E1749">
            <w:pPr>
              <w:pStyle w:val="13"/>
              <w:jc w:val="left"/>
              <w:rPr>
                <w:rFonts w:hint="eastAsia"/>
              </w:rPr>
            </w:pPr>
            <w:r>
              <w:rPr>
                <w:rFonts w:hint="eastAsia"/>
              </w:rPr>
              <w:t>东南方向，距镇政府约4.5公里左右</w:t>
            </w:r>
          </w:p>
        </w:tc>
        <w:tc>
          <w:tcPr>
            <w:tcW w:w="372" w:type="pct"/>
            <w:vAlign w:val="center"/>
          </w:tcPr>
          <w:p w14:paraId="0620F955">
            <w:pPr>
              <w:pStyle w:val="13"/>
              <w:jc w:val="center"/>
              <w:rPr>
                <w:rFonts w:hint="eastAsia"/>
              </w:rPr>
            </w:pPr>
            <w:r>
              <w:rPr>
                <w:rFonts w:hint="eastAsia"/>
              </w:rPr>
              <w:t>7</w:t>
            </w:r>
          </w:p>
        </w:tc>
        <w:tc>
          <w:tcPr>
            <w:tcW w:w="372" w:type="pct"/>
            <w:vAlign w:val="center"/>
          </w:tcPr>
          <w:p w14:paraId="70CD71EF">
            <w:pPr>
              <w:pStyle w:val="13"/>
              <w:jc w:val="center"/>
              <w:rPr>
                <w:rFonts w:hint="eastAsia"/>
              </w:rPr>
            </w:pPr>
          </w:p>
        </w:tc>
        <w:tc>
          <w:tcPr>
            <w:tcW w:w="372" w:type="pct"/>
            <w:vAlign w:val="center"/>
          </w:tcPr>
          <w:p w14:paraId="5986A3A2">
            <w:pPr>
              <w:pStyle w:val="13"/>
              <w:jc w:val="center"/>
              <w:rPr>
                <w:rFonts w:hint="eastAsia"/>
              </w:rPr>
            </w:pPr>
            <w:r>
              <w:rPr>
                <w:rFonts w:hint="eastAsia"/>
              </w:rPr>
              <w:t>4</w:t>
            </w:r>
          </w:p>
        </w:tc>
        <w:tc>
          <w:tcPr>
            <w:tcW w:w="372" w:type="pct"/>
            <w:vAlign w:val="center"/>
          </w:tcPr>
          <w:p w14:paraId="3F8683C0">
            <w:pPr>
              <w:pStyle w:val="13"/>
              <w:jc w:val="center"/>
              <w:rPr>
                <w:rFonts w:hint="eastAsia"/>
              </w:rPr>
            </w:pPr>
            <w:r>
              <w:rPr>
                <w:rFonts w:hint="eastAsia"/>
              </w:rPr>
              <w:t>324</w:t>
            </w:r>
          </w:p>
        </w:tc>
        <w:tc>
          <w:tcPr>
            <w:tcW w:w="481" w:type="pct"/>
            <w:vAlign w:val="center"/>
          </w:tcPr>
          <w:p w14:paraId="5F5E7B6B">
            <w:pPr>
              <w:pStyle w:val="13"/>
              <w:jc w:val="center"/>
              <w:rPr>
                <w:rFonts w:hint="eastAsia"/>
              </w:rPr>
            </w:pPr>
            <w:r>
              <w:rPr>
                <w:rFonts w:hint="eastAsia"/>
              </w:rPr>
              <w:t>1293</w:t>
            </w:r>
          </w:p>
        </w:tc>
        <w:tc>
          <w:tcPr>
            <w:tcW w:w="474" w:type="pct"/>
            <w:vAlign w:val="center"/>
          </w:tcPr>
          <w:p w14:paraId="3DCB5523">
            <w:pPr>
              <w:pStyle w:val="13"/>
              <w:jc w:val="center"/>
              <w:rPr>
                <w:rFonts w:hint="eastAsia"/>
              </w:rPr>
            </w:pPr>
            <w:r>
              <w:rPr>
                <w:rFonts w:hint="eastAsia"/>
              </w:rPr>
              <w:t>0.558907</w:t>
            </w:r>
          </w:p>
        </w:tc>
      </w:tr>
      <w:tr w14:paraId="0C567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12" w:type="pct"/>
            <w:vAlign w:val="center"/>
          </w:tcPr>
          <w:p w14:paraId="37AAB9D4">
            <w:pPr>
              <w:pStyle w:val="13"/>
              <w:jc w:val="center"/>
              <w:rPr>
                <w:rFonts w:hint="eastAsia"/>
              </w:rPr>
            </w:pPr>
            <w:r>
              <w:rPr>
                <w:rFonts w:hint="eastAsia"/>
              </w:rPr>
              <w:t>5</w:t>
            </w:r>
          </w:p>
        </w:tc>
        <w:tc>
          <w:tcPr>
            <w:tcW w:w="474" w:type="pct"/>
            <w:vAlign w:val="center"/>
          </w:tcPr>
          <w:p w14:paraId="584462DB">
            <w:pPr>
              <w:pStyle w:val="13"/>
              <w:jc w:val="center"/>
              <w:rPr>
                <w:rFonts w:hint="eastAsia"/>
              </w:rPr>
            </w:pPr>
            <w:r>
              <w:rPr>
                <w:rFonts w:hint="eastAsia"/>
              </w:rPr>
              <w:t>新湖村</w:t>
            </w:r>
          </w:p>
        </w:tc>
        <w:tc>
          <w:tcPr>
            <w:tcW w:w="1772" w:type="pct"/>
            <w:vAlign w:val="center"/>
          </w:tcPr>
          <w:p w14:paraId="795552BB">
            <w:pPr>
              <w:pStyle w:val="13"/>
              <w:jc w:val="left"/>
              <w:rPr>
                <w:rFonts w:hint="eastAsia"/>
              </w:rPr>
            </w:pPr>
            <w:r>
              <w:rPr>
                <w:rFonts w:hint="eastAsia"/>
              </w:rPr>
              <w:t>东北方向，县道旁，距镇政府约5.5公里左右</w:t>
            </w:r>
          </w:p>
        </w:tc>
        <w:tc>
          <w:tcPr>
            <w:tcW w:w="372" w:type="pct"/>
            <w:vAlign w:val="center"/>
          </w:tcPr>
          <w:p w14:paraId="17A4C84D">
            <w:pPr>
              <w:pStyle w:val="13"/>
              <w:jc w:val="center"/>
              <w:rPr>
                <w:rFonts w:hint="eastAsia"/>
              </w:rPr>
            </w:pPr>
            <w:r>
              <w:rPr>
                <w:rFonts w:hint="eastAsia"/>
              </w:rPr>
              <w:t>20</w:t>
            </w:r>
          </w:p>
        </w:tc>
        <w:tc>
          <w:tcPr>
            <w:tcW w:w="372" w:type="pct"/>
            <w:vAlign w:val="center"/>
          </w:tcPr>
          <w:p w14:paraId="2B0902D0">
            <w:pPr>
              <w:pStyle w:val="13"/>
              <w:jc w:val="center"/>
              <w:rPr>
                <w:rFonts w:hint="eastAsia"/>
              </w:rPr>
            </w:pPr>
          </w:p>
        </w:tc>
        <w:tc>
          <w:tcPr>
            <w:tcW w:w="372" w:type="pct"/>
            <w:vAlign w:val="center"/>
          </w:tcPr>
          <w:p w14:paraId="4B88C23B">
            <w:pPr>
              <w:pStyle w:val="13"/>
              <w:jc w:val="center"/>
              <w:rPr>
                <w:rFonts w:hint="eastAsia"/>
              </w:rPr>
            </w:pPr>
            <w:r>
              <w:rPr>
                <w:rFonts w:hint="eastAsia"/>
              </w:rPr>
              <w:t>7</w:t>
            </w:r>
          </w:p>
        </w:tc>
        <w:tc>
          <w:tcPr>
            <w:tcW w:w="372" w:type="pct"/>
            <w:vAlign w:val="center"/>
          </w:tcPr>
          <w:p w14:paraId="3BE269A6">
            <w:pPr>
              <w:pStyle w:val="13"/>
              <w:jc w:val="center"/>
              <w:rPr>
                <w:rFonts w:hint="eastAsia"/>
              </w:rPr>
            </w:pPr>
            <w:r>
              <w:rPr>
                <w:rFonts w:hint="eastAsia"/>
              </w:rPr>
              <w:t>840</w:t>
            </w:r>
          </w:p>
        </w:tc>
        <w:tc>
          <w:tcPr>
            <w:tcW w:w="481" w:type="pct"/>
            <w:vAlign w:val="center"/>
          </w:tcPr>
          <w:p w14:paraId="380D7563">
            <w:pPr>
              <w:pStyle w:val="13"/>
              <w:jc w:val="center"/>
              <w:rPr>
                <w:rFonts w:hint="eastAsia"/>
              </w:rPr>
            </w:pPr>
            <w:r>
              <w:rPr>
                <w:rFonts w:hint="eastAsia"/>
              </w:rPr>
              <w:t>3329</w:t>
            </w:r>
          </w:p>
        </w:tc>
        <w:tc>
          <w:tcPr>
            <w:tcW w:w="474" w:type="pct"/>
            <w:vAlign w:val="center"/>
          </w:tcPr>
          <w:p w14:paraId="5B4E1526">
            <w:pPr>
              <w:pStyle w:val="13"/>
              <w:jc w:val="center"/>
              <w:rPr>
                <w:rFonts w:hint="eastAsia"/>
              </w:rPr>
            </w:pPr>
            <w:r>
              <w:rPr>
                <w:rFonts w:hint="eastAsia"/>
              </w:rPr>
              <w:t>1.228887</w:t>
            </w:r>
          </w:p>
        </w:tc>
      </w:tr>
      <w:tr w14:paraId="3FD11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12" w:type="pct"/>
            <w:vAlign w:val="center"/>
          </w:tcPr>
          <w:p w14:paraId="1BFF4474">
            <w:pPr>
              <w:pStyle w:val="13"/>
              <w:jc w:val="center"/>
              <w:rPr>
                <w:rFonts w:hint="eastAsia"/>
              </w:rPr>
            </w:pPr>
            <w:r>
              <w:rPr>
                <w:rFonts w:hint="eastAsia"/>
              </w:rPr>
              <w:t>6</w:t>
            </w:r>
          </w:p>
        </w:tc>
        <w:tc>
          <w:tcPr>
            <w:tcW w:w="474" w:type="pct"/>
            <w:vAlign w:val="center"/>
          </w:tcPr>
          <w:p w14:paraId="26092E8F">
            <w:pPr>
              <w:pStyle w:val="13"/>
              <w:jc w:val="center"/>
              <w:rPr>
                <w:rFonts w:hint="eastAsia"/>
              </w:rPr>
            </w:pPr>
            <w:r>
              <w:rPr>
                <w:rFonts w:hint="eastAsia"/>
              </w:rPr>
              <w:t>长市村</w:t>
            </w:r>
          </w:p>
        </w:tc>
        <w:tc>
          <w:tcPr>
            <w:tcW w:w="1772" w:type="pct"/>
            <w:vAlign w:val="center"/>
          </w:tcPr>
          <w:p w14:paraId="6699BA9C">
            <w:pPr>
              <w:pStyle w:val="13"/>
              <w:jc w:val="left"/>
              <w:rPr>
                <w:rFonts w:hint="eastAsia"/>
              </w:rPr>
            </w:pPr>
            <w:r>
              <w:rPr>
                <w:rFonts w:hint="eastAsia"/>
              </w:rPr>
              <w:t>东面，S342线旁，距镇政府约1.5公里左右</w:t>
            </w:r>
          </w:p>
        </w:tc>
        <w:tc>
          <w:tcPr>
            <w:tcW w:w="372" w:type="pct"/>
            <w:vAlign w:val="center"/>
          </w:tcPr>
          <w:p w14:paraId="2AB23D58">
            <w:pPr>
              <w:pStyle w:val="13"/>
              <w:jc w:val="center"/>
              <w:rPr>
                <w:rFonts w:hint="eastAsia"/>
              </w:rPr>
            </w:pPr>
            <w:r>
              <w:rPr>
                <w:rFonts w:hint="eastAsia"/>
              </w:rPr>
              <w:t>24</w:t>
            </w:r>
          </w:p>
        </w:tc>
        <w:tc>
          <w:tcPr>
            <w:tcW w:w="372" w:type="pct"/>
            <w:vAlign w:val="center"/>
          </w:tcPr>
          <w:p w14:paraId="6E44FCB7">
            <w:pPr>
              <w:pStyle w:val="13"/>
              <w:jc w:val="center"/>
              <w:rPr>
                <w:rFonts w:hint="eastAsia"/>
              </w:rPr>
            </w:pPr>
          </w:p>
        </w:tc>
        <w:tc>
          <w:tcPr>
            <w:tcW w:w="372" w:type="pct"/>
            <w:vAlign w:val="center"/>
          </w:tcPr>
          <w:p w14:paraId="5159A397">
            <w:pPr>
              <w:pStyle w:val="13"/>
              <w:jc w:val="center"/>
              <w:rPr>
                <w:rFonts w:hint="eastAsia"/>
              </w:rPr>
            </w:pPr>
            <w:r>
              <w:rPr>
                <w:rFonts w:hint="eastAsia"/>
              </w:rPr>
              <w:t>9</w:t>
            </w:r>
          </w:p>
        </w:tc>
        <w:tc>
          <w:tcPr>
            <w:tcW w:w="372" w:type="pct"/>
            <w:vAlign w:val="center"/>
          </w:tcPr>
          <w:p w14:paraId="63D59F86">
            <w:pPr>
              <w:pStyle w:val="13"/>
              <w:jc w:val="center"/>
              <w:rPr>
                <w:rFonts w:hint="eastAsia"/>
              </w:rPr>
            </w:pPr>
            <w:r>
              <w:rPr>
                <w:rFonts w:hint="eastAsia"/>
              </w:rPr>
              <w:t>976</w:t>
            </w:r>
          </w:p>
        </w:tc>
        <w:tc>
          <w:tcPr>
            <w:tcW w:w="481" w:type="pct"/>
            <w:vAlign w:val="center"/>
          </w:tcPr>
          <w:p w14:paraId="66CDC002">
            <w:pPr>
              <w:pStyle w:val="13"/>
              <w:jc w:val="center"/>
              <w:rPr>
                <w:rFonts w:hint="eastAsia"/>
              </w:rPr>
            </w:pPr>
            <w:r>
              <w:rPr>
                <w:rFonts w:hint="eastAsia"/>
              </w:rPr>
              <w:t>3886</w:t>
            </w:r>
          </w:p>
        </w:tc>
        <w:tc>
          <w:tcPr>
            <w:tcW w:w="474" w:type="pct"/>
            <w:vAlign w:val="center"/>
          </w:tcPr>
          <w:p w14:paraId="7B272703">
            <w:pPr>
              <w:pStyle w:val="13"/>
              <w:jc w:val="center"/>
              <w:rPr>
                <w:rFonts w:hint="eastAsia"/>
              </w:rPr>
            </w:pPr>
            <w:r>
              <w:rPr>
                <w:rFonts w:hint="eastAsia"/>
              </w:rPr>
              <w:t>1.987657</w:t>
            </w:r>
          </w:p>
        </w:tc>
      </w:tr>
      <w:tr w14:paraId="4B3EC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12" w:type="pct"/>
            <w:vAlign w:val="center"/>
          </w:tcPr>
          <w:p w14:paraId="60DA3F2C">
            <w:pPr>
              <w:pStyle w:val="13"/>
              <w:jc w:val="center"/>
              <w:rPr>
                <w:rFonts w:hint="eastAsia"/>
              </w:rPr>
            </w:pPr>
            <w:r>
              <w:rPr>
                <w:rFonts w:hint="eastAsia"/>
              </w:rPr>
              <w:t>7</w:t>
            </w:r>
          </w:p>
        </w:tc>
        <w:tc>
          <w:tcPr>
            <w:tcW w:w="474" w:type="pct"/>
            <w:vAlign w:val="center"/>
          </w:tcPr>
          <w:p w14:paraId="20D0D77A">
            <w:pPr>
              <w:pStyle w:val="13"/>
              <w:jc w:val="center"/>
              <w:rPr>
                <w:rFonts w:hint="eastAsia"/>
              </w:rPr>
            </w:pPr>
            <w:r>
              <w:rPr>
                <w:rFonts w:hint="eastAsia"/>
              </w:rPr>
              <w:t>新迳村</w:t>
            </w:r>
          </w:p>
        </w:tc>
        <w:tc>
          <w:tcPr>
            <w:tcW w:w="1772" w:type="pct"/>
            <w:vAlign w:val="center"/>
          </w:tcPr>
          <w:p w14:paraId="280FFD70">
            <w:pPr>
              <w:pStyle w:val="13"/>
              <w:jc w:val="left"/>
              <w:rPr>
                <w:rFonts w:hint="eastAsia"/>
              </w:rPr>
            </w:pPr>
            <w:r>
              <w:rPr>
                <w:rFonts w:hint="eastAsia"/>
              </w:rPr>
              <w:t>东北方向，距镇政府约4.5公里左右</w:t>
            </w:r>
          </w:p>
        </w:tc>
        <w:tc>
          <w:tcPr>
            <w:tcW w:w="372" w:type="pct"/>
            <w:vAlign w:val="center"/>
          </w:tcPr>
          <w:p w14:paraId="338D9301">
            <w:pPr>
              <w:pStyle w:val="13"/>
              <w:jc w:val="center"/>
              <w:rPr>
                <w:rFonts w:hint="eastAsia"/>
              </w:rPr>
            </w:pPr>
            <w:r>
              <w:rPr>
                <w:rFonts w:hint="eastAsia"/>
              </w:rPr>
              <w:t>11</w:t>
            </w:r>
          </w:p>
        </w:tc>
        <w:tc>
          <w:tcPr>
            <w:tcW w:w="372" w:type="pct"/>
            <w:vAlign w:val="center"/>
          </w:tcPr>
          <w:p w14:paraId="29C26215">
            <w:pPr>
              <w:pStyle w:val="13"/>
              <w:jc w:val="center"/>
              <w:rPr>
                <w:rFonts w:hint="eastAsia"/>
              </w:rPr>
            </w:pPr>
          </w:p>
        </w:tc>
        <w:tc>
          <w:tcPr>
            <w:tcW w:w="372" w:type="pct"/>
            <w:vAlign w:val="center"/>
          </w:tcPr>
          <w:p w14:paraId="4DF9B5AA">
            <w:pPr>
              <w:pStyle w:val="13"/>
              <w:jc w:val="center"/>
              <w:rPr>
                <w:rFonts w:hint="eastAsia"/>
              </w:rPr>
            </w:pPr>
            <w:r>
              <w:rPr>
                <w:rFonts w:hint="eastAsia"/>
              </w:rPr>
              <w:t>11</w:t>
            </w:r>
          </w:p>
        </w:tc>
        <w:tc>
          <w:tcPr>
            <w:tcW w:w="372" w:type="pct"/>
            <w:vAlign w:val="center"/>
          </w:tcPr>
          <w:p w14:paraId="74B97D76">
            <w:pPr>
              <w:pStyle w:val="13"/>
              <w:jc w:val="center"/>
              <w:rPr>
                <w:rFonts w:hint="eastAsia"/>
              </w:rPr>
            </w:pPr>
            <w:r>
              <w:rPr>
                <w:rFonts w:hint="eastAsia"/>
              </w:rPr>
              <w:t>551</w:t>
            </w:r>
          </w:p>
        </w:tc>
        <w:tc>
          <w:tcPr>
            <w:tcW w:w="481" w:type="pct"/>
            <w:vAlign w:val="center"/>
          </w:tcPr>
          <w:p w14:paraId="4A0933B0">
            <w:pPr>
              <w:pStyle w:val="13"/>
              <w:jc w:val="center"/>
              <w:rPr>
                <w:rFonts w:hint="eastAsia"/>
              </w:rPr>
            </w:pPr>
            <w:r>
              <w:rPr>
                <w:rFonts w:hint="eastAsia"/>
              </w:rPr>
              <w:t>2832</w:t>
            </w:r>
          </w:p>
        </w:tc>
        <w:tc>
          <w:tcPr>
            <w:tcW w:w="474" w:type="pct"/>
            <w:vAlign w:val="center"/>
          </w:tcPr>
          <w:p w14:paraId="4EA959DE">
            <w:pPr>
              <w:pStyle w:val="13"/>
              <w:jc w:val="center"/>
              <w:rPr>
                <w:rFonts w:hint="eastAsia"/>
              </w:rPr>
            </w:pPr>
            <w:r>
              <w:rPr>
                <w:rFonts w:hint="eastAsia"/>
              </w:rPr>
              <w:t>2.512478</w:t>
            </w:r>
          </w:p>
        </w:tc>
      </w:tr>
      <w:tr w14:paraId="595C5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12" w:type="pct"/>
            <w:vAlign w:val="center"/>
          </w:tcPr>
          <w:p w14:paraId="0A67692A">
            <w:pPr>
              <w:pStyle w:val="13"/>
              <w:jc w:val="center"/>
              <w:rPr>
                <w:rFonts w:hint="eastAsia"/>
              </w:rPr>
            </w:pPr>
            <w:r>
              <w:rPr>
                <w:rFonts w:hint="eastAsia"/>
              </w:rPr>
              <w:t>8</w:t>
            </w:r>
          </w:p>
        </w:tc>
        <w:tc>
          <w:tcPr>
            <w:tcW w:w="474" w:type="pct"/>
            <w:vAlign w:val="center"/>
          </w:tcPr>
          <w:p w14:paraId="4E2613A6">
            <w:pPr>
              <w:pStyle w:val="13"/>
              <w:jc w:val="center"/>
              <w:rPr>
                <w:rFonts w:hint="eastAsia"/>
              </w:rPr>
            </w:pPr>
            <w:r>
              <w:rPr>
                <w:rFonts w:hint="eastAsia"/>
              </w:rPr>
              <w:t>矿石村</w:t>
            </w:r>
          </w:p>
        </w:tc>
        <w:tc>
          <w:tcPr>
            <w:tcW w:w="1772" w:type="pct"/>
            <w:vAlign w:val="center"/>
          </w:tcPr>
          <w:p w14:paraId="3A6D8A7F">
            <w:pPr>
              <w:pStyle w:val="13"/>
              <w:jc w:val="left"/>
              <w:rPr>
                <w:rFonts w:hint="eastAsia"/>
              </w:rPr>
            </w:pPr>
            <w:r>
              <w:rPr>
                <w:rFonts w:hint="eastAsia"/>
              </w:rPr>
              <w:t>北面，距镇政府约2.5公里左右</w:t>
            </w:r>
          </w:p>
        </w:tc>
        <w:tc>
          <w:tcPr>
            <w:tcW w:w="372" w:type="pct"/>
            <w:vAlign w:val="center"/>
          </w:tcPr>
          <w:p w14:paraId="03AA04C1">
            <w:pPr>
              <w:pStyle w:val="13"/>
              <w:jc w:val="center"/>
              <w:rPr>
                <w:rFonts w:hint="eastAsia"/>
              </w:rPr>
            </w:pPr>
            <w:r>
              <w:rPr>
                <w:rFonts w:hint="eastAsia"/>
              </w:rPr>
              <w:t>9</w:t>
            </w:r>
          </w:p>
        </w:tc>
        <w:tc>
          <w:tcPr>
            <w:tcW w:w="372" w:type="pct"/>
            <w:vAlign w:val="center"/>
          </w:tcPr>
          <w:p w14:paraId="180D161E">
            <w:pPr>
              <w:pStyle w:val="13"/>
              <w:jc w:val="center"/>
              <w:rPr>
                <w:rFonts w:hint="eastAsia"/>
              </w:rPr>
            </w:pPr>
          </w:p>
        </w:tc>
        <w:tc>
          <w:tcPr>
            <w:tcW w:w="372" w:type="pct"/>
            <w:vAlign w:val="center"/>
          </w:tcPr>
          <w:p w14:paraId="0610D2A9">
            <w:pPr>
              <w:pStyle w:val="13"/>
              <w:jc w:val="center"/>
              <w:rPr>
                <w:rFonts w:hint="eastAsia"/>
              </w:rPr>
            </w:pPr>
            <w:r>
              <w:rPr>
                <w:rFonts w:hint="eastAsia"/>
              </w:rPr>
              <w:t>9</w:t>
            </w:r>
          </w:p>
        </w:tc>
        <w:tc>
          <w:tcPr>
            <w:tcW w:w="372" w:type="pct"/>
            <w:vAlign w:val="center"/>
          </w:tcPr>
          <w:p w14:paraId="5EFB1C09">
            <w:pPr>
              <w:pStyle w:val="13"/>
              <w:jc w:val="center"/>
              <w:rPr>
                <w:rFonts w:hint="eastAsia"/>
              </w:rPr>
            </w:pPr>
            <w:r>
              <w:rPr>
                <w:rFonts w:hint="eastAsia"/>
              </w:rPr>
              <w:t>292</w:t>
            </w:r>
          </w:p>
        </w:tc>
        <w:tc>
          <w:tcPr>
            <w:tcW w:w="481" w:type="pct"/>
            <w:vAlign w:val="center"/>
          </w:tcPr>
          <w:p w14:paraId="6F70E4B2">
            <w:pPr>
              <w:pStyle w:val="13"/>
              <w:jc w:val="center"/>
              <w:rPr>
                <w:rFonts w:hint="eastAsia"/>
              </w:rPr>
            </w:pPr>
            <w:r>
              <w:rPr>
                <w:rFonts w:hint="eastAsia"/>
              </w:rPr>
              <w:t>1180</w:t>
            </w:r>
          </w:p>
        </w:tc>
        <w:tc>
          <w:tcPr>
            <w:tcW w:w="474" w:type="pct"/>
            <w:vAlign w:val="center"/>
          </w:tcPr>
          <w:p w14:paraId="3C247B3A">
            <w:pPr>
              <w:pStyle w:val="13"/>
              <w:jc w:val="center"/>
              <w:rPr>
                <w:rFonts w:hint="eastAsia"/>
              </w:rPr>
            </w:pPr>
            <w:r>
              <w:rPr>
                <w:rFonts w:hint="eastAsia"/>
              </w:rPr>
              <w:t>1.258516</w:t>
            </w:r>
          </w:p>
        </w:tc>
      </w:tr>
      <w:tr w14:paraId="32914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12" w:type="pct"/>
            <w:vAlign w:val="center"/>
          </w:tcPr>
          <w:p w14:paraId="6073B7D6">
            <w:pPr>
              <w:pStyle w:val="13"/>
              <w:jc w:val="center"/>
              <w:rPr>
                <w:rFonts w:hint="eastAsia"/>
              </w:rPr>
            </w:pPr>
            <w:r>
              <w:rPr>
                <w:rFonts w:hint="eastAsia"/>
              </w:rPr>
              <w:t>9</w:t>
            </w:r>
          </w:p>
        </w:tc>
        <w:tc>
          <w:tcPr>
            <w:tcW w:w="474" w:type="pct"/>
            <w:vAlign w:val="center"/>
          </w:tcPr>
          <w:p w14:paraId="7FEC5BE1">
            <w:pPr>
              <w:pStyle w:val="13"/>
              <w:jc w:val="center"/>
              <w:rPr>
                <w:rFonts w:hint="eastAsia"/>
              </w:rPr>
            </w:pPr>
            <w:r>
              <w:rPr>
                <w:rFonts w:hint="eastAsia"/>
              </w:rPr>
              <w:t>岗围村</w:t>
            </w:r>
          </w:p>
        </w:tc>
        <w:tc>
          <w:tcPr>
            <w:tcW w:w="1772" w:type="pct"/>
            <w:vAlign w:val="center"/>
          </w:tcPr>
          <w:p w14:paraId="721FCBFE">
            <w:pPr>
              <w:pStyle w:val="13"/>
              <w:jc w:val="left"/>
              <w:rPr>
                <w:rFonts w:hint="eastAsia"/>
              </w:rPr>
            </w:pPr>
            <w:r>
              <w:rPr>
                <w:rFonts w:hint="eastAsia"/>
              </w:rPr>
              <w:t>北面，湖珠公路旁，距镇政府约1.5公里左右</w:t>
            </w:r>
          </w:p>
        </w:tc>
        <w:tc>
          <w:tcPr>
            <w:tcW w:w="372" w:type="pct"/>
            <w:vAlign w:val="center"/>
          </w:tcPr>
          <w:p w14:paraId="27CFB01B">
            <w:pPr>
              <w:pStyle w:val="13"/>
              <w:jc w:val="center"/>
              <w:rPr>
                <w:rFonts w:hint="eastAsia"/>
              </w:rPr>
            </w:pPr>
            <w:r>
              <w:rPr>
                <w:rFonts w:hint="eastAsia"/>
              </w:rPr>
              <w:t>12</w:t>
            </w:r>
          </w:p>
        </w:tc>
        <w:tc>
          <w:tcPr>
            <w:tcW w:w="372" w:type="pct"/>
            <w:vAlign w:val="center"/>
          </w:tcPr>
          <w:p w14:paraId="52D1169C">
            <w:pPr>
              <w:pStyle w:val="13"/>
              <w:jc w:val="center"/>
              <w:rPr>
                <w:rFonts w:hint="eastAsia"/>
              </w:rPr>
            </w:pPr>
          </w:p>
        </w:tc>
        <w:tc>
          <w:tcPr>
            <w:tcW w:w="372" w:type="pct"/>
            <w:vAlign w:val="center"/>
          </w:tcPr>
          <w:p w14:paraId="04802342">
            <w:pPr>
              <w:pStyle w:val="13"/>
              <w:jc w:val="center"/>
              <w:rPr>
                <w:rFonts w:hint="eastAsia"/>
              </w:rPr>
            </w:pPr>
            <w:r>
              <w:rPr>
                <w:rFonts w:hint="eastAsia"/>
              </w:rPr>
              <w:t>7</w:t>
            </w:r>
          </w:p>
        </w:tc>
        <w:tc>
          <w:tcPr>
            <w:tcW w:w="372" w:type="pct"/>
            <w:vAlign w:val="center"/>
          </w:tcPr>
          <w:p w14:paraId="27486011">
            <w:pPr>
              <w:pStyle w:val="13"/>
              <w:jc w:val="center"/>
              <w:rPr>
                <w:rFonts w:hint="eastAsia"/>
              </w:rPr>
            </w:pPr>
            <w:r>
              <w:rPr>
                <w:rFonts w:hint="eastAsia"/>
              </w:rPr>
              <w:t>404</w:t>
            </w:r>
          </w:p>
        </w:tc>
        <w:tc>
          <w:tcPr>
            <w:tcW w:w="481" w:type="pct"/>
            <w:vAlign w:val="center"/>
          </w:tcPr>
          <w:p w14:paraId="387789A7">
            <w:pPr>
              <w:pStyle w:val="13"/>
              <w:jc w:val="center"/>
              <w:rPr>
                <w:rFonts w:hint="eastAsia"/>
              </w:rPr>
            </w:pPr>
            <w:r>
              <w:rPr>
                <w:rFonts w:hint="eastAsia"/>
              </w:rPr>
              <w:t>1655</w:t>
            </w:r>
          </w:p>
        </w:tc>
        <w:tc>
          <w:tcPr>
            <w:tcW w:w="474" w:type="pct"/>
            <w:vAlign w:val="center"/>
          </w:tcPr>
          <w:p w14:paraId="0BEDB02C">
            <w:pPr>
              <w:pStyle w:val="13"/>
              <w:jc w:val="center"/>
              <w:rPr>
                <w:rFonts w:hint="eastAsia"/>
              </w:rPr>
            </w:pPr>
            <w:r>
              <w:rPr>
                <w:rFonts w:hint="eastAsia"/>
              </w:rPr>
              <w:t>2.210661</w:t>
            </w:r>
          </w:p>
        </w:tc>
      </w:tr>
      <w:tr w14:paraId="7C820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12" w:type="pct"/>
            <w:vAlign w:val="center"/>
          </w:tcPr>
          <w:p w14:paraId="241ABCD3">
            <w:pPr>
              <w:pStyle w:val="13"/>
              <w:jc w:val="center"/>
              <w:rPr>
                <w:rFonts w:hint="eastAsia"/>
              </w:rPr>
            </w:pPr>
            <w:r>
              <w:rPr>
                <w:rFonts w:hint="eastAsia"/>
              </w:rPr>
              <w:t>10</w:t>
            </w:r>
          </w:p>
        </w:tc>
        <w:tc>
          <w:tcPr>
            <w:tcW w:w="474" w:type="pct"/>
            <w:vAlign w:val="center"/>
          </w:tcPr>
          <w:p w14:paraId="0C7AA559">
            <w:pPr>
              <w:pStyle w:val="13"/>
              <w:jc w:val="center"/>
              <w:rPr>
                <w:rFonts w:hint="eastAsia"/>
              </w:rPr>
            </w:pPr>
            <w:r>
              <w:rPr>
                <w:rFonts w:hint="eastAsia"/>
              </w:rPr>
              <w:t>湖口村</w:t>
            </w:r>
          </w:p>
        </w:tc>
        <w:tc>
          <w:tcPr>
            <w:tcW w:w="1772" w:type="pct"/>
            <w:vAlign w:val="center"/>
          </w:tcPr>
          <w:p w14:paraId="4FCD6B2F">
            <w:pPr>
              <w:pStyle w:val="13"/>
              <w:jc w:val="left"/>
              <w:rPr>
                <w:rFonts w:hint="eastAsia"/>
              </w:rPr>
            </w:pPr>
            <w:r>
              <w:rPr>
                <w:rFonts w:hint="eastAsia"/>
              </w:rPr>
              <w:t>湖口墟</w:t>
            </w:r>
          </w:p>
        </w:tc>
        <w:tc>
          <w:tcPr>
            <w:tcW w:w="372" w:type="pct"/>
            <w:vAlign w:val="center"/>
          </w:tcPr>
          <w:p w14:paraId="2BEC7650">
            <w:pPr>
              <w:pStyle w:val="13"/>
              <w:jc w:val="center"/>
              <w:rPr>
                <w:rFonts w:hint="eastAsia"/>
              </w:rPr>
            </w:pPr>
            <w:r>
              <w:rPr>
                <w:rFonts w:hint="eastAsia"/>
              </w:rPr>
              <w:t>22</w:t>
            </w:r>
          </w:p>
        </w:tc>
        <w:tc>
          <w:tcPr>
            <w:tcW w:w="372" w:type="pct"/>
            <w:vAlign w:val="center"/>
          </w:tcPr>
          <w:p w14:paraId="721BF337">
            <w:pPr>
              <w:pStyle w:val="13"/>
              <w:jc w:val="center"/>
              <w:rPr>
                <w:rFonts w:hint="eastAsia"/>
              </w:rPr>
            </w:pPr>
          </w:p>
        </w:tc>
        <w:tc>
          <w:tcPr>
            <w:tcW w:w="372" w:type="pct"/>
            <w:vAlign w:val="center"/>
          </w:tcPr>
          <w:p w14:paraId="77E3BE34">
            <w:pPr>
              <w:pStyle w:val="13"/>
              <w:jc w:val="center"/>
              <w:rPr>
                <w:rFonts w:hint="eastAsia"/>
              </w:rPr>
            </w:pPr>
            <w:r>
              <w:rPr>
                <w:rFonts w:hint="eastAsia"/>
              </w:rPr>
              <w:t>22</w:t>
            </w:r>
          </w:p>
        </w:tc>
        <w:tc>
          <w:tcPr>
            <w:tcW w:w="372" w:type="pct"/>
            <w:vAlign w:val="center"/>
          </w:tcPr>
          <w:p w14:paraId="7DB07A1E">
            <w:pPr>
              <w:pStyle w:val="13"/>
              <w:jc w:val="center"/>
              <w:rPr>
                <w:rFonts w:hint="eastAsia"/>
              </w:rPr>
            </w:pPr>
            <w:r>
              <w:rPr>
                <w:rFonts w:hint="eastAsia"/>
              </w:rPr>
              <w:t>1236</w:t>
            </w:r>
          </w:p>
        </w:tc>
        <w:tc>
          <w:tcPr>
            <w:tcW w:w="481" w:type="pct"/>
            <w:vAlign w:val="center"/>
          </w:tcPr>
          <w:p w14:paraId="5AC12DED">
            <w:pPr>
              <w:pStyle w:val="13"/>
              <w:jc w:val="center"/>
              <w:rPr>
                <w:rFonts w:hint="eastAsia"/>
              </w:rPr>
            </w:pPr>
            <w:r>
              <w:rPr>
                <w:rFonts w:hint="eastAsia"/>
              </w:rPr>
              <w:t>5628</w:t>
            </w:r>
          </w:p>
        </w:tc>
        <w:tc>
          <w:tcPr>
            <w:tcW w:w="474" w:type="pct"/>
            <w:vAlign w:val="center"/>
          </w:tcPr>
          <w:p w14:paraId="6D8F6B66">
            <w:pPr>
              <w:pStyle w:val="13"/>
              <w:jc w:val="center"/>
              <w:rPr>
                <w:rFonts w:hint="eastAsia"/>
              </w:rPr>
            </w:pPr>
            <w:r>
              <w:rPr>
                <w:rFonts w:hint="eastAsia"/>
              </w:rPr>
              <w:t>5.389798</w:t>
            </w:r>
          </w:p>
        </w:tc>
      </w:tr>
      <w:tr w14:paraId="2FDCC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12" w:type="pct"/>
            <w:vAlign w:val="center"/>
          </w:tcPr>
          <w:p w14:paraId="2BE6E667">
            <w:pPr>
              <w:pStyle w:val="13"/>
              <w:jc w:val="center"/>
              <w:rPr>
                <w:rFonts w:hint="eastAsia"/>
              </w:rPr>
            </w:pPr>
            <w:r>
              <w:rPr>
                <w:rFonts w:hint="eastAsia"/>
              </w:rPr>
              <w:t>11</w:t>
            </w:r>
          </w:p>
        </w:tc>
        <w:tc>
          <w:tcPr>
            <w:tcW w:w="474" w:type="pct"/>
            <w:vAlign w:val="center"/>
          </w:tcPr>
          <w:p w14:paraId="3D4CC54B">
            <w:pPr>
              <w:pStyle w:val="13"/>
              <w:jc w:val="center"/>
              <w:rPr>
                <w:rFonts w:hint="eastAsia"/>
              </w:rPr>
            </w:pPr>
            <w:r>
              <w:rPr>
                <w:rFonts w:hint="eastAsia"/>
              </w:rPr>
              <w:t>太和村</w:t>
            </w:r>
          </w:p>
        </w:tc>
        <w:tc>
          <w:tcPr>
            <w:tcW w:w="1772" w:type="pct"/>
            <w:vAlign w:val="center"/>
          </w:tcPr>
          <w:p w14:paraId="4FB5D172">
            <w:pPr>
              <w:pStyle w:val="13"/>
              <w:jc w:val="left"/>
              <w:rPr>
                <w:rFonts w:hint="eastAsia"/>
              </w:rPr>
            </w:pPr>
            <w:r>
              <w:rPr>
                <w:rFonts w:hint="eastAsia"/>
              </w:rPr>
              <w:t>西南方向，S342线，距镇政府约1.5公里左右</w:t>
            </w:r>
          </w:p>
        </w:tc>
        <w:tc>
          <w:tcPr>
            <w:tcW w:w="372" w:type="pct"/>
            <w:vAlign w:val="center"/>
          </w:tcPr>
          <w:p w14:paraId="2E3177ED">
            <w:pPr>
              <w:pStyle w:val="13"/>
              <w:jc w:val="center"/>
              <w:rPr>
                <w:rFonts w:hint="eastAsia"/>
              </w:rPr>
            </w:pPr>
            <w:r>
              <w:rPr>
                <w:rFonts w:hint="eastAsia"/>
              </w:rPr>
              <w:t>10</w:t>
            </w:r>
          </w:p>
        </w:tc>
        <w:tc>
          <w:tcPr>
            <w:tcW w:w="372" w:type="pct"/>
            <w:vAlign w:val="center"/>
          </w:tcPr>
          <w:p w14:paraId="3B7705B3">
            <w:pPr>
              <w:pStyle w:val="13"/>
              <w:jc w:val="center"/>
              <w:rPr>
                <w:rFonts w:hint="eastAsia"/>
              </w:rPr>
            </w:pPr>
          </w:p>
        </w:tc>
        <w:tc>
          <w:tcPr>
            <w:tcW w:w="372" w:type="pct"/>
            <w:vAlign w:val="center"/>
          </w:tcPr>
          <w:p w14:paraId="6C36A026">
            <w:pPr>
              <w:pStyle w:val="13"/>
              <w:jc w:val="center"/>
              <w:rPr>
                <w:rFonts w:hint="eastAsia"/>
              </w:rPr>
            </w:pPr>
            <w:r>
              <w:rPr>
                <w:rFonts w:hint="eastAsia"/>
              </w:rPr>
              <w:t>10</w:t>
            </w:r>
          </w:p>
        </w:tc>
        <w:tc>
          <w:tcPr>
            <w:tcW w:w="372" w:type="pct"/>
            <w:vAlign w:val="center"/>
          </w:tcPr>
          <w:p w14:paraId="3494BFFA">
            <w:pPr>
              <w:pStyle w:val="13"/>
              <w:jc w:val="center"/>
              <w:rPr>
                <w:rFonts w:hint="eastAsia"/>
              </w:rPr>
            </w:pPr>
            <w:r>
              <w:rPr>
                <w:rFonts w:hint="eastAsia"/>
              </w:rPr>
              <w:t>511</w:t>
            </w:r>
          </w:p>
        </w:tc>
        <w:tc>
          <w:tcPr>
            <w:tcW w:w="481" w:type="pct"/>
            <w:vAlign w:val="center"/>
          </w:tcPr>
          <w:p w14:paraId="658A5337">
            <w:pPr>
              <w:pStyle w:val="13"/>
              <w:jc w:val="center"/>
              <w:rPr>
                <w:rFonts w:hint="eastAsia"/>
              </w:rPr>
            </w:pPr>
            <w:r>
              <w:rPr>
                <w:rFonts w:hint="eastAsia"/>
              </w:rPr>
              <w:t>2153</w:t>
            </w:r>
          </w:p>
        </w:tc>
        <w:tc>
          <w:tcPr>
            <w:tcW w:w="474" w:type="pct"/>
            <w:vAlign w:val="center"/>
          </w:tcPr>
          <w:p w14:paraId="4A4FD801">
            <w:pPr>
              <w:pStyle w:val="13"/>
              <w:jc w:val="center"/>
              <w:rPr>
                <w:rFonts w:hint="eastAsia"/>
              </w:rPr>
            </w:pPr>
            <w:r>
              <w:rPr>
                <w:rFonts w:hint="eastAsia"/>
              </w:rPr>
              <w:t>2.665527</w:t>
            </w:r>
          </w:p>
        </w:tc>
      </w:tr>
      <w:tr w14:paraId="57CC3C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12" w:type="pct"/>
            <w:vAlign w:val="center"/>
          </w:tcPr>
          <w:p w14:paraId="1A90B068">
            <w:pPr>
              <w:pStyle w:val="13"/>
              <w:jc w:val="center"/>
              <w:rPr>
                <w:rFonts w:hint="eastAsia"/>
              </w:rPr>
            </w:pPr>
            <w:r>
              <w:rPr>
                <w:rFonts w:hint="eastAsia"/>
              </w:rPr>
              <w:t>12</w:t>
            </w:r>
          </w:p>
        </w:tc>
        <w:tc>
          <w:tcPr>
            <w:tcW w:w="474" w:type="pct"/>
            <w:vAlign w:val="center"/>
          </w:tcPr>
          <w:p w14:paraId="7CB191AA">
            <w:pPr>
              <w:pStyle w:val="13"/>
              <w:jc w:val="center"/>
              <w:rPr>
                <w:rFonts w:hint="eastAsia"/>
              </w:rPr>
            </w:pPr>
            <w:r>
              <w:rPr>
                <w:rFonts w:hint="eastAsia"/>
              </w:rPr>
              <w:t>承平村</w:t>
            </w:r>
          </w:p>
        </w:tc>
        <w:tc>
          <w:tcPr>
            <w:tcW w:w="1772" w:type="pct"/>
            <w:vAlign w:val="center"/>
          </w:tcPr>
          <w:p w14:paraId="1574F0B3">
            <w:pPr>
              <w:pStyle w:val="13"/>
              <w:jc w:val="left"/>
              <w:rPr>
                <w:rFonts w:hint="eastAsia"/>
              </w:rPr>
            </w:pPr>
            <w:r>
              <w:rPr>
                <w:rFonts w:hint="eastAsia"/>
              </w:rPr>
              <w:t>西南方向，S342线，距镇政府约4公里左右</w:t>
            </w:r>
          </w:p>
        </w:tc>
        <w:tc>
          <w:tcPr>
            <w:tcW w:w="372" w:type="pct"/>
            <w:vAlign w:val="center"/>
          </w:tcPr>
          <w:p w14:paraId="55A66EB7">
            <w:pPr>
              <w:pStyle w:val="13"/>
              <w:jc w:val="center"/>
              <w:rPr>
                <w:rFonts w:hint="eastAsia"/>
              </w:rPr>
            </w:pPr>
            <w:r>
              <w:rPr>
                <w:rFonts w:hint="eastAsia"/>
              </w:rPr>
              <w:t>30</w:t>
            </w:r>
          </w:p>
        </w:tc>
        <w:tc>
          <w:tcPr>
            <w:tcW w:w="372" w:type="pct"/>
            <w:vAlign w:val="center"/>
          </w:tcPr>
          <w:p w14:paraId="77CDB0A0">
            <w:pPr>
              <w:pStyle w:val="13"/>
              <w:jc w:val="center"/>
              <w:rPr>
                <w:rFonts w:hint="eastAsia"/>
              </w:rPr>
            </w:pPr>
          </w:p>
        </w:tc>
        <w:tc>
          <w:tcPr>
            <w:tcW w:w="372" w:type="pct"/>
            <w:vAlign w:val="center"/>
          </w:tcPr>
          <w:p w14:paraId="202A55A4">
            <w:pPr>
              <w:pStyle w:val="13"/>
              <w:jc w:val="center"/>
              <w:rPr>
                <w:rFonts w:hint="eastAsia"/>
              </w:rPr>
            </w:pPr>
            <w:r>
              <w:rPr>
                <w:rFonts w:hint="eastAsia"/>
              </w:rPr>
              <w:t>8</w:t>
            </w:r>
          </w:p>
        </w:tc>
        <w:tc>
          <w:tcPr>
            <w:tcW w:w="372" w:type="pct"/>
            <w:vAlign w:val="center"/>
          </w:tcPr>
          <w:p w14:paraId="2A056731">
            <w:pPr>
              <w:pStyle w:val="13"/>
              <w:jc w:val="center"/>
              <w:rPr>
                <w:rFonts w:hint="eastAsia"/>
              </w:rPr>
            </w:pPr>
            <w:r>
              <w:rPr>
                <w:rFonts w:hint="eastAsia"/>
              </w:rPr>
              <w:t>926</w:t>
            </w:r>
          </w:p>
        </w:tc>
        <w:tc>
          <w:tcPr>
            <w:tcW w:w="481" w:type="pct"/>
            <w:vAlign w:val="center"/>
          </w:tcPr>
          <w:p w14:paraId="121D0DF4">
            <w:pPr>
              <w:pStyle w:val="13"/>
              <w:jc w:val="center"/>
              <w:rPr>
                <w:rFonts w:hint="eastAsia"/>
              </w:rPr>
            </w:pPr>
            <w:r>
              <w:rPr>
                <w:rFonts w:hint="eastAsia"/>
              </w:rPr>
              <w:t>4118</w:t>
            </w:r>
          </w:p>
        </w:tc>
        <w:tc>
          <w:tcPr>
            <w:tcW w:w="474" w:type="pct"/>
            <w:vAlign w:val="center"/>
          </w:tcPr>
          <w:p w14:paraId="0B51B54A">
            <w:pPr>
              <w:pStyle w:val="13"/>
              <w:jc w:val="center"/>
              <w:rPr>
                <w:rFonts w:hint="eastAsia"/>
              </w:rPr>
            </w:pPr>
            <w:r>
              <w:rPr>
                <w:rFonts w:hint="eastAsia"/>
              </w:rPr>
              <w:t>5.322283</w:t>
            </w:r>
          </w:p>
        </w:tc>
      </w:tr>
      <w:tr w14:paraId="0BACB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12" w:type="pct"/>
            <w:vAlign w:val="center"/>
          </w:tcPr>
          <w:p w14:paraId="38699341">
            <w:pPr>
              <w:pStyle w:val="13"/>
              <w:jc w:val="center"/>
              <w:rPr>
                <w:rFonts w:hint="eastAsia"/>
              </w:rPr>
            </w:pPr>
            <w:r>
              <w:rPr>
                <w:rFonts w:hint="eastAsia"/>
              </w:rPr>
              <w:t>13</w:t>
            </w:r>
          </w:p>
        </w:tc>
        <w:tc>
          <w:tcPr>
            <w:tcW w:w="474" w:type="pct"/>
            <w:vAlign w:val="center"/>
          </w:tcPr>
          <w:p w14:paraId="51D8D9FA">
            <w:pPr>
              <w:pStyle w:val="13"/>
              <w:jc w:val="center"/>
              <w:rPr>
                <w:rFonts w:hint="eastAsia"/>
              </w:rPr>
            </w:pPr>
            <w:r>
              <w:rPr>
                <w:rFonts w:hint="eastAsia"/>
              </w:rPr>
              <w:t>居委会</w:t>
            </w:r>
          </w:p>
        </w:tc>
        <w:tc>
          <w:tcPr>
            <w:tcW w:w="1772" w:type="pct"/>
            <w:vAlign w:val="center"/>
          </w:tcPr>
          <w:p w14:paraId="503298DE">
            <w:pPr>
              <w:pStyle w:val="13"/>
              <w:jc w:val="left"/>
              <w:rPr>
                <w:rFonts w:hint="eastAsia"/>
              </w:rPr>
            </w:pPr>
            <w:r>
              <w:rPr>
                <w:rFonts w:hint="eastAsia"/>
              </w:rPr>
              <w:t>湖口墟</w:t>
            </w:r>
          </w:p>
        </w:tc>
        <w:tc>
          <w:tcPr>
            <w:tcW w:w="372" w:type="pct"/>
            <w:vAlign w:val="center"/>
          </w:tcPr>
          <w:p w14:paraId="388F6390">
            <w:pPr>
              <w:pStyle w:val="13"/>
              <w:jc w:val="center"/>
              <w:rPr>
                <w:rFonts w:hint="eastAsia"/>
              </w:rPr>
            </w:pPr>
          </w:p>
        </w:tc>
        <w:tc>
          <w:tcPr>
            <w:tcW w:w="372" w:type="pct"/>
            <w:vAlign w:val="center"/>
          </w:tcPr>
          <w:p w14:paraId="08438822">
            <w:pPr>
              <w:pStyle w:val="13"/>
              <w:jc w:val="center"/>
              <w:rPr>
                <w:rFonts w:hint="eastAsia"/>
              </w:rPr>
            </w:pPr>
            <w:r>
              <w:rPr>
                <w:rFonts w:hint="eastAsia"/>
              </w:rPr>
              <w:t>14</w:t>
            </w:r>
          </w:p>
        </w:tc>
        <w:tc>
          <w:tcPr>
            <w:tcW w:w="372" w:type="pct"/>
            <w:vAlign w:val="center"/>
          </w:tcPr>
          <w:p w14:paraId="51B98977">
            <w:pPr>
              <w:pStyle w:val="13"/>
              <w:jc w:val="center"/>
              <w:rPr>
                <w:rFonts w:hint="eastAsia"/>
              </w:rPr>
            </w:pPr>
          </w:p>
        </w:tc>
        <w:tc>
          <w:tcPr>
            <w:tcW w:w="372" w:type="pct"/>
            <w:vAlign w:val="center"/>
          </w:tcPr>
          <w:p w14:paraId="6270D389">
            <w:pPr>
              <w:pStyle w:val="13"/>
              <w:jc w:val="center"/>
              <w:rPr>
                <w:rFonts w:hint="eastAsia"/>
              </w:rPr>
            </w:pPr>
            <w:r>
              <w:rPr>
                <w:rFonts w:hint="eastAsia"/>
              </w:rPr>
              <w:t>56</w:t>
            </w:r>
          </w:p>
        </w:tc>
        <w:tc>
          <w:tcPr>
            <w:tcW w:w="481" w:type="pct"/>
            <w:vAlign w:val="center"/>
          </w:tcPr>
          <w:p w14:paraId="40463603">
            <w:pPr>
              <w:pStyle w:val="13"/>
              <w:jc w:val="center"/>
              <w:rPr>
                <w:rFonts w:hint="eastAsia"/>
              </w:rPr>
            </w:pPr>
            <w:r>
              <w:rPr>
                <w:rFonts w:hint="eastAsia"/>
              </w:rPr>
              <w:t>2079</w:t>
            </w:r>
          </w:p>
        </w:tc>
        <w:tc>
          <w:tcPr>
            <w:tcW w:w="474" w:type="pct"/>
            <w:vAlign w:val="center"/>
          </w:tcPr>
          <w:p w14:paraId="3B33F6E6">
            <w:pPr>
              <w:pStyle w:val="13"/>
              <w:jc w:val="center"/>
              <w:rPr>
                <w:rFonts w:hint="eastAsia"/>
              </w:rPr>
            </w:pPr>
            <w:r>
              <w:rPr>
                <w:rFonts w:hint="eastAsia"/>
              </w:rPr>
              <w:t>1.08</w:t>
            </w:r>
          </w:p>
        </w:tc>
      </w:tr>
    </w:tbl>
    <w:p w14:paraId="25C94B4F">
      <w:pPr>
        <w:ind w:firstLine="420"/>
        <w:jc w:val="right"/>
        <w:rPr>
          <w:rFonts w:ascii="宋体" w:hAnsi="宋体"/>
        </w:rPr>
      </w:pPr>
      <w:r>
        <w:rPr>
          <w:rFonts w:hint="eastAsia" w:ascii="宋体" w:hAnsi="宋体"/>
        </w:rPr>
        <w:t>（刘萍）</w:t>
      </w:r>
    </w:p>
    <w:p w14:paraId="3BFE4BD6">
      <w:pPr>
        <w:ind w:firstLine="422"/>
        <w:rPr>
          <w:rFonts w:ascii="宋体" w:hAnsi="宋体"/>
          <w:b/>
          <w:bCs/>
        </w:rPr>
      </w:pPr>
      <w:r>
        <w:rPr>
          <w:rFonts w:ascii="宋体" w:hAnsi="宋体"/>
          <w:b/>
          <w:bCs/>
        </w:rPr>
        <w:t>附：2010年湖口镇领导班子成员名单</w:t>
      </w:r>
    </w:p>
    <w:p w14:paraId="1F3335A5">
      <w:pPr>
        <w:ind w:firstLine="422"/>
        <w:rPr>
          <w:rFonts w:ascii="宋体" w:hAnsi="宋体"/>
        </w:rPr>
      </w:pPr>
      <w:r>
        <w:rPr>
          <w:rFonts w:ascii="宋体" w:hAnsi="宋体"/>
          <w:b/>
          <w:bCs/>
        </w:rPr>
        <w:t>党委书记、人大主席：</w:t>
      </w:r>
      <w:r>
        <w:rPr>
          <w:rFonts w:ascii="宋体" w:hAnsi="宋体"/>
        </w:rPr>
        <w:t>李新明</w:t>
      </w:r>
    </w:p>
    <w:p w14:paraId="25D810F7">
      <w:pPr>
        <w:ind w:firstLine="422"/>
        <w:rPr>
          <w:rFonts w:ascii="宋体" w:hAnsi="宋体"/>
        </w:rPr>
      </w:pPr>
      <w:r>
        <w:rPr>
          <w:rFonts w:ascii="宋体" w:hAnsi="宋体"/>
          <w:b/>
          <w:bCs/>
        </w:rPr>
        <w:t>党委副书记、镇长：</w:t>
      </w:r>
      <w:r>
        <w:rPr>
          <w:rFonts w:ascii="宋体" w:hAnsi="宋体"/>
        </w:rPr>
        <w:t>雷清荣</w:t>
      </w:r>
    </w:p>
    <w:p w14:paraId="506BDB16">
      <w:pPr>
        <w:ind w:firstLine="422"/>
        <w:rPr>
          <w:rFonts w:ascii="宋体" w:hAnsi="宋体"/>
        </w:rPr>
      </w:pPr>
      <w:r>
        <w:rPr>
          <w:rFonts w:ascii="宋体" w:hAnsi="宋体"/>
          <w:b/>
          <w:bCs/>
        </w:rPr>
        <w:t>党委副书记：</w:t>
      </w:r>
      <w:r>
        <w:rPr>
          <w:rFonts w:ascii="宋体" w:hAnsi="宋体"/>
        </w:rPr>
        <w:t>马月明</w:t>
      </w:r>
    </w:p>
    <w:p w14:paraId="09A22137">
      <w:pPr>
        <w:ind w:firstLine="422"/>
        <w:rPr>
          <w:rFonts w:ascii="宋体" w:hAnsi="宋体"/>
        </w:rPr>
      </w:pPr>
      <w:r>
        <w:rPr>
          <w:rFonts w:ascii="宋体" w:hAnsi="宋体"/>
          <w:b/>
          <w:bCs/>
        </w:rPr>
        <w:t>纪委书记：</w:t>
      </w:r>
      <w:r>
        <w:rPr>
          <w:rFonts w:ascii="宋体" w:hAnsi="宋体"/>
        </w:rPr>
        <w:t>邓玉良</w:t>
      </w:r>
    </w:p>
    <w:p w14:paraId="2EEAD3A0">
      <w:pPr>
        <w:ind w:firstLine="422"/>
        <w:rPr>
          <w:rFonts w:ascii="宋体" w:hAnsi="宋体"/>
        </w:rPr>
      </w:pPr>
      <w:r>
        <w:rPr>
          <w:rFonts w:ascii="宋体" w:hAnsi="宋体"/>
          <w:b/>
          <w:bCs/>
        </w:rPr>
        <w:t>副镇长：</w:t>
      </w:r>
      <w:r>
        <w:rPr>
          <w:rFonts w:ascii="宋体" w:hAnsi="宋体"/>
        </w:rPr>
        <w:t>钟礼来</w:t>
      </w:r>
      <w:r>
        <w:rPr>
          <w:rFonts w:hint="eastAsia" w:ascii="宋体" w:hAnsi="宋体"/>
        </w:rPr>
        <w:t xml:space="preserve">  </w:t>
      </w:r>
      <w:r>
        <w:rPr>
          <w:rFonts w:ascii="宋体" w:hAnsi="宋体"/>
        </w:rPr>
        <w:t>林勋文</w:t>
      </w:r>
      <w:r>
        <w:rPr>
          <w:rFonts w:hint="eastAsia" w:ascii="宋体" w:hAnsi="宋体"/>
        </w:rPr>
        <w:t xml:space="preserve">  </w:t>
      </w:r>
      <w:r>
        <w:rPr>
          <w:rFonts w:ascii="宋体" w:hAnsi="宋体"/>
        </w:rPr>
        <w:t>吴越</w:t>
      </w:r>
    </w:p>
    <w:p w14:paraId="55A52278">
      <w:pPr>
        <w:ind w:firstLine="422"/>
        <w:rPr>
          <w:rFonts w:ascii="宋体" w:hAnsi="宋体"/>
        </w:rPr>
      </w:pPr>
      <w:r>
        <w:rPr>
          <w:rFonts w:ascii="宋体" w:hAnsi="宋体"/>
          <w:b/>
          <w:bCs/>
        </w:rPr>
        <w:t>人大副主席：</w:t>
      </w:r>
      <w:r>
        <w:rPr>
          <w:rFonts w:ascii="宋体" w:hAnsi="宋体"/>
        </w:rPr>
        <w:t>张涛</w:t>
      </w:r>
    </w:p>
    <w:p w14:paraId="4F5CF666">
      <w:pPr>
        <w:ind w:firstLine="422"/>
        <w:rPr>
          <w:rFonts w:ascii="宋体" w:hAnsi="宋体"/>
        </w:rPr>
      </w:pPr>
      <w:r>
        <w:rPr>
          <w:rFonts w:ascii="宋体" w:hAnsi="宋体"/>
          <w:b/>
          <w:bCs/>
        </w:rPr>
        <w:t>武装部长：</w:t>
      </w:r>
      <w:r>
        <w:rPr>
          <w:rFonts w:ascii="宋体" w:hAnsi="宋体"/>
        </w:rPr>
        <w:t>刘光佑</w:t>
      </w:r>
    </w:p>
    <w:p w14:paraId="436DBC0D">
      <w:pPr>
        <w:ind w:firstLine="422"/>
        <w:rPr>
          <w:rFonts w:ascii="宋体" w:hAnsi="宋体"/>
          <w:b/>
          <w:bCs/>
        </w:rPr>
      </w:pPr>
      <w:r>
        <w:rPr>
          <w:rFonts w:ascii="宋体" w:hAnsi="宋体"/>
          <w:b/>
          <w:bCs/>
        </w:rPr>
        <w:t>组织委员：钟小娟</w:t>
      </w:r>
    </w:p>
    <w:p w14:paraId="0BAFE02B">
      <w:pPr>
        <w:ind w:firstLine="422"/>
        <w:rPr>
          <w:rFonts w:ascii="宋体" w:hAnsi="宋体"/>
        </w:rPr>
      </w:pPr>
      <w:r>
        <w:rPr>
          <w:rFonts w:ascii="宋体" w:hAnsi="宋体"/>
          <w:b/>
          <w:bCs/>
        </w:rPr>
        <w:t>宣传委员：</w:t>
      </w:r>
      <w:r>
        <w:rPr>
          <w:rFonts w:ascii="宋体" w:hAnsi="宋体"/>
        </w:rPr>
        <w:t>钟伦红</w:t>
      </w:r>
    </w:p>
    <w:p w14:paraId="5C82B146">
      <w:pPr>
        <w:pStyle w:val="3"/>
      </w:pPr>
      <w:r>
        <w:rPr>
          <w:rFonts w:hint="eastAsia"/>
        </w:rPr>
        <w:t>主田镇</w:t>
      </w:r>
    </w:p>
    <w:p w14:paraId="6917575D">
      <w:pPr>
        <w:pStyle w:val="4"/>
      </w:pPr>
      <w:r>
        <w:t>【概况】</w:t>
      </w:r>
    </w:p>
    <w:p w14:paraId="485A06B4">
      <w:pPr>
        <w:ind w:firstLine="420"/>
        <w:rPr>
          <w:rFonts w:ascii="宋体" w:hAnsi="宋体"/>
        </w:rPr>
      </w:pPr>
      <w:r>
        <w:rPr>
          <w:rFonts w:ascii="宋体" w:hAnsi="宋体"/>
        </w:rPr>
        <w:t>主田镇位于南雄市东南部，距南雄市区6公里，周边与江西全南、始兴澄江以及本市江头、古市、雄州等镇交界。地质属于燕山期花岗岩体及寒武纪震旦纪变质岩体，气候属于亚热带季风湿润气候。全镇总面积186平方公里，辖8个行政村和1个居委会，共有102个村民小组，现有住户3719户，总人口13552人。全镇耕地面积1317.8公顷，山林面积12493.3公顷，素有“七山二田一水”之称。镇内森林、水利、矿产资源丰富，市区饮用水源瀑布水库，省级自然保护区一青嶂山，省级企业棉土窝钨矿以及万亩银杏生产基地世纪银杏园均在该镇境内。</w:t>
      </w:r>
    </w:p>
    <w:p w14:paraId="644534C7">
      <w:pPr>
        <w:pStyle w:val="4"/>
      </w:pPr>
      <w:r>
        <w:t>【经济社会发展概述】</w:t>
      </w:r>
    </w:p>
    <w:p w14:paraId="2077C623">
      <w:pPr>
        <w:ind w:firstLine="420"/>
        <w:rPr>
          <w:rFonts w:ascii="宋体" w:hAnsi="宋体"/>
        </w:rPr>
      </w:pPr>
      <w:r>
        <w:rPr>
          <w:rFonts w:ascii="宋体" w:hAnsi="宋体"/>
        </w:rPr>
        <w:t>2010年，全镇实现全镇123户帮扶贫困户中有51户脱贫，贫困户脱贫高达40%。一年来，东莞南城街道办事处共投入帮扶资金36.4万元，完善高峰村梁书洞饮水工程，给近百户村民的生活生产提供方便；完成高峰村上洞村小组水利坡头建设，改善农田灌溉条件；改善高峰村委会办公条件和办公环境；在高峰村建立一个“五黑鸡示范养殖场”。</w:t>
      </w:r>
    </w:p>
    <w:p w14:paraId="6B5FF35B">
      <w:pPr>
        <w:pStyle w:val="4"/>
      </w:pPr>
      <w:r>
        <w:t>【教育强镇】</w:t>
      </w:r>
    </w:p>
    <w:p w14:paraId="65BAEA95">
      <w:pPr>
        <w:ind w:firstLine="420"/>
        <w:rPr>
          <w:rFonts w:ascii="宋体" w:hAnsi="宋体"/>
        </w:rPr>
      </w:pPr>
      <w:r>
        <w:rPr>
          <w:rFonts w:ascii="宋体" w:hAnsi="宋体"/>
        </w:rPr>
        <w:t>2010年，莲花中心小学顺利通过省教育强镇督导验收组专家们的验收，主田镇被省教育强征督导室确认为教育强镇。主田镇大力整合教育资源，改善办学条件，加强教师队伍建设，开展教育强镇工作。以镇成人文化技术学校、婚育学校为阵地，利用农村现代远程教育资源和信息化培训平台，开展成人教育。与技工学校联合，举办无公害蔬菜、水稻等各类实用技术知识培训班。改善学校基础设施，投资20多万元改善莲花中心小学的教学环境。</w:t>
      </w:r>
    </w:p>
    <w:p w14:paraId="1B1FF005">
      <w:pPr>
        <w:pStyle w:val="4"/>
      </w:pPr>
      <w:r>
        <w:t>【计生工作】</w:t>
      </w:r>
    </w:p>
    <w:p w14:paraId="41088956">
      <w:pPr>
        <w:ind w:firstLine="420"/>
        <w:rPr>
          <w:rFonts w:ascii="宋体" w:hAnsi="宋体"/>
        </w:rPr>
      </w:pPr>
      <w:r>
        <w:rPr>
          <w:rFonts w:ascii="宋体" w:hAnsi="宋体"/>
        </w:rPr>
        <w:t>主田镇计划生育连续五年实现“两无”镇目标，连续四年被韶关市、南雄市评为计划生育工作先进镇。2010年全镇人口出生率11.07‰；人口自然增长率3.1‰；婴儿出生性别比102：100；政策生育率93%全面落实人口计生层级动态管理责任到人包干到户，取得良好成效。统计年度内全镇共出生150人（其中政策内出生144人），政策生育率96%，完成“四术”187例，其中结扎46例，上环128例，补救措施13例。人口自然增长率3.1%；查环查孕率达到95.98%。</w:t>
      </w:r>
    </w:p>
    <w:p w14:paraId="08506D52">
      <w:pPr>
        <w:pStyle w:val="4"/>
      </w:pPr>
      <w:r>
        <w:t>【惠民政策】</w:t>
      </w:r>
    </w:p>
    <w:p w14:paraId="3BF40340">
      <w:pPr>
        <w:ind w:firstLine="420"/>
        <w:rPr>
          <w:rFonts w:ascii="宋体" w:hAnsi="宋体"/>
        </w:rPr>
      </w:pPr>
      <w:r>
        <w:rPr>
          <w:rFonts w:ascii="宋体" w:hAnsi="宋体"/>
        </w:rPr>
        <w:t>2010年，落实农资综合直补补贴资金89.6万元，受益户数3710户。落实家电下乡财政补贴工作，2010年全镇家电下乡产品电冰箱、汽车、摩托车等财政补贴29万元。</w:t>
      </w:r>
    </w:p>
    <w:p w14:paraId="58A14C51">
      <w:pPr>
        <w:pStyle w:val="3"/>
      </w:pPr>
      <w:r>
        <w:rPr>
          <w:rFonts w:hint="eastAsia"/>
        </w:rPr>
        <w:t>各村、社区基本情况</w:t>
      </w:r>
    </w:p>
    <w:p w14:paraId="39139010">
      <w:pPr>
        <w:pStyle w:val="4"/>
      </w:pPr>
      <w:r>
        <w:t>【主田社区】</w:t>
      </w:r>
    </w:p>
    <w:p w14:paraId="44A39BD9">
      <w:pPr>
        <w:ind w:firstLine="420"/>
        <w:rPr>
          <w:rFonts w:ascii="宋体" w:hAnsi="宋体"/>
        </w:rPr>
      </w:pPr>
      <w:r>
        <w:rPr>
          <w:rFonts w:ascii="宋体" w:hAnsi="宋体"/>
        </w:rPr>
        <w:t>主田社区位于主田镇中部，距镇政府1公里，地质属于燕山期花岗岩体及寒武纪震旦纪变质岩体，属于亚热带季风湿润气候。总人口为1623人，其中动力人口为1266人，党员数为7人，居委会干部3人。主田镇于2009年投资组建主田社区服务中心，中心按照“四室、三站、两栏、一场所”标准建设，总面积达150平方米。</w:t>
      </w:r>
    </w:p>
    <w:p w14:paraId="11B483D5">
      <w:pPr>
        <w:pStyle w:val="4"/>
      </w:pPr>
      <w:r>
        <w:t>【城门村】</w:t>
      </w:r>
    </w:p>
    <w:p w14:paraId="58A2AA66">
      <w:pPr>
        <w:ind w:firstLine="420"/>
        <w:rPr>
          <w:rFonts w:ascii="宋体" w:hAnsi="宋体"/>
        </w:rPr>
      </w:pPr>
      <w:r>
        <w:rPr>
          <w:rFonts w:ascii="宋体" w:hAnsi="宋体"/>
        </w:rPr>
        <w:t>城门村位于主田镇西部，距镇政府2.5公里，地质属于燕期花岗岩体及寒武纪震旦纪变质岩体，属于亚热带季风湿润气候。共18个村小组，总户数828户，全村总人口3269人，其中常住人口2314人，劳动力人口1623人。全村总面积1400公顷，山林面积706公顷，耕地面积320公顷，其中有水田183公顷，旱地137公顷。以种植黄烟、水稻、花生为主。2010年交售烟叶10019担，收购金额741万元，水稻种植面积338公顷，花生种植面积54公顷。2010年人均收入6075元。是南雄市黄烟交售万担村。</w:t>
      </w:r>
    </w:p>
    <w:p w14:paraId="7D2F0834">
      <w:pPr>
        <w:pStyle w:val="4"/>
      </w:pPr>
      <w:r>
        <w:t>【主田村】</w:t>
      </w:r>
    </w:p>
    <w:p w14:paraId="347C79EA">
      <w:pPr>
        <w:ind w:firstLine="420"/>
        <w:rPr>
          <w:rFonts w:ascii="宋体" w:hAnsi="宋体"/>
        </w:rPr>
      </w:pPr>
      <w:r>
        <w:rPr>
          <w:rFonts w:ascii="宋体" w:hAnsi="宋体"/>
        </w:rPr>
        <w:t>主田村位于主田镇北部，距镇政府1公里，地质属于燕山期花岗岩体及寒武纪震旦纪变质岩体，属于亚热带季风湿润气候。全村有15个村小组，总户数465户，总人口1873人，其中常住人口1155人，劳动力866人，全村总面积1000公顷，山林面积542公顷，耕地面积229公顷，其中水田135公顷，旱地94公顷。主要经济农作物以黄烟、水稻为主。2010年交售烟叶7013担，收购金额521万元，水稻种植面积192公顷，花生种植面积32公顷。2010年人均收入6067元。主要特色产业为养殖业。主田村先后兴建先锋新村，莲花新村，梨园新村，古子坑新村、世纪新村、朝阳新村，全村80%以上农户住上钢筋水泥楼房。有14个村小组已通水泥路、有线电视，实现有线电话全覆盖。</w:t>
      </w:r>
    </w:p>
    <w:p w14:paraId="2E695F38">
      <w:pPr>
        <w:pStyle w:val="4"/>
      </w:pPr>
      <w:r>
        <w:t>【大坝村】</w:t>
      </w:r>
    </w:p>
    <w:p w14:paraId="796B0E7E">
      <w:pPr>
        <w:ind w:firstLine="420"/>
        <w:rPr>
          <w:rFonts w:ascii="宋体" w:hAnsi="宋体"/>
        </w:rPr>
      </w:pPr>
      <w:r>
        <w:rPr>
          <w:rFonts w:ascii="宋体" w:hAnsi="宋体"/>
        </w:rPr>
        <w:t>大坝村位于主田镇中部，距镇政府0.5公里，地质属于燕期花岗岩体及寒武纪震旦纪变质岩体，属于亚热带季风湿润气候。全村有18个村小组，总户数583户，总人口2254人，其中常住人口1463人，劳动力人口710人。全村总面积2188公顷，山林面积1954公顷，耕地面积202公顷，其中水田191公顷，旱地11公顷。主要农作物以黄烟、水稻为主。2010年交售烟叶4702担，收购金额346万元，水稻种植面积260公顷，花生种植面积42公顷。2010年人均收入6004元。</w:t>
      </w:r>
    </w:p>
    <w:p w14:paraId="2BF74B00">
      <w:pPr>
        <w:pStyle w:val="4"/>
      </w:pPr>
      <w:r>
        <w:t>【塘山村】</w:t>
      </w:r>
    </w:p>
    <w:p w14:paraId="7DADF79C">
      <w:pPr>
        <w:ind w:firstLine="420"/>
        <w:rPr>
          <w:rFonts w:ascii="宋体" w:hAnsi="宋体"/>
        </w:rPr>
      </w:pPr>
      <w:r>
        <w:rPr>
          <w:rFonts w:ascii="宋体" w:hAnsi="宋体"/>
        </w:rPr>
        <w:t>塘山村位于主田镇的西南部，距镇政府4公里，地质属于燕期花岗岩体及寒武纪震旦纪变质岩体，属于亚热带季风湿润气候。辖区共14个村小组，总户数为244户，全村总人口为992人，其中常住人口421人，劳动力人口为338人。全村总面积为1867公顷，耕地面积89公顷，其中水田82公顷，旱地4公顷。主要农作物以黄烟、水稻为主。2010年交售烟叶1228担，收购金额91万元，水稻种植面积82公顷，花生种植面积16公顷。2010年人均收入5601元。</w:t>
      </w:r>
    </w:p>
    <w:p w14:paraId="5DB0BB27">
      <w:pPr>
        <w:pStyle w:val="4"/>
      </w:pPr>
      <w:r>
        <w:t>【西坪村】</w:t>
      </w:r>
    </w:p>
    <w:p w14:paraId="2B16F23B">
      <w:pPr>
        <w:ind w:firstLine="420"/>
        <w:rPr>
          <w:rFonts w:ascii="宋体" w:hAnsi="宋体"/>
        </w:rPr>
      </w:pPr>
      <w:r>
        <w:rPr>
          <w:rFonts w:ascii="宋体" w:hAnsi="宋体"/>
        </w:rPr>
        <w:t>主田镇西坪村位于主田镇的东南部，距镇政府20公里，地质属于燕期花岗岩体及寒武纪震旦纪变质岩体，属于亚热带季风湿润气候。辖区共6个村小组，总户数153户，全村总人口615人，其中常住人口420人，劳动力人口280人。全村山林面积1091公顷，耕地面积65公顷，其中水田64公顷，旱田4.5公顷。主要农作物以黄烟、水稻、花生为主。2010年交售烟叶620担，收购金额44万元，水稻种植面积49公顷，花生种植面积10公顷。2010年人均收入5442元。</w:t>
      </w:r>
    </w:p>
    <w:p w14:paraId="15A13E9D">
      <w:pPr>
        <w:pStyle w:val="4"/>
      </w:pPr>
      <w:r>
        <w:t>【西洞村】</w:t>
      </w:r>
    </w:p>
    <w:p w14:paraId="2138E2E6">
      <w:pPr>
        <w:ind w:firstLine="420"/>
        <w:rPr>
          <w:rFonts w:ascii="宋体" w:hAnsi="宋体"/>
        </w:rPr>
      </w:pPr>
      <w:r>
        <w:rPr>
          <w:rFonts w:ascii="宋体" w:hAnsi="宋体"/>
        </w:rPr>
        <w:t>西洞村位于主田镇的东南部，距镇政府20公里，地质属于燕期花岗岩体及寒武纪震旦纪变质岩体，属于亚热带季风湿润气候。辖区共8个村小组，总户数251户，全村总人口1075人，其中农村常住人口336人，劳动力人口700人。全村总面积2180公顷，山林面积2040公顷，耕地面积107公顷，其中水田102公顷，旱地5公顷。主要农作物以黄烟、水稻为主。2010年交售烟叶759担，收购金额55万元，水稻种植面积88公顷，花生种植面积18公顷。2010年人均收入5678元。主要特色产业为种植果树，成立西洞果业专业合作社。</w:t>
      </w:r>
    </w:p>
    <w:p w14:paraId="2BD541E1">
      <w:pPr>
        <w:pStyle w:val="4"/>
      </w:pPr>
      <w:r>
        <w:t>【窑合村】</w:t>
      </w:r>
    </w:p>
    <w:p w14:paraId="2A8A318C">
      <w:pPr>
        <w:ind w:firstLine="420"/>
        <w:rPr>
          <w:rFonts w:ascii="宋体" w:hAnsi="宋体"/>
        </w:rPr>
      </w:pPr>
      <w:r>
        <w:rPr>
          <w:rFonts w:ascii="宋体" w:hAnsi="宋体"/>
        </w:rPr>
        <w:t>主田镇窑合村位于主田镇的东南部，距镇政府25公里，地质属于燕期花岗岩体及寒武纪震旦纪变质岩体，属于亚热带季风湿润气候。辖区共9个村小组，总户数233户，全村总人口943人，其中常住人口528人，劳动力人口415人。全村总面积2073公顷，山林面积1946公顷，耕地面积127公顷，其中水田123公顷，旱地4.5公顷。主要农作物以黄烟、水稻为主。2010年交售烟叶626担，收购金额47万元，水稻种植面积66公顷，花生种植面积13公顷。2010年人均收入5641元。</w:t>
      </w:r>
    </w:p>
    <w:p w14:paraId="6F9B8570">
      <w:pPr>
        <w:pStyle w:val="4"/>
      </w:pPr>
      <w:r>
        <w:t>【高峰村】</w:t>
      </w:r>
    </w:p>
    <w:p w14:paraId="74ACC64B">
      <w:pPr>
        <w:ind w:firstLine="420"/>
        <w:rPr>
          <w:rFonts w:ascii="宋体" w:hAnsi="宋体"/>
        </w:rPr>
      </w:pPr>
      <w:r>
        <w:rPr>
          <w:rFonts w:ascii="宋体" w:hAnsi="宋体"/>
        </w:rPr>
        <w:t>高峰村位于主田镇东南部，距镇政府26公里，地质属于燕期花岗岩体及寒武纪震旦纪变质岩体，属于亚热带季风湿润气候。辖区共14个村小组，总户数为240户，全村总人口为950人，其中常住人口450人，劳动力人口为180人，党员32人，干部4人。全村总面积2667公顷，山林面积2280公顷，耕地面积111公顷，其中水田103公顷，旱地6.7公顷。主要农作物以水稻为主，主产竹木。2010年人均收入5580元。</w:t>
      </w:r>
    </w:p>
    <w:p w14:paraId="45E893C1">
      <w:pPr>
        <w:ind w:firstLine="420"/>
        <w:jc w:val="right"/>
        <w:rPr>
          <w:rFonts w:ascii="宋体" w:hAnsi="宋体"/>
        </w:rPr>
      </w:pPr>
      <w:r>
        <w:rPr>
          <w:rFonts w:ascii="宋体" w:hAnsi="宋体"/>
        </w:rPr>
        <w:t>（梁琴）</w:t>
      </w:r>
    </w:p>
    <w:p w14:paraId="218EDEE1">
      <w:pPr>
        <w:ind w:firstLine="422"/>
        <w:rPr>
          <w:rFonts w:ascii="宋体" w:hAnsi="宋体"/>
          <w:b/>
          <w:bCs/>
        </w:rPr>
      </w:pPr>
      <w:r>
        <w:rPr>
          <w:rFonts w:ascii="宋体" w:hAnsi="宋体"/>
          <w:b/>
          <w:bCs/>
        </w:rPr>
        <w:t>附：2010年主田镇领导班子成员名单</w:t>
      </w:r>
    </w:p>
    <w:p w14:paraId="630CF24C">
      <w:pPr>
        <w:ind w:firstLine="422"/>
        <w:rPr>
          <w:rFonts w:ascii="宋体" w:hAnsi="宋体"/>
        </w:rPr>
      </w:pPr>
      <w:r>
        <w:rPr>
          <w:rFonts w:ascii="宋体" w:hAnsi="宋体"/>
          <w:b/>
          <w:bCs/>
        </w:rPr>
        <w:t>党委书记、人大主席：</w:t>
      </w:r>
      <w:r>
        <w:rPr>
          <w:rFonts w:ascii="宋体" w:hAnsi="宋体"/>
        </w:rPr>
        <w:t>王晓云</w:t>
      </w:r>
    </w:p>
    <w:p w14:paraId="196DDF9C">
      <w:pPr>
        <w:ind w:firstLine="422"/>
        <w:rPr>
          <w:rFonts w:ascii="宋体" w:hAnsi="宋体"/>
        </w:rPr>
      </w:pPr>
      <w:r>
        <w:rPr>
          <w:rFonts w:ascii="宋体" w:hAnsi="宋体"/>
          <w:b/>
          <w:bCs/>
        </w:rPr>
        <w:t>党委副书记、镇长：</w:t>
      </w:r>
      <w:r>
        <w:rPr>
          <w:rFonts w:ascii="宋体" w:hAnsi="宋体"/>
        </w:rPr>
        <w:t>孔令平</w:t>
      </w:r>
    </w:p>
    <w:p w14:paraId="6234B26B">
      <w:pPr>
        <w:ind w:firstLine="422"/>
        <w:rPr>
          <w:rFonts w:ascii="宋体" w:hAnsi="宋体"/>
        </w:rPr>
      </w:pPr>
      <w:r>
        <w:rPr>
          <w:rFonts w:ascii="宋体" w:hAnsi="宋体"/>
          <w:b/>
          <w:bCs/>
        </w:rPr>
        <w:t>党委副书记：</w:t>
      </w:r>
      <w:r>
        <w:rPr>
          <w:rFonts w:ascii="宋体" w:hAnsi="宋体"/>
        </w:rPr>
        <w:t>郭才标</w:t>
      </w:r>
    </w:p>
    <w:p w14:paraId="5855162C">
      <w:pPr>
        <w:ind w:firstLine="422"/>
        <w:rPr>
          <w:rFonts w:ascii="宋体" w:hAnsi="宋体"/>
        </w:rPr>
      </w:pPr>
      <w:r>
        <w:rPr>
          <w:rFonts w:ascii="宋体" w:hAnsi="宋体"/>
          <w:b/>
          <w:bCs/>
        </w:rPr>
        <w:t>纪委书记：</w:t>
      </w:r>
      <w:r>
        <w:rPr>
          <w:rFonts w:ascii="宋体" w:hAnsi="宋体"/>
        </w:rPr>
        <w:t>钟华山</w:t>
      </w:r>
    </w:p>
    <w:p w14:paraId="01C7D026">
      <w:pPr>
        <w:ind w:firstLine="422"/>
        <w:rPr>
          <w:rFonts w:ascii="宋体" w:hAnsi="宋体"/>
        </w:rPr>
      </w:pPr>
      <w:r>
        <w:rPr>
          <w:rFonts w:ascii="宋体" w:hAnsi="宋体"/>
          <w:b/>
          <w:bCs/>
        </w:rPr>
        <w:t>副镇长：</w:t>
      </w:r>
      <w:r>
        <w:rPr>
          <w:rFonts w:ascii="宋体" w:hAnsi="宋体"/>
        </w:rPr>
        <w:t>何军平</w:t>
      </w:r>
      <w:r>
        <w:rPr>
          <w:rFonts w:hint="eastAsia" w:ascii="宋体" w:hAnsi="宋体"/>
        </w:rPr>
        <w:t xml:space="preserve">  </w:t>
      </w:r>
      <w:r>
        <w:rPr>
          <w:rFonts w:ascii="宋体" w:hAnsi="宋体"/>
        </w:rPr>
        <w:t>刘宏艺</w:t>
      </w:r>
    </w:p>
    <w:p w14:paraId="7476F8BB">
      <w:pPr>
        <w:ind w:firstLine="422"/>
        <w:rPr>
          <w:rFonts w:ascii="宋体" w:hAnsi="宋体"/>
        </w:rPr>
      </w:pPr>
      <w:r>
        <w:rPr>
          <w:rFonts w:ascii="宋体" w:hAnsi="宋体"/>
          <w:b/>
          <w:bCs/>
        </w:rPr>
        <w:t>人大副主席：</w:t>
      </w:r>
      <w:r>
        <w:rPr>
          <w:rFonts w:ascii="宋体" w:hAnsi="宋体"/>
        </w:rPr>
        <w:t>衷旭春</w:t>
      </w:r>
    </w:p>
    <w:p w14:paraId="09786CB0">
      <w:pPr>
        <w:ind w:firstLine="422"/>
        <w:rPr>
          <w:rFonts w:ascii="宋体" w:hAnsi="宋体"/>
        </w:rPr>
      </w:pPr>
      <w:r>
        <w:rPr>
          <w:rFonts w:ascii="宋体" w:hAnsi="宋体"/>
          <w:b/>
          <w:bCs/>
        </w:rPr>
        <w:t>武装部部长：</w:t>
      </w:r>
      <w:r>
        <w:rPr>
          <w:rFonts w:ascii="宋体" w:hAnsi="宋体"/>
        </w:rPr>
        <w:t>杜香桥</w:t>
      </w:r>
    </w:p>
    <w:p w14:paraId="78A266E0">
      <w:pPr>
        <w:ind w:firstLine="422"/>
        <w:rPr>
          <w:rFonts w:ascii="宋体" w:hAnsi="宋体"/>
        </w:rPr>
      </w:pPr>
      <w:r>
        <w:rPr>
          <w:rFonts w:ascii="宋体" w:hAnsi="宋体"/>
          <w:b/>
          <w:bCs/>
        </w:rPr>
        <w:t>组织委员：</w:t>
      </w:r>
      <w:r>
        <w:rPr>
          <w:rFonts w:ascii="宋体" w:hAnsi="宋体"/>
        </w:rPr>
        <w:t>黄世明</w:t>
      </w:r>
    </w:p>
    <w:p w14:paraId="28596251">
      <w:pPr>
        <w:ind w:firstLine="422"/>
        <w:rPr>
          <w:rFonts w:ascii="宋体" w:hAnsi="宋体"/>
        </w:rPr>
      </w:pPr>
      <w:r>
        <w:rPr>
          <w:rFonts w:ascii="宋体" w:hAnsi="宋体"/>
          <w:b/>
          <w:bCs/>
        </w:rPr>
        <w:t>宣传委员：</w:t>
      </w:r>
      <w:r>
        <w:rPr>
          <w:rFonts w:ascii="宋体" w:hAnsi="宋体"/>
        </w:rPr>
        <w:t>何东红</w:t>
      </w:r>
    </w:p>
    <w:p w14:paraId="732E21D6">
      <w:pPr>
        <w:pStyle w:val="3"/>
      </w:pPr>
      <w:r>
        <w:rPr>
          <w:rFonts w:hint="eastAsia"/>
        </w:rPr>
        <w:t>南亩镇</w:t>
      </w:r>
    </w:p>
    <w:p w14:paraId="12A5353B">
      <w:pPr>
        <w:pStyle w:val="4"/>
      </w:pPr>
      <w:r>
        <w:t>【概况】</w:t>
      </w:r>
    </w:p>
    <w:p w14:paraId="6C9A5C4B">
      <w:pPr>
        <w:ind w:firstLine="420"/>
        <w:rPr>
          <w:rFonts w:ascii="宋体" w:hAnsi="宋体"/>
        </w:rPr>
      </w:pPr>
      <w:r>
        <w:rPr>
          <w:rFonts w:ascii="宋体" w:hAnsi="宋体"/>
        </w:rPr>
        <w:t>南亩镇位于南雄市东南部，距南雄市区30公里，毗邻江西省全南县的社迳、陂头等镇。与本市坪田、乌迳、黄坑、水口镇接壤，属于亚热带季风湿润气候区。全镇总面积110.3平方公里，其中山地7767公顷，耕地904公顷，属山区镇。下辖11个村委会和1个居委会，共104个村小组。现有住户3761户，总人口15615人，其中农业人口14681人。境内经济以种养业为主，素有“油茶之乡”、“水果之乡”、“养猪大镇”美誉。</w:t>
      </w:r>
    </w:p>
    <w:p w14:paraId="40812566">
      <w:pPr>
        <w:pStyle w:val="4"/>
      </w:pPr>
      <w:r>
        <w:t>【经济社会发展】</w:t>
      </w:r>
    </w:p>
    <w:p w14:paraId="6E3D16D4">
      <w:pPr>
        <w:ind w:firstLine="420"/>
        <w:rPr>
          <w:rFonts w:ascii="宋体" w:hAnsi="宋体"/>
        </w:rPr>
      </w:pPr>
      <w:r>
        <w:rPr>
          <w:rFonts w:ascii="宋体" w:hAnsi="宋体"/>
        </w:rPr>
        <w:t>2010年底，实现国民生产总值15808万元，比2005年增长1.5倍，年均增速达到16%。年完成固定资产总投资达7550万元，比2005年翻了二番，年均增长41.6%；粮食生产总产量达19851吨，年均增长6.67%；农民年人均纯收入提高到5447元，年均增长11.16%；财税收入等经济运行指标总体呈现出速度加快、质量提高、结构优化、后劲增强的良好态势。</w:t>
      </w:r>
    </w:p>
    <w:p w14:paraId="4B975757">
      <w:pPr>
        <w:pStyle w:val="4"/>
      </w:pPr>
      <w:r>
        <w:t>【基础设施建设】</w:t>
      </w:r>
    </w:p>
    <w:p w14:paraId="433AC931">
      <w:pPr>
        <w:ind w:firstLine="420"/>
        <w:rPr>
          <w:rFonts w:ascii="宋体" w:hAnsi="宋体"/>
        </w:rPr>
      </w:pPr>
      <w:r>
        <w:rPr>
          <w:rFonts w:ascii="宋体" w:hAnsi="宋体"/>
        </w:rPr>
        <w:t>完成蛇岭水库圳道三面光工程、各类山塘修复和除险加固等工程建设。全面完成镇通行政村公路实现全面水泥硬底化，完成樟屋狗塘、官田环村等村通自然村道路水泥硬底化建设10多公里。通过招商引资等途径，投资400多万元的南亩圩镇新建自来水工程目前已全面完成，圩镇居民及大部分村民用户已经正常供水。完成长洞、水塘、中寺、中岭、水尾、芙蓉、岭下等七个村的安全饮水工程建设。完成镇政府干部宿舍楼、社区居委会办公楼、新敬老院工程建设。</w:t>
      </w:r>
    </w:p>
    <w:p w14:paraId="43860307">
      <w:pPr>
        <w:pStyle w:val="4"/>
      </w:pPr>
      <w:r>
        <w:t>【乡镇企业】</w:t>
      </w:r>
    </w:p>
    <w:p w14:paraId="0A06EC0E">
      <w:pPr>
        <w:ind w:firstLine="420"/>
        <w:rPr>
          <w:rFonts w:ascii="宋体" w:hAnsi="宋体"/>
        </w:rPr>
      </w:pPr>
      <w:r>
        <w:rPr>
          <w:rFonts w:ascii="宋体" w:hAnsi="宋体"/>
        </w:rPr>
        <w:t>镇办企业南亩果品厂和南雄市金味果业有限公司主要生产“珠玑佳果”牌系列凉果产品，2009年销售收入首次突破60万元，南亩镇“一乡一品”果业特色经济得到巩固和发展。2010年引进的投资达800多万元的明辉食品厂已顺利落户南亩，现厂房建设正在进行，该厂全面建成投产后年产值将达2000万元，农土特产品加工和销售向规模产业发展。</w:t>
      </w:r>
    </w:p>
    <w:p w14:paraId="4BA8C38D">
      <w:pPr>
        <w:pStyle w:val="4"/>
      </w:pPr>
      <w:r>
        <w:t>【农业和农业产业化】</w:t>
      </w:r>
    </w:p>
    <w:p w14:paraId="63710AD5">
      <w:pPr>
        <w:ind w:firstLine="420"/>
        <w:rPr>
          <w:rFonts w:ascii="宋体" w:hAnsi="宋体"/>
        </w:rPr>
      </w:pPr>
      <w:r>
        <w:rPr>
          <w:rFonts w:ascii="宋体" w:hAnsi="宋体"/>
        </w:rPr>
        <w:t>制定和实施南亩镇农业产业化发展规划，逐步形成以优质稻、黄烟、水果种植与加工、优质油茶、生猪养殖为主导的五大农业产业。2008年引进广东金友粮油有限公司，发展有机生态农业，建立南亩、官田、芙蓉等有机稻生产基地600多亩；2009年引进和扶持广东华农温氏畜牧股份有限公司龙头企业，在樟屋和鱼鲜两村租地3000多亩，总投资1.5亿元，建成两个现代化的猪苗繁育基地。2010年与金友集团签约在南亩登市林场联建万亩优质油茶种植示范基地，大力发展南亩优质油茶产业，突出特色创品牌。</w:t>
      </w:r>
    </w:p>
    <w:p w14:paraId="7986D3D6">
      <w:pPr>
        <w:pStyle w:val="4"/>
      </w:pPr>
      <w:r>
        <w:t>【生态环境建设】</w:t>
      </w:r>
    </w:p>
    <w:p w14:paraId="75D3AC06">
      <w:pPr>
        <w:ind w:firstLine="420"/>
        <w:rPr>
          <w:rFonts w:ascii="宋体" w:hAnsi="宋体"/>
        </w:rPr>
      </w:pPr>
      <w:r>
        <w:rPr>
          <w:rFonts w:ascii="宋体" w:hAnsi="宋体"/>
        </w:rPr>
        <w:t>落实市委关于“三项整治”工作的精神，加大力度，从严打击非法开采稀土矿的行为，基本杜绝非法开采稀土矿的现象，并在老矿点扎实开展复耕复绿工作；强化土地管理，打击非法占地乱建行为，推进土地资源节约利用，保护耕地。开展铁拳行动，打击乱砍滥伐等违法行为，林区秩序有明显的好转；通过加大对护林防火的宣传，强化责任制的落实，减少山火的发生，保护生态环境。</w:t>
      </w:r>
    </w:p>
    <w:p w14:paraId="367CE563">
      <w:pPr>
        <w:pStyle w:val="4"/>
      </w:pPr>
      <w:r>
        <w:t>【维稳】</w:t>
      </w:r>
    </w:p>
    <w:p w14:paraId="0CCDF60A">
      <w:pPr>
        <w:ind w:firstLine="420"/>
        <w:rPr>
          <w:rFonts w:ascii="宋体" w:hAnsi="宋体"/>
        </w:rPr>
      </w:pPr>
      <w:r>
        <w:rPr>
          <w:rFonts w:ascii="宋体" w:hAnsi="宋体"/>
        </w:rPr>
        <w:t>强化综治镇维稳工作，镇综治维稳信访中心建设得到落实，坚持把信访维稳工作作为头等大事来抓，把不稳定因素化解在当地、处置在当地，消除在萌芽状态；针对信访维稳工作的形势和现状，明确领导接访制度，拟定一系列处置措施，并保证各项措施落到实处，积极排查化解社会矛盾，从未出现群体性事件，确保了社会稳定和人民安居乐业。</w:t>
      </w:r>
    </w:p>
    <w:p w14:paraId="67AA2F45">
      <w:pPr>
        <w:pStyle w:val="4"/>
      </w:pPr>
      <w:r>
        <w:t>【各项保险覆盖面逐步扩大】</w:t>
      </w:r>
    </w:p>
    <w:p w14:paraId="0AEB2E19">
      <w:pPr>
        <w:ind w:firstLine="420"/>
        <w:rPr>
          <w:rFonts w:ascii="宋体" w:hAnsi="宋体"/>
        </w:rPr>
      </w:pPr>
      <w:r>
        <w:rPr>
          <w:rFonts w:ascii="宋体" w:hAnsi="宋体"/>
        </w:rPr>
        <w:t>到2010年底，新型农村合作医疗参合率达到98%以上，政策性农村住房保险参保率达90%以上，能繁母猪保险参保率达90%，全面完成市下达的任务，新型农村社会养老保险也已全面启动。</w:t>
      </w:r>
    </w:p>
    <w:p w14:paraId="52DBF800">
      <w:pPr>
        <w:pStyle w:val="4"/>
      </w:pPr>
      <w:r>
        <w:t>【文教、卫生事业稳步发展】</w:t>
      </w:r>
    </w:p>
    <w:p w14:paraId="437FC186">
      <w:pPr>
        <w:ind w:firstLine="420"/>
        <w:rPr>
          <w:rFonts w:ascii="宋体" w:hAnsi="宋体"/>
        </w:rPr>
      </w:pPr>
      <w:r>
        <w:rPr>
          <w:rFonts w:ascii="宋体" w:hAnsi="宋体"/>
        </w:rPr>
        <w:t>几年来，教育资源配置不断优化，小学阶段适龄儿童入学率、巩固率、毕业率、升学率都达到100%；政府通过多方筹集资金解决中小学校在发展中的问题，为学校营造良好的学习、生活环境。公共卫生和医疗服务体系不断加强，开展手足口病、甲型H1N1流感等防控工作。</w:t>
      </w:r>
    </w:p>
    <w:p w14:paraId="551A1389">
      <w:pPr>
        <w:pStyle w:val="4"/>
      </w:pPr>
      <w:r>
        <w:t>【民政优抚工作全面落实】</w:t>
      </w:r>
    </w:p>
    <w:p w14:paraId="01731471">
      <w:pPr>
        <w:ind w:firstLine="420"/>
        <w:rPr>
          <w:rFonts w:ascii="宋体" w:hAnsi="宋体"/>
        </w:rPr>
      </w:pPr>
      <w:r>
        <w:rPr>
          <w:rFonts w:ascii="宋体" w:hAnsi="宋体"/>
        </w:rPr>
        <w:t>落实优抚、救济政策，期间优抚金、救济物全部做到及时足额发放；做好农村低保工作，到2010年底全镇已有140户290人纳入低保户；完成新建敬老院，为五保老人提供良好的生活场所。</w:t>
      </w:r>
    </w:p>
    <w:p w14:paraId="422ECC51">
      <w:pPr>
        <w:pStyle w:val="4"/>
      </w:pPr>
      <w:r>
        <w:t>【扶贫双到】</w:t>
      </w:r>
    </w:p>
    <w:p w14:paraId="056B441E">
      <w:pPr>
        <w:ind w:firstLine="420"/>
        <w:rPr>
          <w:rFonts w:ascii="宋体" w:hAnsi="宋体"/>
        </w:rPr>
      </w:pPr>
      <w:r>
        <w:rPr>
          <w:rFonts w:ascii="宋体" w:hAnsi="宋体"/>
        </w:rPr>
        <w:t>根据不同类型贫困村（户），采取“一村一策、一户一法”的方法，制定出镇帮扶双料贫困村和面上贫困村总体规划，协助帮扶单位制定出一批重点突出、特色鲜明的脱贫规划和帮扶措施，推广“企业+基地+贫困户”的产业化帮扶模式，发挥温氏集团和金友集团的辐射带动作用，带动贫困户脱贫致富。省定贫困村岭下、长洞两村通过韶关市侨联、韶关卷烟厂和南雄市林业局的帮扶下，各项事业快速发展，贫困户的精神面貌、经济状况得到较大改善。三年目标二年完成，至2010底已有60%的贫困户实现脱贫。</w:t>
      </w:r>
    </w:p>
    <w:p w14:paraId="3D9B02D3">
      <w:pPr>
        <w:pStyle w:val="4"/>
      </w:pPr>
      <w:r>
        <w:t>【武装工作】</w:t>
      </w:r>
    </w:p>
    <w:p w14:paraId="74B1C9FF">
      <w:pPr>
        <w:ind w:firstLine="420"/>
        <w:rPr>
          <w:rFonts w:ascii="宋体" w:hAnsi="宋体"/>
        </w:rPr>
      </w:pPr>
      <w:r>
        <w:rPr>
          <w:rFonts w:ascii="宋体" w:hAnsi="宋体"/>
        </w:rPr>
        <w:t>镇武装工作得到较快发展，每年超额完成市下达的冬季征兵任务，2009、2010年都被评为武装工作“先进单位”。</w:t>
      </w:r>
    </w:p>
    <w:p w14:paraId="54525FAA">
      <w:pPr>
        <w:pStyle w:val="4"/>
      </w:pPr>
      <w:r>
        <w:t>【统计工作】</w:t>
      </w:r>
    </w:p>
    <w:p w14:paraId="157338B9">
      <w:pPr>
        <w:ind w:firstLine="420"/>
        <w:rPr>
          <w:rFonts w:ascii="宋体" w:hAnsi="宋体"/>
        </w:rPr>
      </w:pPr>
      <w:r>
        <w:rPr>
          <w:rFonts w:ascii="宋体" w:hAnsi="宋体"/>
        </w:rPr>
        <w:t>2008年第二次全国经济普查和2010年第六次全国人口普查顺利完成，2009、2010连续两年取得全市统计工作综合考评总分第一名的优异成绩，授予“南雄市统计工作先进单位”。</w:t>
      </w:r>
    </w:p>
    <w:p w14:paraId="17AB886E">
      <w:pPr>
        <w:pStyle w:val="3"/>
      </w:pPr>
      <w:r>
        <w:rPr>
          <w:rFonts w:hint="eastAsia"/>
        </w:rPr>
        <w:t>各村委会、社区基本情况</w:t>
      </w:r>
    </w:p>
    <w:p w14:paraId="26D9B277">
      <w:pPr>
        <w:pStyle w:val="4"/>
      </w:pPr>
      <w:r>
        <w:t>【南亩社区】</w:t>
      </w:r>
    </w:p>
    <w:p w14:paraId="6068FE7E">
      <w:pPr>
        <w:ind w:firstLine="420"/>
        <w:rPr>
          <w:rFonts w:ascii="宋体" w:hAnsi="宋体"/>
        </w:rPr>
      </w:pPr>
      <w:r>
        <w:rPr>
          <w:rFonts w:ascii="宋体" w:hAnsi="宋体"/>
        </w:rPr>
        <w:t>位于南亩镇圩，面积1平方公里，现有居住人口856人，其中居民户口784人，农业户口112人，居委会干部3人。</w:t>
      </w:r>
    </w:p>
    <w:p w14:paraId="3DA8EF68">
      <w:pPr>
        <w:pStyle w:val="4"/>
      </w:pPr>
      <w:r>
        <w:t>【长洞村委会】</w:t>
      </w:r>
    </w:p>
    <w:p w14:paraId="4FAD3F1E">
      <w:pPr>
        <w:ind w:firstLine="420"/>
        <w:rPr>
          <w:rFonts w:ascii="宋体" w:hAnsi="宋体"/>
        </w:rPr>
      </w:pPr>
      <w:r>
        <w:rPr>
          <w:rFonts w:ascii="宋体" w:hAnsi="宋体"/>
        </w:rPr>
        <w:t>位于南亩镇西南部，毗邻江西省全南县社迳、陂头镇，距南亩镇政府19公里，属典型的边远山区村，土地总面积21平方公里，其中山地面积17500亩，耕地面积926亩，下辖9个村小组，221户，1023人。境内主要种植水稻、花生、小辣椒、油茶和毛竹等，农户经济收入主要靠种养业和劳务收入，2010年人均收入5205元。</w:t>
      </w:r>
    </w:p>
    <w:p w14:paraId="159084B0">
      <w:pPr>
        <w:pStyle w:val="4"/>
      </w:pPr>
      <w:r>
        <w:t>【水塘村委会】</w:t>
      </w:r>
    </w:p>
    <w:p w14:paraId="37B203A5">
      <w:pPr>
        <w:ind w:firstLine="420"/>
        <w:rPr>
          <w:rFonts w:ascii="宋体" w:hAnsi="宋体"/>
        </w:rPr>
      </w:pPr>
      <w:r>
        <w:rPr>
          <w:rFonts w:ascii="宋体" w:hAnsi="宋体"/>
        </w:rPr>
        <w:t>是南亩镇较边远的山区，全村共有8个村小组，总户数206户，878人。全村土地面积7907亩，其中耕地678亩，林地7118亩，竹林面积110亩，现有两委干部3人。境内主要种植水稻、花生、小辣椒、油茶和毛竹等，农户经济收入主要靠种养业和劳务收入，2010年人均收入5379元。</w:t>
      </w:r>
    </w:p>
    <w:p w14:paraId="7F21BCE3">
      <w:pPr>
        <w:pStyle w:val="4"/>
      </w:pPr>
      <w:r>
        <w:t>【中寺村委会】</w:t>
      </w:r>
    </w:p>
    <w:p w14:paraId="21B10C6C">
      <w:pPr>
        <w:ind w:firstLine="420"/>
        <w:rPr>
          <w:rFonts w:ascii="宋体" w:hAnsi="宋体"/>
        </w:rPr>
      </w:pPr>
      <w:r>
        <w:rPr>
          <w:rFonts w:ascii="宋体" w:hAnsi="宋体"/>
        </w:rPr>
        <w:t>地处海拔600多米，高寒山区，是南雄市典型边远山区，也是革命老区村，全村共有15个村小组，总户数317户，1520人。全村土地面积19710亩，其中耕地1600亩，林地16350亩，竹林面积3000亩。境内主要种植水稻、花生、小辣椒、油茶和毛竹等，农户经济收入主要靠种养业和劳务收入，2010年人均收入5425元。</w:t>
      </w:r>
    </w:p>
    <w:p w14:paraId="71473C38">
      <w:pPr>
        <w:pStyle w:val="4"/>
      </w:pPr>
      <w:r>
        <w:t>【岭下村委会】</w:t>
      </w:r>
    </w:p>
    <w:p w14:paraId="502BAFAA">
      <w:pPr>
        <w:ind w:firstLine="420"/>
        <w:rPr>
          <w:rFonts w:ascii="宋体" w:hAnsi="宋体"/>
        </w:rPr>
      </w:pPr>
      <w:r>
        <w:rPr>
          <w:rFonts w:ascii="宋体" w:hAnsi="宋体"/>
        </w:rPr>
        <w:t>位于南亩镇东南部，距镇政府6公里，下辖9个村小组，274户，1194人，山林面积15380亩，耕地面积815亩，产业以农业为主，系边远的革命老区村。。境内主要种植水稻、花生、小辣椒、油茶和毛竹等，农户经济收入主要靠种养业和劳务收入，2010年人均纯收入5216元。</w:t>
      </w:r>
    </w:p>
    <w:p w14:paraId="56278C39">
      <w:pPr>
        <w:pStyle w:val="4"/>
      </w:pPr>
      <w:r>
        <w:t>【中岭村委会】</w:t>
      </w:r>
    </w:p>
    <w:p w14:paraId="5CD9E3CD">
      <w:pPr>
        <w:ind w:firstLine="420"/>
        <w:rPr>
          <w:rFonts w:ascii="宋体" w:hAnsi="宋体"/>
        </w:rPr>
      </w:pPr>
      <w:r>
        <w:rPr>
          <w:rFonts w:ascii="宋体" w:hAnsi="宋体"/>
        </w:rPr>
        <w:t>位于南亩镇东南部，距镇政府12公里，辖7个村民小组，全村162户、696人。现有“两委”干部3人，党员16人，全村土地面积9495亩，山林面积8643亩、耕地面积752亩，其中旱地面积81亩。由于受地域、资金等因素制约，经济发展滞后，2010村集体年收入不足一万元，村民主要经济来源是种养业和劳务输出。境内主要种植水稻、花生、小辣椒、油茶和毛竹等，农户经济收入主要靠种养业和劳务收入，2010年人均收入5362元。</w:t>
      </w:r>
    </w:p>
    <w:p w14:paraId="4993F800">
      <w:pPr>
        <w:pStyle w:val="4"/>
      </w:pPr>
      <w:r>
        <w:t>【水尾村委会】</w:t>
      </w:r>
    </w:p>
    <w:p w14:paraId="0EBC43E4">
      <w:pPr>
        <w:ind w:firstLine="420"/>
        <w:rPr>
          <w:rFonts w:ascii="宋体" w:hAnsi="宋体"/>
        </w:rPr>
      </w:pPr>
      <w:r>
        <w:rPr>
          <w:rFonts w:ascii="宋体" w:hAnsi="宋体"/>
        </w:rPr>
        <w:t>位于南亩镇南部，距镇政府8公里，是革命老区，全村共有7个村小组，总户数259户，1158人，现有“两委”干部4人，党员17人。全村土地面积822亩，其中旱地76亩，水田746亩，林地13890亩。水尾村主要经济来源是种养和劳务输出，主要种植水稻、花生、甜玉米、大豆、油茶和蔬菜，2010年人均收入5347元。</w:t>
      </w:r>
    </w:p>
    <w:p w14:paraId="569ABEED">
      <w:pPr>
        <w:pStyle w:val="4"/>
      </w:pPr>
      <w:r>
        <w:t>【芙蓉村委会】</w:t>
      </w:r>
    </w:p>
    <w:p w14:paraId="73DEACC8">
      <w:pPr>
        <w:ind w:firstLine="420"/>
        <w:rPr>
          <w:rFonts w:ascii="宋体" w:hAnsi="宋体"/>
        </w:rPr>
      </w:pPr>
      <w:r>
        <w:rPr>
          <w:rFonts w:ascii="宋体" w:hAnsi="宋体"/>
        </w:rPr>
        <w:t>管辖6个村民小组，人口1280人，户数280户，现有党员23人，村干部5人，主要经济来源，靠种养，劳务输出，2010年输出人员460多人，劳务收入达到100多万元。种植方面有优质稻、甜玉米、小辣椒、花生、油茶、毛竹等，2010年人均收入5380元。</w:t>
      </w:r>
    </w:p>
    <w:p w14:paraId="4CDEFF3B">
      <w:pPr>
        <w:pStyle w:val="4"/>
      </w:pPr>
      <w:r>
        <w:t>【鱼鲜村委会】</w:t>
      </w:r>
    </w:p>
    <w:p w14:paraId="05C9EB52">
      <w:pPr>
        <w:ind w:firstLine="420"/>
        <w:rPr>
          <w:rFonts w:ascii="宋体" w:hAnsi="宋体"/>
        </w:rPr>
      </w:pPr>
      <w:r>
        <w:rPr>
          <w:rFonts w:ascii="宋体" w:hAnsi="宋体"/>
        </w:rPr>
        <w:t>位于南亩镇的东部，共有11个村小组，总户数421户，人口1961人。全村土地面积17006亩，耕地面积1806亩，林地面积15200亩。境内有个花林寺，2008年被评为省级“古村落”。全村农作物种植主要以水稻、花生、黄烟、大豆、水果油茶和蔬菜为主，2010年人均收入5534元。</w:t>
      </w:r>
    </w:p>
    <w:p w14:paraId="10C22A85">
      <w:pPr>
        <w:pStyle w:val="4"/>
      </w:pPr>
      <w:r>
        <w:t>【南亩村委会】</w:t>
      </w:r>
    </w:p>
    <w:p w14:paraId="0323FDF0">
      <w:pPr>
        <w:ind w:firstLine="420"/>
        <w:rPr>
          <w:rFonts w:ascii="宋体" w:hAnsi="宋体"/>
        </w:rPr>
      </w:pPr>
      <w:r>
        <w:rPr>
          <w:rFonts w:ascii="宋体" w:hAnsi="宋体"/>
        </w:rPr>
        <w:t>位于南亩镇南亩墟，是革命老区村，辖11个村民小组，全村428户、1854人。现有“两委”干部4人，党员38人。全村土地面积10275亩，山林面积8600亩、耕地面积1675亩，村民主要经济来源是种养业和劳务输出。全村农作物种植主要以水稻、花生、黄烟、大豆、水果油茶和蔬菜为主，2010年人均收入5562元。</w:t>
      </w:r>
    </w:p>
    <w:p w14:paraId="5A9875DC">
      <w:pPr>
        <w:pStyle w:val="4"/>
      </w:pPr>
      <w:r>
        <w:t>【樟屋村委会】</w:t>
      </w:r>
    </w:p>
    <w:p w14:paraId="3C9EAAA5">
      <w:pPr>
        <w:ind w:firstLine="420"/>
        <w:rPr>
          <w:rFonts w:ascii="宋体" w:hAnsi="宋体"/>
        </w:rPr>
      </w:pPr>
      <w:r>
        <w:rPr>
          <w:rFonts w:ascii="宋体" w:hAnsi="宋体"/>
        </w:rPr>
        <w:t>位于南亩镇北部，距镇政府2.5公里，辖9个村民小组，全村379户、1603人。现有“两委”干部5人，党员32人。全村土地面积8750亩，山林面积7307亩、耕地面积2400亩。村民主要经济来源是种养业和劳务输出。全村农作物种植主要以水稻、花生、黄烟、大豆、水果、油茶和蔬菜为主，2010年人均收入5616元。</w:t>
      </w:r>
    </w:p>
    <w:p w14:paraId="4B95AF26">
      <w:pPr>
        <w:pStyle w:val="4"/>
      </w:pPr>
      <w:r>
        <w:t>【官田村委会】</w:t>
      </w:r>
    </w:p>
    <w:p w14:paraId="6E9FE236">
      <w:pPr>
        <w:ind w:firstLine="420"/>
        <w:rPr>
          <w:rFonts w:ascii="宋体" w:hAnsi="宋体"/>
        </w:rPr>
      </w:pPr>
      <w:r>
        <w:rPr>
          <w:rFonts w:ascii="宋体" w:hAnsi="宋体"/>
        </w:rPr>
        <w:t>位于南亩镇的西部，距镇政府3.5公里，有12个村民小组（官田片6个村小组，里溪片6个村小组），总户数335户1410人。现有耕地面积1112亩（其中旱地133亩、水田979亩），林地6950亩。全村农作物种植主要以水稻、花生、黄烟、大豆、水果、油茶和蔬菜为主，2010年人均纯收入5578元。</w:t>
      </w:r>
    </w:p>
    <w:p w14:paraId="0680B32E">
      <w:pPr>
        <w:ind w:firstLine="420"/>
        <w:jc w:val="right"/>
        <w:rPr>
          <w:rFonts w:ascii="宋体" w:hAnsi="宋体"/>
        </w:rPr>
      </w:pPr>
      <w:r>
        <w:rPr>
          <w:rFonts w:ascii="宋体" w:hAnsi="宋体"/>
        </w:rPr>
        <w:t>（陈于泉）</w:t>
      </w:r>
    </w:p>
    <w:p w14:paraId="544CEC35">
      <w:pPr>
        <w:ind w:firstLine="422"/>
        <w:rPr>
          <w:rFonts w:ascii="宋体" w:hAnsi="宋体"/>
          <w:b/>
          <w:bCs/>
        </w:rPr>
      </w:pPr>
      <w:r>
        <w:rPr>
          <w:rFonts w:ascii="宋体" w:hAnsi="宋体"/>
          <w:b/>
          <w:bCs/>
        </w:rPr>
        <w:t>附：2010年南亩镇领导班子成员名单</w:t>
      </w:r>
    </w:p>
    <w:p w14:paraId="6ADD4CB2">
      <w:pPr>
        <w:ind w:firstLine="422"/>
        <w:rPr>
          <w:rFonts w:ascii="宋体" w:hAnsi="宋体"/>
        </w:rPr>
      </w:pPr>
      <w:r>
        <w:rPr>
          <w:rFonts w:ascii="宋体" w:hAnsi="宋体"/>
          <w:b/>
          <w:bCs/>
        </w:rPr>
        <w:t>党委书记、人大主席：</w:t>
      </w:r>
      <w:r>
        <w:rPr>
          <w:rFonts w:ascii="宋体" w:hAnsi="宋体"/>
        </w:rPr>
        <w:t>曾昭泉</w:t>
      </w:r>
    </w:p>
    <w:p w14:paraId="70933425">
      <w:pPr>
        <w:ind w:firstLine="422"/>
        <w:rPr>
          <w:rFonts w:ascii="宋体" w:hAnsi="宋体"/>
        </w:rPr>
      </w:pPr>
      <w:r>
        <w:rPr>
          <w:rFonts w:ascii="宋体" w:hAnsi="宋体"/>
          <w:b/>
          <w:bCs/>
        </w:rPr>
        <w:t>党委副书记、镇长：</w:t>
      </w:r>
      <w:r>
        <w:rPr>
          <w:rFonts w:ascii="宋体" w:hAnsi="宋体"/>
        </w:rPr>
        <w:t>孔建国</w:t>
      </w:r>
    </w:p>
    <w:p w14:paraId="2DF2EAEC">
      <w:pPr>
        <w:ind w:firstLine="422"/>
        <w:rPr>
          <w:rFonts w:ascii="宋体" w:hAnsi="宋体"/>
        </w:rPr>
      </w:pPr>
      <w:r>
        <w:rPr>
          <w:rFonts w:ascii="宋体" w:hAnsi="宋体"/>
          <w:b/>
          <w:bCs/>
        </w:rPr>
        <w:t>党委副书记：</w:t>
      </w:r>
      <w:r>
        <w:rPr>
          <w:rFonts w:ascii="宋体" w:hAnsi="宋体"/>
        </w:rPr>
        <w:t>刘光煌</w:t>
      </w:r>
    </w:p>
    <w:p w14:paraId="3B7D5864">
      <w:pPr>
        <w:ind w:firstLine="422"/>
        <w:rPr>
          <w:rFonts w:ascii="宋体" w:hAnsi="宋体"/>
        </w:rPr>
      </w:pPr>
      <w:r>
        <w:rPr>
          <w:rFonts w:ascii="宋体" w:hAnsi="宋体"/>
          <w:b/>
          <w:bCs/>
        </w:rPr>
        <w:t>纪委书记：</w:t>
      </w:r>
      <w:r>
        <w:rPr>
          <w:rFonts w:ascii="宋体" w:hAnsi="宋体"/>
        </w:rPr>
        <w:t>潘希荣</w:t>
      </w:r>
    </w:p>
    <w:p w14:paraId="2BA40C52">
      <w:pPr>
        <w:ind w:firstLine="422"/>
        <w:rPr>
          <w:rFonts w:ascii="宋体" w:hAnsi="宋体"/>
        </w:rPr>
      </w:pPr>
      <w:r>
        <w:rPr>
          <w:rFonts w:ascii="宋体" w:hAnsi="宋体"/>
          <w:b/>
          <w:bCs/>
        </w:rPr>
        <w:t>副镇长：</w:t>
      </w:r>
      <w:r>
        <w:rPr>
          <w:rFonts w:ascii="宋体" w:hAnsi="宋体"/>
        </w:rPr>
        <w:t>刘水英</w:t>
      </w:r>
      <w:r>
        <w:rPr>
          <w:rFonts w:hint="eastAsia" w:ascii="宋体" w:hAnsi="宋体"/>
        </w:rPr>
        <w:t xml:space="preserve">  </w:t>
      </w:r>
      <w:r>
        <w:rPr>
          <w:rFonts w:ascii="宋体" w:hAnsi="宋体"/>
        </w:rPr>
        <w:t>何明华</w:t>
      </w:r>
    </w:p>
    <w:p w14:paraId="2FCE69DE">
      <w:pPr>
        <w:ind w:firstLine="422"/>
        <w:rPr>
          <w:rFonts w:ascii="宋体" w:hAnsi="宋体"/>
        </w:rPr>
      </w:pPr>
      <w:r>
        <w:rPr>
          <w:rFonts w:ascii="宋体" w:hAnsi="宋体"/>
          <w:b/>
          <w:bCs/>
        </w:rPr>
        <w:t>人大副主席：</w:t>
      </w:r>
      <w:r>
        <w:rPr>
          <w:rFonts w:ascii="宋体" w:hAnsi="宋体"/>
        </w:rPr>
        <w:t>高洁</w:t>
      </w:r>
    </w:p>
    <w:p w14:paraId="3B07EBF0">
      <w:pPr>
        <w:ind w:firstLine="422"/>
        <w:rPr>
          <w:rFonts w:ascii="宋体" w:hAnsi="宋体"/>
        </w:rPr>
      </w:pPr>
      <w:r>
        <w:rPr>
          <w:rFonts w:ascii="宋体" w:hAnsi="宋体"/>
          <w:b/>
          <w:bCs/>
        </w:rPr>
        <w:t>武装部部长：</w:t>
      </w:r>
      <w:r>
        <w:rPr>
          <w:rFonts w:ascii="宋体" w:hAnsi="宋体"/>
        </w:rPr>
        <w:t>杨庆安</w:t>
      </w:r>
    </w:p>
    <w:p w14:paraId="61FF3C43">
      <w:pPr>
        <w:ind w:firstLine="422"/>
        <w:rPr>
          <w:rFonts w:ascii="宋体" w:hAnsi="宋体"/>
        </w:rPr>
      </w:pPr>
      <w:r>
        <w:rPr>
          <w:rFonts w:ascii="宋体" w:hAnsi="宋体"/>
          <w:b/>
          <w:bCs/>
        </w:rPr>
        <w:t>组织委员：</w:t>
      </w:r>
      <w:r>
        <w:rPr>
          <w:rFonts w:ascii="宋体" w:hAnsi="宋体"/>
        </w:rPr>
        <w:t>黄承洲</w:t>
      </w:r>
    </w:p>
    <w:p w14:paraId="4A7C71FC">
      <w:pPr>
        <w:ind w:firstLine="422"/>
        <w:rPr>
          <w:rFonts w:ascii="宋体" w:hAnsi="宋体"/>
        </w:rPr>
      </w:pPr>
      <w:r>
        <w:rPr>
          <w:rFonts w:ascii="宋体" w:hAnsi="宋体"/>
          <w:b/>
          <w:bCs/>
        </w:rPr>
        <w:t>宣传委员：</w:t>
      </w:r>
      <w:r>
        <w:rPr>
          <w:rFonts w:ascii="宋体" w:hAnsi="宋体"/>
        </w:rPr>
        <w:t>陶景晖</w:t>
      </w:r>
    </w:p>
    <w:p w14:paraId="0225DACE">
      <w:pPr>
        <w:pStyle w:val="3"/>
      </w:pPr>
      <w:r>
        <w:rPr>
          <w:rFonts w:hint="eastAsia"/>
        </w:rPr>
        <w:t>江头镇</w:t>
      </w:r>
    </w:p>
    <w:p w14:paraId="3F9E018F">
      <w:pPr>
        <w:pStyle w:val="4"/>
      </w:pPr>
      <w:r>
        <w:t>【概况】</w:t>
      </w:r>
    </w:p>
    <w:p w14:paraId="34814F7B">
      <w:pPr>
        <w:ind w:firstLine="420"/>
        <w:rPr>
          <w:rFonts w:ascii="宋体" w:hAnsi="宋体"/>
        </w:rPr>
      </w:pPr>
      <w:r>
        <w:rPr>
          <w:rFonts w:ascii="宋体" w:hAnsi="宋体"/>
        </w:rPr>
        <w:t>江头镇位于南雄市东南面，距市区13公里，毗邻江西省全南县陂头镇以及本市的水口镇、主田镇和雄州街道。其东南面是高山峻岭，西北面是丘陵地带，是个典型的山区镇。建制于1977年，镇辖9个村委会，1个社区居委会，97个村民小组，总户数2936户，总人口12024人。区域面积164平方公里，山林总面积1.06万公顷，农作物种植面积2010.3公顷，其中粮食总面积133953公顷，粮食总产量7715吨，黄烟种植面积134.02公顷。</w:t>
      </w:r>
    </w:p>
    <w:p w14:paraId="2F648589">
      <w:pPr>
        <w:ind w:firstLine="420"/>
        <w:rPr>
          <w:rFonts w:ascii="宋体" w:hAnsi="宋体"/>
        </w:rPr>
      </w:pPr>
      <w:r>
        <w:rPr>
          <w:rFonts w:ascii="宋体" w:hAnsi="宋体"/>
        </w:rPr>
        <w:t>主要为竹木资源、矿产资源、旅游资源、水力资源。年产毛竹200多万条，年产冬笋2000多吨，活立木蓄积量50多万立方米。矿产主要有莹矿、铝矿、钨矿等。旅游资源主要有青嶂山风景区，景区内有座落在海拔917米处的“天池”、丹霞地貌的天然岩洞、世界罕见的珍稀高氡地热温泉、寨下水库游泳场等景点，镇内还创办金银花、花卉、食用菌毛竹“四大”基地。镇内的省级青嶂山自然保护区有许多珍稀的动植物。有小型水电站21座，装机容量达5520千瓦，发电量829万千瓦时。</w:t>
      </w:r>
    </w:p>
    <w:p w14:paraId="0F06C4B3">
      <w:pPr>
        <w:pStyle w:val="4"/>
      </w:pPr>
      <w:r>
        <w:t>【经济社会发展】</w:t>
      </w:r>
    </w:p>
    <w:p w14:paraId="707E8E73">
      <w:pPr>
        <w:ind w:firstLine="420"/>
        <w:rPr>
          <w:rFonts w:ascii="宋体" w:hAnsi="宋体"/>
        </w:rPr>
      </w:pPr>
      <w:r>
        <w:rPr>
          <w:rFonts w:ascii="宋体" w:hAnsi="宋体"/>
        </w:rPr>
        <w:t>2010年，全镇工农业总产值1.98亿元，比上年增加400万元，增长3%左右，其中农村经济总收入1.1162亿元，比上年增加360万元，增长4.5%。农村人均年纯收入5275元，比上年增加575元，增长10%，镇财政收入285万元，比上年增加15万元，增长7%。</w:t>
      </w:r>
    </w:p>
    <w:p w14:paraId="251B6EF7">
      <w:pPr>
        <w:pStyle w:val="4"/>
      </w:pPr>
      <w:r>
        <w:t>【社会事业发展概述】</w:t>
      </w:r>
    </w:p>
    <w:p w14:paraId="6CA244FC">
      <w:pPr>
        <w:ind w:firstLine="420"/>
        <w:rPr>
          <w:rFonts w:ascii="宋体" w:hAnsi="宋体"/>
        </w:rPr>
      </w:pPr>
      <w:r>
        <w:rPr>
          <w:rFonts w:ascii="宋体" w:hAnsi="宋体"/>
        </w:rPr>
        <w:t>2010年，农业农村经济平稳发展，实现农业经济总收入1.1162亿元，粮食、花生等主导产业产值增幅明显，食用菌、花卉等特色产业不断发展壮大，农业产业化进程不断加大。普九成果得到巩固，教学条件得到优化，适龄儿童入学率达到100%，中考人数98人，被雄中、市一中录取的达68人。推进民生工作，提高社会保障水平，农民参加新型合作医疗的意识进一步增强，参加新型合作医疗的人数10697人，覆盖率为96%。第六次全国人口普查圆满完成，组织45位普查员走进全镇2000多个家庭。2010年，出生人口176人，生育率为96.02%，已婚育龄妇女2649人，综合节育率为84.45%，落实“四术”209例。“扶贫双到”工作落到实处，为贫困村、贫困户投入110多万元帮扶资金。</w:t>
      </w:r>
    </w:p>
    <w:p w14:paraId="705137B2">
      <w:pPr>
        <w:pStyle w:val="4"/>
      </w:pPr>
      <w:r>
        <w:t>【特色产业发展】</w:t>
      </w:r>
    </w:p>
    <w:p w14:paraId="3168B95D">
      <w:pPr>
        <w:ind w:firstLine="420"/>
        <w:rPr>
          <w:rFonts w:ascii="宋体" w:hAnsi="宋体"/>
        </w:rPr>
      </w:pPr>
      <w:r>
        <w:rPr>
          <w:rFonts w:ascii="宋体" w:hAnsi="宋体"/>
        </w:rPr>
        <w:t>种植烟叶1644亩，收购烟叶4190担，收购资金310多万元。2010年度烟叶生产工作被市委市政府评为三等奖；把养殖黑山羊作为增加农民收入的一项重要产业来抓，从资金、技术等方面大力扶持。调动农户养猪的积极性，全年生猪出栏达到5000多头。通过养黑山羊、养猪业，带动了其他养殖业的发展，涌现出一大批养猪、养鱼、养鹅的专业大户；中草药业种植得到发展，按照“生态立镇、产业兴镇”的发展思路，打造千亩金银花中草药种植基地。计划三年内投资3000万元，种植规模为5000亩的金银花基地。2010年4月，已完成第一期1000亩良种金银花栽植。</w:t>
      </w:r>
    </w:p>
    <w:p w14:paraId="262D0021">
      <w:pPr>
        <w:pStyle w:val="4"/>
      </w:pPr>
      <w:r>
        <w:t>【基础设施建设】</w:t>
      </w:r>
    </w:p>
    <w:p w14:paraId="573D2606">
      <w:pPr>
        <w:ind w:firstLine="420"/>
        <w:rPr>
          <w:rFonts w:ascii="宋体" w:hAnsi="宋体"/>
        </w:rPr>
      </w:pPr>
      <w:r>
        <w:rPr>
          <w:rFonts w:ascii="宋体" w:hAnsi="宋体"/>
        </w:rPr>
        <w:t>一是农业基础设施方面。争取上级部门的支持，投资烟草基地工程建设资金近180万元，在坪岗、涌溪、元甫三个村委会兴建50间集约化烤烟房，在涌溪村建设集约化烟叶育苗场。投入300多万元，对9宗山塘水库进行除险加固，其中市水利局对涌溪村旱坪水圳进行加固，同时对寨下水库放水涵洞进行了疏通加固。二是道路基础设施方面。加大镇通村公路改造的力度，完善的乡村道路网络。完成元甫大桥的维修加固、镇政府门口跨河大桥扩建工程建设；投资200多万元完成圩镇道路、河堤，排水沟、绿化等城镇建设。三是农村基础设施建设方面。实施“清洁美”、“村庄整治”工程，加强墟镇管理，投资100多万元完善墟镇基础设施，配备保洁员、垃圾运输车等设备，投入15万元对江头村早禾地、鱼仙村芒东坑进行村庄整治，美化绿化了村容村貌；投资6万元为墟镇水沟清淤、添置沙井盖。</w:t>
      </w:r>
    </w:p>
    <w:p w14:paraId="59431EC9">
      <w:pPr>
        <w:pStyle w:val="4"/>
      </w:pPr>
      <w:r>
        <w:t>【扶贫双到】</w:t>
      </w:r>
    </w:p>
    <w:p w14:paraId="3A6C7664">
      <w:pPr>
        <w:ind w:firstLine="420"/>
        <w:rPr>
          <w:rFonts w:ascii="宋体" w:hAnsi="宋体"/>
        </w:rPr>
      </w:pPr>
      <w:r>
        <w:rPr>
          <w:rFonts w:ascii="宋体" w:hAnsi="宋体"/>
        </w:rPr>
        <w:t>按照扶贫开发“双到”工作的部署和要求及“一村一策、一户一法、整村推进”的原则建立扶贫工作档案，为贫困村制定脱贫规划、为贫困户制定帮扶措施，从“帮项目、帮资金、帮技术、帮点子”入手，确保贫困户在限期内脱贫。投入110多万元帮扶资金。2010年，“扶贫双到”工作被韶关市考评组评定为“良好”等次，通过考评组验收，扶贫开发“双到”工作已取得阶段性的成果。</w:t>
      </w:r>
    </w:p>
    <w:p w14:paraId="599EB003">
      <w:pPr>
        <w:pStyle w:val="4"/>
      </w:pPr>
      <w:r>
        <w:t>【招商引资】</w:t>
      </w:r>
    </w:p>
    <w:p w14:paraId="00336AAF">
      <w:pPr>
        <w:ind w:firstLine="420"/>
        <w:rPr>
          <w:rFonts w:ascii="宋体" w:hAnsi="宋体"/>
        </w:rPr>
      </w:pPr>
      <w:r>
        <w:rPr>
          <w:rFonts w:ascii="宋体" w:hAnsi="宋体"/>
        </w:rPr>
        <w:t>把招商引资工作作为“三大重点工作”之一来抓，“采取走出去、请进来”的办法，结合多种招商引资渠道，制定一系列优惠的政策，吸引更多的外来资金和投资者到该镇办厂、置业。同时，鼓励引导发展个体企业，解放思想，务实创新，并做好办证、水电安装、招工协助等配套服务工作，优化投资软环境，真正使投资者在该镇投资、办厂、置业充满信心。引进投资500万元的大鹏环保燃料厂、40多万元的饭岭香菇场和20多万元的民丰鞋厂。该镇家庭式的毛织厂有5家，其中粤顺针织厂规模较大，年产值达到100万元以上。上档次的宾馆、酒楼有6家。盛发竹器工艺厂、金江竹木制品厂、金桥竹器厂、武岭花卉场、金向五金配件厂等企业得到巩固发展。</w:t>
      </w:r>
    </w:p>
    <w:p w14:paraId="437DBBA4">
      <w:pPr>
        <w:pStyle w:val="4"/>
      </w:pPr>
      <w:r>
        <w:t>【林权制度改革】</w:t>
      </w:r>
    </w:p>
    <w:p w14:paraId="586C1DA7">
      <w:pPr>
        <w:ind w:firstLine="420"/>
        <w:rPr>
          <w:rFonts w:ascii="宋体" w:hAnsi="宋体"/>
        </w:rPr>
      </w:pPr>
      <w:r>
        <w:rPr>
          <w:rFonts w:ascii="宋体" w:hAnsi="宋体"/>
        </w:rPr>
        <w:t>坚持“封、管、造”相结合的方针，以创“林业生态镇”为契机，重点加强对全镇6.3万亩的省级生态公益林的建设，新造生态公益林2000多亩。推进林权改革，完成15万多亩的山林权属换证工作。同时，加强林政管理，打击破坏森林资源的违法犯罪活动，查处各种破坏森林资源的案件150多宗。青嶂山也已荣获省级自然保护区称号。</w:t>
      </w:r>
    </w:p>
    <w:p w14:paraId="140FADC8">
      <w:pPr>
        <w:pStyle w:val="4"/>
      </w:pPr>
      <w:r>
        <w:t>【人口与计生】</w:t>
      </w:r>
    </w:p>
    <w:p w14:paraId="2A66D8A2">
      <w:pPr>
        <w:ind w:firstLine="420"/>
        <w:rPr>
          <w:rFonts w:ascii="宋体" w:hAnsi="宋体"/>
        </w:rPr>
      </w:pPr>
      <w:r>
        <w:rPr>
          <w:rFonts w:ascii="宋体" w:hAnsi="宋体"/>
        </w:rPr>
        <w:t>2010计划生育工作年度，全镇出生人口176人，其中一孩105人（计划内一孩104人），二孩71人（计划内二孩65人），出生率为14.55‰，计划生育率为96.02%；已婚育龄妇女2649人，综合节育率为84.45%；全年共落实“四术”209例。连续五年都被韶关市、南雄市政府评为计生先进工作单位。</w:t>
      </w:r>
    </w:p>
    <w:p w14:paraId="0A130CA8">
      <w:pPr>
        <w:pStyle w:val="4"/>
      </w:pPr>
      <w:r>
        <w:t>【信访维稳工作】</w:t>
      </w:r>
    </w:p>
    <w:p w14:paraId="41A69B1C">
      <w:pPr>
        <w:ind w:firstLine="420"/>
        <w:rPr>
          <w:rFonts w:ascii="宋体" w:hAnsi="宋体"/>
        </w:rPr>
      </w:pPr>
      <w:r>
        <w:rPr>
          <w:rFonts w:ascii="宋体" w:hAnsi="宋体"/>
        </w:rPr>
        <w:t>2010年，综治信访维稳中心共排查各类民事矛盾纠纷64起，其中，排查群体事件5宗，受理各类信访案件54件，案件调结率100%。全镇共发生刑事案件8宗，治安案件47起，查处28起，查处率59.5%，处理违法人员25人。民主法制进一步健全。依法依规依程序完成“两委”换届选举工作。2010年度，镇综治中心被评为韶关市镇（街）优秀综治中心；司法所被评为南雄市调解工作先进单位。</w:t>
      </w:r>
    </w:p>
    <w:p w14:paraId="7533081B">
      <w:pPr>
        <w:pStyle w:val="4"/>
      </w:pPr>
      <w:r>
        <w:t>【文教卫生】</w:t>
      </w:r>
    </w:p>
    <w:p w14:paraId="4FB62B94">
      <w:pPr>
        <w:ind w:firstLine="420"/>
        <w:rPr>
          <w:rFonts w:ascii="宋体" w:hAnsi="宋体"/>
        </w:rPr>
      </w:pPr>
      <w:r>
        <w:rPr>
          <w:rFonts w:ascii="宋体" w:hAnsi="宋体"/>
        </w:rPr>
        <w:t>中心小学筹集资金继续改善师生的居住环境，教学条件得到优化，教学条件得到改善，巩固和发展农村九年制义务教育；江头中学在升中考试中取得好成绩，参考人数98人，取得600分以上的有3人，400分以上的有68人，已被雄中、市一中录取的有68人，涌现出一批品学兼优的本地学子和优秀教学工作者；参加新型合作医疗的人数10697人，覆盖率为96%，比2009年增加2个百分点，共为791人次参合农民提供医疗费用补偿14.9万元。</w:t>
      </w:r>
    </w:p>
    <w:p w14:paraId="383F51A0">
      <w:pPr>
        <w:pStyle w:val="4"/>
      </w:pPr>
      <w:r>
        <w:t>【完成冬季征兵任务】</w:t>
      </w:r>
    </w:p>
    <w:p w14:paraId="75886905">
      <w:pPr>
        <w:ind w:firstLine="420"/>
        <w:rPr>
          <w:rFonts w:ascii="宋体" w:hAnsi="宋体"/>
        </w:rPr>
      </w:pPr>
      <w:r>
        <w:rPr>
          <w:rFonts w:ascii="宋体" w:hAnsi="宋体"/>
        </w:rPr>
        <w:t>按照《征兵工作条例》，动员适龄青年应征入伍，把7名身体合格、政治过硬的青年送到部队去，完成冬季征兵工作任务。</w:t>
      </w:r>
    </w:p>
    <w:p w14:paraId="32658023">
      <w:pPr>
        <w:pStyle w:val="4"/>
      </w:pPr>
      <w:r>
        <w:t>【最低生活保障】</w:t>
      </w:r>
    </w:p>
    <w:p w14:paraId="786C43F6">
      <w:pPr>
        <w:ind w:firstLine="420"/>
        <w:rPr>
          <w:rFonts w:ascii="宋体" w:hAnsi="宋体"/>
        </w:rPr>
      </w:pPr>
      <w:r>
        <w:rPr>
          <w:rFonts w:ascii="宋体" w:hAnsi="宋体"/>
        </w:rPr>
        <w:t>关注民生，做好最低生活保障的调查模底和报送工作，已列入保障的有186户，共计509人，基本实现应保尽保。</w:t>
      </w:r>
    </w:p>
    <w:p w14:paraId="194C5F24">
      <w:pPr>
        <w:pStyle w:val="4"/>
      </w:pPr>
      <w:r>
        <w:t>【人口普查工作】</w:t>
      </w:r>
    </w:p>
    <w:p w14:paraId="26396F26">
      <w:pPr>
        <w:ind w:firstLine="420"/>
        <w:rPr>
          <w:rFonts w:ascii="宋体" w:hAnsi="宋体"/>
        </w:rPr>
      </w:pPr>
      <w:r>
        <w:rPr>
          <w:rFonts w:ascii="宋体" w:hAnsi="宋体"/>
        </w:rPr>
        <w:t>2010年开展的第六次全国人口普查圆满完成。该镇专门抽调精干力量，组织45位普查员走进全镇2000多个家庭，对1万多人口进行全面的普查，高质量的完成这项艰巨但意义重大的国情国力调查。</w:t>
      </w:r>
    </w:p>
    <w:p w14:paraId="0B83D7D5">
      <w:pPr>
        <w:pStyle w:val="4"/>
      </w:pPr>
      <w:r>
        <w:t>【党风廉政建设】</w:t>
      </w:r>
    </w:p>
    <w:p w14:paraId="621D06BB">
      <w:pPr>
        <w:ind w:firstLine="420"/>
        <w:rPr>
          <w:rFonts w:ascii="宋体" w:hAnsi="宋体"/>
        </w:rPr>
      </w:pPr>
      <w:r>
        <w:rPr>
          <w:rFonts w:ascii="宋体" w:hAnsi="宋体"/>
        </w:rPr>
        <w:t>一是党的建设得到巩固加强。围绕“组织创先进，党员争优秀，群众得实惠”这一主题，在镇基层党组织和广大党员中开展“双向承诺”活动。各基层党组织和320名党员结合新农村建设和自身能力、特长，提出1项或多项贴近农村生活实际的具体事项作为自己的承诺内容，村党支部每月或每季度在公开栏公示党员践诺进展情况，接受群众的监督。全年承诺事项392件，已兑现350件，直接受益群众3000多人。镇党委注重做好党员发展工作，坚持成熟一个，发展一个，把好质量关，“七一”期间，全镇吸收新党员25名，其中女党员有8名，35岁以下的有18名，高中以上学历占80%以上。二是党风廉政教育常抓不懈。2010年来，该镇更加注重转变作风抓落实，更加注重责任落实，全面加强党风廉政建设和反腐败斗争。</w:t>
      </w:r>
    </w:p>
    <w:p w14:paraId="3F3EB3D7">
      <w:pPr>
        <w:ind w:firstLine="422"/>
        <w:jc w:val="center"/>
        <w:rPr>
          <w:rFonts w:ascii="宋体" w:hAnsi="宋体"/>
          <w:b/>
        </w:rPr>
      </w:pPr>
      <w:r>
        <w:rPr>
          <w:rFonts w:hint="eastAsia" w:ascii="宋体" w:hAnsi="宋体"/>
          <w:b/>
        </w:rPr>
        <w:t>表32-3  江头镇各村（居）委会基本情况统计表</w:t>
      </w: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5"/>
        <w:gridCol w:w="1245"/>
        <w:gridCol w:w="1245"/>
        <w:gridCol w:w="1245"/>
        <w:gridCol w:w="1245"/>
        <w:gridCol w:w="1245"/>
        <w:gridCol w:w="1246"/>
        <w:gridCol w:w="1246"/>
      </w:tblGrid>
      <w:tr w14:paraId="75EC9A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5" w:type="pct"/>
            <w:vAlign w:val="center"/>
          </w:tcPr>
          <w:p w14:paraId="69F91ECF">
            <w:pPr>
              <w:pStyle w:val="13"/>
              <w:jc w:val="center"/>
              <w:rPr>
                <w:rFonts w:hint="eastAsia"/>
                <w:b/>
              </w:rPr>
            </w:pPr>
            <w:r>
              <w:rPr>
                <w:rFonts w:hint="eastAsia"/>
                <w:b/>
              </w:rPr>
              <w:t>村别</w:t>
            </w:r>
          </w:p>
        </w:tc>
        <w:tc>
          <w:tcPr>
            <w:tcW w:w="625" w:type="pct"/>
            <w:vAlign w:val="center"/>
          </w:tcPr>
          <w:p w14:paraId="08A88298">
            <w:pPr>
              <w:pStyle w:val="13"/>
              <w:jc w:val="center"/>
              <w:rPr>
                <w:rFonts w:hint="eastAsia"/>
                <w:b/>
              </w:rPr>
            </w:pPr>
            <w:r>
              <w:rPr>
                <w:rFonts w:hint="eastAsia"/>
                <w:b/>
              </w:rPr>
              <w:t>村小组（个）</w:t>
            </w:r>
          </w:p>
        </w:tc>
        <w:tc>
          <w:tcPr>
            <w:tcW w:w="625" w:type="pct"/>
            <w:vAlign w:val="center"/>
          </w:tcPr>
          <w:p w14:paraId="334AE5CE">
            <w:pPr>
              <w:pStyle w:val="13"/>
              <w:jc w:val="center"/>
              <w:rPr>
                <w:rFonts w:hint="eastAsia"/>
                <w:b/>
              </w:rPr>
            </w:pPr>
            <w:r>
              <w:rPr>
                <w:rFonts w:hint="eastAsia"/>
                <w:b/>
              </w:rPr>
              <w:t>户数</w:t>
            </w:r>
          </w:p>
        </w:tc>
        <w:tc>
          <w:tcPr>
            <w:tcW w:w="625" w:type="pct"/>
            <w:vAlign w:val="center"/>
          </w:tcPr>
          <w:p w14:paraId="19280E92">
            <w:pPr>
              <w:pStyle w:val="13"/>
              <w:jc w:val="center"/>
              <w:rPr>
                <w:rFonts w:hint="eastAsia"/>
                <w:b/>
              </w:rPr>
            </w:pPr>
            <w:r>
              <w:rPr>
                <w:rFonts w:hint="eastAsia"/>
                <w:b/>
              </w:rPr>
              <w:t>总人口</w:t>
            </w:r>
          </w:p>
        </w:tc>
        <w:tc>
          <w:tcPr>
            <w:tcW w:w="625" w:type="pct"/>
            <w:vAlign w:val="center"/>
          </w:tcPr>
          <w:p w14:paraId="47474D49">
            <w:pPr>
              <w:pStyle w:val="13"/>
              <w:jc w:val="center"/>
              <w:rPr>
                <w:rFonts w:hint="eastAsia"/>
                <w:b/>
              </w:rPr>
            </w:pPr>
            <w:r>
              <w:rPr>
                <w:rFonts w:hint="eastAsia"/>
                <w:b/>
              </w:rPr>
              <w:t>常住人口（人）</w:t>
            </w:r>
          </w:p>
        </w:tc>
        <w:tc>
          <w:tcPr>
            <w:tcW w:w="625" w:type="pct"/>
            <w:vAlign w:val="center"/>
          </w:tcPr>
          <w:p w14:paraId="3199E63C">
            <w:pPr>
              <w:pStyle w:val="13"/>
              <w:jc w:val="center"/>
              <w:rPr>
                <w:rFonts w:hint="eastAsia"/>
                <w:b/>
              </w:rPr>
            </w:pPr>
            <w:r>
              <w:rPr>
                <w:rFonts w:hint="eastAsia"/>
                <w:b/>
              </w:rPr>
              <w:t>劳动力资源</w:t>
            </w:r>
          </w:p>
        </w:tc>
        <w:tc>
          <w:tcPr>
            <w:tcW w:w="625" w:type="pct"/>
            <w:vAlign w:val="center"/>
          </w:tcPr>
          <w:p w14:paraId="55B7FE68">
            <w:pPr>
              <w:pStyle w:val="13"/>
              <w:jc w:val="center"/>
              <w:rPr>
                <w:rFonts w:hint="eastAsia"/>
                <w:b/>
              </w:rPr>
            </w:pPr>
            <w:r>
              <w:rPr>
                <w:rFonts w:hint="eastAsia"/>
                <w:b/>
              </w:rPr>
              <w:t>外出务工(人)</w:t>
            </w:r>
          </w:p>
        </w:tc>
        <w:tc>
          <w:tcPr>
            <w:tcW w:w="625" w:type="pct"/>
            <w:vAlign w:val="center"/>
          </w:tcPr>
          <w:p w14:paraId="4218A5A8">
            <w:pPr>
              <w:pStyle w:val="13"/>
              <w:jc w:val="center"/>
              <w:rPr>
                <w:rFonts w:hint="eastAsia"/>
                <w:b/>
              </w:rPr>
            </w:pPr>
            <w:r>
              <w:rPr>
                <w:rFonts w:hint="eastAsia"/>
                <w:b/>
              </w:rPr>
              <w:t>常用耕地总资源(亩)</w:t>
            </w:r>
          </w:p>
        </w:tc>
      </w:tr>
      <w:tr w14:paraId="7976F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5" w:type="pct"/>
            <w:vAlign w:val="center"/>
          </w:tcPr>
          <w:p w14:paraId="634CB3CD">
            <w:pPr>
              <w:pStyle w:val="13"/>
              <w:jc w:val="center"/>
              <w:rPr>
                <w:rFonts w:hint="eastAsia"/>
              </w:rPr>
            </w:pPr>
            <w:r>
              <w:rPr>
                <w:rFonts w:hint="eastAsia"/>
              </w:rPr>
              <w:t>坪岗</w:t>
            </w:r>
          </w:p>
        </w:tc>
        <w:tc>
          <w:tcPr>
            <w:tcW w:w="625" w:type="pct"/>
            <w:vAlign w:val="center"/>
          </w:tcPr>
          <w:p w14:paraId="1C8CCA74">
            <w:pPr>
              <w:pStyle w:val="13"/>
              <w:jc w:val="center"/>
              <w:rPr>
                <w:rFonts w:hint="eastAsia"/>
              </w:rPr>
            </w:pPr>
            <w:r>
              <w:rPr>
                <w:rFonts w:hint="eastAsia"/>
              </w:rPr>
              <w:t>12</w:t>
            </w:r>
          </w:p>
        </w:tc>
        <w:tc>
          <w:tcPr>
            <w:tcW w:w="625" w:type="pct"/>
            <w:vAlign w:val="center"/>
          </w:tcPr>
          <w:p w14:paraId="7550181A">
            <w:pPr>
              <w:pStyle w:val="13"/>
              <w:jc w:val="center"/>
              <w:rPr>
                <w:rFonts w:hint="eastAsia"/>
              </w:rPr>
            </w:pPr>
            <w:r>
              <w:rPr>
                <w:rFonts w:hint="eastAsia"/>
              </w:rPr>
              <w:t>350</w:t>
            </w:r>
          </w:p>
        </w:tc>
        <w:tc>
          <w:tcPr>
            <w:tcW w:w="625" w:type="pct"/>
            <w:vAlign w:val="center"/>
          </w:tcPr>
          <w:p w14:paraId="2684CA20">
            <w:pPr>
              <w:pStyle w:val="13"/>
              <w:jc w:val="center"/>
              <w:rPr>
                <w:rFonts w:hint="eastAsia"/>
              </w:rPr>
            </w:pPr>
            <w:r>
              <w:rPr>
                <w:rFonts w:hint="eastAsia"/>
              </w:rPr>
              <w:t>1461</w:t>
            </w:r>
          </w:p>
        </w:tc>
        <w:tc>
          <w:tcPr>
            <w:tcW w:w="625" w:type="pct"/>
            <w:vAlign w:val="center"/>
          </w:tcPr>
          <w:p w14:paraId="0795248D">
            <w:pPr>
              <w:pStyle w:val="13"/>
              <w:jc w:val="center"/>
              <w:rPr>
                <w:rFonts w:hint="eastAsia"/>
              </w:rPr>
            </w:pPr>
            <w:r>
              <w:rPr>
                <w:rFonts w:hint="eastAsia"/>
              </w:rPr>
              <w:t>1201</w:t>
            </w:r>
          </w:p>
        </w:tc>
        <w:tc>
          <w:tcPr>
            <w:tcW w:w="625" w:type="pct"/>
            <w:vAlign w:val="center"/>
          </w:tcPr>
          <w:p w14:paraId="3A9DEC8B">
            <w:pPr>
              <w:pStyle w:val="13"/>
              <w:jc w:val="center"/>
              <w:rPr>
                <w:rFonts w:hint="eastAsia"/>
              </w:rPr>
            </w:pPr>
            <w:r>
              <w:rPr>
                <w:rFonts w:hint="eastAsia"/>
              </w:rPr>
              <w:t>819</w:t>
            </w:r>
          </w:p>
        </w:tc>
        <w:tc>
          <w:tcPr>
            <w:tcW w:w="625" w:type="pct"/>
            <w:vAlign w:val="center"/>
          </w:tcPr>
          <w:p w14:paraId="21344C43">
            <w:pPr>
              <w:pStyle w:val="13"/>
              <w:jc w:val="center"/>
              <w:rPr>
                <w:rFonts w:hint="eastAsia"/>
              </w:rPr>
            </w:pPr>
            <w:r>
              <w:rPr>
                <w:rFonts w:hint="eastAsia"/>
              </w:rPr>
              <w:t>371</w:t>
            </w:r>
          </w:p>
        </w:tc>
        <w:tc>
          <w:tcPr>
            <w:tcW w:w="625" w:type="pct"/>
            <w:vAlign w:val="center"/>
          </w:tcPr>
          <w:p w14:paraId="00F783E6">
            <w:pPr>
              <w:pStyle w:val="13"/>
              <w:jc w:val="center"/>
              <w:rPr>
                <w:rFonts w:hint="eastAsia"/>
              </w:rPr>
            </w:pPr>
            <w:r>
              <w:rPr>
                <w:rFonts w:hint="eastAsia"/>
              </w:rPr>
              <w:t>1887</w:t>
            </w:r>
          </w:p>
        </w:tc>
      </w:tr>
      <w:tr w14:paraId="1473D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5" w:type="pct"/>
            <w:vAlign w:val="center"/>
          </w:tcPr>
          <w:p w14:paraId="23A55316">
            <w:pPr>
              <w:pStyle w:val="13"/>
              <w:jc w:val="center"/>
              <w:rPr>
                <w:rFonts w:hint="eastAsia"/>
              </w:rPr>
            </w:pPr>
            <w:r>
              <w:rPr>
                <w:rFonts w:hint="eastAsia"/>
              </w:rPr>
              <w:t>涌溪</w:t>
            </w:r>
          </w:p>
        </w:tc>
        <w:tc>
          <w:tcPr>
            <w:tcW w:w="625" w:type="pct"/>
            <w:vAlign w:val="center"/>
          </w:tcPr>
          <w:p w14:paraId="58366BA5">
            <w:pPr>
              <w:pStyle w:val="13"/>
              <w:jc w:val="center"/>
              <w:rPr>
                <w:rFonts w:hint="eastAsia"/>
              </w:rPr>
            </w:pPr>
            <w:r>
              <w:rPr>
                <w:rFonts w:hint="eastAsia"/>
              </w:rPr>
              <w:t>11</w:t>
            </w:r>
          </w:p>
        </w:tc>
        <w:tc>
          <w:tcPr>
            <w:tcW w:w="625" w:type="pct"/>
            <w:vAlign w:val="center"/>
          </w:tcPr>
          <w:p w14:paraId="15AB2254">
            <w:pPr>
              <w:pStyle w:val="13"/>
              <w:jc w:val="center"/>
              <w:rPr>
                <w:rFonts w:hint="eastAsia"/>
              </w:rPr>
            </w:pPr>
            <w:r>
              <w:rPr>
                <w:rFonts w:hint="eastAsia"/>
              </w:rPr>
              <w:t>363</w:t>
            </w:r>
          </w:p>
        </w:tc>
        <w:tc>
          <w:tcPr>
            <w:tcW w:w="625" w:type="pct"/>
            <w:vAlign w:val="center"/>
          </w:tcPr>
          <w:p w14:paraId="476F8D2A">
            <w:pPr>
              <w:pStyle w:val="13"/>
              <w:jc w:val="center"/>
              <w:rPr>
                <w:rFonts w:hint="eastAsia"/>
              </w:rPr>
            </w:pPr>
            <w:r>
              <w:rPr>
                <w:rFonts w:hint="eastAsia"/>
              </w:rPr>
              <w:t>1540</w:t>
            </w:r>
          </w:p>
        </w:tc>
        <w:tc>
          <w:tcPr>
            <w:tcW w:w="625" w:type="pct"/>
            <w:vAlign w:val="center"/>
          </w:tcPr>
          <w:p w14:paraId="35BC0C4E">
            <w:pPr>
              <w:pStyle w:val="13"/>
              <w:jc w:val="center"/>
              <w:rPr>
                <w:rFonts w:hint="eastAsia"/>
              </w:rPr>
            </w:pPr>
            <w:r>
              <w:rPr>
                <w:rFonts w:hint="eastAsia"/>
              </w:rPr>
              <w:t>1261</w:t>
            </w:r>
          </w:p>
        </w:tc>
        <w:tc>
          <w:tcPr>
            <w:tcW w:w="625" w:type="pct"/>
            <w:vAlign w:val="center"/>
          </w:tcPr>
          <w:p w14:paraId="707031B6">
            <w:pPr>
              <w:pStyle w:val="13"/>
              <w:jc w:val="center"/>
              <w:rPr>
                <w:rFonts w:hint="eastAsia"/>
              </w:rPr>
            </w:pPr>
            <w:r>
              <w:rPr>
                <w:rFonts w:hint="eastAsia"/>
              </w:rPr>
              <w:t>862</w:t>
            </w:r>
          </w:p>
        </w:tc>
        <w:tc>
          <w:tcPr>
            <w:tcW w:w="625" w:type="pct"/>
            <w:vAlign w:val="center"/>
          </w:tcPr>
          <w:p w14:paraId="2F9BFB45">
            <w:pPr>
              <w:pStyle w:val="13"/>
              <w:jc w:val="center"/>
              <w:rPr>
                <w:rFonts w:hint="eastAsia"/>
              </w:rPr>
            </w:pPr>
            <w:r>
              <w:rPr>
                <w:rFonts w:hint="eastAsia"/>
              </w:rPr>
              <w:t>337</w:t>
            </w:r>
          </w:p>
        </w:tc>
        <w:tc>
          <w:tcPr>
            <w:tcW w:w="625" w:type="pct"/>
            <w:vAlign w:val="center"/>
          </w:tcPr>
          <w:p w14:paraId="2F8126E2">
            <w:pPr>
              <w:pStyle w:val="13"/>
              <w:jc w:val="center"/>
              <w:rPr>
                <w:rFonts w:hint="eastAsia"/>
              </w:rPr>
            </w:pPr>
            <w:r>
              <w:rPr>
                <w:rFonts w:hint="eastAsia"/>
              </w:rPr>
              <w:t>1776</w:t>
            </w:r>
          </w:p>
        </w:tc>
      </w:tr>
      <w:tr w14:paraId="4EA6A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5" w:type="pct"/>
            <w:vAlign w:val="center"/>
          </w:tcPr>
          <w:p w14:paraId="7DEC9041">
            <w:pPr>
              <w:pStyle w:val="13"/>
              <w:jc w:val="center"/>
              <w:rPr>
                <w:rFonts w:hint="eastAsia"/>
              </w:rPr>
            </w:pPr>
            <w:r>
              <w:rPr>
                <w:rFonts w:hint="eastAsia"/>
              </w:rPr>
              <w:t>元甫</w:t>
            </w:r>
          </w:p>
        </w:tc>
        <w:tc>
          <w:tcPr>
            <w:tcW w:w="625" w:type="pct"/>
            <w:vAlign w:val="center"/>
          </w:tcPr>
          <w:p w14:paraId="14D1582F">
            <w:pPr>
              <w:pStyle w:val="13"/>
              <w:jc w:val="center"/>
              <w:rPr>
                <w:rFonts w:hint="eastAsia"/>
              </w:rPr>
            </w:pPr>
            <w:r>
              <w:rPr>
                <w:rFonts w:hint="eastAsia"/>
              </w:rPr>
              <w:t>12</w:t>
            </w:r>
          </w:p>
        </w:tc>
        <w:tc>
          <w:tcPr>
            <w:tcW w:w="625" w:type="pct"/>
            <w:vAlign w:val="center"/>
          </w:tcPr>
          <w:p w14:paraId="4709E7B0">
            <w:pPr>
              <w:pStyle w:val="13"/>
              <w:jc w:val="center"/>
              <w:rPr>
                <w:rFonts w:hint="eastAsia"/>
              </w:rPr>
            </w:pPr>
            <w:r>
              <w:rPr>
                <w:rFonts w:hint="eastAsia"/>
              </w:rPr>
              <w:t>370</w:t>
            </w:r>
          </w:p>
        </w:tc>
        <w:tc>
          <w:tcPr>
            <w:tcW w:w="625" w:type="pct"/>
            <w:vAlign w:val="center"/>
          </w:tcPr>
          <w:p w14:paraId="250D6461">
            <w:pPr>
              <w:pStyle w:val="13"/>
              <w:jc w:val="center"/>
              <w:rPr>
                <w:rFonts w:hint="eastAsia"/>
              </w:rPr>
            </w:pPr>
            <w:r>
              <w:rPr>
                <w:rFonts w:hint="eastAsia"/>
              </w:rPr>
              <w:t>1442</w:t>
            </w:r>
          </w:p>
        </w:tc>
        <w:tc>
          <w:tcPr>
            <w:tcW w:w="625" w:type="pct"/>
            <w:vAlign w:val="center"/>
          </w:tcPr>
          <w:p w14:paraId="66FF41C4">
            <w:pPr>
              <w:pStyle w:val="13"/>
              <w:jc w:val="center"/>
              <w:rPr>
                <w:rFonts w:hint="eastAsia"/>
              </w:rPr>
            </w:pPr>
            <w:r>
              <w:rPr>
                <w:rFonts w:hint="eastAsia"/>
              </w:rPr>
              <w:t>1182</w:t>
            </w:r>
          </w:p>
        </w:tc>
        <w:tc>
          <w:tcPr>
            <w:tcW w:w="625" w:type="pct"/>
            <w:vAlign w:val="center"/>
          </w:tcPr>
          <w:p w14:paraId="4F9C0ABF">
            <w:pPr>
              <w:pStyle w:val="13"/>
              <w:jc w:val="center"/>
              <w:rPr>
                <w:rFonts w:hint="eastAsia"/>
              </w:rPr>
            </w:pPr>
            <w:r>
              <w:rPr>
                <w:rFonts w:hint="eastAsia"/>
              </w:rPr>
              <w:t>807</w:t>
            </w:r>
          </w:p>
        </w:tc>
        <w:tc>
          <w:tcPr>
            <w:tcW w:w="625" w:type="pct"/>
            <w:vAlign w:val="center"/>
          </w:tcPr>
          <w:p w14:paraId="5416B819">
            <w:pPr>
              <w:pStyle w:val="13"/>
              <w:jc w:val="center"/>
              <w:rPr>
                <w:rFonts w:hint="eastAsia"/>
              </w:rPr>
            </w:pPr>
            <w:r>
              <w:rPr>
                <w:rFonts w:hint="eastAsia"/>
              </w:rPr>
              <w:t>366</w:t>
            </w:r>
          </w:p>
        </w:tc>
        <w:tc>
          <w:tcPr>
            <w:tcW w:w="625" w:type="pct"/>
            <w:vAlign w:val="center"/>
          </w:tcPr>
          <w:p w14:paraId="4205491B">
            <w:pPr>
              <w:pStyle w:val="13"/>
              <w:jc w:val="center"/>
              <w:rPr>
                <w:rFonts w:hint="eastAsia"/>
              </w:rPr>
            </w:pPr>
            <w:r>
              <w:rPr>
                <w:rFonts w:hint="eastAsia"/>
              </w:rPr>
              <w:t>2116</w:t>
            </w:r>
          </w:p>
        </w:tc>
      </w:tr>
      <w:tr w14:paraId="0969D9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5" w:type="pct"/>
            <w:vAlign w:val="center"/>
          </w:tcPr>
          <w:p w14:paraId="39D9D1F7">
            <w:pPr>
              <w:pStyle w:val="13"/>
              <w:jc w:val="center"/>
              <w:rPr>
                <w:rFonts w:hint="eastAsia"/>
              </w:rPr>
            </w:pPr>
            <w:r>
              <w:rPr>
                <w:rFonts w:hint="eastAsia"/>
              </w:rPr>
              <w:t>江头</w:t>
            </w:r>
          </w:p>
        </w:tc>
        <w:tc>
          <w:tcPr>
            <w:tcW w:w="625" w:type="pct"/>
            <w:vAlign w:val="center"/>
          </w:tcPr>
          <w:p w14:paraId="0E8D3141">
            <w:pPr>
              <w:pStyle w:val="13"/>
              <w:jc w:val="center"/>
              <w:rPr>
                <w:rFonts w:hint="eastAsia"/>
              </w:rPr>
            </w:pPr>
            <w:r>
              <w:rPr>
                <w:rFonts w:hint="eastAsia"/>
              </w:rPr>
              <w:t>11</w:t>
            </w:r>
          </w:p>
        </w:tc>
        <w:tc>
          <w:tcPr>
            <w:tcW w:w="625" w:type="pct"/>
            <w:vAlign w:val="center"/>
          </w:tcPr>
          <w:p w14:paraId="7F01A8D8">
            <w:pPr>
              <w:pStyle w:val="13"/>
              <w:jc w:val="center"/>
              <w:rPr>
                <w:rFonts w:hint="eastAsia"/>
              </w:rPr>
            </w:pPr>
            <w:r>
              <w:rPr>
                <w:rFonts w:hint="eastAsia"/>
              </w:rPr>
              <w:t>319</w:t>
            </w:r>
          </w:p>
        </w:tc>
        <w:tc>
          <w:tcPr>
            <w:tcW w:w="625" w:type="pct"/>
            <w:vAlign w:val="center"/>
          </w:tcPr>
          <w:p w14:paraId="32C12068">
            <w:pPr>
              <w:pStyle w:val="13"/>
              <w:jc w:val="center"/>
              <w:rPr>
                <w:rFonts w:hint="eastAsia"/>
              </w:rPr>
            </w:pPr>
            <w:r>
              <w:rPr>
                <w:rFonts w:hint="eastAsia"/>
              </w:rPr>
              <w:t>1365</w:t>
            </w:r>
          </w:p>
        </w:tc>
        <w:tc>
          <w:tcPr>
            <w:tcW w:w="625" w:type="pct"/>
            <w:vAlign w:val="center"/>
          </w:tcPr>
          <w:p w14:paraId="7806BEDE">
            <w:pPr>
              <w:pStyle w:val="13"/>
              <w:jc w:val="center"/>
              <w:rPr>
                <w:rFonts w:hint="eastAsia"/>
              </w:rPr>
            </w:pPr>
            <w:r>
              <w:rPr>
                <w:rFonts w:hint="eastAsia"/>
              </w:rPr>
              <w:t>1118</w:t>
            </w:r>
          </w:p>
        </w:tc>
        <w:tc>
          <w:tcPr>
            <w:tcW w:w="625" w:type="pct"/>
            <w:vAlign w:val="center"/>
          </w:tcPr>
          <w:p w14:paraId="5924762D">
            <w:pPr>
              <w:pStyle w:val="13"/>
              <w:jc w:val="center"/>
              <w:rPr>
                <w:rFonts w:hint="eastAsia"/>
              </w:rPr>
            </w:pPr>
            <w:r>
              <w:rPr>
                <w:rFonts w:hint="eastAsia"/>
              </w:rPr>
              <w:t>764</w:t>
            </w:r>
          </w:p>
        </w:tc>
        <w:tc>
          <w:tcPr>
            <w:tcW w:w="625" w:type="pct"/>
            <w:vAlign w:val="center"/>
          </w:tcPr>
          <w:p w14:paraId="40D609AC">
            <w:pPr>
              <w:pStyle w:val="13"/>
              <w:jc w:val="center"/>
              <w:rPr>
                <w:rFonts w:hint="eastAsia"/>
              </w:rPr>
            </w:pPr>
            <w:r>
              <w:rPr>
                <w:rFonts w:hint="eastAsia"/>
              </w:rPr>
              <w:t>278</w:t>
            </w:r>
          </w:p>
        </w:tc>
        <w:tc>
          <w:tcPr>
            <w:tcW w:w="625" w:type="pct"/>
            <w:vAlign w:val="center"/>
          </w:tcPr>
          <w:p w14:paraId="087B8685">
            <w:pPr>
              <w:pStyle w:val="13"/>
              <w:jc w:val="center"/>
              <w:rPr>
                <w:rFonts w:hint="eastAsia"/>
              </w:rPr>
            </w:pPr>
            <w:r>
              <w:rPr>
                <w:rFonts w:hint="eastAsia"/>
              </w:rPr>
              <w:t>1984</w:t>
            </w:r>
          </w:p>
        </w:tc>
      </w:tr>
      <w:tr w14:paraId="663078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5" w:type="pct"/>
            <w:vAlign w:val="center"/>
          </w:tcPr>
          <w:p w14:paraId="0344DF50">
            <w:pPr>
              <w:pStyle w:val="13"/>
              <w:jc w:val="center"/>
              <w:rPr>
                <w:rFonts w:hint="eastAsia"/>
              </w:rPr>
            </w:pPr>
            <w:r>
              <w:rPr>
                <w:rFonts w:hint="eastAsia"/>
              </w:rPr>
              <w:t>鱼仙</w:t>
            </w:r>
          </w:p>
        </w:tc>
        <w:tc>
          <w:tcPr>
            <w:tcW w:w="625" w:type="pct"/>
            <w:vAlign w:val="center"/>
          </w:tcPr>
          <w:p w14:paraId="402061CE">
            <w:pPr>
              <w:pStyle w:val="13"/>
              <w:jc w:val="center"/>
              <w:rPr>
                <w:rFonts w:hint="eastAsia"/>
              </w:rPr>
            </w:pPr>
            <w:r>
              <w:rPr>
                <w:rFonts w:hint="eastAsia"/>
              </w:rPr>
              <w:t>14</w:t>
            </w:r>
          </w:p>
        </w:tc>
        <w:tc>
          <w:tcPr>
            <w:tcW w:w="625" w:type="pct"/>
            <w:vAlign w:val="center"/>
          </w:tcPr>
          <w:p w14:paraId="30CF3B80">
            <w:pPr>
              <w:pStyle w:val="13"/>
              <w:jc w:val="center"/>
              <w:rPr>
                <w:rFonts w:hint="eastAsia"/>
              </w:rPr>
            </w:pPr>
            <w:r>
              <w:rPr>
                <w:rFonts w:hint="eastAsia"/>
              </w:rPr>
              <w:t>262</w:t>
            </w:r>
          </w:p>
        </w:tc>
        <w:tc>
          <w:tcPr>
            <w:tcW w:w="625" w:type="pct"/>
            <w:vAlign w:val="center"/>
          </w:tcPr>
          <w:p w14:paraId="6193DF69">
            <w:pPr>
              <w:pStyle w:val="13"/>
              <w:jc w:val="center"/>
              <w:rPr>
                <w:rFonts w:hint="eastAsia"/>
              </w:rPr>
            </w:pPr>
            <w:r>
              <w:rPr>
                <w:rFonts w:hint="eastAsia"/>
              </w:rPr>
              <w:t>1204</w:t>
            </w:r>
          </w:p>
        </w:tc>
        <w:tc>
          <w:tcPr>
            <w:tcW w:w="625" w:type="pct"/>
            <w:vAlign w:val="center"/>
          </w:tcPr>
          <w:p w14:paraId="2F11563D">
            <w:pPr>
              <w:pStyle w:val="13"/>
              <w:jc w:val="center"/>
              <w:rPr>
                <w:rFonts w:hint="eastAsia"/>
              </w:rPr>
            </w:pPr>
            <w:r>
              <w:rPr>
                <w:rFonts w:hint="eastAsia"/>
              </w:rPr>
              <w:t>986</w:t>
            </w:r>
          </w:p>
        </w:tc>
        <w:tc>
          <w:tcPr>
            <w:tcW w:w="625" w:type="pct"/>
            <w:vAlign w:val="center"/>
          </w:tcPr>
          <w:p w14:paraId="7BFD80DB">
            <w:pPr>
              <w:pStyle w:val="13"/>
              <w:jc w:val="center"/>
              <w:rPr>
                <w:rFonts w:hint="eastAsia"/>
              </w:rPr>
            </w:pPr>
            <w:r>
              <w:rPr>
                <w:rFonts w:hint="eastAsia"/>
              </w:rPr>
              <w:t>674</w:t>
            </w:r>
          </w:p>
        </w:tc>
        <w:tc>
          <w:tcPr>
            <w:tcW w:w="625" w:type="pct"/>
            <w:vAlign w:val="center"/>
          </w:tcPr>
          <w:p w14:paraId="7B456ABB">
            <w:pPr>
              <w:pStyle w:val="13"/>
              <w:jc w:val="center"/>
              <w:rPr>
                <w:rFonts w:hint="eastAsia"/>
              </w:rPr>
            </w:pPr>
            <w:r>
              <w:rPr>
                <w:rFonts w:hint="eastAsia"/>
              </w:rPr>
              <w:t>390</w:t>
            </w:r>
          </w:p>
        </w:tc>
        <w:tc>
          <w:tcPr>
            <w:tcW w:w="625" w:type="pct"/>
            <w:vAlign w:val="center"/>
          </w:tcPr>
          <w:p w14:paraId="170BDA3A">
            <w:pPr>
              <w:pStyle w:val="13"/>
              <w:jc w:val="center"/>
              <w:rPr>
                <w:rFonts w:hint="eastAsia"/>
              </w:rPr>
            </w:pPr>
            <w:r>
              <w:rPr>
                <w:rFonts w:hint="eastAsia"/>
              </w:rPr>
              <w:t>1100</w:t>
            </w:r>
          </w:p>
        </w:tc>
      </w:tr>
      <w:tr w14:paraId="47E08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5" w:type="pct"/>
            <w:vAlign w:val="center"/>
          </w:tcPr>
          <w:p w14:paraId="36BF3A05">
            <w:pPr>
              <w:pStyle w:val="13"/>
              <w:jc w:val="center"/>
              <w:rPr>
                <w:rFonts w:hint="eastAsia"/>
              </w:rPr>
            </w:pPr>
            <w:r>
              <w:rPr>
                <w:rFonts w:hint="eastAsia"/>
              </w:rPr>
              <w:t>大汉</w:t>
            </w:r>
          </w:p>
        </w:tc>
        <w:tc>
          <w:tcPr>
            <w:tcW w:w="625" w:type="pct"/>
            <w:vAlign w:val="center"/>
          </w:tcPr>
          <w:p w14:paraId="596F5955">
            <w:pPr>
              <w:pStyle w:val="13"/>
              <w:jc w:val="center"/>
              <w:rPr>
                <w:rFonts w:hint="eastAsia"/>
              </w:rPr>
            </w:pPr>
            <w:r>
              <w:rPr>
                <w:rFonts w:hint="eastAsia"/>
              </w:rPr>
              <w:t>7</w:t>
            </w:r>
          </w:p>
        </w:tc>
        <w:tc>
          <w:tcPr>
            <w:tcW w:w="625" w:type="pct"/>
            <w:vAlign w:val="center"/>
          </w:tcPr>
          <w:p w14:paraId="3CEE35D8">
            <w:pPr>
              <w:pStyle w:val="13"/>
              <w:jc w:val="center"/>
              <w:rPr>
                <w:rFonts w:hint="eastAsia"/>
              </w:rPr>
            </w:pPr>
            <w:r>
              <w:rPr>
                <w:rFonts w:hint="eastAsia"/>
              </w:rPr>
              <w:t>159</w:t>
            </w:r>
          </w:p>
        </w:tc>
        <w:tc>
          <w:tcPr>
            <w:tcW w:w="625" w:type="pct"/>
            <w:vAlign w:val="center"/>
          </w:tcPr>
          <w:p w14:paraId="14B359B2">
            <w:pPr>
              <w:pStyle w:val="13"/>
              <w:jc w:val="center"/>
              <w:rPr>
                <w:rFonts w:hint="eastAsia"/>
              </w:rPr>
            </w:pPr>
            <w:r>
              <w:rPr>
                <w:rFonts w:hint="eastAsia"/>
              </w:rPr>
              <w:t>647</w:t>
            </w:r>
          </w:p>
        </w:tc>
        <w:tc>
          <w:tcPr>
            <w:tcW w:w="625" w:type="pct"/>
            <w:vAlign w:val="center"/>
          </w:tcPr>
          <w:p w14:paraId="7AF00BB9">
            <w:pPr>
              <w:pStyle w:val="13"/>
              <w:jc w:val="center"/>
              <w:rPr>
                <w:rFonts w:hint="eastAsia"/>
              </w:rPr>
            </w:pPr>
            <w:r>
              <w:rPr>
                <w:rFonts w:hint="eastAsia"/>
              </w:rPr>
              <w:t>529</w:t>
            </w:r>
          </w:p>
        </w:tc>
        <w:tc>
          <w:tcPr>
            <w:tcW w:w="625" w:type="pct"/>
            <w:vAlign w:val="center"/>
          </w:tcPr>
          <w:p w14:paraId="52DD5E70">
            <w:pPr>
              <w:pStyle w:val="13"/>
              <w:jc w:val="center"/>
              <w:rPr>
                <w:rFonts w:hint="eastAsia"/>
              </w:rPr>
            </w:pPr>
            <w:r>
              <w:rPr>
                <w:rFonts w:hint="eastAsia"/>
              </w:rPr>
              <w:t>362</w:t>
            </w:r>
          </w:p>
        </w:tc>
        <w:tc>
          <w:tcPr>
            <w:tcW w:w="625" w:type="pct"/>
            <w:vAlign w:val="center"/>
          </w:tcPr>
          <w:p w14:paraId="566F0BFA">
            <w:pPr>
              <w:pStyle w:val="13"/>
              <w:jc w:val="center"/>
              <w:rPr>
                <w:rFonts w:hint="eastAsia"/>
              </w:rPr>
            </w:pPr>
            <w:r>
              <w:rPr>
                <w:rFonts w:hint="eastAsia"/>
              </w:rPr>
              <w:t>217</w:t>
            </w:r>
          </w:p>
        </w:tc>
        <w:tc>
          <w:tcPr>
            <w:tcW w:w="625" w:type="pct"/>
            <w:vAlign w:val="center"/>
          </w:tcPr>
          <w:p w14:paraId="60978137">
            <w:pPr>
              <w:pStyle w:val="13"/>
              <w:jc w:val="center"/>
              <w:rPr>
                <w:rFonts w:hint="eastAsia"/>
              </w:rPr>
            </w:pPr>
            <w:r>
              <w:rPr>
                <w:rFonts w:hint="eastAsia"/>
              </w:rPr>
              <w:t>1010</w:t>
            </w:r>
          </w:p>
        </w:tc>
      </w:tr>
      <w:tr w14:paraId="757EF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5" w:type="pct"/>
            <w:vAlign w:val="center"/>
          </w:tcPr>
          <w:p w14:paraId="3EB4D188">
            <w:pPr>
              <w:pStyle w:val="13"/>
              <w:jc w:val="center"/>
              <w:rPr>
                <w:rFonts w:hint="eastAsia"/>
              </w:rPr>
            </w:pPr>
            <w:r>
              <w:rPr>
                <w:rFonts w:hint="eastAsia"/>
              </w:rPr>
              <w:t>南甫</w:t>
            </w:r>
          </w:p>
        </w:tc>
        <w:tc>
          <w:tcPr>
            <w:tcW w:w="625" w:type="pct"/>
            <w:vAlign w:val="center"/>
          </w:tcPr>
          <w:p w14:paraId="75057AA8">
            <w:pPr>
              <w:pStyle w:val="13"/>
              <w:jc w:val="center"/>
              <w:rPr>
                <w:rFonts w:hint="eastAsia"/>
              </w:rPr>
            </w:pPr>
            <w:r>
              <w:rPr>
                <w:rFonts w:hint="eastAsia"/>
              </w:rPr>
              <w:t>11</w:t>
            </w:r>
          </w:p>
        </w:tc>
        <w:tc>
          <w:tcPr>
            <w:tcW w:w="625" w:type="pct"/>
            <w:vAlign w:val="center"/>
          </w:tcPr>
          <w:p w14:paraId="62B7E2A3">
            <w:pPr>
              <w:pStyle w:val="13"/>
              <w:jc w:val="center"/>
              <w:rPr>
                <w:rFonts w:hint="eastAsia"/>
              </w:rPr>
            </w:pPr>
            <w:r>
              <w:rPr>
                <w:rFonts w:hint="eastAsia"/>
              </w:rPr>
              <w:t>282</w:t>
            </w:r>
          </w:p>
        </w:tc>
        <w:tc>
          <w:tcPr>
            <w:tcW w:w="625" w:type="pct"/>
            <w:vAlign w:val="center"/>
          </w:tcPr>
          <w:p w14:paraId="011457BE">
            <w:pPr>
              <w:pStyle w:val="13"/>
              <w:jc w:val="center"/>
              <w:rPr>
                <w:rFonts w:hint="eastAsia"/>
              </w:rPr>
            </w:pPr>
            <w:r>
              <w:rPr>
                <w:rFonts w:hint="eastAsia"/>
              </w:rPr>
              <w:t>1170</w:t>
            </w:r>
          </w:p>
        </w:tc>
        <w:tc>
          <w:tcPr>
            <w:tcW w:w="625" w:type="pct"/>
            <w:vAlign w:val="center"/>
          </w:tcPr>
          <w:p w14:paraId="59480834">
            <w:pPr>
              <w:pStyle w:val="13"/>
              <w:jc w:val="center"/>
              <w:rPr>
                <w:rFonts w:hint="eastAsia"/>
              </w:rPr>
            </w:pPr>
            <w:r>
              <w:rPr>
                <w:rFonts w:hint="eastAsia"/>
              </w:rPr>
              <w:t>961</w:t>
            </w:r>
          </w:p>
        </w:tc>
        <w:tc>
          <w:tcPr>
            <w:tcW w:w="625" w:type="pct"/>
            <w:vAlign w:val="center"/>
          </w:tcPr>
          <w:p w14:paraId="49CD9607">
            <w:pPr>
              <w:pStyle w:val="13"/>
              <w:jc w:val="center"/>
              <w:rPr>
                <w:rFonts w:hint="eastAsia"/>
              </w:rPr>
            </w:pPr>
            <w:r>
              <w:rPr>
                <w:rFonts w:hint="eastAsia"/>
              </w:rPr>
              <w:t>655</w:t>
            </w:r>
          </w:p>
        </w:tc>
        <w:tc>
          <w:tcPr>
            <w:tcW w:w="625" w:type="pct"/>
            <w:vAlign w:val="center"/>
          </w:tcPr>
          <w:p w14:paraId="5B03D4EB">
            <w:pPr>
              <w:pStyle w:val="13"/>
              <w:jc w:val="center"/>
              <w:rPr>
                <w:rFonts w:hint="eastAsia"/>
              </w:rPr>
            </w:pPr>
            <w:r>
              <w:rPr>
                <w:rFonts w:hint="eastAsia"/>
              </w:rPr>
              <w:t>380</w:t>
            </w:r>
          </w:p>
        </w:tc>
        <w:tc>
          <w:tcPr>
            <w:tcW w:w="625" w:type="pct"/>
            <w:vAlign w:val="center"/>
          </w:tcPr>
          <w:p w14:paraId="6A7385DF">
            <w:pPr>
              <w:pStyle w:val="13"/>
              <w:jc w:val="center"/>
              <w:rPr>
                <w:rFonts w:hint="eastAsia"/>
              </w:rPr>
            </w:pPr>
            <w:r>
              <w:rPr>
                <w:rFonts w:hint="eastAsia"/>
              </w:rPr>
              <w:t>1460</w:t>
            </w:r>
          </w:p>
        </w:tc>
      </w:tr>
      <w:tr w14:paraId="77A752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5" w:type="pct"/>
            <w:vAlign w:val="center"/>
          </w:tcPr>
          <w:p w14:paraId="2C6251E1">
            <w:pPr>
              <w:pStyle w:val="13"/>
              <w:jc w:val="center"/>
              <w:rPr>
                <w:rFonts w:hint="eastAsia"/>
              </w:rPr>
            </w:pPr>
            <w:r>
              <w:rPr>
                <w:rFonts w:hint="eastAsia"/>
              </w:rPr>
              <w:t>武岭</w:t>
            </w:r>
          </w:p>
        </w:tc>
        <w:tc>
          <w:tcPr>
            <w:tcW w:w="625" w:type="pct"/>
            <w:vAlign w:val="center"/>
          </w:tcPr>
          <w:p w14:paraId="3C4D64D9">
            <w:pPr>
              <w:pStyle w:val="13"/>
              <w:jc w:val="center"/>
              <w:rPr>
                <w:rFonts w:hint="eastAsia"/>
              </w:rPr>
            </w:pPr>
            <w:r>
              <w:rPr>
                <w:rFonts w:hint="eastAsia"/>
              </w:rPr>
              <w:t>32</w:t>
            </w:r>
          </w:p>
        </w:tc>
        <w:tc>
          <w:tcPr>
            <w:tcW w:w="625" w:type="pct"/>
            <w:vAlign w:val="center"/>
          </w:tcPr>
          <w:p w14:paraId="362A7522">
            <w:pPr>
              <w:pStyle w:val="13"/>
              <w:jc w:val="center"/>
              <w:rPr>
                <w:rFonts w:hint="eastAsia"/>
              </w:rPr>
            </w:pPr>
            <w:r>
              <w:rPr>
                <w:rFonts w:hint="eastAsia"/>
              </w:rPr>
              <w:t>357</w:t>
            </w:r>
          </w:p>
        </w:tc>
        <w:tc>
          <w:tcPr>
            <w:tcW w:w="625" w:type="pct"/>
            <w:vAlign w:val="center"/>
          </w:tcPr>
          <w:p w14:paraId="20C79CA8">
            <w:pPr>
              <w:pStyle w:val="13"/>
              <w:jc w:val="center"/>
              <w:rPr>
                <w:rFonts w:hint="eastAsia"/>
              </w:rPr>
            </w:pPr>
            <w:r>
              <w:rPr>
                <w:rFonts w:hint="eastAsia"/>
              </w:rPr>
              <w:t>1292</w:t>
            </w:r>
          </w:p>
        </w:tc>
        <w:tc>
          <w:tcPr>
            <w:tcW w:w="625" w:type="pct"/>
            <w:vAlign w:val="center"/>
          </w:tcPr>
          <w:p w14:paraId="7134E087">
            <w:pPr>
              <w:pStyle w:val="13"/>
              <w:jc w:val="center"/>
              <w:rPr>
                <w:rFonts w:hint="eastAsia"/>
              </w:rPr>
            </w:pPr>
            <w:r>
              <w:rPr>
                <w:rFonts w:hint="eastAsia"/>
              </w:rPr>
              <w:t>1058</w:t>
            </w:r>
          </w:p>
        </w:tc>
        <w:tc>
          <w:tcPr>
            <w:tcW w:w="625" w:type="pct"/>
            <w:vAlign w:val="center"/>
          </w:tcPr>
          <w:p w14:paraId="3831647A">
            <w:pPr>
              <w:pStyle w:val="13"/>
              <w:jc w:val="center"/>
              <w:rPr>
                <w:rFonts w:hint="eastAsia"/>
              </w:rPr>
            </w:pPr>
            <w:r>
              <w:rPr>
                <w:rFonts w:hint="eastAsia"/>
              </w:rPr>
              <w:t>723</w:t>
            </w:r>
          </w:p>
        </w:tc>
        <w:tc>
          <w:tcPr>
            <w:tcW w:w="625" w:type="pct"/>
            <w:vAlign w:val="center"/>
          </w:tcPr>
          <w:p w14:paraId="00901B14">
            <w:pPr>
              <w:pStyle w:val="13"/>
              <w:jc w:val="center"/>
              <w:rPr>
                <w:rFonts w:hint="eastAsia"/>
              </w:rPr>
            </w:pPr>
            <w:r>
              <w:rPr>
                <w:rFonts w:hint="eastAsia"/>
              </w:rPr>
              <w:t>478</w:t>
            </w:r>
          </w:p>
        </w:tc>
        <w:tc>
          <w:tcPr>
            <w:tcW w:w="625" w:type="pct"/>
            <w:vAlign w:val="center"/>
          </w:tcPr>
          <w:p w14:paraId="37CEB7C6">
            <w:pPr>
              <w:pStyle w:val="13"/>
              <w:jc w:val="center"/>
              <w:rPr>
                <w:rFonts w:hint="eastAsia"/>
              </w:rPr>
            </w:pPr>
            <w:r>
              <w:rPr>
                <w:rFonts w:hint="eastAsia"/>
              </w:rPr>
              <w:t>1589</w:t>
            </w:r>
          </w:p>
        </w:tc>
      </w:tr>
      <w:tr w14:paraId="70664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5" w:type="pct"/>
            <w:vAlign w:val="center"/>
          </w:tcPr>
          <w:p w14:paraId="3119E802">
            <w:pPr>
              <w:pStyle w:val="13"/>
              <w:jc w:val="center"/>
              <w:rPr>
                <w:rFonts w:hint="eastAsia"/>
              </w:rPr>
            </w:pPr>
            <w:r>
              <w:rPr>
                <w:rFonts w:hint="eastAsia"/>
              </w:rPr>
              <w:t>小竹</w:t>
            </w:r>
          </w:p>
        </w:tc>
        <w:tc>
          <w:tcPr>
            <w:tcW w:w="625" w:type="pct"/>
            <w:vAlign w:val="center"/>
          </w:tcPr>
          <w:p w14:paraId="48E10F49">
            <w:pPr>
              <w:pStyle w:val="13"/>
              <w:jc w:val="center"/>
              <w:rPr>
                <w:rFonts w:hint="eastAsia"/>
              </w:rPr>
            </w:pPr>
            <w:r>
              <w:rPr>
                <w:rFonts w:hint="eastAsia"/>
              </w:rPr>
              <w:t>8</w:t>
            </w:r>
          </w:p>
        </w:tc>
        <w:tc>
          <w:tcPr>
            <w:tcW w:w="625" w:type="pct"/>
            <w:vAlign w:val="center"/>
          </w:tcPr>
          <w:p w14:paraId="2EAD5B62">
            <w:pPr>
              <w:pStyle w:val="13"/>
              <w:jc w:val="center"/>
              <w:rPr>
                <w:rFonts w:hint="eastAsia"/>
              </w:rPr>
            </w:pPr>
            <w:r>
              <w:rPr>
                <w:rFonts w:hint="eastAsia"/>
              </w:rPr>
              <w:t>248</w:t>
            </w:r>
          </w:p>
        </w:tc>
        <w:tc>
          <w:tcPr>
            <w:tcW w:w="625" w:type="pct"/>
            <w:vAlign w:val="center"/>
          </w:tcPr>
          <w:p w14:paraId="7EDB00F1">
            <w:pPr>
              <w:pStyle w:val="13"/>
              <w:jc w:val="center"/>
              <w:rPr>
                <w:rFonts w:hint="eastAsia"/>
              </w:rPr>
            </w:pPr>
            <w:r>
              <w:rPr>
                <w:rFonts w:hint="eastAsia"/>
              </w:rPr>
              <w:t>1107</w:t>
            </w:r>
          </w:p>
        </w:tc>
        <w:tc>
          <w:tcPr>
            <w:tcW w:w="625" w:type="pct"/>
            <w:vAlign w:val="center"/>
          </w:tcPr>
          <w:p w14:paraId="789BC2E5">
            <w:pPr>
              <w:pStyle w:val="13"/>
              <w:jc w:val="center"/>
              <w:rPr>
                <w:rFonts w:hint="eastAsia"/>
              </w:rPr>
            </w:pPr>
            <w:r>
              <w:rPr>
                <w:rFonts w:hint="eastAsia"/>
              </w:rPr>
              <w:t>906</w:t>
            </w:r>
          </w:p>
        </w:tc>
        <w:tc>
          <w:tcPr>
            <w:tcW w:w="625" w:type="pct"/>
            <w:vAlign w:val="center"/>
          </w:tcPr>
          <w:p w14:paraId="7BA4F59F">
            <w:pPr>
              <w:pStyle w:val="13"/>
              <w:jc w:val="center"/>
              <w:rPr>
                <w:rFonts w:hint="eastAsia"/>
              </w:rPr>
            </w:pPr>
            <w:r>
              <w:rPr>
                <w:rFonts w:hint="eastAsia"/>
              </w:rPr>
              <w:t>619</w:t>
            </w:r>
          </w:p>
        </w:tc>
        <w:tc>
          <w:tcPr>
            <w:tcW w:w="625" w:type="pct"/>
            <w:vAlign w:val="center"/>
          </w:tcPr>
          <w:p w14:paraId="7AB4626C">
            <w:pPr>
              <w:pStyle w:val="13"/>
              <w:jc w:val="center"/>
              <w:rPr>
                <w:rFonts w:hint="eastAsia"/>
              </w:rPr>
            </w:pPr>
            <w:r>
              <w:rPr>
                <w:rFonts w:hint="eastAsia"/>
              </w:rPr>
              <w:t>342</w:t>
            </w:r>
          </w:p>
        </w:tc>
        <w:tc>
          <w:tcPr>
            <w:tcW w:w="625" w:type="pct"/>
            <w:vAlign w:val="center"/>
          </w:tcPr>
          <w:p w14:paraId="1CCE2476">
            <w:pPr>
              <w:pStyle w:val="13"/>
              <w:jc w:val="center"/>
              <w:rPr>
                <w:rFonts w:hint="eastAsia"/>
              </w:rPr>
            </w:pPr>
            <w:r>
              <w:rPr>
                <w:rFonts w:hint="eastAsia"/>
              </w:rPr>
              <w:t>1412</w:t>
            </w:r>
          </w:p>
        </w:tc>
      </w:tr>
      <w:tr w14:paraId="27070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5" w:type="pct"/>
            <w:vAlign w:val="center"/>
          </w:tcPr>
          <w:p w14:paraId="5276CCA9">
            <w:pPr>
              <w:pStyle w:val="13"/>
              <w:jc w:val="center"/>
              <w:rPr>
                <w:rFonts w:hint="eastAsia"/>
              </w:rPr>
            </w:pPr>
            <w:r>
              <w:rPr>
                <w:rFonts w:hint="eastAsia"/>
              </w:rPr>
              <w:t>居委会</w:t>
            </w:r>
          </w:p>
        </w:tc>
        <w:tc>
          <w:tcPr>
            <w:tcW w:w="625" w:type="pct"/>
            <w:vAlign w:val="center"/>
          </w:tcPr>
          <w:p w14:paraId="74E9043D">
            <w:pPr>
              <w:pStyle w:val="13"/>
              <w:jc w:val="center"/>
              <w:rPr>
                <w:rFonts w:hint="eastAsia"/>
              </w:rPr>
            </w:pPr>
          </w:p>
        </w:tc>
        <w:tc>
          <w:tcPr>
            <w:tcW w:w="625" w:type="pct"/>
            <w:vAlign w:val="center"/>
          </w:tcPr>
          <w:p w14:paraId="2285C097">
            <w:pPr>
              <w:pStyle w:val="13"/>
              <w:jc w:val="center"/>
              <w:rPr>
                <w:rFonts w:hint="eastAsia"/>
              </w:rPr>
            </w:pPr>
            <w:r>
              <w:rPr>
                <w:rFonts w:hint="eastAsia"/>
              </w:rPr>
              <w:t>222</w:t>
            </w:r>
          </w:p>
        </w:tc>
        <w:tc>
          <w:tcPr>
            <w:tcW w:w="625" w:type="pct"/>
            <w:vAlign w:val="center"/>
          </w:tcPr>
          <w:p w14:paraId="26E89A0A">
            <w:pPr>
              <w:pStyle w:val="13"/>
              <w:jc w:val="center"/>
              <w:rPr>
                <w:rFonts w:hint="eastAsia"/>
              </w:rPr>
            </w:pPr>
            <w:r>
              <w:rPr>
                <w:rFonts w:hint="eastAsia"/>
              </w:rPr>
              <w:t>781</w:t>
            </w:r>
          </w:p>
        </w:tc>
        <w:tc>
          <w:tcPr>
            <w:tcW w:w="625" w:type="pct"/>
            <w:vAlign w:val="center"/>
          </w:tcPr>
          <w:p w14:paraId="03D630FA">
            <w:pPr>
              <w:pStyle w:val="13"/>
              <w:jc w:val="center"/>
              <w:rPr>
                <w:rFonts w:hint="eastAsia"/>
              </w:rPr>
            </w:pPr>
          </w:p>
        </w:tc>
        <w:tc>
          <w:tcPr>
            <w:tcW w:w="625" w:type="pct"/>
            <w:vAlign w:val="center"/>
          </w:tcPr>
          <w:p w14:paraId="47457BF7">
            <w:pPr>
              <w:pStyle w:val="13"/>
              <w:jc w:val="center"/>
              <w:rPr>
                <w:rFonts w:hint="eastAsia"/>
              </w:rPr>
            </w:pPr>
          </w:p>
        </w:tc>
        <w:tc>
          <w:tcPr>
            <w:tcW w:w="625" w:type="pct"/>
            <w:vAlign w:val="center"/>
          </w:tcPr>
          <w:p w14:paraId="5A621586">
            <w:pPr>
              <w:pStyle w:val="13"/>
              <w:jc w:val="center"/>
              <w:rPr>
                <w:rFonts w:hint="eastAsia"/>
              </w:rPr>
            </w:pPr>
          </w:p>
        </w:tc>
        <w:tc>
          <w:tcPr>
            <w:tcW w:w="625" w:type="pct"/>
            <w:vAlign w:val="center"/>
          </w:tcPr>
          <w:p w14:paraId="1AD3A1BA">
            <w:pPr>
              <w:pStyle w:val="13"/>
              <w:jc w:val="center"/>
              <w:rPr>
                <w:rFonts w:hint="eastAsia"/>
              </w:rPr>
            </w:pPr>
          </w:p>
        </w:tc>
      </w:tr>
      <w:tr w14:paraId="67CA9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5" w:type="pct"/>
            <w:vAlign w:val="center"/>
          </w:tcPr>
          <w:p w14:paraId="36DB9208">
            <w:pPr>
              <w:pStyle w:val="13"/>
              <w:jc w:val="center"/>
              <w:rPr>
                <w:rFonts w:hint="eastAsia"/>
              </w:rPr>
            </w:pPr>
            <w:r>
              <w:rPr>
                <w:rFonts w:hint="eastAsia"/>
              </w:rPr>
              <w:t>共计</w:t>
            </w:r>
          </w:p>
        </w:tc>
        <w:tc>
          <w:tcPr>
            <w:tcW w:w="625" w:type="pct"/>
            <w:vAlign w:val="center"/>
          </w:tcPr>
          <w:p w14:paraId="0348A01C">
            <w:pPr>
              <w:pStyle w:val="13"/>
              <w:jc w:val="center"/>
              <w:rPr>
                <w:rFonts w:hint="eastAsia"/>
              </w:rPr>
            </w:pPr>
            <w:r>
              <w:rPr>
                <w:rFonts w:hint="eastAsia"/>
              </w:rPr>
              <w:t>97</w:t>
            </w:r>
          </w:p>
        </w:tc>
        <w:tc>
          <w:tcPr>
            <w:tcW w:w="625" w:type="pct"/>
            <w:vAlign w:val="center"/>
          </w:tcPr>
          <w:p w14:paraId="63BEB3F3">
            <w:pPr>
              <w:pStyle w:val="13"/>
              <w:jc w:val="center"/>
              <w:rPr>
                <w:rFonts w:hint="eastAsia"/>
              </w:rPr>
            </w:pPr>
            <w:r>
              <w:rPr>
                <w:rFonts w:hint="eastAsia"/>
              </w:rPr>
              <w:t>2855</w:t>
            </w:r>
          </w:p>
        </w:tc>
        <w:tc>
          <w:tcPr>
            <w:tcW w:w="625" w:type="pct"/>
            <w:vAlign w:val="center"/>
          </w:tcPr>
          <w:p w14:paraId="5F4C9F5B">
            <w:pPr>
              <w:pStyle w:val="13"/>
              <w:jc w:val="center"/>
              <w:rPr>
                <w:rFonts w:hint="eastAsia"/>
              </w:rPr>
            </w:pPr>
            <w:r>
              <w:rPr>
                <w:rFonts w:hint="eastAsia"/>
              </w:rPr>
              <w:t>11966</w:t>
            </w:r>
          </w:p>
        </w:tc>
        <w:tc>
          <w:tcPr>
            <w:tcW w:w="625" w:type="pct"/>
            <w:vAlign w:val="center"/>
          </w:tcPr>
          <w:p w14:paraId="33828CEA">
            <w:pPr>
              <w:pStyle w:val="13"/>
              <w:jc w:val="center"/>
              <w:rPr>
                <w:rFonts w:hint="eastAsia"/>
              </w:rPr>
            </w:pPr>
            <w:r>
              <w:rPr>
                <w:rFonts w:hint="eastAsia"/>
              </w:rPr>
              <w:t>9202</w:t>
            </w:r>
          </w:p>
        </w:tc>
        <w:tc>
          <w:tcPr>
            <w:tcW w:w="625" w:type="pct"/>
            <w:vAlign w:val="center"/>
          </w:tcPr>
          <w:p w14:paraId="27B15E80">
            <w:pPr>
              <w:pStyle w:val="13"/>
              <w:jc w:val="center"/>
              <w:rPr>
                <w:rFonts w:hint="eastAsia"/>
              </w:rPr>
            </w:pPr>
            <w:r>
              <w:rPr>
                <w:rFonts w:hint="eastAsia"/>
              </w:rPr>
              <w:t>6285</w:t>
            </w:r>
          </w:p>
        </w:tc>
        <w:tc>
          <w:tcPr>
            <w:tcW w:w="625" w:type="pct"/>
            <w:vAlign w:val="center"/>
          </w:tcPr>
          <w:p w14:paraId="214E0833">
            <w:pPr>
              <w:pStyle w:val="13"/>
              <w:jc w:val="center"/>
              <w:rPr>
                <w:rFonts w:hint="eastAsia"/>
              </w:rPr>
            </w:pPr>
            <w:r>
              <w:rPr>
                <w:rFonts w:hint="eastAsia"/>
              </w:rPr>
              <w:t>3159</w:t>
            </w:r>
          </w:p>
        </w:tc>
        <w:tc>
          <w:tcPr>
            <w:tcW w:w="625" w:type="pct"/>
            <w:vAlign w:val="center"/>
          </w:tcPr>
          <w:p w14:paraId="42B202B9">
            <w:pPr>
              <w:pStyle w:val="13"/>
              <w:jc w:val="center"/>
              <w:rPr>
                <w:rFonts w:hint="eastAsia"/>
              </w:rPr>
            </w:pPr>
            <w:r>
              <w:rPr>
                <w:rFonts w:hint="eastAsia"/>
              </w:rPr>
              <w:t>14334</w:t>
            </w:r>
          </w:p>
        </w:tc>
      </w:tr>
    </w:tbl>
    <w:p w14:paraId="3E701E04">
      <w:pPr>
        <w:ind w:firstLine="420"/>
        <w:jc w:val="right"/>
        <w:rPr>
          <w:rFonts w:ascii="宋体" w:hAnsi="宋体"/>
        </w:rPr>
      </w:pPr>
      <w:r>
        <w:rPr>
          <w:rFonts w:hint="eastAsia" w:ascii="宋体" w:hAnsi="宋体"/>
        </w:rPr>
        <w:t>（吴七妹）</w:t>
      </w:r>
    </w:p>
    <w:p w14:paraId="359CCFBB">
      <w:pPr>
        <w:ind w:firstLine="422"/>
        <w:rPr>
          <w:rFonts w:ascii="宋体" w:hAnsi="宋体"/>
          <w:b/>
          <w:bCs/>
        </w:rPr>
      </w:pPr>
      <w:r>
        <w:rPr>
          <w:rFonts w:ascii="宋体" w:hAnsi="宋体"/>
          <w:b/>
          <w:bCs/>
        </w:rPr>
        <w:t>附：2010年江头镇领导班子成员名单</w:t>
      </w:r>
    </w:p>
    <w:p w14:paraId="1B2AD00C">
      <w:pPr>
        <w:ind w:firstLine="422"/>
        <w:rPr>
          <w:rFonts w:ascii="宋体" w:hAnsi="宋体"/>
        </w:rPr>
      </w:pPr>
      <w:r>
        <w:rPr>
          <w:rFonts w:ascii="宋体" w:hAnsi="宋体"/>
          <w:b/>
          <w:bCs/>
        </w:rPr>
        <w:t>党委书记、人大主席：</w:t>
      </w:r>
      <w:r>
        <w:rPr>
          <w:rFonts w:ascii="宋体" w:hAnsi="宋体"/>
        </w:rPr>
        <w:t>蔡富</w:t>
      </w:r>
    </w:p>
    <w:p w14:paraId="05E16EA7">
      <w:pPr>
        <w:ind w:firstLine="422"/>
        <w:rPr>
          <w:rFonts w:ascii="宋体" w:hAnsi="宋体"/>
        </w:rPr>
      </w:pPr>
      <w:r>
        <w:rPr>
          <w:rFonts w:ascii="宋体" w:hAnsi="宋体"/>
          <w:b/>
          <w:bCs/>
        </w:rPr>
        <w:t>党委副书记、镇长：</w:t>
      </w:r>
      <w:r>
        <w:rPr>
          <w:rFonts w:ascii="宋体" w:hAnsi="宋体"/>
        </w:rPr>
        <w:t>何怡</w:t>
      </w:r>
    </w:p>
    <w:p w14:paraId="0F386AC3">
      <w:pPr>
        <w:ind w:firstLine="422"/>
        <w:rPr>
          <w:rFonts w:ascii="宋体" w:hAnsi="宋体"/>
        </w:rPr>
      </w:pPr>
      <w:r>
        <w:rPr>
          <w:rFonts w:ascii="宋体" w:hAnsi="宋体"/>
          <w:b/>
          <w:bCs/>
        </w:rPr>
        <w:t>党委副书记：</w:t>
      </w:r>
      <w:r>
        <w:rPr>
          <w:rFonts w:ascii="宋体" w:hAnsi="宋体"/>
        </w:rPr>
        <w:t>张红华</w:t>
      </w:r>
    </w:p>
    <w:p w14:paraId="5A2C6EE8">
      <w:pPr>
        <w:ind w:firstLine="422"/>
        <w:rPr>
          <w:rFonts w:ascii="宋体" w:hAnsi="宋体"/>
        </w:rPr>
      </w:pPr>
      <w:r>
        <w:rPr>
          <w:rFonts w:ascii="宋体" w:hAnsi="宋体"/>
          <w:b/>
          <w:bCs/>
        </w:rPr>
        <w:t>纪委书记：</w:t>
      </w:r>
      <w:r>
        <w:rPr>
          <w:rFonts w:ascii="宋体" w:hAnsi="宋体"/>
        </w:rPr>
        <w:t>王丽平</w:t>
      </w:r>
    </w:p>
    <w:p w14:paraId="42B75184">
      <w:pPr>
        <w:ind w:firstLine="422"/>
        <w:rPr>
          <w:rFonts w:ascii="宋体" w:hAnsi="宋体"/>
        </w:rPr>
      </w:pPr>
      <w:r>
        <w:rPr>
          <w:rFonts w:ascii="宋体" w:hAnsi="宋体"/>
          <w:b/>
          <w:bCs/>
        </w:rPr>
        <w:t>副镇长：</w:t>
      </w:r>
      <w:r>
        <w:rPr>
          <w:rFonts w:ascii="宋体" w:hAnsi="宋体"/>
        </w:rPr>
        <w:t>赵忠灵</w:t>
      </w:r>
      <w:r>
        <w:rPr>
          <w:rFonts w:hint="eastAsia" w:ascii="宋体" w:hAnsi="宋体"/>
        </w:rPr>
        <w:t xml:space="preserve">  </w:t>
      </w:r>
      <w:r>
        <w:rPr>
          <w:rFonts w:ascii="宋体" w:hAnsi="宋体"/>
        </w:rPr>
        <w:t>邱万锋</w:t>
      </w:r>
    </w:p>
    <w:p w14:paraId="53D1853E">
      <w:pPr>
        <w:ind w:firstLine="422"/>
        <w:rPr>
          <w:rFonts w:ascii="宋体" w:hAnsi="宋体"/>
        </w:rPr>
      </w:pPr>
      <w:r>
        <w:rPr>
          <w:rFonts w:ascii="宋体" w:hAnsi="宋体"/>
          <w:b/>
          <w:bCs/>
        </w:rPr>
        <w:t>人大副主席：</w:t>
      </w:r>
      <w:r>
        <w:rPr>
          <w:rFonts w:ascii="宋体" w:hAnsi="宋体"/>
        </w:rPr>
        <w:t>李阶明</w:t>
      </w:r>
    </w:p>
    <w:p w14:paraId="7590F4B5">
      <w:pPr>
        <w:ind w:firstLine="422"/>
        <w:rPr>
          <w:rFonts w:ascii="宋体" w:hAnsi="宋体"/>
        </w:rPr>
      </w:pPr>
      <w:r>
        <w:rPr>
          <w:rFonts w:ascii="宋体" w:hAnsi="宋体"/>
          <w:b/>
          <w:bCs/>
        </w:rPr>
        <w:t>武装部长：</w:t>
      </w:r>
      <w:r>
        <w:rPr>
          <w:rFonts w:ascii="宋体" w:hAnsi="宋体"/>
        </w:rPr>
        <w:t>邓荣贵</w:t>
      </w:r>
    </w:p>
    <w:p w14:paraId="3BA1A65B">
      <w:pPr>
        <w:ind w:firstLine="422"/>
        <w:rPr>
          <w:rFonts w:ascii="宋体" w:hAnsi="宋体"/>
        </w:rPr>
      </w:pPr>
      <w:r>
        <w:rPr>
          <w:rFonts w:ascii="宋体" w:hAnsi="宋体"/>
          <w:b/>
          <w:bCs/>
        </w:rPr>
        <w:t>组织委员：</w:t>
      </w:r>
      <w:r>
        <w:rPr>
          <w:rFonts w:ascii="宋体" w:hAnsi="宋体"/>
        </w:rPr>
        <w:t>钟兴华</w:t>
      </w:r>
    </w:p>
    <w:p w14:paraId="59E73196">
      <w:pPr>
        <w:ind w:firstLine="422"/>
        <w:rPr>
          <w:rFonts w:ascii="宋体" w:hAnsi="宋体"/>
        </w:rPr>
      </w:pPr>
      <w:r>
        <w:rPr>
          <w:rFonts w:ascii="宋体" w:hAnsi="宋体"/>
          <w:b/>
          <w:bCs/>
        </w:rPr>
        <w:t>宣传委员：</w:t>
      </w:r>
      <w:r>
        <w:rPr>
          <w:rFonts w:ascii="宋体" w:hAnsi="宋体"/>
        </w:rPr>
        <w:t>叶常祖</w:t>
      </w:r>
    </w:p>
    <w:p w14:paraId="25AE1570">
      <w:pPr>
        <w:pStyle w:val="3"/>
      </w:pPr>
      <w:r>
        <w:rPr>
          <w:rFonts w:hint="eastAsia"/>
        </w:rPr>
        <w:t>水口镇</w:t>
      </w:r>
    </w:p>
    <w:p w14:paraId="35E8EF5D">
      <w:pPr>
        <w:pStyle w:val="4"/>
      </w:pPr>
      <w:r>
        <w:t>【概况】</w:t>
      </w:r>
    </w:p>
    <w:p w14:paraId="5A0A0DA9">
      <w:pPr>
        <w:ind w:firstLine="420"/>
        <w:rPr>
          <w:rFonts w:ascii="宋体" w:hAnsi="宋体"/>
        </w:rPr>
      </w:pPr>
      <w:r>
        <w:rPr>
          <w:rFonts w:ascii="宋体" w:hAnsi="宋体"/>
        </w:rPr>
        <w:t>水口镇位于南雄市东南部，属革命老区，是1932年发生的著名的水口战役所在地。镇政府驻地水口墟，距南雄市区21公里，与本市江头、南亩、黄坑、湖口等镇及雄州街道相邻，西南面与江西省全南县接壤。全镇辖13个村委会和1个社区居委会，184个村小组，总人口24419人，其中农业人口23038人，居有少数民族畲族。全镇总面积114平方公里，耕地面积1779公顷，林地面积6023.4公顷，生态公益林面积2266.2公顷。市属宝江水库、泷头林场也在境内。2010年镇级财政收入190.5万元，农民人均纯收入5445元。镇域气候四季分明，属亚热带季风性湿润气候。</w:t>
      </w:r>
    </w:p>
    <w:p w14:paraId="32340165">
      <w:pPr>
        <w:ind w:firstLine="420"/>
        <w:rPr>
          <w:rFonts w:ascii="宋体" w:hAnsi="宋体"/>
        </w:rPr>
      </w:pPr>
      <w:r>
        <w:rPr>
          <w:rFonts w:ascii="宋体" w:hAnsi="宋体"/>
        </w:rPr>
        <w:t>镇域内有县道342线、338线纵横贯穿，通往周边乡镇道路全面是水泥公路，镇通行政村都全面实现水泥硬底化公路。国内、国际通讯便利。有1所九年一贯制学校、1所完全小学、2个教学点，学校校舍实现了混砖楼房化；有1所卫生院，13间医疗站。境内有1宗中型水库，8宗小（二）型水库，万立方米以上山塘63多宗，陂头、电排众多，水利设施完善。</w:t>
      </w:r>
    </w:p>
    <w:p w14:paraId="70A44BD0">
      <w:pPr>
        <w:pStyle w:val="4"/>
      </w:pPr>
      <w:r>
        <w:t>【经济社会发展】</w:t>
      </w:r>
    </w:p>
    <w:p w14:paraId="79002C1E">
      <w:pPr>
        <w:ind w:firstLine="420"/>
        <w:rPr>
          <w:rFonts w:ascii="宋体" w:hAnsi="宋体"/>
        </w:rPr>
      </w:pPr>
      <w:r>
        <w:rPr>
          <w:rFonts w:ascii="宋体" w:hAnsi="宋体"/>
        </w:rPr>
        <w:t>主要农作物为黄烟、水稻、花生、大豆；2010年黄烟烟叶产量1093.8吨，收购总资金达1919万元。稻谷产量11999吨，花生产量1048吨。农业科学技术得到广泛应用。烟叶生产方面，烤烟漂浮育苗、地膜覆盖种植、密集式电烤房烘烤烟叶等新科技日益普及；地膜花生栽培技术全面普及；优质稻种植全面推广，抛秧面积达100%；科学除草剂在农作物种植中广泛应用。水产业主要为鲩鱼、鲢鱼、鳙鱼养殖，2010年总产831多吨。林果业主要为丛生竹、毛竹、松树、杉树，乔灌杂树和桃、柑、桔、李、梅等果树种植。生猪出栏量2.5万多头，三鸟出栏量29万多只。农土特产品主要有弱过李果、泷头西瓜等。</w:t>
      </w:r>
    </w:p>
    <w:p w14:paraId="77E25F2E">
      <w:pPr>
        <w:pStyle w:val="4"/>
      </w:pPr>
      <w:r>
        <w:t>【社会事业发展】</w:t>
      </w:r>
    </w:p>
    <w:p w14:paraId="6CFD3B01">
      <w:pPr>
        <w:ind w:firstLine="420"/>
        <w:rPr>
          <w:rFonts w:ascii="宋体" w:hAnsi="宋体"/>
        </w:rPr>
      </w:pPr>
      <w:r>
        <w:rPr>
          <w:rFonts w:ascii="宋体" w:hAnsi="宋体"/>
        </w:rPr>
        <w:t>农村居民最低生活保障制度建立并不断完善，2010年底，全镇享受最低生活保障补助的人数达1104人。人口与计划生育目标管理工作任务全面完成。2010年全镇参保人数达21325人。重大动物疫病防控机制建立，禽流感免疫注射工作走在全市前列，预防工作取得阶段性成果。农村基层组织办公条件得到改善，全镇村“两委”都有办公大楼。文教卫生事业稳步发展，创建广东省“教育强镇”工作扎实推进，九年义务教育全面普及。镇、村医疗机构标准规范化建设工作全面推进，妇幼保健水平不断提高，农村初级保健目标基本实现。2010年引进星翔自来水公司，转变管理体制，群众用上清洁卫生的自来水。耕地实现动态平衡。“扶贫”双到工作成效初显，2010年全镇实现40%的贫困户脱贫目标。</w:t>
      </w:r>
    </w:p>
    <w:p w14:paraId="0DEA858D">
      <w:pPr>
        <w:pStyle w:val="4"/>
      </w:pPr>
      <w:r>
        <w:t>【农业综合开发】</w:t>
      </w:r>
    </w:p>
    <w:p w14:paraId="52DBB5C4">
      <w:pPr>
        <w:ind w:firstLine="420"/>
        <w:rPr>
          <w:rFonts w:ascii="宋体" w:hAnsi="宋体"/>
        </w:rPr>
      </w:pPr>
      <w:r>
        <w:rPr>
          <w:rFonts w:ascii="宋体" w:hAnsi="宋体"/>
        </w:rPr>
        <w:t>南雄市水口镇国家农业综合开发土地治理项目建设于2010年12月，总投资规模1100多万元，涉及弱过、水口、河村、大坪4个村委会，覆盖66个村小组，改造中低产田646.7公顷，筑砌硬底化渠道41.4公里，维修渠道5.72公里，维修拦河坝3座，建设渠系建筑物78座，疏浚渠道81.13公里，修建机耕路12.66公里，改造土壤533公顷，受益农户2165户，受益人口8675人。</w:t>
      </w:r>
    </w:p>
    <w:p w14:paraId="2633CAA4">
      <w:pPr>
        <w:pStyle w:val="4"/>
      </w:pPr>
      <w:r>
        <w:t>【人口普查】</w:t>
      </w:r>
    </w:p>
    <w:p w14:paraId="38957D77">
      <w:pPr>
        <w:ind w:firstLine="420"/>
        <w:rPr>
          <w:rFonts w:ascii="宋体" w:hAnsi="宋体"/>
        </w:rPr>
      </w:pPr>
      <w:r>
        <w:rPr>
          <w:rFonts w:ascii="宋体" w:hAnsi="宋体"/>
        </w:rPr>
        <w:t>根据《全国人口普查条例》和《国务院关于开展第六次全国人口普查的通知》，我国以2010年11月1日零时为标准时点进行第六次全国人口普查，全镇总人口为24002人，其中：农业人口22381人。</w:t>
      </w:r>
    </w:p>
    <w:p w14:paraId="475ED604">
      <w:pPr>
        <w:pStyle w:val="4"/>
      </w:pPr>
      <w:r>
        <w:t>【红色旅游】</w:t>
      </w:r>
    </w:p>
    <w:p w14:paraId="7D4F2163">
      <w:pPr>
        <w:ind w:firstLine="420"/>
        <w:rPr>
          <w:rFonts w:ascii="宋体" w:hAnsi="宋体"/>
        </w:rPr>
      </w:pPr>
      <w:r>
        <w:rPr>
          <w:rFonts w:ascii="宋体" w:hAnsi="宋体"/>
        </w:rPr>
        <w:t>水口镇是革命老区，是南雄市“红色旅游”景区之一。主要旅游点有：水口战役旧址、弱过革命老区古村。</w:t>
      </w:r>
    </w:p>
    <w:p w14:paraId="744B147C">
      <w:pPr>
        <w:numPr>
          <w:ilvl w:val="0"/>
          <w:numId w:val="7"/>
        </w:numPr>
        <w:ind w:firstLine="420"/>
        <w:rPr>
          <w:rFonts w:ascii="宋体" w:hAnsi="宋体"/>
        </w:rPr>
      </w:pPr>
      <w:r>
        <w:rPr>
          <w:rFonts w:ascii="宋体" w:hAnsi="宋体"/>
        </w:rPr>
        <w:t>水口战役纪念公园：1932年发生的水口战役包括江西池江、大余、梅岭关、水口圩等战斗。共击溃陈济棠的粤军15个团，其中水口圩战斗击溃10个团。这是红军史上罕见的一场恶战。2002年10月，水口镇人民政府为了铭记水口战役的历史，激励向上，筹备兴建水口战役纪念公园。在省老促会、韶关市委、市人民政府、南雄市委、市人民政府、广东烟草南雄市有限公司、南雄市国地资源局的支持下，筹资90多万元，兴建水口战役纪念公园，此园于2004年3月底基本竣工。原中央军委副主席张震将军为红军烈士雕塑题词。2004年9月被南雄市委、市人民政府命名为爱国主义教育基地。慕名到纪念公园瞻仰红军烈士塑像、缅怀毛泽东等老辈红军车的光辉事迹的游客络绎不绝。每年清明节，水口镇全体干部职工、中小学师生纷纷到纪念公园的红军雕塑前敬献鲜花，缅怀革命先烈，接受爱国主义教育。</w:t>
      </w:r>
    </w:p>
    <w:p w14:paraId="66DA8AAB">
      <w:pPr>
        <w:numPr>
          <w:ilvl w:val="0"/>
          <w:numId w:val="7"/>
        </w:numPr>
        <w:ind w:firstLine="420"/>
        <w:rPr>
          <w:rFonts w:ascii="宋体" w:hAnsi="宋体"/>
        </w:rPr>
      </w:pPr>
      <w:r>
        <w:rPr>
          <w:rFonts w:ascii="宋体" w:hAnsi="宋体"/>
        </w:rPr>
        <w:t>弱过革命老区古村：弱过大村人口1000多人，自宋代开基立村，至今数百年历史。1926年，该村成立了“农民协会”；1927年，该村组织了革命武装，成立自卫军（后改为赤卫队）和少年先锋队。1928年3月14日至16日，弱过赤卫队与南雄大地主、土豪恶霸及国民党军警团组成的反动势力激战三天三夜。17日，反动势力对弱过村实行“三光”政策。目前，原南五区“苏维埃”政府旧址（弱过大祠堂）等建筑保存完好，室内许多革命标语依旧存留，是开展革命传统教育的好场所。</w:t>
      </w:r>
    </w:p>
    <w:p w14:paraId="27BF09D6">
      <w:pPr>
        <w:pStyle w:val="3"/>
      </w:pPr>
      <w:r>
        <w:rPr>
          <w:rFonts w:hint="eastAsia"/>
        </w:rPr>
        <w:t>各村委会、社区基本情况</w:t>
      </w:r>
    </w:p>
    <w:p w14:paraId="08EACB90">
      <w:pPr>
        <w:pStyle w:val="4"/>
      </w:pPr>
      <w:r>
        <w:t>【云西村委会】</w:t>
      </w:r>
    </w:p>
    <w:p w14:paraId="6AAEC795">
      <w:pPr>
        <w:ind w:firstLine="420"/>
        <w:rPr>
          <w:rFonts w:ascii="宋体" w:hAnsi="宋体"/>
        </w:rPr>
      </w:pPr>
      <w:r>
        <w:rPr>
          <w:rFonts w:ascii="宋体" w:hAnsi="宋体"/>
        </w:rPr>
        <w:t>位于水口镇东部，是革命老区村。全村耕1473.6亩，林地8340亩，辖17个村民小组，268户，1024人，现有村“两委”干部4人，党员29人。全村主要产业以农业为主，主要经济作物有黄烟、水稻、花生、西瓜等。</w:t>
      </w:r>
    </w:p>
    <w:p w14:paraId="5591B4D3">
      <w:pPr>
        <w:pStyle w:val="4"/>
      </w:pPr>
      <w:r>
        <w:t>【弱过村委会】</w:t>
      </w:r>
    </w:p>
    <w:p w14:paraId="7EDB351E">
      <w:pPr>
        <w:ind w:firstLine="420"/>
        <w:rPr>
          <w:rFonts w:ascii="宋体" w:hAnsi="宋体"/>
        </w:rPr>
      </w:pPr>
      <w:r>
        <w:rPr>
          <w:rFonts w:ascii="宋体" w:hAnsi="宋体"/>
        </w:rPr>
        <w:t>位于水口镇东北部，是革命老区村。全村耕地2611亩，林地2962亩，辖18个村民小组，565户，2152人，现有村“两委”干部5人，党员42人。全村主要产业以农业为主，主要经济作物有黄烟、水稻、花生等。</w:t>
      </w:r>
    </w:p>
    <w:p w14:paraId="2F83C93E">
      <w:pPr>
        <w:pStyle w:val="4"/>
      </w:pPr>
      <w:r>
        <w:t>【水口村委会】</w:t>
      </w:r>
    </w:p>
    <w:p w14:paraId="33C26083">
      <w:pPr>
        <w:ind w:firstLine="420"/>
        <w:rPr>
          <w:rFonts w:ascii="宋体" w:hAnsi="宋体"/>
        </w:rPr>
      </w:pPr>
      <w:r>
        <w:rPr>
          <w:rFonts w:ascii="宋体" w:hAnsi="宋体"/>
        </w:rPr>
        <w:t>位于水口镇中心，是革命老区村。全村总面积约5平方公里，耕地4086亩，林地15916亩，辖30个村民小组，1118户，4257人，现有村“两委”干部4人，党员74人。全村主要产业以农业为主，主要经济作物有黄烟、水稻、花生等。</w:t>
      </w:r>
    </w:p>
    <w:p w14:paraId="347C6AEC">
      <w:pPr>
        <w:pStyle w:val="4"/>
      </w:pPr>
      <w:r>
        <w:t>【大部村委会】</w:t>
      </w:r>
    </w:p>
    <w:p w14:paraId="22E0F0FC">
      <w:pPr>
        <w:ind w:firstLine="420"/>
        <w:rPr>
          <w:rFonts w:ascii="宋体" w:hAnsi="宋体"/>
        </w:rPr>
      </w:pPr>
      <w:r>
        <w:rPr>
          <w:rFonts w:ascii="宋体" w:hAnsi="宋体"/>
        </w:rPr>
        <w:t>位于水口镇北部，是革命老区村。全村耕地3315亩，林地2619亩，辖16个村民小组，637户，2388人，现有村“两委”干部5人，党员59人。全村主要产业以农业为主，主要经济作物有黄烟、水稻、花生等。</w:t>
      </w:r>
    </w:p>
    <w:p w14:paraId="3EA8E7E6">
      <w:pPr>
        <w:pStyle w:val="4"/>
      </w:pPr>
      <w:r>
        <w:t>【河村委会】</w:t>
      </w:r>
    </w:p>
    <w:p w14:paraId="0A6F2986">
      <w:pPr>
        <w:ind w:firstLine="420"/>
        <w:rPr>
          <w:rFonts w:ascii="宋体" w:hAnsi="宋体"/>
        </w:rPr>
      </w:pPr>
      <w:r>
        <w:rPr>
          <w:rFonts w:ascii="宋体" w:hAnsi="宋体"/>
        </w:rPr>
        <w:t>位于水口镇西部，是革命老区村。全村总面积3平方公里，耕地1844亩，林地791亩，辖13个村民小组，13个自然村，501户，2023人，现有村“两委”干部5人，党员42人。全村主要产业以农业为主，主要经济作物有黄烟、水稻、花生等。</w:t>
      </w:r>
    </w:p>
    <w:p w14:paraId="513314E5">
      <w:pPr>
        <w:pStyle w:val="4"/>
      </w:pPr>
      <w:r>
        <w:t>【大坪村委会】</w:t>
      </w:r>
    </w:p>
    <w:p w14:paraId="17D479E7">
      <w:pPr>
        <w:ind w:firstLine="420"/>
        <w:rPr>
          <w:rFonts w:ascii="宋体" w:hAnsi="宋体"/>
        </w:rPr>
      </w:pPr>
      <w:r>
        <w:rPr>
          <w:rFonts w:ascii="宋体" w:hAnsi="宋体"/>
        </w:rPr>
        <w:t>位于水口镇中部，是革命老区村。全村耕地1355亩，林地1326亩，辖7个村民小组，310户，1156人，现有村“两委”干部4人，党员46人。全村主要产业以农业为主，主要经济作物有黄烟、水稻、花生等。</w:t>
      </w:r>
    </w:p>
    <w:p w14:paraId="723B7CC8">
      <w:pPr>
        <w:pStyle w:val="4"/>
      </w:pPr>
      <w:r>
        <w:t>【沙头村委会】</w:t>
      </w:r>
    </w:p>
    <w:p w14:paraId="3D308E27">
      <w:pPr>
        <w:ind w:firstLine="420"/>
        <w:rPr>
          <w:rFonts w:ascii="宋体" w:hAnsi="宋体"/>
        </w:rPr>
      </w:pPr>
      <w:r>
        <w:rPr>
          <w:rFonts w:ascii="宋体" w:hAnsi="宋体"/>
        </w:rPr>
        <w:t>位于水口镇西南部，是革命老区村。全村耕地2575亩，林地980亩，辖15个村民小组，457户，2285人，现有村“两委”干部5人，党员64人。全村主要产业以农业为主，主要经济作物有黄烟、水稻、花生等。</w:t>
      </w:r>
    </w:p>
    <w:p w14:paraId="6145AB0F">
      <w:pPr>
        <w:pStyle w:val="4"/>
      </w:pPr>
      <w:r>
        <w:t>【下湖村委会】</w:t>
      </w:r>
    </w:p>
    <w:p w14:paraId="458E66C9">
      <w:pPr>
        <w:ind w:firstLine="420"/>
        <w:rPr>
          <w:rFonts w:ascii="宋体" w:hAnsi="宋体"/>
        </w:rPr>
      </w:pPr>
      <w:r>
        <w:rPr>
          <w:rFonts w:ascii="宋体" w:hAnsi="宋体"/>
        </w:rPr>
        <w:t>位于水口镇西南部，是革命老区村。全村耕地727亩，林地823亩，辖7个村民小组，263户，1087人，现有村“两委”干部5人，党员33人。全村主要产业以农业为主，主要经济作物有黄烟、水稻、花生等。</w:t>
      </w:r>
    </w:p>
    <w:p w14:paraId="3CE9549E">
      <w:pPr>
        <w:pStyle w:val="4"/>
      </w:pPr>
      <w:r>
        <w:t>【赤岭村委会】</w:t>
      </w:r>
    </w:p>
    <w:p w14:paraId="096ED1AD">
      <w:pPr>
        <w:ind w:firstLine="420"/>
        <w:rPr>
          <w:rFonts w:ascii="宋体" w:hAnsi="宋体"/>
        </w:rPr>
      </w:pPr>
      <w:r>
        <w:rPr>
          <w:rFonts w:ascii="宋体" w:hAnsi="宋体"/>
        </w:rPr>
        <w:t>位于水口镇南部，是革命老区村。全村耕地1360亩，林地1155亩，辖12个村民小组，332户，1382人，现有村“两委”干部4人，党员38人。全村主要产业以农业为主，主要经济作物有黄烟、水稻、花生等。</w:t>
      </w:r>
    </w:p>
    <w:p w14:paraId="02DE1985">
      <w:pPr>
        <w:pStyle w:val="4"/>
      </w:pPr>
      <w:r>
        <w:t>【群星村委会】</w:t>
      </w:r>
    </w:p>
    <w:p w14:paraId="198E71A8">
      <w:pPr>
        <w:ind w:firstLine="420"/>
        <w:rPr>
          <w:rFonts w:ascii="宋体" w:hAnsi="宋体"/>
        </w:rPr>
      </w:pPr>
      <w:r>
        <w:rPr>
          <w:rFonts w:ascii="宋体" w:hAnsi="宋体"/>
        </w:rPr>
        <w:t>位于水口镇南部，是革命老区村。全村耕地755亩，林地2426亩，辖6个村民小组，333户，954人，现有村“两委”干部4人，党员29人。全村主要产业以农业为主，主要经济作物有黄烟、水稻、花生等。</w:t>
      </w:r>
    </w:p>
    <w:p w14:paraId="2C9A3ADB">
      <w:pPr>
        <w:pStyle w:val="4"/>
      </w:pPr>
      <w:r>
        <w:t>【石庄村委会】</w:t>
      </w:r>
    </w:p>
    <w:p w14:paraId="65C562EB">
      <w:pPr>
        <w:ind w:firstLine="420"/>
        <w:rPr>
          <w:rFonts w:ascii="宋体" w:hAnsi="宋体"/>
        </w:rPr>
      </w:pPr>
      <w:r>
        <w:rPr>
          <w:rFonts w:ascii="宋体" w:hAnsi="宋体"/>
        </w:rPr>
        <w:t>位于水口镇东南部，是革命老区村。全村耕地1490亩，林地3000亩，辖20个村民小组，449户，1778人，现有村“两委”干部4人，党员49人。全村主要产业以农业为主，主要经济作物有黄烟、水稻、花生、西瓜等。下楼村委会</w:t>
      </w:r>
    </w:p>
    <w:p w14:paraId="4744453C">
      <w:pPr>
        <w:ind w:firstLine="420"/>
        <w:rPr>
          <w:rFonts w:ascii="宋体" w:hAnsi="宋体"/>
        </w:rPr>
      </w:pPr>
      <w:r>
        <w:rPr>
          <w:rFonts w:ascii="宋体" w:hAnsi="宋体"/>
        </w:rPr>
        <w:t>位于水口镇东部，是革命老区村。全村耕地748亩，林地8664亩，辖15个村民小组，323户，1333人，现有村“两委”干部4人，党员55人。全村主要产业以农业为主，主要经济作物有黄烟、水稻、花生、西瓜等。</w:t>
      </w:r>
    </w:p>
    <w:p w14:paraId="0A90304F">
      <w:pPr>
        <w:pStyle w:val="4"/>
      </w:pPr>
      <w:r>
        <w:t>【泷头村委会】</w:t>
      </w:r>
    </w:p>
    <w:p w14:paraId="15748C2E">
      <w:pPr>
        <w:ind w:firstLine="420"/>
        <w:rPr>
          <w:rFonts w:ascii="宋体" w:hAnsi="宋体"/>
        </w:rPr>
      </w:pPr>
      <w:r>
        <w:rPr>
          <w:rFonts w:ascii="宋体" w:hAnsi="宋体"/>
        </w:rPr>
        <w:t>位于水口镇东南部，是革命老区村。全村耕地1026亩，林地24112亩，辖8个村民小组，362户，1508人，现有村“两委”干部4人，党员59人。全村主要产业以农、林业为主，农业经济作物主要有水稻、花生、西瓜等，林业主要有丛生竹、毛竹、松树、杉树，乔灌杂树等。</w:t>
      </w:r>
    </w:p>
    <w:p w14:paraId="6E6F123F">
      <w:pPr>
        <w:pStyle w:val="4"/>
      </w:pPr>
      <w:r>
        <w:t>【水口社区】</w:t>
      </w:r>
    </w:p>
    <w:p w14:paraId="1638D8B5">
      <w:pPr>
        <w:ind w:firstLine="420"/>
        <w:rPr>
          <w:rFonts w:ascii="宋体" w:hAnsi="宋体"/>
        </w:rPr>
      </w:pPr>
      <w:r>
        <w:rPr>
          <w:rFonts w:ascii="宋体" w:hAnsi="宋体"/>
        </w:rPr>
        <w:t>位于水口镇中部，全社区有386户，1599人，现有社区“两委”干部4人，党员16人。</w:t>
      </w:r>
    </w:p>
    <w:p w14:paraId="71DB2E37">
      <w:pPr>
        <w:ind w:firstLine="420"/>
        <w:jc w:val="right"/>
        <w:rPr>
          <w:rFonts w:ascii="宋体" w:hAnsi="宋体"/>
        </w:rPr>
      </w:pPr>
      <w:r>
        <w:rPr>
          <w:rFonts w:ascii="宋体" w:hAnsi="宋体"/>
        </w:rPr>
        <w:t>（曾志明）</w:t>
      </w:r>
    </w:p>
    <w:p w14:paraId="1184D3FE">
      <w:pPr>
        <w:ind w:firstLine="422"/>
        <w:rPr>
          <w:rFonts w:ascii="宋体" w:hAnsi="宋体"/>
          <w:b/>
          <w:bCs/>
        </w:rPr>
      </w:pPr>
      <w:r>
        <w:rPr>
          <w:rFonts w:ascii="宋体" w:hAnsi="宋体"/>
          <w:b/>
          <w:bCs/>
        </w:rPr>
        <w:t>附：2010年水口镇领导班子成员名单</w:t>
      </w:r>
    </w:p>
    <w:p w14:paraId="18547908">
      <w:pPr>
        <w:ind w:firstLine="422"/>
        <w:rPr>
          <w:rFonts w:ascii="宋体" w:hAnsi="宋体"/>
        </w:rPr>
      </w:pPr>
      <w:r>
        <w:rPr>
          <w:rFonts w:ascii="宋体" w:hAnsi="宋体"/>
          <w:b/>
          <w:bCs/>
        </w:rPr>
        <w:t>党委书记、人大主席：</w:t>
      </w:r>
      <w:r>
        <w:rPr>
          <w:rFonts w:ascii="宋体" w:hAnsi="宋体"/>
        </w:rPr>
        <w:t>范桂全</w:t>
      </w:r>
    </w:p>
    <w:p w14:paraId="4B48E2EC">
      <w:pPr>
        <w:ind w:firstLine="422"/>
        <w:rPr>
          <w:rFonts w:ascii="宋体" w:hAnsi="宋体"/>
        </w:rPr>
      </w:pPr>
      <w:r>
        <w:rPr>
          <w:rFonts w:ascii="宋体" w:hAnsi="宋体"/>
          <w:b/>
          <w:bCs/>
        </w:rPr>
        <w:t>党委副书记、镇长：</w:t>
      </w:r>
      <w:r>
        <w:rPr>
          <w:rFonts w:ascii="宋体" w:hAnsi="宋体"/>
        </w:rPr>
        <w:t>马细妹</w:t>
      </w:r>
    </w:p>
    <w:p w14:paraId="228C3F42">
      <w:pPr>
        <w:ind w:firstLine="422"/>
        <w:rPr>
          <w:rFonts w:ascii="宋体" w:hAnsi="宋体"/>
        </w:rPr>
      </w:pPr>
      <w:r>
        <w:rPr>
          <w:rFonts w:ascii="宋体" w:hAnsi="宋体"/>
          <w:b/>
          <w:bCs/>
        </w:rPr>
        <w:t>党委副书记：</w:t>
      </w:r>
      <w:r>
        <w:rPr>
          <w:rFonts w:ascii="宋体" w:hAnsi="宋体"/>
        </w:rPr>
        <w:t>徐精华</w:t>
      </w:r>
    </w:p>
    <w:p w14:paraId="36B911CF">
      <w:pPr>
        <w:ind w:firstLine="422"/>
        <w:rPr>
          <w:rFonts w:ascii="宋体" w:hAnsi="宋体"/>
        </w:rPr>
      </w:pPr>
      <w:r>
        <w:rPr>
          <w:rFonts w:ascii="宋体" w:hAnsi="宋体"/>
          <w:b/>
          <w:bCs/>
        </w:rPr>
        <w:t>纪委书记：</w:t>
      </w:r>
      <w:r>
        <w:rPr>
          <w:rFonts w:ascii="宋体" w:hAnsi="宋体"/>
        </w:rPr>
        <w:t>邓煜煜</w:t>
      </w:r>
    </w:p>
    <w:p w14:paraId="7CD07CF1">
      <w:pPr>
        <w:ind w:firstLine="422"/>
        <w:rPr>
          <w:rFonts w:ascii="宋体" w:hAnsi="宋体"/>
        </w:rPr>
      </w:pPr>
      <w:r>
        <w:rPr>
          <w:rFonts w:ascii="宋体" w:hAnsi="宋体"/>
          <w:b/>
          <w:bCs/>
        </w:rPr>
        <w:t>副镇长：</w:t>
      </w:r>
      <w:r>
        <w:rPr>
          <w:rFonts w:ascii="宋体" w:hAnsi="宋体"/>
        </w:rPr>
        <w:t>王树华</w:t>
      </w:r>
      <w:r>
        <w:rPr>
          <w:rFonts w:hint="eastAsia" w:ascii="宋体" w:hAnsi="宋体"/>
        </w:rPr>
        <w:t xml:space="preserve">  </w:t>
      </w:r>
      <w:r>
        <w:rPr>
          <w:rFonts w:ascii="宋体" w:hAnsi="宋体"/>
        </w:rPr>
        <w:t>温春华</w:t>
      </w:r>
    </w:p>
    <w:p w14:paraId="30CB33A5">
      <w:pPr>
        <w:ind w:firstLine="422"/>
        <w:rPr>
          <w:rFonts w:ascii="宋体" w:hAnsi="宋体"/>
        </w:rPr>
      </w:pPr>
      <w:r>
        <w:rPr>
          <w:rFonts w:ascii="宋体" w:hAnsi="宋体"/>
          <w:b/>
          <w:bCs/>
        </w:rPr>
        <w:t>人大副主席：</w:t>
      </w:r>
      <w:r>
        <w:rPr>
          <w:rFonts w:ascii="宋体" w:hAnsi="宋体"/>
        </w:rPr>
        <w:t>邓国荣</w:t>
      </w:r>
    </w:p>
    <w:p w14:paraId="6067E242">
      <w:pPr>
        <w:ind w:firstLine="422"/>
        <w:rPr>
          <w:rFonts w:ascii="宋体" w:hAnsi="宋体"/>
        </w:rPr>
      </w:pPr>
      <w:r>
        <w:rPr>
          <w:rFonts w:ascii="宋体" w:hAnsi="宋体"/>
          <w:b/>
          <w:bCs/>
        </w:rPr>
        <w:t>武装部长：</w:t>
      </w:r>
      <w:r>
        <w:rPr>
          <w:rFonts w:ascii="宋体" w:hAnsi="宋体"/>
        </w:rPr>
        <w:t>刘烈斌</w:t>
      </w:r>
    </w:p>
    <w:p w14:paraId="5C5BFE8C">
      <w:pPr>
        <w:ind w:firstLine="422"/>
        <w:rPr>
          <w:rFonts w:ascii="宋体" w:hAnsi="宋体"/>
        </w:rPr>
      </w:pPr>
      <w:r>
        <w:rPr>
          <w:rFonts w:ascii="宋体" w:hAnsi="宋体"/>
          <w:b/>
          <w:bCs/>
        </w:rPr>
        <w:t>组织委员：</w:t>
      </w:r>
      <w:r>
        <w:rPr>
          <w:rFonts w:ascii="宋体" w:hAnsi="宋体"/>
        </w:rPr>
        <w:t>王冠</w:t>
      </w:r>
    </w:p>
    <w:p w14:paraId="7D960DB0">
      <w:pPr>
        <w:ind w:firstLine="422"/>
        <w:rPr>
          <w:rFonts w:ascii="宋体" w:hAnsi="宋体"/>
        </w:rPr>
      </w:pPr>
      <w:r>
        <w:rPr>
          <w:rFonts w:ascii="宋体" w:hAnsi="宋体"/>
          <w:b/>
          <w:bCs/>
        </w:rPr>
        <w:t>宣传委员：</w:t>
      </w:r>
      <w:r>
        <w:rPr>
          <w:rFonts w:ascii="宋体" w:hAnsi="宋体"/>
        </w:rPr>
        <w:t>童恩东</w:t>
      </w:r>
    </w:p>
    <w:p w14:paraId="2B27E256">
      <w:pPr>
        <w:pStyle w:val="3"/>
      </w:pPr>
      <w:r>
        <w:rPr>
          <w:rFonts w:hint="eastAsia"/>
        </w:rPr>
        <w:t>古市镇</w:t>
      </w:r>
    </w:p>
    <w:p w14:paraId="6EFBC390">
      <w:pPr>
        <w:pStyle w:val="4"/>
      </w:pPr>
      <w:r>
        <w:t>【概况】</w:t>
      </w:r>
    </w:p>
    <w:p w14:paraId="1AD304C0">
      <w:pPr>
        <w:ind w:firstLine="420"/>
        <w:rPr>
          <w:rFonts w:ascii="宋体" w:hAnsi="宋体"/>
        </w:rPr>
      </w:pPr>
      <w:r>
        <w:rPr>
          <w:rFonts w:ascii="宋体" w:hAnsi="宋体"/>
        </w:rPr>
        <w:t>古市镇位于南雄市的南部，左邻主田，南与始兴交接，北与全安、雄州交接。距市区8公里，有修仁、古市、丹布、溪口、小坑、三角岭、柴岭、丰源8个村委会和1个社区居委会，123个村小组，总人口20593人，总户数4725户，其中农业人口19205人，总面积100.4平方公里，其中耕地2103.5公顷。交通四通八达，国道323线穿镇而过，8个村通公路，各村委会均实现办公用房楼房化。农业生产主要是以种植黄烟、水稻、花生为主。2010年，全镇实现农村经济总收入2.85亿元，比2005年的1.7亿元增加1.15亿元，年均增长13.5%；农村人均收入6120元，比2005年增加2510元，年均增长13.9%，是南雄黄烟生产大镇。</w:t>
      </w:r>
    </w:p>
    <w:p w14:paraId="57C500AB">
      <w:pPr>
        <w:pStyle w:val="4"/>
      </w:pPr>
      <w:r>
        <w:t>【农业和农村工作】</w:t>
      </w:r>
    </w:p>
    <w:p w14:paraId="02255A61">
      <w:pPr>
        <w:ind w:firstLine="420"/>
        <w:rPr>
          <w:rFonts w:ascii="宋体" w:hAnsi="宋体"/>
        </w:rPr>
      </w:pPr>
      <w:r>
        <w:rPr>
          <w:rFonts w:ascii="宋体" w:hAnsi="宋体"/>
        </w:rPr>
        <w:t>一是不断加强黄烟生产。2006至2010年每年平均收购黄烟3.9万担，每年平均产值2672万元。古市镇连续5年获“南雄市黄烟收购综合一等奖”荣誉称号，溪口村连续5年获“黄烟交售万担村”荣誉称号；二是粮食产量不断增加。积极推广良种良法，大力发展优质稻，抓好产前、产中服务，提高了粮食种植单产效益，2010年粮食总产8000多吨，粮食产量逐年递增。花生、大豆等经济作物连年获得丰收，养殖业有较大的发展，养猪、养鸡、养鸭、养鱼、种果专业户不断增多，现发展到260多户，养殖业向专业化、规模化发展，成为农村经济发展新的增长点。三是农业生产条件有较大改善。农业先进实用技术和农业机械得到广泛应用，加大农田水利基础设施建设力度，极大地提高农业生产的效率。四是惠农政策得到全面落实。全镇种粮综补、直补资金全部补贴到位，2005年至2010年共发放种粮补贴资金458.5万元。</w:t>
      </w:r>
    </w:p>
    <w:p w14:paraId="2EAAD438">
      <w:pPr>
        <w:pStyle w:val="4"/>
      </w:pPr>
      <w:r>
        <w:t>【招商引资】</w:t>
      </w:r>
    </w:p>
    <w:p w14:paraId="6BA337A2">
      <w:pPr>
        <w:ind w:firstLine="420"/>
        <w:rPr>
          <w:rFonts w:ascii="宋体" w:hAnsi="宋体"/>
        </w:rPr>
      </w:pPr>
      <w:r>
        <w:rPr>
          <w:rFonts w:ascii="宋体" w:hAnsi="宋体"/>
        </w:rPr>
        <w:t>完成得利莱3000万、“三拓”化工5000万、合作引进箭牌卫浴3个亿资金。</w:t>
      </w:r>
    </w:p>
    <w:p w14:paraId="6A76CDF6">
      <w:pPr>
        <w:pStyle w:val="4"/>
      </w:pPr>
      <w:r>
        <w:t>【新农村建设】</w:t>
      </w:r>
    </w:p>
    <w:p w14:paraId="03EC4E50">
      <w:pPr>
        <w:ind w:firstLine="420"/>
        <w:rPr>
          <w:rFonts w:ascii="宋体" w:hAnsi="宋体"/>
        </w:rPr>
      </w:pPr>
      <w:r>
        <w:rPr>
          <w:rFonts w:ascii="宋体" w:hAnsi="宋体"/>
        </w:rPr>
        <w:t>作为南雄市实施乡村“清洁美”工程的三个试点镇之一，古市镇投入970万元新建了姚塘、修仁新村点，对天子印村庄进行了整治，按照建设社会主义新农村要求配备保洁员、垃圾运输车等设备，重点整治公共场所，建立健全卫生保洁机制，推动新农村建设的稳步发展，其中，天子印村庄的“清洁美”工程通过了韶关市的验收。</w:t>
      </w:r>
    </w:p>
    <w:p w14:paraId="53E55E79">
      <w:pPr>
        <w:pStyle w:val="4"/>
      </w:pPr>
      <w:r>
        <w:t>【农村农业基础设施建设】</w:t>
      </w:r>
    </w:p>
    <w:p w14:paraId="2B0C56CC">
      <w:pPr>
        <w:ind w:firstLine="420"/>
        <w:rPr>
          <w:rFonts w:ascii="宋体" w:hAnsi="宋体"/>
        </w:rPr>
      </w:pPr>
      <w:r>
        <w:rPr>
          <w:rFonts w:ascii="宋体" w:hAnsi="宋体"/>
        </w:rPr>
        <w:t>2005年，投资150多万元建设了柴岭、修仁、古市等村电排、水窖；投资50多万元对部分村的山塘、水圳进行整治，增强农业可持续发展的后劲；投资260多万元完成小坑、溪口、古市、丰源等镇通村、村通村水泥硬化公路42公里，投资210万元铺设柴岭大桥。</w:t>
      </w:r>
    </w:p>
    <w:p w14:paraId="2422D9F9">
      <w:pPr>
        <w:pStyle w:val="4"/>
      </w:pPr>
      <w:r>
        <w:t>【农村合作医疗】</w:t>
      </w:r>
    </w:p>
    <w:p w14:paraId="2042222F">
      <w:pPr>
        <w:ind w:firstLine="420"/>
        <w:rPr>
          <w:rFonts w:ascii="宋体" w:hAnsi="宋体"/>
        </w:rPr>
      </w:pPr>
      <w:r>
        <w:rPr>
          <w:rFonts w:ascii="宋体" w:hAnsi="宋体"/>
        </w:rPr>
        <w:t>积极开展新型农村合作医疗的宣传、服务等工作，切实抓好新型农村合作医疗工作推进过程，始终坚持一个利民便民原则，通过利用宣传车、标语、横幅等形式进行全面宣传，农村新型合作医疗覆盖面达到100%，加大新型农村合作医疗工作的管理力度，做到资金到位，运转正常。2005年至2010年，报销参合农民517.21万元，缓解农民因病返贫的问题。</w:t>
      </w:r>
    </w:p>
    <w:p w14:paraId="6DF79731">
      <w:pPr>
        <w:pStyle w:val="4"/>
      </w:pPr>
      <w:r>
        <w:t>【教育】</w:t>
      </w:r>
    </w:p>
    <w:p w14:paraId="56E04EC5">
      <w:pPr>
        <w:ind w:firstLine="420"/>
        <w:rPr>
          <w:rFonts w:ascii="宋体" w:hAnsi="宋体"/>
        </w:rPr>
      </w:pPr>
      <w:r>
        <w:rPr>
          <w:rFonts w:ascii="宋体" w:hAnsi="宋体"/>
        </w:rPr>
        <w:t>加大对教育事业的资金投入。投入150多万元改善中心小学运动场、学校环境，使教育工作上一个新台阶，2010年获南雄市创建广东省教育强镇工作先进镇。同时，抓紧抓好全镇学校、幼儿园的安全管理工作，加强学校周边环境的整治，开展学校安全隐患排查工作，消除安全隐患，确保师生安全，确保社会稳定。计划生育</w:t>
      </w:r>
    </w:p>
    <w:p w14:paraId="08D6A4F2">
      <w:pPr>
        <w:ind w:firstLine="420"/>
        <w:rPr>
          <w:rFonts w:ascii="宋体" w:hAnsi="宋体"/>
        </w:rPr>
      </w:pPr>
      <w:r>
        <w:rPr>
          <w:rFonts w:ascii="宋体" w:hAnsi="宋体"/>
        </w:rPr>
        <w:t>按照一类镇的要求，重点抓好“双查”、节育措施、社会抚养费征收、计生例会等常规工作，加强流动人口管理，控制计划外生育。各项指标达到一类镇管理标准。2010年，全镇出生人口300人，计划生育为96.3%。</w:t>
      </w:r>
    </w:p>
    <w:p w14:paraId="79987F47">
      <w:pPr>
        <w:pStyle w:val="4"/>
      </w:pPr>
      <w:r>
        <w:t>【扶贫工作】</w:t>
      </w:r>
    </w:p>
    <w:p w14:paraId="3F240DEE">
      <w:pPr>
        <w:ind w:firstLine="420"/>
        <w:rPr>
          <w:rFonts w:ascii="宋体" w:hAnsi="宋体"/>
        </w:rPr>
      </w:pPr>
      <w:r>
        <w:rPr>
          <w:rFonts w:ascii="宋体" w:hAnsi="宋体"/>
        </w:rPr>
        <w:t>“十一五”期间，全镇共发放五保补助154.56万元；发放农村低保补助20.7万元；按照“规划到户、责任到人”的要求，以“1+2”、“1+3”的模式把214户682人量化到镇村干部中，扶贫开发按照“一村一策、一户一法”的原则建立扶贫工作档案，开展“帮项目、帮资金、帮技术、帮点子”等活动，发动机关党员干部捐款3.4万元。帮助贫困户发展经济作物，三角岭、小坑的贫困户新种三华李100多亩。丹布、丰源等6个村以种植黄烟为主，加强了对贫困户黄烟种植的技术指导，扶持贫困户多种烟，种好烟，2010年已脱贫的贫困户有156户，占总数的73.6%。</w:t>
      </w:r>
    </w:p>
    <w:p w14:paraId="3CEED757">
      <w:pPr>
        <w:pStyle w:val="4"/>
      </w:pPr>
      <w:r>
        <w:t>【综治维稳】</w:t>
      </w:r>
    </w:p>
    <w:p w14:paraId="5A03A4E3">
      <w:pPr>
        <w:ind w:firstLine="420"/>
        <w:rPr>
          <w:rFonts w:ascii="宋体" w:hAnsi="宋体"/>
        </w:rPr>
      </w:pPr>
      <w:r>
        <w:rPr>
          <w:rFonts w:ascii="宋体" w:hAnsi="宋体"/>
        </w:rPr>
        <w:t>建立健全安全生产管理制度，严格落实责任追究制度，把安全生产工作列入政府的议事日程，实行安全生产重心下移，成立村级安全生产协管员，2007年至2010年，连续四年获得南雄市安全生产先进单位。完善社会治安防控体系，建立镇、村、组三级信访网络，成立人民调解、司法调解、行政调解“三位一体”的社会矛盾纠纷排查调解组织，2010年获韶关市依法治市工作先进单位。</w:t>
      </w:r>
    </w:p>
    <w:p w14:paraId="6E675F42">
      <w:pPr>
        <w:pStyle w:val="4"/>
      </w:pPr>
      <w:r>
        <w:t>【武装工作】</w:t>
      </w:r>
    </w:p>
    <w:p w14:paraId="325CA579">
      <w:pPr>
        <w:ind w:firstLine="420"/>
        <w:rPr>
          <w:rFonts w:ascii="宋体" w:hAnsi="宋体"/>
        </w:rPr>
      </w:pPr>
      <w:r>
        <w:rPr>
          <w:rFonts w:ascii="宋体" w:hAnsi="宋体"/>
        </w:rPr>
        <w:t>武装工作取得新成绩，连续五年完成市下达的征兵任务，被市人武部评为征兵工作先进单位。</w:t>
      </w:r>
    </w:p>
    <w:p w14:paraId="337EFE31">
      <w:pPr>
        <w:pStyle w:val="3"/>
      </w:pPr>
      <w:r>
        <w:rPr>
          <w:rFonts w:hint="eastAsia"/>
        </w:rPr>
        <w:t>各村基本情况</w:t>
      </w:r>
    </w:p>
    <w:p w14:paraId="239458CD">
      <w:pPr>
        <w:pStyle w:val="4"/>
      </w:pPr>
      <w:r>
        <w:t>【古市村】</w:t>
      </w:r>
    </w:p>
    <w:p w14:paraId="713521B9">
      <w:pPr>
        <w:ind w:firstLine="420"/>
        <w:rPr>
          <w:rFonts w:ascii="宋体" w:hAnsi="宋体"/>
        </w:rPr>
      </w:pPr>
      <w:r>
        <w:rPr>
          <w:rFonts w:ascii="宋体" w:hAnsi="宋体"/>
        </w:rPr>
        <w:t>位于古市镇镇政府西偏北10°距离镇政府约2公里。人口总数3740人，共860户，其中劳动力总数为2322人。耕地面积462.9公顷。主要农作物为黄烟、水稻、花生、番薯、蔬菜。主要畜牲为鸡、鸭、猪、牛。</w:t>
      </w:r>
    </w:p>
    <w:p w14:paraId="2CE2FC93">
      <w:pPr>
        <w:pStyle w:val="4"/>
      </w:pPr>
      <w:r>
        <w:t>【丹布村】</w:t>
      </w:r>
    </w:p>
    <w:p w14:paraId="69C7BD1B">
      <w:pPr>
        <w:ind w:firstLine="420"/>
        <w:rPr>
          <w:rFonts w:ascii="宋体" w:hAnsi="宋体"/>
        </w:rPr>
      </w:pPr>
      <w:r>
        <w:rPr>
          <w:rFonts w:ascii="宋体" w:hAnsi="宋体"/>
        </w:rPr>
        <w:t>位于古市镇镇政府正北方，距离镇政府约1公里。人口总数3913人，共723户，其中劳动力总数为2430人。耕地面积261.8公顷。主要农作物为黄烟、水稻、花生、番薯、蔬菜。主要畜牲为鸡、鸭、猪、牛</w:t>
      </w:r>
    </w:p>
    <w:p w14:paraId="22CA7F89">
      <w:pPr>
        <w:pStyle w:val="4"/>
      </w:pPr>
      <w:r>
        <w:t>【溪口村】</w:t>
      </w:r>
    </w:p>
    <w:p w14:paraId="50E085F2">
      <w:pPr>
        <w:ind w:firstLine="420"/>
        <w:rPr>
          <w:rFonts w:ascii="宋体" w:hAnsi="宋体"/>
        </w:rPr>
      </w:pPr>
      <w:r>
        <w:rPr>
          <w:rFonts w:ascii="宋体" w:hAnsi="宋体"/>
        </w:rPr>
        <w:t>位于古市镇镇政府北偏东40°，距离镇政府约3公里。人口总数3492人，共812户，其中劳动力总数为2169人。耕地面积372.7公顷。主要农作物为黄烟、水稻、花生、番薯、蔬菜。主要畜牲为猪、鸡、鸭、牛。</w:t>
      </w:r>
    </w:p>
    <w:p w14:paraId="2372021A">
      <w:pPr>
        <w:pStyle w:val="4"/>
      </w:pPr>
      <w:r>
        <w:t>【修仁村】</w:t>
      </w:r>
    </w:p>
    <w:p w14:paraId="5E3EB2BA">
      <w:pPr>
        <w:ind w:firstLine="420"/>
        <w:rPr>
          <w:rFonts w:ascii="宋体" w:hAnsi="宋体"/>
        </w:rPr>
      </w:pPr>
      <w:r>
        <w:rPr>
          <w:rFonts w:ascii="宋体" w:hAnsi="宋体"/>
        </w:rPr>
        <w:t>位于古市镇镇政府北偏东15°，距离镇政府约5公里。人口总数2820人，共729户，其中劳动力总数为1751人。耕地面积254公顷。主要农作物为黄烟、水稻、花生、蔬菜。主要畜牲为猪、鸡、鸭、牛。</w:t>
      </w:r>
    </w:p>
    <w:p w14:paraId="055E43F0">
      <w:pPr>
        <w:pStyle w:val="4"/>
      </w:pPr>
      <w:r>
        <w:t>【丰源村】</w:t>
      </w:r>
    </w:p>
    <w:p w14:paraId="65AFE8F0">
      <w:pPr>
        <w:ind w:firstLine="420"/>
        <w:rPr>
          <w:rFonts w:ascii="宋体" w:hAnsi="宋体"/>
        </w:rPr>
      </w:pPr>
      <w:r>
        <w:rPr>
          <w:rFonts w:ascii="宋体" w:hAnsi="宋体"/>
        </w:rPr>
        <w:t>.位于古市镇镇政府北偏东15°，距离镇政府约7公里。人口总数2758人，共691户，其中劳动力人口数1713人。耕地面积213.3公顷。主要农作物为黄烟、水稻、花生、蔬菜、番薯。主要畜牲为猪、鸡、鸭、牛</w:t>
      </w:r>
    </w:p>
    <w:p w14:paraId="2F32DC9F">
      <w:pPr>
        <w:pStyle w:val="4"/>
      </w:pPr>
      <w:r>
        <w:t>【柴岭村】</w:t>
      </w:r>
    </w:p>
    <w:p w14:paraId="65A06D88">
      <w:pPr>
        <w:ind w:firstLine="420"/>
        <w:rPr>
          <w:rFonts w:ascii="宋体" w:hAnsi="宋体"/>
        </w:rPr>
      </w:pPr>
      <w:r>
        <w:rPr>
          <w:rFonts w:ascii="宋体" w:hAnsi="宋体"/>
        </w:rPr>
        <w:t>位于古市镇镇政府正北方，距离镇政府约6公里。人口总数1522人，共389户，其中劳动力人口数851人。耕地面积205.1公顷。主要农作物为黄烟、水稻、花生、蔬菜、番薯。主要畜牲为猪、鸡、鸭、牛。</w:t>
      </w:r>
    </w:p>
    <w:p w14:paraId="7107EFB5">
      <w:pPr>
        <w:pStyle w:val="4"/>
      </w:pPr>
      <w:r>
        <w:t>【小坑村】</w:t>
      </w:r>
    </w:p>
    <w:p w14:paraId="7DEF7193">
      <w:pPr>
        <w:ind w:firstLine="420"/>
        <w:rPr>
          <w:rFonts w:ascii="宋体" w:hAnsi="宋体"/>
        </w:rPr>
      </w:pPr>
      <w:r>
        <w:rPr>
          <w:rFonts w:ascii="宋体" w:hAnsi="宋体"/>
        </w:rPr>
        <w:t>位于古市镇镇政府南偏东20°，距离镇政府约17公里。人口总数1457人，共311户，其中劳动力人口数716人。耕地面积186.7公顷。主要农作物为黄烟、水稻、花生、蔬菜、番薯。主要畜牲为猪、鸡、鸭、牛。</w:t>
      </w:r>
    </w:p>
    <w:p w14:paraId="7CC1E599">
      <w:pPr>
        <w:pStyle w:val="4"/>
      </w:pPr>
      <w:r>
        <w:t>【三角岭村】</w:t>
      </w:r>
    </w:p>
    <w:p w14:paraId="2CBBDFC8">
      <w:pPr>
        <w:ind w:firstLine="420"/>
        <w:rPr>
          <w:rFonts w:ascii="宋体" w:hAnsi="宋体"/>
        </w:rPr>
      </w:pPr>
      <w:r>
        <w:rPr>
          <w:rFonts w:ascii="宋体" w:hAnsi="宋体"/>
        </w:rPr>
        <w:t>位于古市镇镇政府南偏东20距离镇政府约15公里。人口总数891人，共210户，其中劳动力人口数414人，耕地面积146.1公顷。主要农作物为黄烟、水稻、花生番薯。主要畜牲为猪、鸡、鸭、牛。</w:t>
      </w:r>
    </w:p>
    <w:p w14:paraId="0211ECE1">
      <w:pPr>
        <w:ind w:firstLine="420"/>
        <w:jc w:val="right"/>
        <w:rPr>
          <w:rFonts w:ascii="宋体" w:hAnsi="宋体"/>
        </w:rPr>
      </w:pPr>
      <w:r>
        <w:rPr>
          <w:rFonts w:ascii="宋体" w:hAnsi="宋体"/>
        </w:rPr>
        <w:t>（沈钰英）</w:t>
      </w:r>
    </w:p>
    <w:p w14:paraId="56DDC36A">
      <w:pPr>
        <w:ind w:firstLine="422"/>
        <w:rPr>
          <w:rFonts w:ascii="宋体" w:hAnsi="宋体"/>
          <w:b/>
          <w:bCs/>
        </w:rPr>
      </w:pPr>
      <w:r>
        <w:rPr>
          <w:rFonts w:ascii="宋体" w:hAnsi="宋体"/>
          <w:b/>
          <w:bCs/>
        </w:rPr>
        <w:t>附：2010年古市镇领导班子成员名单</w:t>
      </w:r>
    </w:p>
    <w:p w14:paraId="0AC03CCD">
      <w:pPr>
        <w:ind w:firstLine="422"/>
        <w:rPr>
          <w:rFonts w:ascii="宋体" w:hAnsi="宋体"/>
        </w:rPr>
      </w:pPr>
      <w:r>
        <w:rPr>
          <w:rFonts w:ascii="宋体" w:hAnsi="宋体"/>
          <w:b/>
          <w:bCs/>
        </w:rPr>
        <w:t>党委书记、人大主席：</w:t>
      </w:r>
      <w:r>
        <w:rPr>
          <w:rFonts w:ascii="宋体" w:hAnsi="宋体"/>
        </w:rPr>
        <w:t>林绍发党</w:t>
      </w:r>
    </w:p>
    <w:p w14:paraId="62A2C3EC">
      <w:pPr>
        <w:ind w:firstLine="422"/>
        <w:rPr>
          <w:rFonts w:ascii="宋体" w:hAnsi="宋体"/>
        </w:rPr>
      </w:pPr>
      <w:r>
        <w:rPr>
          <w:rFonts w:ascii="宋体" w:hAnsi="宋体"/>
          <w:b/>
          <w:bCs/>
        </w:rPr>
        <w:t>委副书记、镇长：</w:t>
      </w:r>
      <w:r>
        <w:rPr>
          <w:rFonts w:ascii="宋体" w:hAnsi="宋体"/>
        </w:rPr>
        <w:t>李卫兰</w:t>
      </w:r>
    </w:p>
    <w:p w14:paraId="79386913">
      <w:pPr>
        <w:ind w:firstLine="422"/>
        <w:rPr>
          <w:rFonts w:ascii="宋体" w:hAnsi="宋体"/>
        </w:rPr>
      </w:pPr>
      <w:r>
        <w:rPr>
          <w:rFonts w:ascii="宋体" w:hAnsi="宋体"/>
          <w:b/>
          <w:bCs/>
        </w:rPr>
        <w:t>党委副书记：</w:t>
      </w:r>
      <w:r>
        <w:rPr>
          <w:rFonts w:ascii="宋体" w:hAnsi="宋体"/>
        </w:rPr>
        <w:t>李明贤</w:t>
      </w:r>
    </w:p>
    <w:p w14:paraId="78C596CA">
      <w:pPr>
        <w:ind w:firstLine="422"/>
        <w:rPr>
          <w:rFonts w:ascii="宋体" w:hAnsi="宋体"/>
        </w:rPr>
      </w:pPr>
      <w:r>
        <w:rPr>
          <w:rFonts w:ascii="宋体" w:hAnsi="宋体"/>
          <w:b/>
          <w:bCs/>
        </w:rPr>
        <w:t>纪委书记：</w:t>
      </w:r>
      <w:r>
        <w:rPr>
          <w:rFonts w:ascii="宋体" w:hAnsi="宋体"/>
        </w:rPr>
        <w:t>邓光祥</w:t>
      </w:r>
    </w:p>
    <w:p w14:paraId="467CC727">
      <w:pPr>
        <w:ind w:firstLine="422"/>
        <w:rPr>
          <w:rFonts w:ascii="宋体" w:hAnsi="宋体"/>
        </w:rPr>
      </w:pPr>
      <w:r>
        <w:rPr>
          <w:rFonts w:ascii="宋体" w:hAnsi="宋体"/>
          <w:b/>
          <w:bCs/>
        </w:rPr>
        <w:t>副镇长：</w:t>
      </w:r>
      <w:r>
        <w:rPr>
          <w:rFonts w:ascii="宋体" w:hAnsi="宋体"/>
        </w:rPr>
        <w:t>夏新坤</w:t>
      </w:r>
      <w:r>
        <w:rPr>
          <w:rFonts w:hint="eastAsia" w:ascii="宋体" w:hAnsi="宋体"/>
        </w:rPr>
        <w:t xml:space="preserve">  </w:t>
      </w:r>
      <w:r>
        <w:rPr>
          <w:rFonts w:ascii="宋体" w:hAnsi="宋体"/>
        </w:rPr>
        <w:t>钟炎山</w:t>
      </w:r>
    </w:p>
    <w:p w14:paraId="157165D2">
      <w:pPr>
        <w:ind w:firstLine="422"/>
        <w:rPr>
          <w:rFonts w:ascii="宋体" w:hAnsi="宋体"/>
        </w:rPr>
      </w:pPr>
      <w:r>
        <w:rPr>
          <w:rFonts w:ascii="宋体" w:hAnsi="宋体"/>
          <w:b/>
          <w:bCs/>
        </w:rPr>
        <w:t>人大副主席：</w:t>
      </w:r>
      <w:r>
        <w:rPr>
          <w:rFonts w:ascii="宋体" w:hAnsi="宋体"/>
        </w:rPr>
        <w:t>刘光龙</w:t>
      </w:r>
    </w:p>
    <w:p w14:paraId="1E19D02D">
      <w:pPr>
        <w:ind w:firstLine="422"/>
        <w:rPr>
          <w:rFonts w:ascii="宋体" w:hAnsi="宋体"/>
        </w:rPr>
      </w:pPr>
      <w:r>
        <w:rPr>
          <w:rFonts w:ascii="宋体" w:hAnsi="宋体"/>
          <w:b/>
          <w:bCs/>
        </w:rPr>
        <w:t>武装部部长：</w:t>
      </w:r>
      <w:r>
        <w:rPr>
          <w:rFonts w:ascii="宋体" w:hAnsi="宋体"/>
        </w:rPr>
        <w:t>李祥宏</w:t>
      </w:r>
    </w:p>
    <w:p w14:paraId="7C1EBBD8">
      <w:pPr>
        <w:ind w:firstLine="422"/>
        <w:rPr>
          <w:rFonts w:ascii="宋体" w:hAnsi="宋体"/>
        </w:rPr>
      </w:pPr>
      <w:r>
        <w:rPr>
          <w:rFonts w:ascii="宋体" w:hAnsi="宋体"/>
          <w:b/>
          <w:bCs/>
        </w:rPr>
        <w:t>组织委员：</w:t>
      </w:r>
      <w:r>
        <w:rPr>
          <w:rFonts w:ascii="宋体" w:hAnsi="宋体"/>
        </w:rPr>
        <w:t>周晓飞</w:t>
      </w:r>
    </w:p>
    <w:p w14:paraId="621D81E1">
      <w:pPr>
        <w:ind w:firstLine="422"/>
        <w:rPr>
          <w:rFonts w:ascii="宋体" w:hAnsi="宋体"/>
        </w:rPr>
      </w:pPr>
      <w:r>
        <w:rPr>
          <w:rFonts w:ascii="宋体" w:hAnsi="宋体"/>
          <w:b/>
          <w:bCs/>
        </w:rPr>
        <w:t>宣传委员：</w:t>
      </w:r>
      <w:r>
        <w:rPr>
          <w:rFonts w:ascii="宋体" w:hAnsi="宋体"/>
        </w:rPr>
        <w:t>吴道连</w:t>
      </w:r>
    </w:p>
    <w:p w14:paraId="61FDE9D2">
      <w:pPr>
        <w:pStyle w:val="3"/>
      </w:pPr>
      <w:r>
        <w:rPr>
          <w:rFonts w:hint="eastAsia"/>
        </w:rPr>
        <w:t>全安镇</w:t>
      </w:r>
    </w:p>
    <w:p w14:paraId="58C41B88">
      <w:pPr>
        <w:pStyle w:val="4"/>
      </w:pPr>
      <w:r>
        <w:t>【概况】</w:t>
      </w:r>
    </w:p>
    <w:p w14:paraId="0043F248">
      <w:pPr>
        <w:ind w:firstLine="420"/>
        <w:rPr>
          <w:rFonts w:ascii="宋体" w:hAnsi="宋体"/>
        </w:rPr>
      </w:pPr>
      <w:r>
        <w:rPr>
          <w:rFonts w:ascii="宋体" w:hAnsi="宋体"/>
        </w:rPr>
        <w:t>全安镇位于南雄市区西北部，距南雄市区7公里，毗邻雄州、古市、百顺、澜河、帽子峰、珠玑、始兴县马市镇，新建韶赣高速公路，国道S323线路经全安镇政府旁边。总面积190.90平方公里，耕地面积2110公顷·，山林面积963.7公顷·。镇区全年气候温和，通讯发达，有线电视网络辐射全镇各村。</w:t>
      </w:r>
    </w:p>
    <w:p w14:paraId="717AF66B">
      <w:pPr>
        <w:ind w:firstLine="420"/>
        <w:rPr>
          <w:rFonts w:ascii="宋体" w:hAnsi="宋体"/>
        </w:rPr>
      </w:pPr>
      <w:r>
        <w:rPr>
          <w:rFonts w:ascii="宋体" w:hAnsi="宋体"/>
        </w:rPr>
        <w:t>全安镇管辖13个村委会和1个居委会，共有192个村民小组，住户7772户，总人口26483人。全镇农业主要以种植水稻、黄烟、花生、田七、蔬菜为主，有丰富的电力、竹木、石材、矿产等自然资源。林业以生产毛竹、白果、杉、松等经济林为主。全安镇辖区内企业主要有明珠石场、绿友食品有限公司、广东绿州纸模包装制品有限公司、苍石竹木制品厂、乐华陶瓷洁具公司以及奥威斯龙华山温泉等。苍石寨4.5平方公里旅游风景区，内建旅游观赏区、温泉休闲山庄，加上九口溪潭，成为集旅游观光、娱乐、休闲、饮食为一体的旅游胜地。</w:t>
      </w:r>
    </w:p>
    <w:p w14:paraId="7E2FB8CC">
      <w:pPr>
        <w:pStyle w:val="4"/>
      </w:pPr>
      <w:r>
        <w:t>【经济社会发展概述】</w:t>
      </w:r>
    </w:p>
    <w:p w14:paraId="2FDBF627">
      <w:pPr>
        <w:ind w:firstLine="420"/>
        <w:rPr>
          <w:rFonts w:ascii="宋体" w:hAnsi="宋体"/>
        </w:rPr>
      </w:pPr>
      <w:r>
        <w:rPr>
          <w:rFonts w:ascii="宋体" w:hAnsi="宋体"/>
        </w:rPr>
        <w:t>2010年，农村经济总收入为2.84亿元。其中农业总产值为1.26亿元，工业生产总值5448万元，地方财政可支配收入为223万元，农村人均纯收入为5476元。</w:t>
      </w:r>
    </w:p>
    <w:p w14:paraId="130E9560">
      <w:pPr>
        <w:pStyle w:val="4"/>
      </w:pPr>
      <w:r>
        <w:t>【社会事业发展概述】</w:t>
      </w:r>
    </w:p>
    <w:p w14:paraId="00C63BE9">
      <w:pPr>
        <w:ind w:firstLine="420"/>
        <w:rPr>
          <w:rFonts w:ascii="宋体" w:hAnsi="宋体"/>
        </w:rPr>
      </w:pPr>
      <w:r>
        <w:rPr>
          <w:rFonts w:ascii="宋体" w:hAnsi="宋体"/>
        </w:rPr>
        <w:t>配合市浈江电力公司建设全安自来水厂。新自来水厂占地面积2500多平方米，投资600多万元，预计总投资1120多万元，自来水厂各项基础设施建设已完成，现已投入使用。自来水厂的建成，惠及杨沥、河塘、荔迳等7个村，1万居民人口。2010年，全镇新型农村合作医疗参保人数23196人，达到总人数的95%。</w:t>
      </w:r>
    </w:p>
    <w:p w14:paraId="0E416EE9">
      <w:pPr>
        <w:pStyle w:val="4"/>
      </w:pPr>
      <w:r>
        <w:t>【特色产业】</w:t>
      </w:r>
    </w:p>
    <w:p w14:paraId="0ACD8FF2">
      <w:pPr>
        <w:ind w:firstLine="420"/>
        <w:rPr>
          <w:rFonts w:ascii="宋体" w:hAnsi="宋体"/>
        </w:rPr>
      </w:pPr>
      <w:r>
        <w:rPr>
          <w:rFonts w:ascii="宋体" w:hAnsi="宋体"/>
        </w:rPr>
        <w:t>全安镇第一家合作社“南雄粤雄百香果专业合作社”已经成立，该合作社已经建立了2公顷标准的示范种植基地，0.33公顷育苗基地，主要以粤雄百香果专业合作社作为法人实体，由粤雄百香果专业合作社与农民直接签订购销合同，收购价格设立合同保底价。</w:t>
      </w:r>
    </w:p>
    <w:p w14:paraId="50CB0AAE">
      <w:pPr>
        <w:pStyle w:val="4"/>
      </w:pPr>
      <w:r>
        <w:t>【动物防疫】</w:t>
      </w:r>
    </w:p>
    <w:p w14:paraId="2B951126">
      <w:pPr>
        <w:ind w:firstLine="420"/>
        <w:rPr>
          <w:rFonts w:ascii="宋体" w:hAnsi="宋体"/>
        </w:rPr>
      </w:pPr>
      <w:r>
        <w:rPr>
          <w:rFonts w:ascii="宋体" w:hAnsi="宋体"/>
        </w:rPr>
        <w:t>2010年全安镇全体防洽员集体行动，以村为单位，先后采取方式对辖区所有的适免动物进行强制免疫，免疫率达100%，免疫合格率也达到100%，确保全镇无重大动物疫病发生。全镇免疫家禽38750只，生猪27675头，耕牛477头，羊364头。</w:t>
      </w:r>
    </w:p>
    <w:p w14:paraId="711D5FDC">
      <w:pPr>
        <w:pStyle w:val="4"/>
      </w:pPr>
      <w:r>
        <w:t>【交通建设】</w:t>
      </w:r>
    </w:p>
    <w:p w14:paraId="34696E29">
      <w:pPr>
        <w:ind w:firstLine="420"/>
        <w:rPr>
          <w:rFonts w:ascii="宋体" w:hAnsi="宋体"/>
        </w:rPr>
      </w:pPr>
      <w:r>
        <w:rPr>
          <w:rFonts w:ascii="宋体" w:hAnsi="宋体"/>
        </w:rPr>
        <w:t>全安镇镇多方筹集资金，抓好凌江总圳除险加固建设。陂头村铺背至黄岭8.7公里、苍石至龙华山3公里、全安村至暖水塘3公里、古塘村政塘1.8公里的水泥硬底化建设，荔迳兴塘至陂头村4公里水泥硬底化建设工程已完成招投标工作。荔迳兴塘至陂头村4公里水泥硬底化建设工程已经完成。</w:t>
      </w:r>
    </w:p>
    <w:p w14:paraId="15C71ED4">
      <w:pPr>
        <w:pStyle w:val="4"/>
      </w:pPr>
      <w:r>
        <w:t>【社会维稳】</w:t>
      </w:r>
    </w:p>
    <w:p w14:paraId="66B3EB2F">
      <w:pPr>
        <w:ind w:firstLine="420"/>
        <w:rPr>
          <w:rFonts w:ascii="宋体" w:hAnsi="宋体"/>
        </w:rPr>
      </w:pPr>
      <w:r>
        <w:rPr>
          <w:rFonts w:ascii="宋体" w:hAnsi="宋体"/>
        </w:rPr>
        <w:t>截至2010年12月31日，综治维稳中心共受理各类矛盾纠纷93起，调处93起，调处成功89起，成功率达95%，其中调处疑难纠纷10起，全镇共受理、办理人民群众来信、来访、来电71件，已办结71件办结率为100%。</w:t>
      </w:r>
    </w:p>
    <w:p w14:paraId="61D59726">
      <w:pPr>
        <w:pStyle w:val="4"/>
      </w:pPr>
      <w:r>
        <w:t>【扶贫开发】</w:t>
      </w:r>
    </w:p>
    <w:p w14:paraId="02A4372E">
      <w:pPr>
        <w:ind w:firstLine="420"/>
        <w:rPr>
          <w:rFonts w:ascii="宋体" w:hAnsi="宋体"/>
        </w:rPr>
      </w:pPr>
      <w:r>
        <w:rPr>
          <w:rFonts w:ascii="宋体" w:hAnsi="宋体"/>
        </w:rPr>
        <w:t>2010年，全安镇借助省挂点帮扶单位的力量，结合各村贫困实际，做好扶贫开发对接工作，5个贫困村选定发展百香果、饲养牛、五黑一绿鸡等种养项目6个，其中苍石村帮扶单位为村投资10万元，以电站入股的形式，为苍石村解决村集体收入不足的困境。兰溪村挂点单位投资6万多元，改善“两委”办公条件。</w:t>
      </w:r>
    </w:p>
    <w:p w14:paraId="0AC10E43">
      <w:pPr>
        <w:pStyle w:val="4"/>
      </w:pPr>
      <w:r>
        <w:t>【教育强镇】</w:t>
      </w:r>
    </w:p>
    <w:p w14:paraId="4EE59232">
      <w:pPr>
        <w:ind w:firstLine="420"/>
        <w:rPr>
          <w:rFonts w:ascii="宋体" w:hAnsi="宋体"/>
        </w:rPr>
      </w:pPr>
      <w:r>
        <w:rPr>
          <w:rFonts w:ascii="宋体" w:hAnsi="宋体"/>
        </w:rPr>
        <w:t>2010年，全镇小学适龄儿童和中学生的入学率达到100%。2010年度实现初中升高中考试成绩的历史性突破，重点中学入围人数大幅增加，高分层各分数段人数、各学科平均分均名列南雄市农村初级中学前茅。特别是六年级在2010年的市水平测试创历史新高。</w:t>
      </w:r>
    </w:p>
    <w:p w14:paraId="19E5AAD4">
      <w:pPr>
        <w:pStyle w:val="4"/>
      </w:pPr>
      <w:r>
        <w:t>【计生工作】</w:t>
      </w:r>
    </w:p>
    <w:p w14:paraId="6782720B">
      <w:pPr>
        <w:ind w:firstLine="420"/>
        <w:rPr>
          <w:rFonts w:ascii="宋体" w:hAnsi="宋体"/>
        </w:rPr>
      </w:pPr>
      <w:r>
        <w:rPr>
          <w:rFonts w:ascii="宋体" w:hAnsi="宋体"/>
        </w:rPr>
        <w:t>2010年10月至2011年9月计划生育率为96.09%，人口自然增长率7.25%；婴儿出生性别比为110.59%。全镇共出生358人（其中政策内出生344人），完成“四术”417例，其中结扎132例，上环269例，补救措施15例。</w:t>
      </w:r>
    </w:p>
    <w:p w14:paraId="70BEA05F">
      <w:pPr>
        <w:pStyle w:val="4"/>
      </w:pPr>
      <w:r>
        <w:t>【人口普查】</w:t>
      </w:r>
    </w:p>
    <w:p w14:paraId="7447DC35">
      <w:pPr>
        <w:ind w:firstLine="420"/>
        <w:rPr>
          <w:rFonts w:ascii="宋体" w:hAnsi="宋体"/>
        </w:rPr>
      </w:pPr>
      <w:r>
        <w:rPr>
          <w:rFonts w:ascii="宋体" w:hAnsi="宋体"/>
        </w:rPr>
        <w:t>全安镇有普查区13个，普查小区61个，普查指导员16个，调查员61人，于2010年11月1日开始入户登记，顺利完成第六次全国人口普查人口工作。</w:t>
      </w:r>
    </w:p>
    <w:p w14:paraId="59198C11">
      <w:pPr>
        <w:pStyle w:val="4"/>
      </w:pPr>
      <w:r>
        <w:t>【惠民政策】</w:t>
      </w:r>
    </w:p>
    <w:p w14:paraId="6465F16D">
      <w:pPr>
        <w:ind w:firstLine="420"/>
        <w:rPr>
          <w:rFonts w:ascii="宋体" w:hAnsi="宋体"/>
        </w:rPr>
      </w:pPr>
      <w:r>
        <w:rPr>
          <w:rFonts w:ascii="宋体" w:hAnsi="宋体"/>
        </w:rPr>
        <w:t>2010年，落实农资综合直补补贴资金197万元，收益户数5700户。落实家电下乡财政补贴工作，全镇家电下乡产品电冰箱、汽车、摩托车等2010年财政补贴138万元。</w:t>
      </w:r>
    </w:p>
    <w:p w14:paraId="0915B3A4">
      <w:pPr>
        <w:pStyle w:val="3"/>
      </w:pPr>
      <w:r>
        <w:rPr>
          <w:rFonts w:hint="eastAsia"/>
        </w:rPr>
        <w:t>各村、社区基本情况</w:t>
      </w:r>
    </w:p>
    <w:p w14:paraId="76539BB7">
      <w:pPr>
        <w:pStyle w:val="4"/>
      </w:pPr>
      <w:r>
        <w:t>【全安社区】</w:t>
      </w:r>
    </w:p>
    <w:p w14:paraId="13F1D934">
      <w:pPr>
        <w:ind w:firstLine="420"/>
        <w:rPr>
          <w:rFonts w:ascii="宋体" w:hAnsi="宋体"/>
        </w:rPr>
      </w:pPr>
      <w:r>
        <w:rPr>
          <w:rFonts w:ascii="宋体" w:hAnsi="宋体"/>
        </w:rPr>
        <w:t>全安社区总人口为1623人，其中劳动力人口为1266人，党员数为7人，居委会干部3人。</w:t>
      </w:r>
    </w:p>
    <w:p w14:paraId="30056D15">
      <w:pPr>
        <w:pStyle w:val="4"/>
      </w:pPr>
      <w:r>
        <w:t>【陂头村】</w:t>
      </w:r>
    </w:p>
    <w:p w14:paraId="6C7AEA8D">
      <w:pPr>
        <w:ind w:firstLine="420"/>
        <w:rPr>
          <w:rFonts w:ascii="宋体" w:hAnsi="宋体"/>
        </w:rPr>
      </w:pPr>
      <w:r>
        <w:rPr>
          <w:rFonts w:ascii="宋体" w:hAnsi="宋体"/>
        </w:rPr>
        <w:t>陂头村共25个村小组，总户数730户，全村总人口3202人，其中常住人口3000人，劳动力人口1930人。党员人数83人，村干部6人。全村总面积34780亩，山林面积29300亩，耕地面积5480亩，其中有水田4330亩，旱地1150亩。以种植黄烟、花生为主。2010年人均收入3000元。</w:t>
      </w:r>
    </w:p>
    <w:p w14:paraId="71DDD96B">
      <w:pPr>
        <w:pStyle w:val="4"/>
      </w:pPr>
      <w:r>
        <w:t>【羊角村】</w:t>
      </w:r>
    </w:p>
    <w:p w14:paraId="75BAE919">
      <w:pPr>
        <w:ind w:firstLine="420"/>
        <w:rPr>
          <w:rFonts w:ascii="宋体" w:hAnsi="宋体"/>
        </w:rPr>
      </w:pPr>
      <w:r>
        <w:rPr>
          <w:rFonts w:ascii="宋体" w:hAnsi="宋体"/>
        </w:rPr>
        <w:t>羊角村有21个村小组，总户数821户，总人口3247人，其中常住人口3097人，劳动力1700人，党员72人，村干部6人。全村总面积8400亩，山林面积2185亩，耕地面积4000亩，其中水田1943亩，旱地2057亩。主要经济农作物以水稻为主。2010年人均收入5000元。</w:t>
      </w:r>
    </w:p>
    <w:p w14:paraId="6263EFE6">
      <w:pPr>
        <w:pStyle w:val="4"/>
      </w:pPr>
      <w:r>
        <w:t>【古塘村】</w:t>
      </w:r>
    </w:p>
    <w:p w14:paraId="6AD636C1">
      <w:pPr>
        <w:ind w:firstLine="420"/>
        <w:rPr>
          <w:rFonts w:ascii="宋体" w:hAnsi="宋体"/>
        </w:rPr>
      </w:pPr>
      <w:r>
        <w:rPr>
          <w:rFonts w:ascii="宋体" w:hAnsi="宋体"/>
        </w:rPr>
        <w:t>全村有16个村小组，总户数650户，总人口2600人，其中常住人口2512人，劳动力人口1480人，党员73人，村干部6人。全村总面积8550亩，山林面积6000亩，耕地面积2550亩，其中水田2300亩，旱地900亩。主要经济农作物以水稻为主。2010年人均收,入4200元。</w:t>
      </w:r>
    </w:p>
    <w:p w14:paraId="7BEA59EA">
      <w:pPr>
        <w:pStyle w:val="4"/>
      </w:pPr>
      <w:r>
        <w:t>【全安村】</w:t>
      </w:r>
    </w:p>
    <w:p w14:paraId="450A2D7D">
      <w:pPr>
        <w:ind w:firstLine="420"/>
        <w:rPr>
          <w:rFonts w:ascii="宋体" w:hAnsi="宋体"/>
        </w:rPr>
      </w:pPr>
      <w:r>
        <w:rPr>
          <w:rFonts w:ascii="宋体" w:hAnsi="宋体"/>
        </w:rPr>
        <w:t>辖区共20个村小组，总户数为637户，全村总人口为2800人，其中常住人口2680人，劳动力人口为1170人，党员63人，村干部6人。全村总面积为8950亩，山林面积4750亩，耕地面积4200亩，其中水田2400亩，旱地1800亩。主要经济农作物以水稻为主。2010年人均收入5000元。</w:t>
      </w:r>
    </w:p>
    <w:p w14:paraId="6D5B204E">
      <w:pPr>
        <w:pStyle w:val="4"/>
      </w:pPr>
      <w:r>
        <w:t>【王亭石村】</w:t>
      </w:r>
    </w:p>
    <w:p w14:paraId="350CBBB5">
      <w:pPr>
        <w:ind w:firstLine="420"/>
        <w:rPr>
          <w:rFonts w:ascii="宋体" w:hAnsi="宋体"/>
        </w:rPr>
      </w:pPr>
      <w:r>
        <w:rPr>
          <w:rFonts w:ascii="宋体" w:hAnsi="宋体"/>
        </w:rPr>
        <w:t>辖区共11个村小组，总户数281户，全村总人口1257人，其中常住人口1107人，劳动力人口685人，党员36人，村干部5人。全村山林面积4906亩，耕地面积1276亩，其中水田1154亩，旱田122亩。主要经济农作物以黄烟、花生为主。2010年人均收入4900元。</w:t>
      </w:r>
    </w:p>
    <w:p w14:paraId="74767C68">
      <w:pPr>
        <w:pStyle w:val="4"/>
      </w:pPr>
      <w:r>
        <w:t>【河塘村】</w:t>
      </w:r>
    </w:p>
    <w:p w14:paraId="3AC48362">
      <w:pPr>
        <w:ind w:firstLine="420"/>
        <w:rPr>
          <w:rFonts w:ascii="宋体" w:hAnsi="宋体"/>
        </w:rPr>
      </w:pPr>
      <w:r>
        <w:rPr>
          <w:rFonts w:ascii="宋体" w:hAnsi="宋体"/>
        </w:rPr>
        <w:t>辖区共13个村小组，总户数550户，全村总人口2364人，其中农村常住人口2200人，劳动力人口850人，党员64人，村干部6人。全村总面积4015亩，山林面积2415亩，耕地面积1600亩，其中水田1214亩，旱地386亩。主要经济农作物以水稻为主。2010年人均收入4200元。</w:t>
      </w:r>
    </w:p>
    <w:p w14:paraId="4BED126F">
      <w:pPr>
        <w:pStyle w:val="4"/>
      </w:pPr>
      <w:r>
        <w:t>【杨沥村】</w:t>
      </w:r>
    </w:p>
    <w:p w14:paraId="34664E71">
      <w:pPr>
        <w:ind w:firstLine="420"/>
        <w:rPr>
          <w:rFonts w:ascii="宋体" w:hAnsi="宋体"/>
        </w:rPr>
      </w:pPr>
      <w:r>
        <w:rPr>
          <w:rFonts w:ascii="宋体" w:hAnsi="宋体"/>
        </w:rPr>
        <w:t>辖区共15个村小组，总户数549户，全村总人口2478人，其中常住人口2274人，劳动力人口950人，党员57人，村干部6人。全村总面积24321亩，山林面积21900亩，耕地面积2421亩，其中水田1632亩，旱地789亩。主要经济农作物以水稻为主。2010年人均收入4318元。</w:t>
      </w:r>
    </w:p>
    <w:p w14:paraId="2E6778F9">
      <w:pPr>
        <w:pStyle w:val="4"/>
      </w:pPr>
      <w:r>
        <w:t>【荔迳村】</w:t>
      </w:r>
    </w:p>
    <w:p w14:paraId="6FEDEC00">
      <w:pPr>
        <w:ind w:firstLine="420"/>
        <w:rPr>
          <w:rFonts w:ascii="宋体" w:hAnsi="宋体"/>
        </w:rPr>
      </w:pPr>
      <w:r>
        <w:rPr>
          <w:rFonts w:ascii="宋体" w:hAnsi="宋体"/>
        </w:rPr>
        <w:t>辖区共11个村小组，总户数为406户，全村总人口为1423人，其中常住人口1389人，劳动力人口为850人，党员33人，干部5人。全村总面积15000亩，山林面积12000亩，耕地面积3000亩，其中水田1900亩，旱地1100亩。主要经济农作物以水稻为主，2010年人均收入4500元。</w:t>
      </w:r>
    </w:p>
    <w:p w14:paraId="5262EAF6">
      <w:pPr>
        <w:pStyle w:val="4"/>
      </w:pPr>
      <w:r>
        <w:t>【密下水村】</w:t>
      </w:r>
    </w:p>
    <w:p w14:paraId="253B9C18">
      <w:pPr>
        <w:ind w:firstLine="420"/>
        <w:rPr>
          <w:rFonts w:ascii="宋体" w:hAnsi="宋体"/>
        </w:rPr>
      </w:pPr>
      <w:r>
        <w:rPr>
          <w:rFonts w:ascii="宋体" w:hAnsi="宋体"/>
        </w:rPr>
        <w:t>辖区共21个村小组，总户数为542户，全村总人口为2076人，其中常住人口1657人，劳动力人口为850人，党员52人，干部6人。全村总面积30160亩，山林面积26000亩，耕地面积4160亩，其中水田2622亩，旱地538亩。主要经济农作物以水稻为主，2010年人均收入4250元。</w:t>
      </w:r>
    </w:p>
    <w:p w14:paraId="05796D78">
      <w:pPr>
        <w:pStyle w:val="4"/>
      </w:pPr>
      <w:r>
        <w:t>【苍石村】</w:t>
      </w:r>
    </w:p>
    <w:p w14:paraId="0B0B6609">
      <w:pPr>
        <w:ind w:firstLine="420"/>
        <w:rPr>
          <w:rFonts w:ascii="宋体" w:hAnsi="宋体"/>
        </w:rPr>
      </w:pPr>
      <w:r>
        <w:rPr>
          <w:rFonts w:ascii="宋体" w:hAnsi="宋体"/>
        </w:rPr>
        <w:t>辖区共13个村小组，总户数为298户，全村总人口为1383人，其中常住人口1246人，劳动力人口为498人，党员66人，干部5人。全村总面积40463亩，山林面积39483亩，耕地面积980亩，其中水田935亩，旱地45亩。主要经济农作物以花生为主，2010年人均收入4600元。</w:t>
      </w:r>
    </w:p>
    <w:p w14:paraId="13E43807">
      <w:pPr>
        <w:pStyle w:val="4"/>
      </w:pPr>
      <w:r>
        <w:t>【大坪村】</w:t>
      </w:r>
    </w:p>
    <w:p w14:paraId="238F2ED5">
      <w:pPr>
        <w:ind w:firstLine="420"/>
        <w:rPr>
          <w:rFonts w:ascii="宋体" w:hAnsi="宋体"/>
        </w:rPr>
      </w:pPr>
      <w:r>
        <w:rPr>
          <w:rFonts w:ascii="宋体" w:hAnsi="宋体"/>
        </w:rPr>
        <w:t>辖区共10个村小组，总户数为292户，全村总人口为1536人，其中常住人口1326人，劳动力人口为550人，党员45人，干部5人。全村总面积18260亩，山林面积17500亩，耕地面积760亩，其中水田760亩。主要经济农作物以水稻为主，2010年人均收入5300元。</w:t>
      </w:r>
    </w:p>
    <w:p w14:paraId="7E567EB2">
      <w:pPr>
        <w:pStyle w:val="4"/>
      </w:pPr>
      <w:r>
        <w:t>【兰溪村】</w:t>
      </w:r>
    </w:p>
    <w:p w14:paraId="0240ECFF">
      <w:pPr>
        <w:ind w:firstLine="420"/>
        <w:rPr>
          <w:rFonts w:ascii="宋体" w:hAnsi="宋体"/>
        </w:rPr>
      </w:pPr>
      <w:r>
        <w:rPr>
          <w:rFonts w:ascii="宋体" w:hAnsi="宋体"/>
        </w:rPr>
        <w:t>辖区共6个村小组，总户数为195户，全村总人口为920人，其中常住人口830人，劳动力人口为300人，党员35人，干部4人。全村总面积12950亩，山林面积12500亩，耕地面积450亩，其中水田450亩。主要经济农作物以水稻为主，2010年人均收入3800元。</w:t>
      </w:r>
    </w:p>
    <w:p w14:paraId="52ADB197">
      <w:pPr>
        <w:pStyle w:val="4"/>
      </w:pPr>
      <w:r>
        <w:t>【章禾洞村】</w:t>
      </w:r>
    </w:p>
    <w:p w14:paraId="256B5844">
      <w:pPr>
        <w:ind w:firstLine="420"/>
        <w:rPr>
          <w:rFonts w:ascii="宋体" w:hAnsi="宋体"/>
        </w:rPr>
      </w:pPr>
      <w:r>
        <w:rPr>
          <w:rFonts w:ascii="宋体" w:hAnsi="宋体"/>
        </w:rPr>
        <w:t>辖区共9个村小组，总户数为211户，全村总人口为833人，其中常住人口750人，劳动力人口为250人，党员42人，干部4人。全村总面积15646亩，山林面积14799亩，耕地面积847亩，其中水田735亩。旱地112亩。主要经济农作物以水稻为主，2010年人均收入3500元。</w:t>
      </w:r>
    </w:p>
    <w:p w14:paraId="13FA187E">
      <w:pPr>
        <w:ind w:firstLine="420"/>
        <w:jc w:val="right"/>
        <w:rPr>
          <w:rFonts w:ascii="宋体" w:hAnsi="宋体"/>
        </w:rPr>
      </w:pPr>
      <w:r>
        <w:rPr>
          <w:rFonts w:ascii="宋体" w:hAnsi="宋体"/>
        </w:rPr>
        <w:t>（罗静）</w:t>
      </w:r>
    </w:p>
    <w:p w14:paraId="5C375672">
      <w:pPr>
        <w:ind w:firstLine="422"/>
        <w:rPr>
          <w:rFonts w:ascii="宋体" w:hAnsi="宋体"/>
          <w:b/>
          <w:bCs/>
        </w:rPr>
      </w:pPr>
      <w:r>
        <w:rPr>
          <w:rFonts w:ascii="宋体" w:hAnsi="宋体"/>
          <w:b/>
          <w:bCs/>
        </w:rPr>
        <w:t>附：2010年全安镇领导班子成员名单</w:t>
      </w:r>
    </w:p>
    <w:p w14:paraId="2DE2F039">
      <w:pPr>
        <w:ind w:firstLine="422"/>
        <w:rPr>
          <w:rFonts w:ascii="宋体" w:hAnsi="宋体"/>
        </w:rPr>
      </w:pPr>
      <w:r>
        <w:rPr>
          <w:rFonts w:ascii="宋体" w:hAnsi="宋体"/>
          <w:b/>
          <w:bCs/>
        </w:rPr>
        <w:t>党委书记、人大主席：</w:t>
      </w:r>
      <w:r>
        <w:rPr>
          <w:rFonts w:ascii="宋体" w:hAnsi="宋体"/>
        </w:rPr>
        <w:t>沈学福</w:t>
      </w:r>
    </w:p>
    <w:p w14:paraId="39A9E64C">
      <w:pPr>
        <w:ind w:firstLine="422"/>
        <w:rPr>
          <w:rFonts w:ascii="宋体" w:hAnsi="宋体"/>
        </w:rPr>
      </w:pPr>
      <w:r>
        <w:rPr>
          <w:rFonts w:ascii="宋体" w:hAnsi="宋体"/>
          <w:b/>
          <w:bCs/>
        </w:rPr>
        <w:t>党委副书记、镇长：</w:t>
      </w:r>
      <w:r>
        <w:rPr>
          <w:rFonts w:ascii="宋体" w:hAnsi="宋体"/>
        </w:rPr>
        <w:t>何春京</w:t>
      </w:r>
    </w:p>
    <w:p w14:paraId="02DDF6D2">
      <w:pPr>
        <w:ind w:firstLine="422"/>
        <w:rPr>
          <w:rFonts w:ascii="宋体" w:hAnsi="宋体"/>
        </w:rPr>
      </w:pPr>
      <w:r>
        <w:rPr>
          <w:rFonts w:ascii="宋体" w:hAnsi="宋体"/>
          <w:b/>
          <w:bCs/>
        </w:rPr>
        <w:t>党委副书记：</w:t>
      </w:r>
      <w:r>
        <w:rPr>
          <w:rFonts w:ascii="宋体" w:hAnsi="宋体"/>
        </w:rPr>
        <w:t>何腾林</w:t>
      </w:r>
    </w:p>
    <w:p w14:paraId="42485FAE">
      <w:pPr>
        <w:ind w:firstLine="422"/>
        <w:rPr>
          <w:rFonts w:ascii="宋体" w:hAnsi="宋体"/>
        </w:rPr>
      </w:pPr>
      <w:r>
        <w:rPr>
          <w:rFonts w:ascii="宋体" w:hAnsi="宋体"/>
          <w:b/>
          <w:bCs/>
        </w:rPr>
        <w:t>纪委书记：</w:t>
      </w:r>
      <w:r>
        <w:rPr>
          <w:rFonts w:ascii="宋体" w:hAnsi="宋体"/>
        </w:rPr>
        <w:t>钟顺华</w:t>
      </w:r>
    </w:p>
    <w:p w14:paraId="3F72008C">
      <w:pPr>
        <w:ind w:firstLine="422"/>
        <w:rPr>
          <w:rFonts w:ascii="宋体" w:hAnsi="宋体"/>
        </w:rPr>
      </w:pPr>
      <w:r>
        <w:rPr>
          <w:rFonts w:ascii="宋体" w:hAnsi="宋体"/>
          <w:b/>
          <w:bCs/>
        </w:rPr>
        <w:t>副镇长：</w:t>
      </w:r>
      <w:r>
        <w:rPr>
          <w:rFonts w:ascii="宋体" w:hAnsi="宋体"/>
        </w:rPr>
        <w:t>雷毅</w:t>
      </w:r>
      <w:r>
        <w:rPr>
          <w:rFonts w:hint="eastAsia" w:ascii="宋体" w:hAnsi="宋体"/>
        </w:rPr>
        <w:t xml:space="preserve">  </w:t>
      </w:r>
      <w:r>
        <w:rPr>
          <w:rFonts w:ascii="宋体" w:hAnsi="宋体"/>
        </w:rPr>
        <w:t>陈汉铭</w:t>
      </w:r>
    </w:p>
    <w:p w14:paraId="7CC7CC3F">
      <w:pPr>
        <w:ind w:firstLine="422"/>
        <w:rPr>
          <w:rFonts w:ascii="宋体" w:hAnsi="宋体"/>
        </w:rPr>
      </w:pPr>
      <w:r>
        <w:rPr>
          <w:rFonts w:ascii="宋体" w:hAnsi="宋体"/>
          <w:b/>
          <w:bCs/>
        </w:rPr>
        <w:t>人大副主席：</w:t>
      </w:r>
      <w:r>
        <w:rPr>
          <w:rFonts w:ascii="宋体" w:hAnsi="宋体"/>
        </w:rPr>
        <w:t>李祝君</w:t>
      </w:r>
    </w:p>
    <w:p w14:paraId="75805161">
      <w:pPr>
        <w:ind w:firstLine="422"/>
        <w:rPr>
          <w:rFonts w:ascii="宋体" w:hAnsi="宋体"/>
        </w:rPr>
      </w:pPr>
      <w:r>
        <w:rPr>
          <w:rFonts w:ascii="宋体" w:hAnsi="宋体"/>
          <w:b/>
          <w:bCs/>
        </w:rPr>
        <w:t>武装部部长：</w:t>
      </w:r>
      <w:r>
        <w:rPr>
          <w:rFonts w:ascii="宋体" w:hAnsi="宋体"/>
        </w:rPr>
        <w:t>刘景通</w:t>
      </w:r>
    </w:p>
    <w:p w14:paraId="5B85C6CA">
      <w:pPr>
        <w:ind w:firstLine="422"/>
        <w:rPr>
          <w:rFonts w:ascii="宋体" w:hAnsi="宋体"/>
        </w:rPr>
      </w:pPr>
      <w:r>
        <w:rPr>
          <w:rFonts w:ascii="宋体" w:hAnsi="宋体"/>
          <w:b/>
          <w:bCs/>
        </w:rPr>
        <w:t>党委委员：</w:t>
      </w:r>
      <w:r>
        <w:rPr>
          <w:rFonts w:ascii="宋体" w:hAnsi="宋体"/>
        </w:rPr>
        <w:t>张熙斌</w:t>
      </w:r>
    </w:p>
    <w:p w14:paraId="6A0212A5">
      <w:pPr>
        <w:ind w:firstLine="422"/>
        <w:rPr>
          <w:rFonts w:ascii="宋体" w:hAnsi="宋体"/>
        </w:rPr>
      </w:pPr>
      <w:r>
        <w:rPr>
          <w:rFonts w:ascii="宋体" w:hAnsi="宋体"/>
          <w:b/>
          <w:bCs/>
        </w:rPr>
        <w:t>组织委员：</w:t>
      </w:r>
      <w:r>
        <w:rPr>
          <w:rFonts w:ascii="宋体" w:hAnsi="宋体"/>
        </w:rPr>
        <w:t>王向兰</w:t>
      </w:r>
    </w:p>
    <w:p w14:paraId="6EB25B58">
      <w:pPr>
        <w:ind w:firstLine="422"/>
        <w:rPr>
          <w:rFonts w:ascii="宋体" w:hAnsi="宋体"/>
        </w:rPr>
      </w:pPr>
      <w:r>
        <w:rPr>
          <w:rFonts w:ascii="宋体" w:hAnsi="宋体"/>
          <w:b/>
          <w:bCs/>
        </w:rPr>
        <w:t>宣传委员：</w:t>
      </w:r>
      <w:r>
        <w:rPr>
          <w:rFonts w:ascii="宋体" w:hAnsi="宋体"/>
        </w:rPr>
        <w:t>张金兰</w:t>
      </w:r>
    </w:p>
    <w:p w14:paraId="495E50F1">
      <w:pPr>
        <w:pStyle w:val="3"/>
      </w:pPr>
      <w:r>
        <w:rPr>
          <w:rFonts w:hint="eastAsia"/>
        </w:rPr>
        <w:t>帽子峰镇</w:t>
      </w:r>
    </w:p>
    <w:p w14:paraId="0BB128DA">
      <w:pPr>
        <w:pStyle w:val="4"/>
      </w:pPr>
      <w:r>
        <w:t>【概况】</w:t>
      </w:r>
    </w:p>
    <w:p w14:paraId="41D2F0E9">
      <w:pPr>
        <w:ind w:firstLine="420"/>
        <w:rPr>
          <w:rFonts w:ascii="宋体" w:hAnsi="宋体"/>
        </w:rPr>
      </w:pPr>
      <w:r>
        <w:rPr>
          <w:rFonts w:ascii="宋体" w:hAnsi="宋体"/>
        </w:rPr>
        <w:t>帽子峰镇位于南雄市西北部，距市区24公里。省道S342线穿镇而过，辖5个村委会和1个居委会，56个村民小组，总人口为9618人，总户数为1899户，其中农业人口8129人。总面积101.25平方公里，其中山林面积8353公顷，耕地面积806.6公顷。全镇工农业总产值由2006年的5600万元，增长为2010年的11258万元，增加5658万元，同比增长101.03%，地方财政收入由85万元上升为123万元，增加38万元，同比增长44.7%，农民人均纯收入由4304元提高到5765元，增加1461元，同比增长33.95%。主要作物有水稻、花生、黄烟和辣椒。</w:t>
      </w:r>
    </w:p>
    <w:p w14:paraId="46277DC8">
      <w:pPr>
        <w:pStyle w:val="4"/>
      </w:pPr>
      <w:r>
        <w:t>【农业】</w:t>
      </w:r>
    </w:p>
    <w:p w14:paraId="25614993">
      <w:pPr>
        <w:ind w:firstLine="420"/>
        <w:rPr>
          <w:rFonts w:ascii="宋体" w:hAnsi="宋体"/>
        </w:rPr>
      </w:pPr>
      <w:r>
        <w:rPr>
          <w:rFonts w:ascii="宋体" w:hAnsi="宋体"/>
        </w:rPr>
        <w:t>2006年烟叶收购为3043担，2007年起为3850担，2008年4002担，2009年4438担，2010年4211担，连续五年全面完成市政府下达的收购任务，并连续五年被评为“黄烟收购先进单位”。“一村一品”的特色产业初具规模，富竹村种植甜玉米，洞头村水稻制种，梨树村种植辣椒，坪山村培育杉苗，上龙村种植芋头。全镇2010年共种植小辣椒1024亩，育杉苗800多万株，种植甜玉米400亩，水稻制种326亩，芋头150亩，紫心番薯300多亩，农民增收1000多元；</w:t>
      </w:r>
    </w:p>
    <w:p w14:paraId="3C100C36">
      <w:pPr>
        <w:pStyle w:val="4"/>
      </w:pPr>
      <w:r>
        <w:t>【林业】</w:t>
      </w:r>
    </w:p>
    <w:p w14:paraId="757D4E10">
      <w:pPr>
        <w:ind w:firstLine="420"/>
        <w:rPr>
          <w:rFonts w:ascii="宋体" w:hAnsi="宋体"/>
        </w:rPr>
      </w:pPr>
      <w:r>
        <w:rPr>
          <w:rFonts w:ascii="宋体" w:hAnsi="宋体"/>
        </w:rPr>
        <w:t>围绕林业建设，以林权体制改革为契机，积极推进山权林权流转，鼓励大户承包，全镇植树造林的积极性进一步提高，全镇五年共造林7000多亩，培育杉苗2000多万株；并采取点面结合方式，主要抓严伐区、抓紧打私，抓好护林工作，打击乱砍滥伐，控制滥伐林木、偷运走私的行为。同时，加大森林防火工作力度，强化干部责任，加强宣传检查，2010年没有发生一起山林火灾，确保一片青山绿水。</w:t>
      </w:r>
    </w:p>
    <w:p w14:paraId="30C6B0A5">
      <w:pPr>
        <w:pStyle w:val="4"/>
      </w:pPr>
      <w:r>
        <w:t>【基础设施】</w:t>
      </w:r>
    </w:p>
    <w:p w14:paraId="71CE9D5F">
      <w:pPr>
        <w:ind w:firstLine="420"/>
        <w:rPr>
          <w:rFonts w:ascii="宋体" w:hAnsi="宋体"/>
        </w:rPr>
      </w:pPr>
      <w:r>
        <w:rPr>
          <w:rFonts w:ascii="宋体" w:hAnsi="宋体"/>
        </w:rPr>
        <w:t>共投资1000多万元完成富竹、洞头、坪山、梨树等5个村除上龙新坪、洞头张屋坪、梨树赵坑外所有自然村的道路硬化工程。并投资60万元，对富竹大桥进行桥面维修改造；投资30多万元加强水利设施建设。筹资1.5万元铺设洞头村伴源村小组300米水渠三面光工程。另外，投入120万元实施安全饮水工程，解决4个村委会共26个自然村3000多人饮水问题；争取各方支持，2010年，引进外商投资150多万元建设小城镇，新增墟镇面积3万多平方米；投资144万元对墟镇路灯等环卫设施进行整修维护；投资80多万元兴建敬老院，使得20多名孤寡老人老有所安、老有所乐。</w:t>
      </w:r>
    </w:p>
    <w:p w14:paraId="6AAFCC42">
      <w:pPr>
        <w:pStyle w:val="4"/>
      </w:pPr>
      <w:r>
        <w:t>【新农村建设】</w:t>
      </w:r>
    </w:p>
    <w:p w14:paraId="6525D21C">
      <w:pPr>
        <w:ind w:firstLine="420"/>
        <w:rPr>
          <w:rFonts w:ascii="宋体" w:hAnsi="宋体"/>
        </w:rPr>
      </w:pPr>
      <w:r>
        <w:rPr>
          <w:rFonts w:ascii="宋体" w:hAnsi="宋体"/>
        </w:rPr>
        <w:t>新农村建设稳步推进，沼气、太阳能等新能源在农村得到推广和应用，新建新农村示范村3个。坪山新村作为全市村庄整治示范村，获“省级卫生村”称号，富竹库俚村获“韶关市卫生村”称号。在全镇进行改水改厕，继续推广沼气建设，兴建200户农村无公害化厕所。</w:t>
      </w:r>
    </w:p>
    <w:p w14:paraId="4571326B">
      <w:pPr>
        <w:pStyle w:val="4"/>
      </w:pPr>
      <w:r>
        <w:t>【招商引资】</w:t>
      </w:r>
    </w:p>
    <w:p w14:paraId="6F9267E4">
      <w:pPr>
        <w:ind w:firstLine="420"/>
        <w:rPr>
          <w:rFonts w:ascii="宋体" w:hAnsi="宋体"/>
        </w:rPr>
      </w:pPr>
      <w:r>
        <w:rPr>
          <w:rFonts w:ascii="宋体" w:hAnsi="宋体"/>
        </w:rPr>
        <w:t>重点整治招商引资环境，改进招商方式，拓展招商领域，“走出去，请进来”，强化对外交流与合作，一是引进东莞三拓化工公司在精细化工园投资2000万元新建化工厂；二是引进江门鑫城达投资有限公司投资5000万元新建瑞泰新材料化工厂；三是引进南雄绿之霖农业发展公司来帽子峰投资，有效促进农副产品、林木产品的深加工，增加农民收入。三个项目都已竣工投产，年产值可达2亿元。</w:t>
      </w:r>
    </w:p>
    <w:p w14:paraId="5A9936A4">
      <w:pPr>
        <w:pStyle w:val="4"/>
      </w:pPr>
      <w:r>
        <w:t>【社会事业】</w:t>
      </w:r>
    </w:p>
    <w:p w14:paraId="71ABBFCA">
      <w:pPr>
        <w:ind w:firstLine="420"/>
        <w:rPr>
          <w:rFonts w:ascii="宋体" w:hAnsi="宋体"/>
        </w:rPr>
      </w:pPr>
      <w:r>
        <w:rPr>
          <w:rFonts w:ascii="宋体" w:hAnsi="宋体"/>
        </w:rPr>
        <w:t>以“稳定低生育水平，提高人口素质”为目标，落实层级动态管理责任制，严格落实“一票否决”制度，加大创建“双无”工作力度，控制计划外怀孕，稳定低生育水平，较好地完成上级下达的人口与计划生育任务和目标。2009年，全镇人口出生率为10.64‰，计划生育率91.09%；自然增长率5.06‰。完成“四术”数114例，全面完成市下达的计划生育和人口包干指标，2006年至2010年连续五年被韶关市政府和南雄市政府授予计划生育工作先进单位和“双无镇”称号，全镇50%以上的村（居）被南雄市政府评为计划生育工作先进单位和“双无村”称号。</w:t>
      </w:r>
    </w:p>
    <w:p w14:paraId="344EB015">
      <w:pPr>
        <w:pStyle w:val="4"/>
      </w:pPr>
      <w:r>
        <w:t>【扶贫双到】</w:t>
      </w:r>
    </w:p>
    <w:p w14:paraId="4945978F">
      <w:pPr>
        <w:ind w:firstLine="420"/>
        <w:rPr>
          <w:rFonts w:ascii="宋体" w:hAnsi="宋体"/>
        </w:rPr>
      </w:pPr>
      <w:r>
        <w:rPr>
          <w:rFonts w:ascii="宋体" w:hAnsi="宋体"/>
        </w:rPr>
        <w:t>2010年，全镇共有贫困户198户，开展“扶贫双到”工作后，共有98户实现脱贫，其中省级贫困村梨树村85户贫困户中有40户实现脱贫，并投资15万元兴办榨油厂，村集体经济增收1.5万元。</w:t>
      </w:r>
    </w:p>
    <w:p w14:paraId="1697765C">
      <w:pPr>
        <w:pStyle w:val="4"/>
      </w:pPr>
      <w:r>
        <w:t>【教育】</w:t>
      </w:r>
    </w:p>
    <w:p w14:paraId="47BAE8AD">
      <w:pPr>
        <w:ind w:firstLine="420"/>
        <w:rPr>
          <w:rFonts w:ascii="宋体" w:hAnsi="宋体"/>
        </w:rPr>
      </w:pPr>
      <w:r>
        <w:rPr>
          <w:rFonts w:ascii="宋体" w:hAnsi="宋体"/>
        </w:rPr>
        <w:t>投资600多万元，对中小学教学设施进行改造，其中：2008年完成中小学危房改造0.3万平方米，完成投资300万元，并引进香港强华建教基金投资50万元，中国移动投资“希望工程”资金26.5万元，帽子峰中学新建一栋教学楼和学生食堂，学生公厕，运动场等，扩展整个校园建设。2009年投资170多万元，完善帽子峰学校各项基础设施，“九年一贯制学校”顺利建成，2010年争取投资50多万元完成上龙小学危房改造，同时以创建“教育强镇”为契机，加大教育投入，投资60多万元创办中心幼儿园，解决幼儿“入园难”的问题，帽子峰学校中考考入重点中学的升学率连续四年达到50%以上。</w:t>
      </w:r>
    </w:p>
    <w:p w14:paraId="25B328EF">
      <w:pPr>
        <w:pStyle w:val="3"/>
      </w:pPr>
      <w:r>
        <w:rPr>
          <w:rFonts w:hint="eastAsia"/>
        </w:rPr>
        <w:t>各村委会基本情况</w:t>
      </w:r>
    </w:p>
    <w:p w14:paraId="28B3FD3C">
      <w:pPr>
        <w:pStyle w:val="4"/>
      </w:pPr>
      <w:r>
        <w:t>【坪山村委会】</w:t>
      </w:r>
    </w:p>
    <w:p w14:paraId="65E26BF1">
      <w:pPr>
        <w:ind w:firstLine="420"/>
        <w:rPr>
          <w:rFonts w:ascii="宋体" w:hAnsi="宋体"/>
        </w:rPr>
      </w:pPr>
      <w:r>
        <w:rPr>
          <w:rFonts w:ascii="宋体" w:hAnsi="宋体"/>
        </w:rPr>
        <w:t>坐落在帽子峰镇横水洞的中心地带，前有富竹、洞头两村委会，后有上龙、梨树两村委会，是坪梨公路的必经之地，该村有山林面积1500公顷，耕地面积180公顷。其中水田126.6公顷，旱田800多亩，草地200多亩，养殖水面200多亩。该村委会由11个自然村组成，有1500多人。种有黄烟300多亩，优质稻1000多亩，小辣椒800多亩，花生300多亩，培育杉树苗200多亩，其中乾村在解放战争时期，是中共五岭地委机关和“粤赣湘”边人民解放总队所在地，游击战争的指挥中心。2003年南雄市委、市政府把乾村定为全市开展爱国主义教育基地，是南雄红色旅游的一个点。洞头村委会</w:t>
      </w:r>
    </w:p>
    <w:p w14:paraId="0513C16D">
      <w:pPr>
        <w:ind w:firstLine="420"/>
        <w:rPr>
          <w:rFonts w:ascii="宋体" w:hAnsi="宋体"/>
        </w:rPr>
      </w:pPr>
      <w:r>
        <w:rPr>
          <w:rFonts w:ascii="宋体" w:hAnsi="宋体"/>
        </w:rPr>
        <w:t>地处帽子峰镇北部，东临坪山，南靠富竹，西与澜河镇交界，北与江西省接壤。有11个村小组，420户人家，1820人。该村委会区域面积约为20平方公里，有山林面积21000亩，其中人工林5000多亩。耕地面积2900亩，其中水田2300亩。1958年成立洞头大队，1981年转为洞头乡，1984年改为管理区办事处，1998年撤区建立村民委员会。2006年，该村委会林场（1600亩）成功转制，转给个人承包，年租金达3万元，其中村集体40%，组集体60%。</w:t>
      </w:r>
    </w:p>
    <w:p w14:paraId="5EB3EBFC">
      <w:pPr>
        <w:pStyle w:val="4"/>
      </w:pPr>
      <w:r>
        <w:t>【富竹村委会】</w:t>
      </w:r>
    </w:p>
    <w:p w14:paraId="6530853F">
      <w:pPr>
        <w:ind w:firstLine="420"/>
        <w:rPr>
          <w:rFonts w:ascii="宋体" w:hAnsi="宋体"/>
        </w:rPr>
      </w:pPr>
      <w:r>
        <w:rPr>
          <w:rFonts w:ascii="宋体" w:hAnsi="宋体"/>
        </w:rPr>
        <w:t>地处帽子峰镇南边，北接全安镇，南连澜河镇，是帽子峰镇的门户，距镇政府所在地1公里，到镇道路为水泥公路。全村辖15个村民小组，506户，2139人。该村总面积31平方公里，其中耕地面积0.23万亩。全村共有山林面积37021亩，户均72亩，人均17.7亩；耕地面积2589亩，户均5亩，人均1.24亩，村民以种植黄烟、水稻和花生等农作物及发展竹木业为主。</w:t>
      </w:r>
    </w:p>
    <w:p w14:paraId="24A9A24C">
      <w:pPr>
        <w:pStyle w:val="4"/>
      </w:pPr>
      <w:r>
        <w:t>【上龙村委会】</w:t>
      </w:r>
    </w:p>
    <w:p w14:paraId="199021A2">
      <w:pPr>
        <w:ind w:firstLine="420"/>
        <w:rPr>
          <w:rFonts w:ascii="宋体" w:hAnsi="宋体"/>
        </w:rPr>
      </w:pPr>
      <w:r>
        <w:rPr>
          <w:rFonts w:ascii="宋体" w:hAnsi="宋体"/>
        </w:rPr>
        <w:t>位于帽子峰东北方，距镇政府7公里，东与梨树村相邻，南与全安镇交界，西与坪山村相接，北与新跃林场相邻。全村管辖8个村小组，共305户计1520人，总面积8.91平方公里，其中耕地面积1800亩，林地面积11000万亩，旱地353亩。全村人均纯收入4000元。全村平均每年种植黄烟500亩，水稻1500亩、玉米100亩，小辣椒150亩，花生200亩，培育树苗60亩，造林及抚育林地200亩。2010年建成新的上龙小学教学大楼。</w:t>
      </w:r>
    </w:p>
    <w:p w14:paraId="35ED0767">
      <w:pPr>
        <w:pStyle w:val="4"/>
      </w:pPr>
      <w:r>
        <w:t>【梨树村委会】</w:t>
      </w:r>
    </w:p>
    <w:p w14:paraId="61C5A73E">
      <w:pPr>
        <w:ind w:firstLine="420"/>
        <w:rPr>
          <w:rFonts w:ascii="宋体" w:hAnsi="宋体"/>
        </w:rPr>
      </w:pPr>
      <w:r>
        <w:rPr>
          <w:rFonts w:ascii="宋体" w:hAnsi="宋体"/>
        </w:rPr>
        <w:t>位于帽子峰镇东北边，北与江西省交界，东临珠玑镇，南及上龙村委会，距帽子峰镇政府8公里，全村区域面积30平方公里，开基于明朝时期，是红色老区村庄，下辖11个村民小组，总户数360户，人口1578人，土地面积22478亩，其中旱地601亩，水田1818亩林地19059亩，其它10000亩，优质水稻1200亩，黄烟350亩，小辣椒450亩，甜玉米200亩，造林300亩。2006年，梨树村定为省贫困村，2010年已实现帮扶40户贫困户（162人）完成脱贫任务，占47%，全村参加农村新型合作医疗人数1470人，参加率95.1%，低保户21户，低保人数70人，仍住泥砖房的农户有280户。</w:t>
      </w:r>
    </w:p>
    <w:p w14:paraId="772985A5">
      <w:pPr>
        <w:ind w:firstLine="420"/>
        <w:jc w:val="right"/>
        <w:rPr>
          <w:rFonts w:ascii="宋体" w:hAnsi="宋体"/>
        </w:rPr>
      </w:pPr>
      <w:r>
        <w:rPr>
          <w:rFonts w:ascii="宋体" w:hAnsi="宋体"/>
        </w:rPr>
        <w:t>（王玉杰</w:t>
      </w:r>
      <w:r>
        <w:rPr>
          <w:rFonts w:hint="eastAsia" w:ascii="宋体" w:hAnsi="宋体"/>
        </w:rPr>
        <w:t xml:space="preserve">  </w:t>
      </w:r>
      <w:r>
        <w:rPr>
          <w:rFonts w:ascii="宋体" w:hAnsi="宋体"/>
        </w:rPr>
        <w:t>邱金红）</w:t>
      </w:r>
    </w:p>
    <w:p w14:paraId="223CF74D">
      <w:pPr>
        <w:ind w:firstLine="422"/>
        <w:rPr>
          <w:rFonts w:ascii="宋体" w:hAnsi="宋体"/>
          <w:b/>
          <w:bCs/>
        </w:rPr>
      </w:pPr>
      <w:r>
        <w:rPr>
          <w:rFonts w:ascii="宋体" w:hAnsi="宋体"/>
          <w:b/>
          <w:bCs/>
        </w:rPr>
        <w:t>附；2010年帽子峰镇领导班子成员名单</w:t>
      </w:r>
    </w:p>
    <w:p w14:paraId="04D59BFA">
      <w:pPr>
        <w:ind w:firstLine="422"/>
        <w:rPr>
          <w:rFonts w:ascii="宋体" w:hAnsi="宋体"/>
        </w:rPr>
      </w:pPr>
      <w:r>
        <w:rPr>
          <w:rFonts w:ascii="宋体" w:hAnsi="宋体"/>
          <w:b/>
          <w:bCs/>
        </w:rPr>
        <w:t>党委书记、人大主席：</w:t>
      </w:r>
      <w:r>
        <w:rPr>
          <w:rFonts w:ascii="宋体" w:hAnsi="宋体"/>
        </w:rPr>
        <w:t>周铁山</w:t>
      </w:r>
    </w:p>
    <w:p w14:paraId="41CAD6B3">
      <w:pPr>
        <w:ind w:firstLine="422"/>
        <w:rPr>
          <w:rFonts w:ascii="宋体" w:hAnsi="宋体"/>
        </w:rPr>
      </w:pPr>
      <w:r>
        <w:rPr>
          <w:rFonts w:ascii="宋体" w:hAnsi="宋体"/>
          <w:b/>
          <w:bCs/>
        </w:rPr>
        <w:t>党委副书记、镇长：</w:t>
      </w:r>
      <w:r>
        <w:rPr>
          <w:rFonts w:ascii="宋体" w:hAnsi="宋体"/>
        </w:rPr>
        <w:t>沈学安</w:t>
      </w:r>
    </w:p>
    <w:p w14:paraId="6B142305">
      <w:pPr>
        <w:ind w:firstLine="422"/>
        <w:rPr>
          <w:rFonts w:ascii="宋体" w:hAnsi="宋体"/>
        </w:rPr>
      </w:pPr>
      <w:r>
        <w:rPr>
          <w:rFonts w:ascii="宋体" w:hAnsi="宋体"/>
          <w:b/>
          <w:bCs/>
        </w:rPr>
        <w:t>党委副书记：</w:t>
      </w:r>
      <w:r>
        <w:rPr>
          <w:rFonts w:ascii="宋体" w:hAnsi="宋体"/>
        </w:rPr>
        <w:t>陈华</w:t>
      </w:r>
    </w:p>
    <w:p w14:paraId="77A8CCF9">
      <w:pPr>
        <w:ind w:firstLine="422"/>
        <w:rPr>
          <w:rFonts w:ascii="宋体" w:hAnsi="宋体"/>
        </w:rPr>
      </w:pPr>
      <w:r>
        <w:rPr>
          <w:rFonts w:ascii="宋体" w:hAnsi="宋体"/>
          <w:b/>
          <w:bCs/>
        </w:rPr>
        <w:t>纪委书记：</w:t>
      </w:r>
      <w:r>
        <w:rPr>
          <w:rFonts w:ascii="宋体" w:hAnsi="宋体"/>
        </w:rPr>
        <w:t>林金山</w:t>
      </w:r>
    </w:p>
    <w:p w14:paraId="01F1D7F4">
      <w:pPr>
        <w:ind w:firstLine="422"/>
        <w:rPr>
          <w:rFonts w:ascii="宋体" w:hAnsi="宋体"/>
        </w:rPr>
      </w:pPr>
      <w:r>
        <w:rPr>
          <w:rFonts w:ascii="宋体" w:hAnsi="宋体"/>
          <w:b/>
          <w:bCs/>
        </w:rPr>
        <w:t>副镇长：</w:t>
      </w:r>
      <w:r>
        <w:rPr>
          <w:rFonts w:ascii="宋体" w:hAnsi="宋体"/>
        </w:rPr>
        <w:t>李海辉</w:t>
      </w:r>
      <w:r>
        <w:rPr>
          <w:rFonts w:hint="eastAsia" w:ascii="宋体" w:hAnsi="宋体"/>
        </w:rPr>
        <w:t xml:space="preserve">  </w:t>
      </w:r>
      <w:r>
        <w:rPr>
          <w:rFonts w:ascii="宋体" w:hAnsi="宋体"/>
        </w:rPr>
        <w:t>叶永明</w:t>
      </w:r>
    </w:p>
    <w:p w14:paraId="490690AE">
      <w:pPr>
        <w:ind w:firstLine="422"/>
        <w:rPr>
          <w:rFonts w:ascii="宋体" w:hAnsi="宋体"/>
        </w:rPr>
      </w:pPr>
      <w:r>
        <w:rPr>
          <w:rFonts w:ascii="宋体" w:hAnsi="宋体"/>
          <w:b/>
          <w:bCs/>
        </w:rPr>
        <w:t>人大副主席：</w:t>
      </w:r>
      <w:r>
        <w:rPr>
          <w:rFonts w:ascii="宋体" w:hAnsi="宋体"/>
        </w:rPr>
        <w:t>王迎春</w:t>
      </w:r>
    </w:p>
    <w:p w14:paraId="78EE56EA">
      <w:pPr>
        <w:ind w:firstLine="422"/>
        <w:rPr>
          <w:rFonts w:ascii="宋体" w:hAnsi="宋体"/>
        </w:rPr>
      </w:pPr>
      <w:r>
        <w:rPr>
          <w:rFonts w:ascii="宋体" w:hAnsi="宋体"/>
          <w:b/>
          <w:bCs/>
        </w:rPr>
        <w:t>武装部长</w:t>
      </w:r>
      <w:r>
        <w:rPr>
          <w:rFonts w:ascii="宋体" w:hAnsi="宋体"/>
        </w:rPr>
        <w:t>：钟全华</w:t>
      </w:r>
    </w:p>
    <w:p w14:paraId="27C4F2C2">
      <w:pPr>
        <w:ind w:firstLine="422"/>
        <w:rPr>
          <w:rFonts w:ascii="宋体" w:hAnsi="宋体"/>
        </w:rPr>
      </w:pPr>
      <w:r>
        <w:rPr>
          <w:rFonts w:ascii="宋体" w:hAnsi="宋体"/>
          <w:b/>
          <w:bCs/>
        </w:rPr>
        <w:t>组织委员：</w:t>
      </w:r>
      <w:r>
        <w:rPr>
          <w:rFonts w:ascii="宋体" w:hAnsi="宋体"/>
        </w:rPr>
        <w:t>冯志霞</w:t>
      </w:r>
    </w:p>
    <w:p w14:paraId="3D455C19">
      <w:pPr>
        <w:ind w:firstLine="422"/>
        <w:rPr>
          <w:rFonts w:ascii="宋体" w:hAnsi="宋体"/>
        </w:rPr>
      </w:pPr>
      <w:r>
        <w:rPr>
          <w:rFonts w:ascii="宋体" w:hAnsi="宋体"/>
          <w:b/>
          <w:bCs/>
        </w:rPr>
        <w:t>宣传委员</w:t>
      </w:r>
      <w:r>
        <w:rPr>
          <w:rFonts w:ascii="宋体" w:hAnsi="宋体"/>
        </w:rPr>
        <w:t>：戴君文</w:t>
      </w:r>
    </w:p>
    <w:p w14:paraId="2D592858">
      <w:pPr>
        <w:pStyle w:val="3"/>
      </w:pPr>
      <w:r>
        <w:rPr>
          <w:rFonts w:hint="eastAsia"/>
        </w:rPr>
        <w:t>澜河镇</w:t>
      </w:r>
    </w:p>
    <w:p w14:paraId="16B6115F">
      <w:pPr>
        <w:pStyle w:val="4"/>
      </w:pPr>
      <w:r>
        <w:t>【概况】</w:t>
      </w:r>
    </w:p>
    <w:p w14:paraId="470E2643">
      <w:pPr>
        <w:ind w:firstLine="420"/>
        <w:rPr>
          <w:rFonts w:ascii="宋体" w:hAnsi="宋体"/>
        </w:rPr>
      </w:pPr>
      <w:r>
        <w:rPr>
          <w:rFonts w:ascii="宋体" w:hAnsi="宋体"/>
        </w:rPr>
        <w:t>澜河镇位于南雄市西北部，与全安、帽子峰、百顺、江西省大余县河洞乡和吉村乡接壤。是一个“七山二水一分田”的典型山区乡镇，距南雄市区35公里，总面积171.3平方公里，省道342线贯穿全镇，乡村道路长度165公里，水泥硬化里程107公里。辖6个村委会和1个社区，总人口10420人，其中劳力5213人。该镇林业资源、水利资源丰富，地下蕴藏丰富的铀、磷、花岗岩、稀土等矿产资源。农特产有冬笋、花豆、笋干。镇内小流坑林场景色怡人，环境优美，有温泉。2010年，全镇完成国内生产总值2.75亿元。其中农业生产总值1.01亿元，比2009年增长7%；农村人均纯收入达到5607元，比2009年增长9%。</w:t>
      </w:r>
    </w:p>
    <w:p w14:paraId="317ED19B">
      <w:pPr>
        <w:pStyle w:val="4"/>
      </w:pPr>
      <w:r>
        <w:t>【农业及农村经济】</w:t>
      </w:r>
    </w:p>
    <w:p w14:paraId="14135D94">
      <w:pPr>
        <w:ind w:firstLine="420"/>
        <w:rPr>
          <w:rFonts w:ascii="宋体" w:hAnsi="宋体"/>
        </w:rPr>
      </w:pPr>
      <w:r>
        <w:rPr>
          <w:rFonts w:ascii="宋体" w:hAnsi="宋体"/>
        </w:rPr>
        <w:t>澜河镇因地制宜科学发展，农业结构逐渐走向多元化，收到了较好的经济效益。粮食总产量5140吨，比2009年增长3.7%。2010年全镇发展优质稻502.8公顷，总产量2856吨；2010年花生种植105.3公顷，总产量330吨；2010年种植柑92.9公顷，总产量484吨。2010年肉猪出栏量16698头。2010年水域养殖面积6公顷，水产461吨。芒鼠、五黑鸡、黑山羊等养殖业初具规模。2010年全镇无重大疫情发生。</w:t>
      </w:r>
    </w:p>
    <w:p w14:paraId="300D41D0">
      <w:pPr>
        <w:pStyle w:val="4"/>
      </w:pPr>
      <w:r>
        <w:t>【林业】</w:t>
      </w:r>
    </w:p>
    <w:p w14:paraId="2D23E316">
      <w:pPr>
        <w:ind w:firstLine="420"/>
        <w:rPr>
          <w:rFonts w:ascii="宋体" w:hAnsi="宋体"/>
        </w:rPr>
      </w:pPr>
      <w:r>
        <w:rPr>
          <w:rFonts w:ascii="宋体" w:hAnsi="宋体"/>
        </w:rPr>
        <w:t>澜河镇林业资源丰富，其中山林面积12976.6公顷。其中速生丰产林面积4330公顷，毛竹面积6873.7公顷，生态公益林面积1716.6公顷，森林覆盖率达90.3%。2009年到2010年无一例大的病虫害，无一起重大森林火灾。该镇大力发展非公有制林业，增强林业发展活力，鼓励发展非公有制林业，凡有能力的农户、城镇居民、科技人员、私营企业等，都可以通过承包、租赁、收购、兼并、参股等方式，参与开发林业。成立“万盛毛竹种植”、“万峰红豆杉种植”和“万林冬瓜种植”三个专业合作社，推广红豆杉种植及毛竹抚育，调整林业产业结构。</w:t>
      </w:r>
    </w:p>
    <w:p w14:paraId="0DEE2AAD">
      <w:pPr>
        <w:pStyle w:val="4"/>
      </w:pPr>
      <w:r>
        <w:t>【乡镇企业和招商引资】</w:t>
      </w:r>
    </w:p>
    <w:p w14:paraId="62B6E467">
      <w:pPr>
        <w:ind w:firstLine="420"/>
        <w:rPr>
          <w:rFonts w:ascii="宋体" w:hAnsi="宋体"/>
        </w:rPr>
      </w:pPr>
      <w:r>
        <w:rPr>
          <w:rFonts w:ascii="宋体" w:hAnsi="宋体"/>
        </w:rPr>
        <w:t>澜河镇充分发挥本地竹木、水力等资源丰富的优势，引进竹木加工企业，以工养林，以林促工，带动澜河工业的发展，提高林产品的附加值，使“农民得实惠、生态得改善、林业得发展”。2008年，已引进竹制品厂4家，木制品厂1家，取得良好的经济效益，增加农民收入，提高农民的生产积极性。该镇建有小水电站17座，装机容量8385千瓦，年发电量近2000万度。2005年引进私人投资170万元兴建龙泉电站，引进300万元兴建省道342线澜河养护中心。</w:t>
      </w:r>
    </w:p>
    <w:p w14:paraId="1AECE923">
      <w:pPr>
        <w:pStyle w:val="4"/>
      </w:pPr>
      <w:r>
        <w:t>【计生工作】</w:t>
      </w:r>
    </w:p>
    <w:p w14:paraId="6DF61D62">
      <w:pPr>
        <w:ind w:firstLine="420"/>
        <w:rPr>
          <w:rFonts w:ascii="宋体" w:hAnsi="宋体"/>
        </w:rPr>
      </w:pPr>
      <w:r>
        <w:rPr>
          <w:rFonts w:ascii="宋体" w:hAnsi="宋体"/>
        </w:rPr>
        <w:t>澜河镇2009年10月至2010年9月，全镇共出生134人，人口出生率为12.6‰，一孩率63.4%，二孩率36.6%，自然增长率为7.9‰，与去年同期相比，自然增长率下降0.11‰。</w:t>
      </w:r>
    </w:p>
    <w:p w14:paraId="7177C3C2">
      <w:pPr>
        <w:pStyle w:val="4"/>
      </w:pPr>
      <w:r>
        <w:t>【民兵工作】</w:t>
      </w:r>
    </w:p>
    <w:p w14:paraId="59CF3038">
      <w:pPr>
        <w:ind w:firstLine="420"/>
        <w:rPr>
          <w:rFonts w:ascii="宋体" w:hAnsi="宋体"/>
        </w:rPr>
      </w:pPr>
      <w:r>
        <w:rPr>
          <w:rFonts w:ascii="宋体" w:hAnsi="宋体"/>
        </w:rPr>
        <w:t>澜河镇有现役军人10人，复员退伍军人156人，预备役军人31人，基干民兵100人，普通民兵653人。镇武装部多年被评为征兵工作“全优单位”。该镇作为全市基层武装部“四个基本”（基本设施、基本教育、基本制度、基本队伍）建设试点先行单位，2008年武装部“四个基本”建设得到显著成果，南雄市武装部“四个基本”建设的观摩会成功在澜河镇召开。2009年已投入6万多元，完善武装基础设施建设，建立“五室”：办公室、装备器材室、作战指挥室、会议室、资料室，并且配备电脑、办公桌椅、盾牌、钢盔等器材，实现战备训练、办公、文体设施配套实用，达到武装部正规化、军事化的要求。该镇民兵应急分队既冲锋在维护社会稳定的一线，又是护林防火救灾的奇兵。三年来，澜河民兵应急分队制止多起村民纠纷，同时也做好护林防火工作。</w:t>
      </w:r>
    </w:p>
    <w:p w14:paraId="65D61BED">
      <w:pPr>
        <w:pStyle w:val="4"/>
      </w:pPr>
      <w:r>
        <w:t>【基础设施建设】</w:t>
      </w:r>
    </w:p>
    <w:p w14:paraId="0E3C6A58">
      <w:pPr>
        <w:ind w:firstLine="420"/>
        <w:rPr>
          <w:rFonts w:ascii="宋体" w:hAnsi="宋体"/>
        </w:rPr>
      </w:pPr>
      <w:r>
        <w:rPr>
          <w:rFonts w:ascii="宋体" w:hAnsi="宋体"/>
        </w:rPr>
        <w:t>澜河镇基础设施建设不断完善。2008年改造农田基础设施中，清理圳道12公里，维修白云村坡头堤坝5处。2008年建成沼气池121只。2008年投资60万元兴建了镇政府办公大楼。有一给水厂，供水规模为200立方米/天，占地面积2公顷左右，取水水源在源头水；有1座110kV变电站。2009年11月25日南雄市澜河镇农村饮水安全工程完工，解决澜河镇的上澜村、澜河村、洞底村3个行政村29个自然村2915人的饮水安全问题。2009年通往各村委会的路面硬化基本完成，各村之间的路面硬化进一步完善，竣工吊桥到龙坑等路面硬化；2010年完成上矽村东亨社至白茫洞4.2公里水泥硬底化工程，改善农村交通运输条件。</w:t>
      </w:r>
    </w:p>
    <w:p w14:paraId="0F15AF57">
      <w:pPr>
        <w:pStyle w:val="4"/>
      </w:pPr>
      <w:r>
        <w:t>【社会治安综合治理】</w:t>
      </w:r>
    </w:p>
    <w:p w14:paraId="51CCAA08">
      <w:pPr>
        <w:ind w:firstLine="420"/>
        <w:rPr>
          <w:rFonts w:ascii="宋体" w:hAnsi="宋体"/>
        </w:rPr>
      </w:pPr>
      <w:r>
        <w:rPr>
          <w:rFonts w:ascii="宋体" w:hAnsi="宋体"/>
        </w:rPr>
        <w:t>澜河镇完善部门和分管领导履行综治工作责任制度，明确分工，全面落实综治工作责任制，增强各部门做好综治和平安建设工作的主动性、积极性，提高分管领导和各部门负责人的责任意识。2010年，各级人民调解组织共排查矛盾纠纷74宗，调解矛盾纠纷74宗，调解率达100%；成功调解71宗，成功率达95.9%。其中司法所参与调解疑难复杂矛盾纠纷7宗，成功调解6宗。</w:t>
      </w:r>
    </w:p>
    <w:p w14:paraId="4CE07EC0">
      <w:pPr>
        <w:pStyle w:val="4"/>
      </w:pPr>
      <w:r>
        <w:t>【医疗卫生】</w:t>
      </w:r>
    </w:p>
    <w:p w14:paraId="7533D4F5">
      <w:pPr>
        <w:ind w:firstLine="420"/>
        <w:rPr>
          <w:rFonts w:ascii="宋体" w:hAnsi="宋体"/>
        </w:rPr>
      </w:pPr>
      <w:r>
        <w:rPr>
          <w:rFonts w:ascii="宋体" w:hAnsi="宋体"/>
        </w:rPr>
        <w:t>澜河镇参加农村新型合作医疗的人数不断增加，2010年，全镇参加人数为8899人，新农合覆盖率达95%。全镇医疗报销次数326次，报销金额50.4万元，缓解农村因病致贫、因病返贫。开展农村环境卫生整治工作，推动爱国卫生运动，加强“村容整洁”、“万村绿”工程建设，争创卫生村庄，建设和谐社区。在卫生村评比工作中，白云村鲜地村小组被评为“省级卫生村”，上澜村寨湾村小组被评为“市级卫生村”，澜河社区被广东省民政厅评为“六好”平安和谐社区。</w:t>
      </w:r>
    </w:p>
    <w:p w14:paraId="7953FB7D">
      <w:pPr>
        <w:pStyle w:val="4"/>
      </w:pPr>
      <w:r>
        <w:t>【教育】</w:t>
      </w:r>
    </w:p>
    <w:p w14:paraId="10FF8C16">
      <w:pPr>
        <w:ind w:firstLine="420"/>
        <w:rPr>
          <w:rFonts w:ascii="宋体" w:hAnsi="宋体"/>
        </w:rPr>
      </w:pPr>
      <w:r>
        <w:rPr>
          <w:rFonts w:ascii="宋体" w:hAnsi="宋体"/>
        </w:rPr>
        <w:t>澜河镇政府始终把教育摆在优先发展的战略地位，确立“科教兴镇”的战略思想，发展教育事业。2009年底，提出创建广东省教育强镇的奋斗目标，在镇财政极为薄弱的情况下，不断加大对教育的投入，实现“三个增长”：一是对教育的投入实现逐年增长；二是生均教育事业费实现逐年增长；三是生均公用经费实现逐年增长。教育改革创新不断深化，各类教育全面协调发展。2006年香港商人陈经纶捐资150万港币，共投资500万元兴建南雄第一所九年制学校，解决白云小学运动场的征地款。2007年投资500万元的陈经纶学校开始使用。2009年12月，韶关市政协委员、深圳中衍集团董事长许明昆向白云小学捐资66万元，新建一个运动场，并对校门、功能室进行装修，对校园进行绿化美化。在了解到该校还存在着学生宿舍紧缺、学前教育相对落后等一系列问题后，许明昆委员决定再次向学校捐赠60万元，用于兴建一栋600平方米，集住宿、食堂、学前教育为一体的综合楼。学校自去年改造后，已成为澜河镇第一所省级完全小学，不仅为澜河镇白云村、洞底村、上矽村共5000多村民安心创业、200多适龄儿童就近上学创造了良好条件，还出现外出就读、随家长外出务工而就读等学生“回流”的局面。</w:t>
      </w:r>
    </w:p>
    <w:p w14:paraId="37804004">
      <w:pPr>
        <w:pStyle w:val="4"/>
      </w:pPr>
      <w:r>
        <w:t>【社会福利】</w:t>
      </w:r>
    </w:p>
    <w:p w14:paraId="206956B4">
      <w:pPr>
        <w:ind w:firstLine="420"/>
        <w:rPr>
          <w:rFonts w:ascii="宋体" w:hAnsi="宋体"/>
        </w:rPr>
      </w:pPr>
      <w:r>
        <w:rPr>
          <w:rFonts w:ascii="宋体" w:hAnsi="宋体"/>
        </w:rPr>
        <w:t>澜河镇社会福利稳步发展，2006年敬老院搬迁到新址，2008年全面改善敬老院的生活条件，添加家具价值8万元。2005年到2010年共发放粮食补贴资金216.4万元，减轻农民负担，调动农民生产积极性，激活农村生产力。高质量完成扶贫开发“双到”（规划到户，责任到人）工作第一年的帮扶任务，实现贫困村40%以上贫困户脱贫和非贫困村50%以上贫困户脱贫目标。</w:t>
      </w:r>
    </w:p>
    <w:p w14:paraId="4DA16A6B">
      <w:pPr>
        <w:pStyle w:val="4"/>
      </w:pPr>
      <w:r>
        <w:t>【红豆杉】</w:t>
      </w:r>
    </w:p>
    <w:p w14:paraId="7DAD40EA">
      <w:pPr>
        <w:ind w:firstLine="420"/>
        <w:rPr>
          <w:rFonts w:ascii="宋体" w:hAnsi="宋体"/>
        </w:rPr>
      </w:pPr>
      <w:r>
        <w:rPr>
          <w:rFonts w:ascii="宋体" w:hAnsi="宋体"/>
        </w:rPr>
        <w:t>澜河镇拥有世界罕有的原生态红豆杉群。</w:t>
      </w:r>
    </w:p>
    <w:p w14:paraId="02B7E932">
      <w:pPr>
        <w:pStyle w:val="4"/>
      </w:pPr>
      <w:r>
        <w:t>【荣誉称号】</w:t>
      </w:r>
    </w:p>
    <w:p w14:paraId="085B0281">
      <w:pPr>
        <w:ind w:firstLine="420"/>
        <w:rPr>
          <w:rFonts w:ascii="宋体" w:hAnsi="宋体"/>
        </w:rPr>
      </w:pPr>
      <w:r>
        <w:rPr>
          <w:rFonts w:ascii="宋体" w:hAnsi="宋体"/>
        </w:rPr>
        <w:t>澜河镇2007年10月被广东省第二次全国农业普查领导小组授予“广东省第二次全国农业普查先进集体”。</w:t>
      </w:r>
    </w:p>
    <w:p w14:paraId="51EA5450">
      <w:pPr>
        <w:pStyle w:val="3"/>
      </w:pPr>
      <w:r>
        <w:rPr>
          <w:rFonts w:hint="eastAsia"/>
        </w:rPr>
        <w:t>各村委会、社区基本情况</w:t>
      </w:r>
    </w:p>
    <w:p w14:paraId="3D01C53C">
      <w:pPr>
        <w:pStyle w:val="4"/>
      </w:pPr>
      <w:r>
        <w:t>【新街社区】</w:t>
      </w:r>
    </w:p>
    <w:p w14:paraId="7B1FC62F">
      <w:pPr>
        <w:ind w:firstLine="420"/>
        <w:rPr>
          <w:rFonts w:ascii="宋体" w:hAnsi="宋体"/>
        </w:rPr>
      </w:pPr>
      <w:r>
        <w:rPr>
          <w:rFonts w:ascii="宋体" w:hAnsi="宋体"/>
        </w:rPr>
        <w:t>东临澜河村，西接白云村，南靠上澜村，北与凌江公司接壤。是一个典型的山区地区，紧挨澜河镇政府。总面积为33.4公顷，其中劳动力265人。村民主要经济来源是靠养殖和劳务输出，年人均收人5147元。该居委会主要为居民提供日用生活用品、医疗服务、农产品交易等功能。社区内有农贸街市场。</w:t>
      </w:r>
    </w:p>
    <w:p w14:paraId="0481FFC7">
      <w:pPr>
        <w:pStyle w:val="4"/>
      </w:pPr>
      <w:r>
        <w:t>【白云村委会】</w:t>
      </w:r>
    </w:p>
    <w:p w14:paraId="605F24F0">
      <w:pPr>
        <w:ind w:firstLine="420"/>
        <w:rPr>
          <w:rFonts w:ascii="宋体" w:hAnsi="宋体"/>
        </w:rPr>
      </w:pPr>
      <w:r>
        <w:rPr>
          <w:rFonts w:ascii="宋体" w:hAnsi="宋体"/>
        </w:rPr>
        <w:t>地处澜河镇西北部，东临帽子峰林场、澜河村委会，西接百顺镇，南靠上矽村，北与洞底村及江西省接壤。距澜河镇政府11公里，是典型的山区村，全村有10个村小组，331户，1448人，728个劳动力；总面积2242公顷，其中水田面积77.7公顷。山林面积2161公顷；10个村小组有9个村小组通水泥路，村道总长12公里。毛竹资源丰富，有竹制品厂1家，农特产品有冬笋、笋干。还有5个村小组有红豆杉群体生长。村民主要经济来源是经营自留山上的竹、木及劳务输出。年人均收入4634元。村集体经济收入来源于电站股份，每年20000元。“北山事件”就发生在白云村的龙西石，村内现存有“北山事件”和“红军医院”遗址。</w:t>
      </w:r>
    </w:p>
    <w:p w14:paraId="62FCBDC1">
      <w:pPr>
        <w:pStyle w:val="4"/>
      </w:pPr>
      <w:r>
        <w:t>【葛坪村委会】</w:t>
      </w:r>
    </w:p>
    <w:p w14:paraId="4742BFA4">
      <w:pPr>
        <w:ind w:firstLine="420"/>
        <w:rPr>
          <w:rFonts w:ascii="宋体" w:hAnsi="宋体"/>
        </w:rPr>
      </w:pPr>
      <w:r>
        <w:rPr>
          <w:rFonts w:ascii="宋体" w:hAnsi="宋体"/>
        </w:rPr>
        <w:t>位于澜河镇偏南方向，东临全安镇，西接百顺镇，北与澜河村接壤，是一个典型的山区地区。全村共有人口2312人。总户数为517户，由18个村民小组组成。全村共有山林面积2666.7公顷。其中耕地面积为126.6公顷。村发展养殖黑山羊的农户有2户，养殖生猪的大户有5户，养殖芒鼠的农户有1户。发展植树造林的农户有200多户。种植辣椒的农户有10多户。全村都列为老革命根据地，该村委会塔下宝塔是市文物保护单位。全村经济农民收入靠毛竹和劳务输出，全村人年收入为5600多元。</w:t>
      </w:r>
    </w:p>
    <w:p w14:paraId="3561286B">
      <w:pPr>
        <w:pStyle w:val="4"/>
      </w:pPr>
      <w:r>
        <w:t>【澜河村委会】</w:t>
      </w:r>
    </w:p>
    <w:p w14:paraId="3B469482">
      <w:pPr>
        <w:ind w:firstLine="420"/>
        <w:rPr>
          <w:rFonts w:ascii="宋体" w:hAnsi="宋体"/>
        </w:rPr>
      </w:pPr>
      <w:r>
        <w:rPr>
          <w:rFonts w:ascii="宋体" w:hAnsi="宋体"/>
        </w:rPr>
        <w:t>东临帽子峰镇，西接白云村委会，南靠上澜村委会，北与帽子峰林场接壤。村委会有11个自然村，总户数301户，总人口1310人，总耕地面积76.7公顷，林地总面积192.7公顷。养猪大户2户、养羊1户，种果户4户，造林面积80公顷。村集体经济收入来源是林场发包，发包收入5000元，村实收入3500元。村民主要经济来源是毛竹、杉木、劳务输出。</w:t>
      </w:r>
    </w:p>
    <w:p w14:paraId="66AB418A">
      <w:pPr>
        <w:pStyle w:val="4"/>
      </w:pPr>
      <w:r>
        <w:t>【上澜村委会】</w:t>
      </w:r>
    </w:p>
    <w:p w14:paraId="2FDBE150">
      <w:pPr>
        <w:ind w:firstLine="420"/>
        <w:rPr>
          <w:rFonts w:ascii="宋体" w:hAnsi="宋体"/>
        </w:rPr>
      </w:pPr>
      <w:r>
        <w:rPr>
          <w:rFonts w:ascii="宋体" w:hAnsi="宋体"/>
        </w:rPr>
        <w:t>距镇政府1.2公里，东临葛坪村，西接上矽村，南靠全安镇，北与澜河村接壤。全村有13个村小组，户数324户，人口1353人。农村党员48人。村总面积1467.9公顷，其中林地1391.8公顷，耕地76公顷。13个村小组有一个村小组通水泥路。辖区内有电站2座。装机容量900多千瓦。毛竹资源丰富。全村纯革命老区。村民主要经济来源是靠养猪、养鸡等养殖和种植毛竹、杉木及劳务输出。年人均收入4538元。</w:t>
      </w:r>
    </w:p>
    <w:p w14:paraId="00211C0B">
      <w:pPr>
        <w:pStyle w:val="4"/>
      </w:pPr>
      <w:r>
        <w:t>【上村委会】</w:t>
      </w:r>
    </w:p>
    <w:p w14:paraId="45F8EA70">
      <w:pPr>
        <w:ind w:firstLine="420"/>
        <w:rPr>
          <w:rFonts w:ascii="宋体" w:hAnsi="宋体"/>
        </w:rPr>
      </w:pPr>
      <w:r>
        <w:rPr>
          <w:rFonts w:ascii="宋体" w:hAnsi="宋体"/>
        </w:rPr>
        <w:t>地处澜河镇的西北部，是典型的边远山区农村，距澜河镇15公里。属广东省级贫困村。全村共有19个村民小组，农业户423户，人口1900多人。村集体收入1.5万元。年人均收入3200元，全村共有林地1926.7公顷，水稻田113.3公顷；现有贫困户63户，人口243人。2010年，东莞市谢岗镇投入扶贫开发资金，使该村委会2010年实现贫困户人均纯收入2300.34元，比上年增长36.64%，比全村人平纯收入增长率增加28.54%。同时东莞谢岗镇培训村民养殖五黑鸡与抚育毛竹，提供技术支持，提高贫困户的劳动技能，使村民掌握科学的种养技术，早日实现脱贫致富。</w:t>
      </w:r>
    </w:p>
    <w:p w14:paraId="45230665">
      <w:pPr>
        <w:pStyle w:val="4"/>
      </w:pPr>
      <w:r>
        <w:t>【洞底村委会】</w:t>
      </w:r>
    </w:p>
    <w:p w14:paraId="2D5A5CDB">
      <w:pPr>
        <w:ind w:firstLine="420"/>
        <w:rPr>
          <w:rFonts w:ascii="宋体" w:hAnsi="宋体"/>
        </w:rPr>
      </w:pPr>
      <w:r>
        <w:rPr>
          <w:rFonts w:ascii="宋体" w:hAnsi="宋体"/>
        </w:rPr>
        <w:t>地处澜河镇最北端，是珠江源头发祥地之一，与江西省大余县河洞乡交界，地理位置优越，交通便利，常住人口1280多人，有8个村民小组，森林面积辽阔，面积1866.7多公顷，竹、木资源丰富，新造林面积400公顷（杉林），长势良好。该村委会有丰富的地下矿产资源，有南方特有红豆杉群，属原生态自然生长。现有红豆杉直径20至90公分树木6000多棵，树龄在20到1000年之间。</w:t>
      </w:r>
    </w:p>
    <w:p w14:paraId="34ECEA53">
      <w:pPr>
        <w:ind w:firstLine="420"/>
        <w:jc w:val="right"/>
        <w:rPr>
          <w:rFonts w:ascii="宋体" w:hAnsi="宋体"/>
        </w:rPr>
      </w:pPr>
      <w:r>
        <w:rPr>
          <w:rFonts w:ascii="宋体" w:hAnsi="宋体"/>
        </w:rPr>
        <w:t>（甄伟鹏）</w:t>
      </w:r>
    </w:p>
    <w:p w14:paraId="0FD3F26C">
      <w:pPr>
        <w:ind w:firstLine="422"/>
        <w:rPr>
          <w:rFonts w:ascii="宋体" w:hAnsi="宋体"/>
          <w:b/>
          <w:bCs/>
        </w:rPr>
      </w:pPr>
      <w:r>
        <w:rPr>
          <w:rFonts w:ascii="宋体" w:hAnsi="宋体"/>
          <w:b/>
          <w:bCs/>
        </w:rPr>
        <w:t>附：2010年澜河镇领导班子成员名单</w:t>
      </w:r>
    </w:p>
    <w:p w14:paraId="7A6A6C87">
      <w:pPr>
        <w:ind w:firstLine="422"/>
        <w:rPr>
          <w:rFonts w:ascii="宋体" w:hAnsi="宋体"/>
        </w:rPr>
      </w:pPr>
      <w:r>
        <w:rPr>
          <w:rFonts w:ascii="宋体" w:hAnsi="宋体"/>
          <w:b/>
          <w:bCs/>
        </w:rPr>
        <w:t>党委书记、人大主席：</w:t>
      </w:r>
      <w:r>
        <w:rPr>
          <w:rFonts w:ascii="宋体" w:hAnsi="宋体"/>
        </w:rPr>
        <w:t>吴林</w:t>
      </w:r>
    </w:p>
    <w:p w14:paraId="35154765">
      <w:pPr>
        <w:ind w:firstLine="422"/>
        <w:rPr>
          <w:rFonts w:ascii="宋体" w:hAnsi="宋体"/>
        </w:rPr>
      </w:pPr>
      <w:r>
        <w:rPr>
          <w:rFonts w:ascii="宋体" w:hAnsi="宋体"/>
          <w:b/>
          <w:bCs/>
        </w:rPr>
        <w:t>党委副书记、镇长：</w:t>
      </w:r>
      <w:r>
        <w:rPr>
          <w:rFonts w:ascii="宋体" w:hAnsi="宋体"/>
        </w:rPr>
        <w:t>李帆</w:t>
      </w:r>
    </w:p>
    <w:p w14:paraId="02586510">
      <w:pPr>
        <w:ind w:firstLine="422"/>
        <w:rPr>
          <w:rFonts w:ascii="宋体" w:hAnsi="宋体"/>
        </w:rPr>
      </w:pPr>
      <w:r>
        <w:rPr>
          <w:rFonts w:ascii="宋体" w:hAnsi="宋体"/>
          <w:b/>
          <w:bCs/>
        </w:rPr>
        <w:t>党委副书记：</w:t>
      </w:r>
      <w:r>
        <w:rPr>
          <w:rFonts w:ascii="宋体" w:hAnsi="宋体"/>
        </w:rPr>
        <w:t>罗青山</w:t>
      </w:r>
    </w:p>
    <w:p w14:paraId="41B8F677">
      <w:pPr>
        <w:ind w:firstLine="422"/>
        <w:rPr>
          <w:rFonts w:ascii="宋体" w:hAnsi="宋体"/>
        </w:rPr>
      </w:pPr>
      <w:r>
        <w:rPr>
          <w:rFonts w:ascii="宋体" w:hAnsi="宋体"/>
          <w:b/>
          <w:bCs/>
        </w:rPr>
        <w:t>副镇长：</w:t>
      </w:r>
      <w:r>
        <w:rPr>
          <w:rFonts w:ascii="宋体" w:hAnsi="宋体"/>
        </w:rPr>
        <w:t>张振云</w:t>
      </w:r>
      <w:r>
        <w:rPr>
          <w:rFonts w:hint="eastAsia" w:ascii="宋体" w:hAnsi="宋体"/>
        </w:rPr>
        <w:t xml:space="preserve">  </w:t>
      </w:r>
      <w:r>
        <w:rPr>
          <w:rFonts w:ascii="宋体" w:hAnsi="宋体"/>
        </w:rPr>
        <w:t>徐学锋</w:t>
      </w:r>
    </w:p>
    <w:p w14:paraId="17DD8331">
      <w:pPr>
        <w:ind w:firstLine="422"/>
        <w:rPr>
          <w:rFonts w:ascii="宋体" w:hAnsi="宋体"/>
        </w:rPr>
      </w:pPr>
      <w:r>
        <w:rPr>
          <w:rFonts w:ascii="宋体" w:hAnsi="宋体"/>
          <w:b/>
          <w:bCs/>
        </w:rPr>
        <w:t>纪委书记：</w:t>
      </w:r>
      <w:r>
        <w:rPr>
          <w:rFonts w:ascii="宋体" w:hAnsi="宋体"/>
        </w:rPr>
        <w:t>郭付东</w:t>
      </w:r>
    </w:p>
    <w:p w14:paraId="0B12DF57">
      <w:pPr>
        <w:ind w:firstLine="422"/>
        <w:rPr>
          <w:rFonts w:ascii="宋体" w:hAnsi="宋体"/>
        </w:rPr>
      </w:pPr>
      <w:r>
        <w:rPr>
          <w:rFonts w:ascii="宋体" w:hAnsi="宋体"/>
          <w:b/>
          <w:bCs/>
        </w:rPr>
        <w:t>人大副主席：</w:t>
      </w:r>
      <w:r>
        <w:rPr>
          <w:rFonts w:ascii="宋体" w:hAnsi="宋体"/>
        </w:rPr>
        <w:t>沈琼连</w:t>
      </w:r>
    </w:p>
    <w:p w14:paraId="63AF9579">
      <w:pPr>
        <w:ind w:firstLine="422"/>
        <w:rPr>
          <w:rFonts w:ascii="宋体" w:hAnsi="宋体"/>
        </w:rPr>
      </w:pPr>
      <w:r>
        <w:rPr>
          <w:rFonts w:ascii="宋体" w:hAnsi="宋体"/>
          <w:b/>
          <w:bCs/>
        </w:rPr>
        <w:t>武装部长：</w:t>
      </w:r>
      <w:r>
        <w:rPr>
          <w:rFonts w:ascii="宋体" w:hAnsi="宋体"/>
        </w:rPr>
        <w:t>邓汝和</w:t>
      </w:r>
    </w:p>
    <w:p w14:paraId="04DAACA5">
      <w:pPr>
        <w:ind w:firstLine="422"/>
        <w:rPr>
          <w:rFonts w:ascii="宋体" w:hAnsi="宋体"/>
        </w:rPr>
      </w:pPr>
      <w:r>
        <w:rPr>
          <w:rFonts w:ascii="宋体" w:hAnsi="宋体"/>
          <w:b/>
          <w:bCs/>
        </w:rPr>
        <w:t>组织委员：</w:t>
      </w:r>
      <w:r>
        <w:rPr>
          <w:rFonts w:ascii="宋体" w:hAnsi="宋体"/>
        </w:rPr>
        <w:t>马南海</w:t>
      </w:r>
    </w:p>
    <w:p w14:paraId="5A6188F4">
      <w:pPr>
        <w:ind w:firstLine="422"/>
        <w:rPr>
          <w:rFonts w:ascii="宋体" w:hAnsi="宋体"/>
        </w:rPr>
      </w:pPr>
      <w:r>
        <w:rPr>
          <w:rFonts w:ascii="宋体" w:hAnsi="宋体"/>
          <w:b/>
          <w:bCs/>
        </w:rPr>
        <w:t>宣传委员：</w:t>
      </w:r>
      <w:r>
        <w:rPr>
          <w:rFonts w:ascii="宋体" w:hAnsi="宋体"/>
        </w:rPr>
        <w:t>李小全</w:t>
      </w:r>
    </w:p>
    <w:p w14:paraId="4442C0F3">
      <w:pPr>
        <w:pStyle w:val="3"/>
      </w:pPr>
      <w:r>
        <w:rPr>
          <w:rFonts w:hint="eastAsia"/>
        </w:rPr>
        <w:t>百顺镇</w:t>
      </w:r>
    </w:p>
    <w:p w14:paraId="1C83BAB8">
      <w:pPr>
        <w:pStyle w:val="4"/>
      </w:pPr>
      <w:r>
        <w:t>【概况】</w:t>
      </w:r>
    </w:p>
    <w:p w14:paraId="6B69C479">
      <w:pPr>
        <w:ind w:firstLine="420"/>
        <w:rPr>
          <w:rFonts w:ascii="宋体" w:hAnsi="宋体"/>
        </w:rPr>
      </w:pPr>
      <w:r>
        <w:rPr>
          <w:rFonts w:ascii="宋体" w:hAnsi="宋体"/>
        </w:rPr>
        <w:t>百顺镇地处南雄西北面，距市区58公里，与江西省为邻，境内交通便利，主要交通有省道S342线、S244线和县道X340线，各村已实现水泥路。辖9个村委会，1个居委会，108个村小组，总户数3327户，总人口12589人，总劳动力7837个。镇面积187.1平方公里，是个九山半水半分田的山区镇。耕地面积759公顷，山地面积1933公顷，山林面积1766.7亩，森林覆盖率80.4%。境内水资源十分丰富，已兴建小水电站29个，装机容量10695千瓦，年发电量3200万千瓦时。地下蕴藏有丰富的铀矿、花岗岩石、稀土等资源。现有私营企业31家，竹制品厂3家，年加工毛竹120万条；以发电和以毛竹为原料加工筷子、竹丝为主，特产有冬笋、笋干、花豆、香菇以及杨梅等。农业主产以水稻、花生、罗汉果为主。</w:t>
      </w:r>
    </w:p>
    <w:p w14:paraId="01F9001C">
      <w:pPr>
        <w:pStyle w:val="4"/>
      </w:pPr>
      <w:r>
        <w:t>【专业合作社】</w:t>
      </w:r>
    </w:p>
    <w:p w14:paraId="75CA511A">
      <w:pPr>
        <w:ind w:firstLine="420"/>
        <w:rPr>
          <w:rFonts w:ascii="宋体" w:hAnsi="宋体"/>
        </w:rPr>
      </w:pPr>
      <w:r>
        <w:rPr>
          <w:rFonts w:ascii="宋体" w:hAnsi="宋体"/>
        </w:rPr>
        <w:t>罗汉果专业合作社，2010年百顺镇种植罗汉果达到1038亩。百顺镇罗汉果取得了“广东省最具有特色的文化食品”称号，通过“中国有机转换产品”的认证，注册了“雄百”罗汉果商标。</w:t>
      </w:r>
    </w:p>
    <w:p w14:paraId="27232778">
      <w:pPr>
        <w:pStyle w:val="4"/>
      </w:pPr>
      <w:r>
        <w:t>【经济社会发展】</w:t>
      </w:r>
    </w:p>
    <w:p w14:paraId="23FF0095">
      <w:pPr>
        <w:ind w:firstLine="420"/>
        <w:rPr>
          <w:rFonts w:ascii="宋体" w:hAnsi="宋体"/>
        </w:rPr>
      </w:pPr>
      <w:r>
        <w:rPr>
          <w:rFonts w:ascii="宋体" w:hAnsi="宋体"/>
        </w:rPr>
        <w:t>2010年，工农业总产值实现1.4402亿元，同比增加1224万元，增长9.28%，农村人均纯收入5176元，同比增加470元，增长9.98%，2010年镇财政收入264万元，与上年持平。</w:t>
      </w:r>
    </w:p>
    <w:p w14:paraId="55D99964">
      <w:pPr>
        <w:pStyle w:val="4"/>
      </w:pPr>
      <w:r>
        <w:t>【特色农业】</w:t>
      </w:r>
    </w:p>
    <w:p w14:paraId="27F4C223">
      <w:pPr>
        <w:ind w:firstLine="420"/>
        <w:rPr>
          <w:rFonts w:ascii="宋体" w:hAnsi="宋体"/>
        </w:rPr>
      </w:pPr>
      <w:r>
        <w:rPr>
          <w:rFonts w:ascii="宋体" w:hAnsi="宋体"/>
        </w:rPr>
        <w:t>2010年，种植中药材罗汉果1038亩，全镇种植的罗汉果取得好的经济效益，平均亩产值7500多元，亩纯收入4500多元。农业基础设施、沼气建设稳步推进，新农村建设步伐加快，抓好畜牧防病治病工作，村容村貌得到改善，农村经济健康发展。</w:t>
      </w:r>
    </w:p>
    <w:p w14:paraId="02F26FDD">
      <w:pPr>
        <w:pStyle w:val="4"/>
      </w:pPr>
      <w:r>
        <w:t>【林业发展】</w:t>
      </w:r>
    </w:p>
    <w:p w14:paraId="67E6EF8E">
      <w:pPr>
        <w:ind w:firstLine="420"/>
        <w:rPr>
          <w:rFonts w:ascii="宋体" w:hAnsi="宋体"/>
        </w:rPr>
      </w:pPr>
      <w:r>
        <w:rPr>
          <w:rFonts w:ascii="宋体" w:hAnsi="宋体"/>
        </w:rPr>
        <w:t>百顺镇山林面积1933公顷，主要经济林木有油茶、毛竹，用材林有马尾松、衫树、枫树、樟树等。2010年查处乱砍滥伐3宗，走私贩私5宗，调处山林纠纷72宗，加大护林防火宣传力度，印发宣传资料2703份。全镇有林面积1933公顷，其中生态公益林4000公顷，毛竹基地933亩，2008年举办湘、粤、赣第三护林联防区第九片第三十九次会议。新增造林面积1333亩。</w:t>
      </w:r>
    </w:p>
    <w:p w14:paraId="26987437">
      <w:pPr>
        <w:pStyle w:val="4"/>
      </w:pPr>
      <w:r>
        <w:t>【基础设施建设】</w:t>
      </w:r>
    </w:p>
    <w:p w14:paraId="0DA98745">
      <w:pPr>
        <w:ind w:firstLine="420"/>
        <w:rPr>
          <w:rFonts w:ascii="宋体" w:hAnsi="宋体"/>
        </w:rPr>
      </w:pPr>
      <w:r>
        <w:rPr>
          <w:rFonts w:ascii="宋体" w:hAnsi="宋体"/>
        </w:rPr>
        <w:t>争取上级资金160多万元解决百顺、尚睦、邓洞、东坑、朱安5个村委会5748人农村饮水问题；水泥硬化朱安公路、杨梅公路20.6公里。镇到行政村公路全部实现水泥硬底化；筹集资金硬化村小组公路13.6公里；筹集资金75万元解决朱安水石、上市园、杉木印三个村小组的照明用电，消灭无电村；投资兴建起百顺司法大楼、百顺中心小学教师生活大楼、百顺中学实验楼和学生食堂；筹集70多万元资金改善镇综治信访维稳中心、百顺敬老院、百顺居委会设施和办公条件；投资兴建垃圾池6个、聘请保洁员3名，解决墟镇脏、乱、差现象。</w:t>
      </w:r>
    </w:p>
    <w:p w14:paraId="4C41FFC2">
      <w:pPr>
        <w:pStyle w:val="4"/>
      </w:pPr>
      <w:r>
        <w:t>【人口计生】</w:t>
      </w:r>
    </w:p>
    <w:p w14:paraId="5E48CD49">
      <w:pPr>
        <w:ind w:firstLine="420"/>
        <w:rPr>
          <w:rFonts w:ascii="宋体" w:hAnsi="宋体"/>
        </w:rPr>
      </w:pPr>
      <w:r>
        <w:rPr>
          <w:rFonts w:ascii="宋体" w:hAnsi="宋体"/>
        </w:rPr>
        <w:t>有计划生育服务所1间，医护人员3人。全镇9个村委会都建有计生服务室，配备计生专干9人，2010年该镇出生193人，出生率为15.5‰，自然增长率为9.56‰，全镇落实“四术”312例，其中结扎149例，上环156例，落实补救措施7例。</w:t>
      </w:r>
    </w:p>
    <w:p w14:paraId="3B6DF96A">
      <w:pPr>
        <w:pStyle w:val="4"/>
      </w:pPr>
      <w:r>
        <w:t>【文教卫生】</w:t>
      </w:r>
    </w:p>
    <w:p w14:paraId="0CA6FC97">
      <w:pPr>
        <w:ind w:firstLine="420"/>
        <w:rPr>
          <w:rFonts w:ascii="宋体" w:hAnsi="宋体"/>
        </w:rPr>
      </w:pPr>
      <w:r>
        <w:rPr>
          <w:rFonts w:ascii="宋体" w:hAnsi="宋体"/>
        </w:rPr>
        <w:t>镇政府建起百顺文化大楼，设有图书室、娱乐室、阅览室、卡拉OK厅。有线电视信号覆盖全镇。全镇有中学1所，小学9所，幼儿园1所，在校学生1175人，有中小学教师103人，适龄儿童入学率99.8%，升学率100%，毕业率100%，中学入学率98.9%，升学率87.6%，毕业率100%，争取上级资金110多万元兴建百顺中学实验楼、百顺中学学生食堂、百顺中心小学教师生活大楼。有卫生院1所，医护人员13人，有个体诊所2间，乡村医疗站9间，从医人员9人。推行儿童计划免疫和孕妇住院分娩，抓好农村合作医疗工作，2010年，百顺镇参加农村合作医疗人数占农村人口的95%以上，完成上级下达的任务数，参合人员11019人，基本实现人人享有初级卫生保健。</w:t>
      </w:r>
    </w:p>
    <w:p w14:paraId="13E5A1BD">
      <w:pPr>
        <w:pStyle w:val="4"/>
      </w:pPr>
      <w:r>
        <w:t>【墟镇建设】</w:t>
      </w:r>
    </w:p>
    <w:p w14:paraId="673EB27B">
      <w:pPr>
        <w:ind w:firstLine="420"/>
        <w:rPr>
          <w:rFonts w:ascii="宋体" w:hAnsi="宋体"/>
        </w:rPr>
      </w:pPr>
      <w:r>
        <w:rPr>
          <w:rFonts w:ascii="宋体" w:hAnsi="宋体"/>
        </w:rPr>
        <w:t>墟镇有一条宽8米，长1000米的“丁”字型街道，一座占地面积1520平方米的农贸市场，现有商业个体户门店265间，从业人员980人，年集贸市场成交额670万元，社会商品零售额540万元，墟镇全部用上自来水。</w:t>
      </w:r>
    </w:p>
    <w:p w14:paraId="2A3CEAFB">
      <w:pPr>
        <w:pStyle w:val="4"/>
      </w:pPr>
      <w:r>
        <w:t>【扶贫双到】</w:t>
      </w:r>
    </w:p>
    <w:p w14:paraId="449054D3">
      <w:pPr>
        <w:ind w:firstLine="420"/>
        <w:rPr>
          <w:rFonts w:ascii="宋体" w:hAnsi="宋体"/>
        </w:rPr>
      </w:pPr>
      <w:r>
        <w:rPr>
          <w:rFonts w:ascii="宋体" w:hAnsi="宋体"/>
        </w:rPr>
        <w:t>2010年，百顺镇湖地、朱安、溪头3个贫困村获得上级林业部门批准兴办竹制品加工厂，每个村每年直接增加1.2万元的现金收入，3个贫困村的集体经济收入得到有效保障，全镇187户贫困户实现脱贫目标，占总贫困户的57.71%，朱安、湖地2个省级贫困村2010年的扶贫工作通过省委、省政府的考核验收。</w:t>
      </w:r>
    </w:p>
    <w:p w14:paraId="07A18F13">
      <w:pPr>
        <w:pStyle w:val="4"/>
      </w:pPr>
      <w:r>
        <w:t>【招商引资】</w:t>
      </w:r>
    </w:p>
    <w:p w14:paraId="687361CE">
      <w:pPr>
        <w:ind w:firstLine="420"/>
        <w:rPr>
          <w:rFonts w:ascii="宋体" w:hAnsi="宋体"/>
        </w:rPr>
      </w:pPr>
      <w:r>
        <w:rPr>
          <w:rFonts w:ascii="宋体" w:hAnsi="宋体"/>
        </w:rPr>
        <w:t>2010年止，先后引进项目9个，实际到位资金1.2亿元，其中：与全安镇、古市镇共同引进乐华陶瓷在市工业园落户，引进资金兴建5座小水电站，总装机容量1840千瓦，引进资金兴办3家竹制品加工厂。</w:t>
      </w:r>
    </w:p>
    <w:p w14:paraId="0B5A8A99">
      <w:pPr>
        <w:pStyle w:val="4"/>
      </w:pPr>
      <w:r>
        <w:t>【综治信访】</w:t>
      </w:r>
    </w:p>
    <w:p w14:paraId="74F7731F">
      <w:pPr>
        <w:ind w:firstLine="420"/>
        <w:rPr>
          <w:rFonts w:ascii="宋体" w:hAnsi="宋体"/>
        </w:rPr>
      </w:pPr>
      <w:r>
        <w:rPr>
          <w:rFonts w:ascii="宋体" w:hAnsi="宋体"/>
        </w:rPr>
        <w:t>投资6万元推进镇综治信访维稳中心建设和人民调解工作，打击刑事犯罪和黑恶势力，坚决扫除黄、赌、毒等社会丑恶现象。做好矛盾纠纷的排查调处工作，解决群众反映的突出问题。江西籍民工邹民生等四人送锦旗一面“一心为民排忧解难、情系百姓共建和谐”到中心，感谢中心工作人员为他们要回拖欠的工资。</w:t>
      </w:r>
    </w:p>
    <w:p w14:paraId="67795A87">
      <w:pPr>
        <w:pStyle w:val="3"/>
      </w:pPr>
      <w:r>
        <w:rPr>
          <w:rFonts w:hint="eastAsia"/>
        </w:rPr>
        <w:t>各村（居）委会基本情况</w:t>
      </w:r>
    </w:p>
    <w:p w14:paraId="01FB03AE">
      <w:pPr>
        <w:pStyle w:val="4"/>
      </w:pPr>
      <w:r>
        <w:t>【百顺村】</w:t>
      </w:r>
    </w:p>
    <w:p w14:paraId="7FC9B733">
      <w:pPr>
        <w:ind w:firstLine="420"/>
        <w:rPr>
          <w:rFonts w:ascii="宋体" w:hAnsi="宋体"/>
        </w:rPr>
      </w:pPr>
      <w:r>
        <w:rPr>
          <w:rFonts w:ascii="宋体" w:hAnsi="宋体"/>
        </w:rPr>
        <w:t>百顺村位于百顺墟，有村小组27个，总人口3141人，村干部6人，党员121人。林地面积56400亩，其中生态公益林12814亩，商品林42586亩，主要经济作物：水稻、花生、竹木黄豆等。</w:t>
      </w:r>
    </w:p>
    <w:p w14:paraId="0CE6AD1E">
      <w:pPr>
        <w:pStyle w:val="4"/>
      </w:pPr>
      <w:r>
        <w:t>【大沙洲村】</w:t>
      </w:r>
    </w:p>
    <w:p w14:paraId="3DA428AF">
      <w:pPr>
        <w:ind w:firstLine="420"/>
        <w:rPr>
          <w:rFonts w:ascii="宋体" w:hAnsi="宋体"/>
        </w:rPr>
      </w:pPr>
      <w:r>
        <w:rPr>
          <w:rFonts w:ascii="宋体" w:hAnsi="宋体"/>
        </w:rPr>
        <w:t>大沙洲村位于省道342线公路边，全村共有10个村小组320户1284人。村干部5人，党员36人，村年集体收入8.3万元。耕地面积1447.7亩，林地面积2228亩。竹木资源丰富，地域广阔，电力资源充足。主要产业水稻、花生、竹林、水电等。</w:t>
      </w:r>
    </w:p>
    <w:p w14:paraId="58DD46E7">
      <w:pPr>
        <w:pStyle w:val="4"/>
      </w:pPr>
      <w:r>
        <w:t>【邓洞村】</w:t>
      </w:r>
    </w:p>
    <w:p w14:paraId="296B7C3F">
      <w:pPr>
        <w:ind w:firstLine="420"/>
        <w:rPr>
          <w:rFonts w:ascii="宋体" w:hAnsi="宋体"/>
        </w:rPr>
      </w:pPr>
      <w:r>
        <w:rPr>
          <w:rFonts w:ascii="宋体" w:hAnsi="宋体"/>
        </w:rPr>
        <w:t>邓洞村委会位于百顺的西面，离镇政府17公里。全村共有5个自然村7个村小组，187户743人，村干部4人，党员32人，村年集体收入7000元。耕地面积1066.73亩，林地面积22227亩。主要经济作物：水稻、花生、竹木、黄豆等。</w:t>
      </w:r>
    </w:p>
    <w:p w14:paraId="0479782C">
      <w:pPr>
        <w:pStyle w:val="4"/>
      </w:pPr>
      <w:r>
        <w:t>【东坑村】</w:t>
      </w:r>
    </w:p>
    <w:p w14:paraId="0CFA218A">
      <w:pPr>
        <w:ind w:firstLine="420"/>
        <w:rPr>
          <w:rFonts w:ascii="宋体" w:hAnsi="宋体"/>
        </w:rPr>
      </w:pPr>
      <w:r>
        <w:rPr>
          <w:rFonts w:ascii="宋体" w:hAnsi="宋体"/>
        </w:rPr>
        <w:t>东坑村共有9个自然村，农户253户1013人，村委干部5人。耕地面积1418亩，其中水田1011亩，山林总面积自营山16526亩，自留山1565亩，生态林4377亩。主要产业有水稻、花生、竹林、黄烟等。</w:t>
      </w:r>
    </w:p>
    <w:p w14:paraId="0E7B4566">
      <w:pPr>
        <w:pStyle w:val="4"/>
      </w:pPr>
      <w:r>
        <w:t>【湖地村】</w:t>
      </w:r>
    </w:p>
    <w:p w14:paraId="6DC25683">
      <w:pPr>
        <w:ind w:firstLine="420"/>
        <w:rPr>
          <w:rFonts w:ascii="宋体" w:hAnsi="宋体"/>
        </w:rPr>
      </w:pPr>
      <w:r>
        <w:rPr>
          <w:rFonts w:ascii="宋体" w:hAnsi="宋体"/>
        </w:rPr>
        <w:t>湖地村位于百顺镇本南部，辖11个村民小组，全村262户1260人。现有村干部4人，党员42人。村集体收入8000元，年人均入3280元。主要产业：水稻、花生、竹木、黄豆等。</w:t>
      </w:r>
    </w:p>
    <w:p w14:paraId="6F9BEBF0">
      <w:pPr>
        <w:pStyle w:val="4"/>
      </w:pPr>
      <w:r>
        <w:t>【尚睦村】</w:t>
      </w:r>
    </w:p>
    <w:p w14:paraId="1D3C079C">
      <w:pPr>
        <w:ind w:firstLine="420"/>
        <w:rPr>
          <w:rFonts w:ascii="宋体" w:hAnsi="宋体"/>
        </w:rPr>
      </w:pPr>
      <w:r>
        <w:rPr>
          <w:rFonts w:ascii="宋体" w:hAnsi="宋体"/>
        </w:rPr>
        <w:t>尚睦村位于省道342线公路边，全村共有7个村小组208户840人。村干部4人，党员32人。耕地面积1100多亩，毛竹林7000亩；村委会建有小水电1座，装机容量300瓦时，各项经济收入3万多元。主要产业是水稻、花生、竹林、等。每年有固定收入的村小组有5个，达到了公路、照明、用电、电话、自来水村村通。</w:t>
      </w:r>
    </w:p>
    <w:p w14:paraId="02C14B2A">
      <w:pPr>
        <w:pStyle w:val="4"/>
      </w:pPr>
      <w:r>
        <w:t>【溪头村】</w:t>
      </w:r>
    </w:p>
    <w:p w14:paraId="2F9481D6">
      <w:pPr>
        <w:ind w:firstLine="420"/>
        <w:rPr>
          <w:rFonts w:ascii="宋体" w:hAnsi="宋体"/>
        </w:rPr>
      </w:pPr>
      <w:r>
        <w:rPr>
          <w:rFonts w:ascii="宋体" w:hAnsi="宋体"/>
        </w:rPr>
        <w:t>溪头村共有12个自然村，257户1062人。村干部5人，党员35人。耕地面积1432亩，其中水田1066亩，旱田366亩，山林面积37600亩，责任山23490亩，生态公益林14110亩。主要产业是水稻、花生、竹林、黄豆等。</w:t>
      </w:r>
    </w:p>
    <w:p w14:paraId="456841D7">
      <w:pPr>
        <w:pStyle w:val="4"/>
      </w:pPr>
      <w:r>
        <w:t>【杨梅村】</w:t>
      </w:r>
    </w:p>
    <w:p w14:paraId="2C4F13A2">
      <w:pPr>
        <w:ind w:firstLine="420"/>
        <w:rPr>
          <w:rFonts w:ascii="宋体" w:hAnsi="宋体"/>
        </w:rPr>
      </w:pPr>
      <w:r>
        <w:rPr>
          <w:rFonts w:ascii="宋体" w:hAnsi="宋体"/>
        </w:rPr>
        <w:t>杨梅村位于百顺镇西北部，共有12个小组，297户1192人，村干部5人。耕地面积1468.8亩，林地面积6832亩。主要经济作物：水稻、花生、竹木、黄豆等。</w:t>
      </w:r>
    </w:p>
    <w:p w14:paraId="12B8EE97">
      <w:pPr>
        <w:pStyle w:val="4"/>
      </w:pPr>
      <w:r>
        <w:t>【朱安村】</w:t>
      </w:r>
    </w:p>
    <w:p w14:paraId="1BDCEEC7">
      <w:pPr>
        <w:ind w:firstLine="420"/>
        <w:rPr>
          <w:rFonts w:ascii="宋体" w:hAnsi="宋体"/>
        </w:rPr>
      </w:pPr>
      <w:r>
        <w:rPr>
          <w:rFonts w:ascii="宋体" w:hAnsi="宋体"/>
        </w:rPr>
        <w:t>朱安村委会是一个边远山区村，距本镇百顺有18公里，乡村公路在1999年开通，并在2009年水泥硬化峻工，路宽3.5米。全村有244户、1003人，9个自然村，12个村小组。村“两委”干部4人。耕地1334亩，山林4.3万亩，其中生态公益林0.5万亩。主要经济作物：水稻、花生、竹林、黄豆等。</w:t>
      </w:r>
    </w:p>
    <w:p w14:paraId="02178AC1">
      <w:pPr>
        <w:pStyle w:val="4"/>
      </w:pPr>
      <w:r>
        <w:t>【百顺居委会】</w:t>
      </w:r>
    </w:p>
    <w:p w14:paraId="12A3AD24">
      <w:pPr>
        <w:ind w:firstLine="420"/>
        <w:rPr>
          <w:rFonts w:ascii="宋体" w:hAnsi="宋体"/>
        </w:rPr>
      </w:pPr>
      <w:r>
        <w:rPr>
          <w:rFonts w:ascii="宋体" w:hAnsi="宋体"/>
        </w:rPr>
        <w:t>百顺居委会位于百顺墟，总人口715人，居委会干部3人。</w:t>
      </w:r>
    </w:p>
    <w:p w14:paraId="24A02F5B">
      <w:pPr>
        <w:ind w:firstLine="420"/>
        <w:jc w:val="right"/>
        <w:rPr>
          <w:rFonts w:ascii="宋体" w:hAnsi="宋体"/>
        </w:rPr>
      </w:pPr>
      <w:r>
        <w:rPr>
          <w:rFonts w:ascii="宋体" w:hAnsi="宋体"/>
        </w:rPr>
        <w:t>（邬小霞）</w:t>
      </w:r>
    </w:p>
    <w:p w14:paraId="233AD3FA">
      <w:pPr>
        <w:ind w:firstLine="422"/>
        <w:rPr>
          <w:rFonts w:ascii="宋体" w:hAnsi="宋体"/>
          <w:b/>
          <w:bCs/>
        </w:rPr>
      </w:pPr>
      <w:r>
        <w:rPr>
          <w:rFonts w:ascii="宋体" w:hAnsi="宋体"/>
          <w:b/>
          <w:bCs/>
        </w:rPr>
        <w:t>附：2010年百顺镇领导班子成员名单</w:t>
      </w:r>
    </w:p>
    <w:p w14:paraId="7F7FFB6D">
      <w:pPr>
        <w:ind w:firstLine="422"/>
        <w:rPr>
          <w:rFonts w:ascii="宋体" w:hAnsi="宋体"/>
        </w:rPr>
      </w:pPr>
      <w:r>
        <w:rPr>
          <w:rFonts w:ascii="宋体" w:hAnsi="宋体"/>
          <w:b/>
          <w:bCs/>
        </w:rPr>
        <w:t>党委书记、人大主席：</w:t>
      </w:r>
      <w:r>
        <w:rPr>
          <w:rFonts w:ascii="宋体" w:hAnsi="宋体"/>
        </w:rPr>
        <w:t>朱海兵</w:t>
      </w:r>
    </w:p>
    <w:p w14:paraId="7A968B9F">
      <w:pPr>
        <w:ind w:firstLine="422"/>
        <w:rPr>
          <w:rFonts w:ascii="宋体" w:hAnsi="宋体"/>
        </w:rPr>
      </w:pPr>
      <w:r>
        <w:rPr>
          <w:rFonts w:ascii="宋体" w:hAnsi="宋体"/>
          <w:b/>
          <w:bCs/>
        </w:rPr>
        <w:t>党委副书记、镇长：</w:t>
      </w:r>
      <w:r>
        <w:rPr>
          <w:rFonts w:ascii="宋体" w:hAnsi="宋体"/>
        </w:rPr>
        <w:t>严桂龙</w:t>
      </w:r>
    </w:p>
    <w:p w14:paraId="079596B6">
      <w:pPr>
        <w:ind w:firstLine="422"/>
        <w:rPr>
          <w:rFonts w:ascii="宋体" w:hAnsi="宋体"/>
        </w:rPr>
      </w:pPr>
      <w:r>
        <w:rPr>
          <w:rFonts w:ascii="宋体" w:hAnsi="宋体"/>
          <w:b/>
          <w:bCs/>
        </w:rPr>
        <w:t>党委副书记：</w:t>
      </w:r>
      <w:r>
        <w:rPr>
          <w:rFonts w:ascii="宋体" w:hAnsi="宋体"/>
        </w:rPr>
        <w:t>谭福志</w:t>
      </w:r>
    </w:p>
    <w:p w14:paraId="001CFFD5">
      <w:pPr>
        <w:ind w:firstLine="422"/>
        <w:rPr>
          <w:rFonts w:ascii="宋体" w:hAnsi="宋体"/>
        </w:rPr>
      </w:pPr>
      <w:r>
        <w:rPr>
          <w:rFonts w:ascii="宋体" w:hAnsi="宋体"/>
          <w:b/>
          <w:bCs/>
        </w:rPr>
        <w:t>纪委书记：</w:t>
      </w:r>
      <w:r>
        <w:rPr>
          <w:rFonts w:ascii="宋体" w:hAnsi="宋体"/>
        </w:rPr>
        <w:t>饶槐英</w:t>
      </w:r>
    </w:p>
    <w:p w14:paraId="156E9E41">
      <w:pPr>
        <w:ind w:firstLine="422"/>
        <w:rPr>
          <w:rFonts w:ascii="宋体" w:hAnsi="宋体"/>
        </w:rPr>
      </w:pPr>
      <w:r>
        <w:rPr>
          <w:rFonts w:ascii="宋体" w:hAnsi="宋体"/>
          <w:b/>
          <w:bCs/>
        </w:rPr>
        <w:t>武装部长：</w:t>
      </w:r>
      <w:r>
        <w:rPr>
          <w:rFonts w:ascii="宋体" w:hAnsi="宋体"/>
        </w:rPr>
        <w:t>张春</w:t>
      </w:r>
    </w:p>
    <w:p w14:paraId="1775EABE">
      <w:pPr>
        <w:ind w:firstLine="422"/>
        <w:rPr>
          <w:rFonts w:ascii="宋体" w:hAnsi="宋体"/>
        </w:rPr>
      </w:pPr>
      <w:r>
        <w:rPr>
          <w:rFonts w:ascii="宋体" w:hAnsi="宋体"/>
          <w:b/>
          <w:bCs/>
        </w:rPr>
        <w:t>人大副主席：</w:t>
      </w:r>
      <w:r>
        <w:rPr>
          <w:rFonts w:ascii="宋体" w:hAnsi="宋体"/>
        </w:rPr>
        <w:t>叶玉鹏</w:t>
      </w:r>
    </w:p>
    <w:p w14:paraId="4C680EFF">
      <w:pPr>
        <w:ind w:firstLine="422"/>
        <w:rPr>
          <w:rFonts w:ascii="宋体" w:hAnsi="宋体"/>
        </w:rPr>
      </w:pPr>
      <w:r>
        <w:rPr>
          <w:rFonts w:ascii="宋体" w:hAnsi="宋体"/>
          <w:b/>
          <w:bCs/>
        </w:rPr>
        <w:t>副镇长：</w:t>
      </w:r>
      <w:r>
        <w:rPr>
          <w:rFonts w:ascii="宋体" w:hAnsi="宋体"/>
        </w:rPr>
        <w:t>朱定福</w:t>
      </w:r>
      <w:r>
        <w:rPr>
          <w:rFonts w:hint="eastAsia" w:ascii="宋体" w:hAnsi="宋体"/>
        </w:rPr>
        <w:t xml:space="preserve">  </w:t>
      </w:r>
      <w:r>
        <w:rPr>
          <w:rFonts w:ascii="宋体" w:hAnsi="宋体"/>
        </w:rPr>
        <w:t>蔡盛芳</w:t>
      </w:r>
    </w:p>
    <w:p w14:paraId="5C496F61">
      <w:pPr>
        <w:ind w:firstLine="422"/>
        <w:rPr>
          <w:rFonts w:ascii="宋体" w:hAnsi="宋体"/>
        </w:rPr>
      </w:pPr>
      <w:r>
        <w:rPr>
          <w:rFonts w:ascii="宋体" w:hAnsi="宋体"/>
          <w:b/>
          <w:bCs/>
        </w:rPr>
        <w:t>组织委员：</w:t>
      </w:r>
      <w:r>
        <w:rPr>
          <w:rFonts w:ascii="宋体" w:hAnsi="宋体"/>
        </w:rPr>
        <w:t>吴在海</w:t>
      </w:r>
    </w:p>
    <w:p w14:paraId="3C46FB8F">
      <w:pPr>
        <w:ind w:firstLine="422"/>
        <w:rPr>
          <w:rFonts w:ascii="宋体" w:hAnsi="宋体"/>
        </w:rPr>
      </w:pPr>
      <w:r>
        <w:rPr>
          <w:rFonts w:ascii="宋体" w:hAnsi="宋体"/>
          <w:b/>
          <w:bCs/>
        </w:rPr>
        <w:t>宣传委员：</w:t>
      </w:r>
      <w:r>
        <w:rPr>
          <w:rFonts w:ascii="宋体" w:hAnsi="宋体"/>
        </w:rPr>
        <w:t>刘运洲</w:t>
      </w:r>
    </w:p>
    <w:p w14:paraId="35AE36EF">
      <w:pPr>
        <w:pStyle w:val="2"/>
      </w:pPr>
      <w:r>
        <w:rPr>
          <w:rFonts w:hint="eastAsia"/>
        </w:rPr>
        <w:t>人物</w:t>
      </w:r>
    </w:p>
    <w:p w14:paraId="70D7FC43">
      <w:pPr>
        <w:pStyle w:val="3"/>
        <w:numPr>
          <w:ilvl w:val="0"/>
          <w:numId w:val="8"/>
        </w:numPr>
      </w:pPr>
      <w:r>
        <w:rPr>
          <w:rFonts w:hint="eastAsia"/>
        </w:rPr>
        <w:t>省级以上奖励</w:t>
      </w:r>
    </w:p>
    <w:p w14:paraId="6B00572A">
      <w:pPr>
        <w:pStyle w:val="4"/>
      </w:pPr>
      <w:r>
        <w:rPr>
          <w:rFonts w:hint="eastAsia"/>
        </w:rPr>
        <w:t>表33-1  2010年南雄市各单位获得省级以上奖励情况统计表</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8"/>
        <w:gridCol w:w="4395"/>
        <w:gridCol w:w="2550"/>
        <w:gridCol w:w="1349"/>
      </w:tblGrid>
      <w:tr w14:paraId="4BAFD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050E6573">
            <w:pPr>
              <w:pStyle w:val="13"/>
              <w:jc w:val="center"/>
              <w:rPr>
                <w:rFonts w:hint="eastAsia"/>
                <w:b/>
              </w:rPr>
            </w:pPr>
            <w:r>
              <w:rPr>
                <w:rFonts w:hint="eastAsia"/>
                <w:b/>
              </w:rPr>
              <w:t>单位或个人</w:t>
            </w:r>
          </w:p>
        </w:tc>
        <w:tc>
          <w:tcPr>
            <w:tcW w:w="2206" w:type="pct"/>
            <w:vAlign w:val="center"/>
          </w:tcPr>
          <w:p w14:paraId="73395863">
            <w:pPr>
              <w:pStyle w:val="13"/>
              <w:jc w:val="center"/>
              <w:rPr>
                <w:rFonts w:hint="eastAsia"/>
                <w:b/>
              </w:rPr>
            </w:pPr>
            <w:r>
              <w:rPr>
                <w:rFonts w:hint="eastAsia"/>
                <w:b/>
              </w:rPr>
              <w:t>获得奖项</w:t>
            </w:r>
          </w:p>
        </w:tc>
        <w:tc>
          <w:tcPr>
            <w:tcW w:w="1280" w:type="pct"/>
            <w:vAlign w:val="center"/>
          </w:tcPr>
          <w:p w14:paraId="51A63035">
            <w:pPr>
              <w:pStyle w:val="13"/>
              <w:jc w:val="center"/>
              <w:rPr>
                <w:rFonts w:hint="eastAsia"/>
                <w:b/>
              </w:rPr>
            </w:pPr>
            <w:r>
              <w:rPr>
                <w:rFonts w:hint="eastAsia"/>
                <w:b/>
              </w:rPr>
              <w:t>颁奖单位</w:t>
            </w:r>
          </w:p>
        </w:tc>
        <w:tc>
          <w:tcPr>
            <w:tcW w:w="677" w:type="pct"/>
            <w:vAlign w:val="center"/>
          </w:tcPr>
          <w:p w14:paraId="32E3B94C">
            <w:pPr>
              <w:pStyle w:val="13"/>
              <w:jc w:val="center"/>
              <w:rPr>
                <w:rFonts w:hint="eastAsia"/>
                <w:b/>
              </w:rPr>
            </w:pPr>
            <w:r>
              <w:rPr>
                <w:rFonts w:hint="eastAsia"/>
                <w:b/>
              </w:rPr>
              <w:t>备注</w:t>
            </w:r>
          </w:p>
        </w:tc>
      </w:tr>
      <w:tr w14:paraId="0D392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71FDF6E3">
            <w:pPr>
              <w:pStyle w:val="13"/>
              <w:jc w:val="center"/>
              <w:rPr>
                <w:rFonts w:hint="eastAsia"/>
              </w:rPr>
            </w:pPr>
            <w:r>
              <w:rPr>
                <w:rFonts w:hint="eastAsia"/>
              </w:rPr>
              <w:t>市委办廖春花</w:t>
            </w:r>
          </w:p>
        </w:tc>
        <w:tc>
          <w:tcPr>
            <w:tcW w:w="2206" w:type="pct"/>
            <w:vAlign w:val="center"/>
          </w:tcPr>
          <w:p w14:paraId="3EF8B03E">
            <w:pPr>
              <w:pStyle w:val="13"/>
              <w:jc w:val="left"/>
              <w:rPr>
                <w:rFonts w:hint="eastAsia"/>
              </w:rPr>
            </w:pPr>
            <w:r>
              <w:rPr>
                <w:rFonts w:hint="eastAsia"/>
              </w:rPr>
              <w:t>2010年度信息报送先进工作者</w:t>
            </w:r>
          </w:p>
        </w:tc>
        <w:tc>
          <w:tcPr>
            <w:tcW w:w="1280" w:type="pct"/>
            <w:vAlign w:val="center"/>
          </w:tcPr>
          <w:p w14:paraId="6DE8A9B2">
            <w:pPr>
              <w:pStyle w:val="13"/>
              <w:jc w:val="left"/>
              <w:rPr>
                <w:rFonts w:hint="eastAsia"/>
              </w:rPr>
            </w:pPr>
            <w:r>
              <w:rPr>
                <w:rFonts w:hint="eastAsia"/>
              </w:rPr>
              <w:t>广东省委办公厅</w:t>
            </w:r>
          </w:p>
        </w:tc>
        <w:tc>
          <w:tcPr>
            <w:tcW w:w="677" w:type="pct"/>
            <w:vAlign w:val="center"/>
          </w:tcPr>
          <w:p w14:paraId="7656A156">
            <w:pPr>
              <w:pStyle w:val="13"/>
              <w:jc w:val="center"/>
              <w:rPr>
                <w:rFonts w:hint="eastAsia"/>
              </w:rPr>
            </w:pPr>
          </w:p>
        </w:tc>
      </w:tr>
      <w:tr w14:paraId="7BFFE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49EFCC65">
            <w:pPr>
              <w:pStyle w:val="13"/>
              <w:jc w:val="center"/>
              <w:rPr>
                <w:rFonts w:hint="eastAsia"/>
              </w:rPr>
            </w:pPr>
            <w:r>
              <w:rPr>
                <w:rFonts w:hint="eastAsia"/>
              </w:rPr>
              <w:t>信息中心</w:t>
            </w:r>
          </w:p>
        </w:tc>
        <w:tc>
          <w:tcPr>
            <w:tcW w:w="2206" w:type="pct"/>
            <w:vAlign w:val="center"/>
          </w:tcPr>
          <w:p w14:paraId="367EDE01">
            <w:pPr>
              <w:pStyle w:val="13"/>
              <w:jc w:val="left"/>
              <w:rPr>
                <w:rFonts w:hint="eastAsia"/>
              </w:rPr>
            </w:pPr>
            <w:r>
              <w:rPr>
                <w:rFonts w:hint="eastAsia"/>
              </w:rPr>
              <w:t>广东省农村信息化优秀成果奖</w:t>
            </w:r>
          </w:p>
        </w:tc>
        <w:tc>
          <w:tcPr>
            <w:tcW w:w="1280" w:type="pct"/>
            <w:vAlign w:val="center"/>
          </w:tcPr>
          <w:p w14:paraId="350CB039">
            <w:pPr>
              <w:pStyle w:val="13"/>
              <w:jc w:val="left"/>
              <w:rPr>
                <w:rFonts w:hint="eastAsia"/>
              </w:rPr>
            </w:pPr>
            <w:r>
              <w:rPr>
                <w:rFonts w:hint="eastAsia"/>
              </w:rPr>
              <w:t>广东省经济和信息化委员会</w:t>
            </w:r>
          </w:p>
        </w:tc>
        <w:tc>
          <w:tcPr>
            <w:tcW w:w="677" w:type="pct"/>
            <w:vAlign w:val="center"/>
          </w:tcPr>
          <w:p w14:paraId="544655C7">
            <w:pPr>
              <w:pStyle w:val="13"/>
              <w:jc w:val="center"/>
              <w:rPr>
                <w:rFonts w:hint="eastAsia"/>
              </w:rPr>
            </w:pPr>
          </w:p>
        </w:tc>
      </w:tr>
      <w:tr w14:paraId="7F7B7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26C6BEFA">
            <w:pPr>
              <w:pStyle w:val="13"/>
              <w:jc w:val="center"/>
              <w:rPr>
                <w:rFonts w:hint="eastAsia"/>
              </w:rPr>
            </w:pPr>
            <w:r>
              <w:rPr>
                <w:rFonts w:hint="eastAsia"/>
              </w:rPr>
              <w:t>人民医院</w:t>
            </w:r>
          </w:p>
        </w:tc>
        <w:tc>
          <w:tcPr>
            <w:tcW w:w="2206" w:type="pct"/>
            <w:vAlign w:val="center"/>
          </w:tcPr>
          <w:p w14:paraId="274B2688">
            <w:pPr>
              <w:pStyle w:val="13"/>
              <w:jc w:val="left"/>
              <w:rPr>
                <w:rFonts w:hint="eastAsia"/>
              </w:rPr>
            </w:pPr>
            <w:r>
              <w:rPr>
                <w:rFonts w:hint="eastAsia"/>
              </w:rPr>
              <w:t>全国模范职工之家</w:t>
            </w:r>
          </w:p>
        </w:tc>
        <w:tc>
          <w:tcPr>
            <w:tcW w:w="1280" w:type="pct"/>
            <w:vAlign w:val="center"/>
          </w:tcPr>
          <w:p w14:paraId="57AE3672">
            <w:pPr>
              <w:pStyle w:val="13"/>
              <w:jc w:val="left"/>
              <w:rPr>
                <w:rFonts w:hint="eastAsia"/>
              </w:rPr>
            </w:pPr>
            <w:r>
              <w:rPr>
                <w:rFonts w:hint="eastAsia"/>
              </w:rPr>
              <w:t>中华全国总工会</w:t>
            </w:r>
          </w:p>
        </w:tc>
        <w:tc>
          <w:tcPr>
            <w:tcW w:w="677" w:type="pct"/>
            <w:vAlign w:val="center"/>
          </w:tcPr>
          <w:p w14:paraId="64BFAC6E">
            <w:pPr>
              <w:pStyle w:val="13"/>
              <w:jc w:val="center"/>
              <w:rPr>
                <w:rFonts w:hint="eastAsia"/>
              </w:rPr>
            </w:pPr>
            <w:r>
              <w:rPr>
                <w:rFonts w:hint="eastAsia"/>
              </w:rPr>
              <w:t>荣誉证书</w:t>
            </w:r>
          </w:p>
        </w:tc>
      </w:tr>
      <w:tr w14:paraId="573D6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3AB21A18">
            <w:pPr>
              <w:pStyle w:val="13"/>
              <w:jc w:val="center"/>
              <w:rPr>
                <w:rFonts w:hint="eastAsia"/>
              </w:rPr>
            </w:pPr>
            <w:r>
              <w:rPr>
                <w:rFonts w:hint="eastAsia"/>
              </w:rPr>
              <w:t>黄坑镇</w:t>
            </w:r>
          </w:p>
        </w:tc>
        <w:tc>
          <w:tcPr>
            <w:tcW w:w="2206" w:type="pct"/>
            <w:vAlign w:val="center"/>
          </w:tcPr>
          <w:p w14:paraId="456425BD">
            <w:pPr>
              <w:pStyle w:val="13"/>
              <w:jc w:val="left"/>
              <w:rPr>
                <w:rFonts w:hint="eastAsia"/>
              </w:rPr>
            </w:pPr>
            <w:r>
              <w:rPr>
                <w:rFonts w:hint="eastAsia"/>
              </w:rPr>
              <w:t>广东省五四红旗团委</w:t>
            </w:r>
          </w:p>
        </w:tc>
        <w:tc>
          <w:tcPr>
            <w:tcW w:w="1280" w:type="pct"/>
            <w:vAlign w:val="center"/>
          </w:tcPr>
          <w:p w14:paraId="74B94693">
            <w:pPr>
              <w:pStyle w:val="13"/>
              <w:jc w:val="left"/>
              <w:rPr>
                <w:rFonts w:hint="eastAsia"/>
              </w:rPr>
            </w:pPr>
            <w:r>
              <w:rPr>
                <w:rFonts w:hint="eastAsia"/>
              </w:rPr>
              <w:t>团广东省委</w:t>
            </w:r>
          </w:p>
        </w:tc>
        <w:tc>
          <w:tcPr>
            <w:tcW w:w="677" w:type="pct"/>
            <w:vAlign w:val="center"/>
          </w:tcPr>
          <w:p w14:paraId="3C6AE7CE">
            <w:pPr>
              <w:pStyle w:val="13"/>
              <w:jc w:val="center"/>
              <w:rPr>
                <w:rFonts w:hint="eastAsia"/>
              </w:rPr>
            </w:pPr>
          </w:p>
        </w:tc>
      </w:tr>
      <w:tr w14:paraId="5FF451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5095AF7C">
            <w:pPr>
              <w:pStyle w:val="13"/>
              <w:jc w:val="center"/>
              <w:rPr>
                <w:rFonts w:hint="eastAsia"/>
              </w:rPr>
            </w:pPr>
            <w:r>
              <w:rPr>
                <w:rFonts w:hint="eastAsia"/>
              </w:rPr>
              <w:t>黄坑镇</w:t>
            </w:r>
          </w:p>
        </w:tc>
        <w:tc>
          <w:tcPr>
            <w:tcW w:w="2206" w:type="pct"/>
            <w:vAlign w:val="center"/>
          </w:tcPr>
          <w:p w14:paraId="2AD450D1">
            <w:pPr>
              <w:pStyle w:val="13"/>
              <w:jc w:val="left"/>
              <w:rPr>
                <w:rFonts w:hint="eastAsia"/>
              </w:rPr>
            </w:pPr>
            <w:r>
              <w:rPr>
                <w:rFonts w:hint="eastAsia"/>
              </w:rPr>
              <w:t>先进基层党组织</w:t>
            </w:r>
          </w:p>
        </w:tc>
        <w:tc>
          <w:tcPr>
            <w:tcW w:w="1280" w:type="pct"/>
            <w:vAlign w:val="center"/>
          </w:tcPr>
          <w:p w14:paraId="725144F6">
            <w:pPr>
              <w:pStyle w:val="13"/>
              <w:jc w:val="left"/>
              <w:rPr>
                <w:rFonts w:hint="eastAsia"/>
              </w:rPr>
            </w:pPr>
            <w:r>
              <w:rPr>
                <w:rFonts w:hint="eastAsia"/>
              </w:rPr>
              <w:t>广东省委组织部</w:t>
            </w:r>
          </w:p>
        </w:tc>
        <w:tc>
          <w:tcPr>
            <w:tcW w:w="677" w:type="pct"/>
            <w:vAlign w:val="center"/>
          </w:tcPr>
          <w:p w14:paraId="302CC22A">
            <w:pPr>
              <w:pStyle w:val="13"/>
              <w:jc w:val="center"/>
              <w:rPr>
                <w:rFonts w:hint="eastAsia"/>
              </w:rPr>
            </w:pPr>
          </w:p>
        </w:tc>
      </w:tr>
      <w:tr w14:paraId="1616A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375889FC">
            <w:pPr>
              <w:pStyle w:val="13"/>
              <w:jc w:val="center"/>
              <w:rPr>
                <w:rFonts w:hint="eastAsia" w:ascii="宋体" w:hAnsi="宋体" w:cs="宋体"/>
              </w:rPr>
            </w:pPr>
            <w:r>
              <w:rPr>
                <w:rFonts w:hint="eastAsia"/>
              </w:rPr>
              <w:t>国家统计局</w:t>
            </w:r>
          </w:p>
          <w:p w14:paraId="283DB8CF">
            <w:pPr>
              <w:pStyle w:val="13"/>
              <w:jc w:val="center"/>
              <w:rPr>
                <w:rFonts w:hint="eastAsia"/>
              </w:rPr>
            </w:pPr>
            <w:r>
              <w:rPr>
                <w:rFonts w:hint="eastAsia" w:ascii="宋体" w:hAnsi="宋体" w:cs="宋体"/>
              </w:rPr>
              <w:t>南雄调查队</w:t>
            </w:r>
          </w:p>
        </w:tc>
        <w:tc>
          <w:tcPr>
            <w:tcW w:w="2206" w:type="pct"/>
            <w:vAlign w:val="center"/>
          </w:tcPr>
          <w:p w14:paraId="64BD02C2">
            <w:pPr>
              <w:pStyle w:val="13"/>
              <w:jc w:val="left"/>
              <w:rPr>
                <w:rFonts w:hint="eastAsia"/>
              </w:rPr>
            </w:pPr>
            <w:r>
              <w:rPr>
                <w:rFonts w:hint="eastAsia"/>
              </w:rPr>
              <w:t>2010年农村住户样本轮换工作先进集体</w:t>
            </w:r>
          </w:p>
        </w:tc>
        <w:tc>
          <w:tcPr>
            <w:tcW w:w="1280" w:type="pct"/>
            <w:vAlign w:val="center"/>
          </w:tcPr>
          <w:p w14:paraId="0C23737A">
            <w:pPr>
              <w:pStyle w:val="13"/>
              <w:jc w:val="left"/>
              <w:rPr>
                <w:rFonts w:hint="eastAsia"/>
              </w:rPr>
            </w:pPr>
            <w:r>
              <w:rPr>
                <w:rFonts w:hint="eastAsia"/>
              </w:rPr>
              <w:t>国家统计局</w:t>
            </w:r>
          </w:p>
        </w:tc>
        <w:tc>
          <w:tcPr>
            <w:tcW w:w="677" w:type="pct"/>
            <w:vAlign w:val="center"/>
          </w:tcPr>
          <w:p w14:paraId="43445011">
            <w:pPr>
              <w:pStyle w:val="13"/>
              <w:jc w:val="center"/>
              <w:rPr>
                <w:rFonts w:hint="eastAsia"/>
              </w:rPr>
            </w:pPr>
          </w:p>
        </w:tc>
      </w:tr>
      <w:tr w14:paraId="50ACB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5F34B787">
            <w:pPr>
              <w:pStyle w:val="13"/>
              <w:jc w:val="center"/>
              <w:rPr>
                <w:rFonts w:hint="eastAsia" w:ascii="宋体" w:hAnsi="宋体" w:cs="宋体"/>
              </w:rPr>
            </w:pPr>
            <w:r>
              <w:rPr>
                <w:rFonts w:hint="eastAsia"/>
              </w:rPr>
              <w:t>国家统计局</w:t>
            </w:r>
          </w:p>
          <w:p w14:paraId="19634775">
            <w:pPr>
              <w:pStyle w:val="13"/>
              <w:jc w:val="center"/>
              <w:rPr>
                <w:rFonts w:hint="eastAsia" w:ascii="宋体" w:hAnsi="宋体" w:cs="宋体"/>
              </w:rPr>
            </w:pPr>
            <w:r>
              <w:rPr>
                <w:rFonts w:hint="eastAsia" w:ascii="宋体" w:hAnsi="宋体" w:cs="宋体"/>
              </w:rPr>
              <w:t>南雄调查队</w:t>
            </w:r>
          </w:p>
          <w:p w14:paraId="14AE58B9">
            <w:pPr>
              <w:pStyle w:val="13"/>
              <w:jc w:val="center"/>
              <w:rPr>
                <w:rFonts w:hint="eastAsia"/>
              </w:rPr>
            </w:pPr>
            <w:r>
              <w:rPr>
                <w:rFonts w:hint="eastAsia" w:ascii="宋体" w:hAnsi="宋体" w:cs="宋体"/>
              </w:rPr>
              <w:t>蔡仁生</w:t>
            </w:r>
          </w:p>
        </w:tc>
        <w:tc>
          <w:tcPr>
            <w:tcW w:w="2206" w:type="pct"/>
            <w:vAlign w:val="center"/>
          </w:tcPr>
          <w:p w14:paraId="36B0769D">
            <w:pPr>
              <w:pStyle w:val="13"/>
              <w:jc w:val="left"/>
              <w:rPr>
                <w:rFonts w:hint="eastAsia"/>
              </w:rPr>
            </w:pPr>
            <w:r>
              <w:rPr>
                <w:rFonts w:hint="eastAsia"/>
              </w:rPr>
              <w:t>“五五”普法全国先进个人</w:t>
            </w:r>
          </w:p>
        </w:tc>
        <w:tc>
          <w:tcPr>
            <w:tcW w:w="1280" w:type="pct"/>
            <w:vAlign w:val="center"/>
          </w:tcPr>
          <w:p w14:paraId="45F43EBF">
            <w:pPr>
              <w:pStyle w:val="13"/>
              <w:jc w:val="left"/>
              <w:rPr>
                <w:rFonts w:hint="eastAsia"/>
              </w:rPr>
            </w:pPr>
            <w:r>
              <w:rPr>
                <w:rFonts w:hint="eastAsia"/>
              </w:rPr>
              <w:t>国家统计局</w:t>
            </w:r>
          </w:p>
        </w:tc>
        <w:tc>
          <w:tcPr>
            <w:tcW w:w="677" w:type="pct"/>
            <w:vAlign w:val="center"/>
          </w:tcPr>
          <w:p w14:paraId="292BC982">
            <w:pPr>
              <w:pStyle w:val="13"/>
              <w:jc w:val="center"/>
              <w:rPr>
                <w:rFonts w:hint="eastAsia"/>
              </w:rPr>
            </w:pPr>
          </w:p>
        </w:tc>
      </w:tr>
      <w:tr w14:paraId="5A73C7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4DB9A5CF">
            <w:pPr>
              <w:pStyle w:val="13"/>
              <w:jc w:val="center"/>
              <w:rPr>
                <w:rFonts w:hint="eastAsia"/>
              </w:rPr>
            </w:pPr>
            <w:r>
              <w:rPr>
                <w:rFonts w:hint="eastAsia"/>
              </w:rPr>
              <w:t>电信南雄分公司</w:t>
            </w:r>
          </w:p>
        </w:tc>
        <w:tc>
          <w:tcPr>
            <w:tcW w:w="2206" w:type="pct"/>
            <w:vAlign w:val="center"/>
          </w:tcPr>
          <w:p w14:paraId="7D663B14">
            <w:pPr>
              <w:pStyle w:val="13"/>
              <w:jc w:val="left"/>
              <w:rPr>
                <w:rFonts w:hint="eastAsia"/>
              </w:rPr>
            </w:pPr>
            <w:r>
              <w:rPr>
                <w:rFonts w:hint="eastAsia"/>
              </w:rPr>
              <w:t>2010年度营销中心先进绩效单位一等奖（黄坑营销服务中心）</w:t>
            </w:r>
          </w:p>
        </w:tc>
        <w:tc>
          <w:tcPr>
            <w:tcW w:w="1280" w:type="pct"/>
            <w:vAlign w:val="center"/>
          </w:tcPr>
          <w:p w14:paraId="5B3F5674">
            <w:pPr>
              <w:pStyle w:val="13"/>
              <w:jc w:val="left"/>
              <w:rPr>
                <w:rFonts w:hint="eastAsia"/>
              </w:rPr>
            </w:pPr>
            <w:r>
              <w:rPr>
                <w:rFonts w:hint="eastAsia"/>
              </w:rPr>
              <w:t>中国电信广东公司</w:t>
            </w:r>
          </w:p>
        </w:tc>
        <w:tc>
          <w:tcPr>
            <w:tcW w:w="677" w:type="pct"/>
            <w:vAlign w:val="center"/>
          </w:tcPr>
          <w:p w14:paraId="6BEAC40E">
            <w:pPr>
              <w:pStyle w:val="13"/>
              <w:jc w:val="center"/>
              <w:rPr>
                <w:rFonts w:hint="eastAsia"/>
              </w:rPr>
            </w:pPr>
            <w:r>
              <w:rPr>
                <w:rFonts w:hint="eastAsia"/>
              </w:rPr>
              <w:t>中电信粤</w:t>
            </w:r>
          </w:p>
          <w:p w14:paraId="771DFF2A">
            <w:pPr>
              <w:pStyle w:val="13"/>
              <w:jc w:val="center"/>
              <w:rPr>
                <w:rFonts w:hint="eastAsia"/>
              </w:rPr>
            </w:pPr>
            <w:r>
              <w:rPr>
                <w:rFonts w:hint="eastAsia"/>
              </w:rPr>
              <w:t>[2011]100号</w:t>
            </w:r>
          </w:p>
        </w:tc>
      </w:tr>
      <w:tr w14:paraId="5BD0B1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6739ECAA">
            <w:pPr>
              <w:pStyle w:val="13"/>
              <w:jc w:val="center"/>
              <w:rPr>
                <w:rFonts w:hint="eastAsia"/>
              </w:rPr>
            </w:pPr>
            <w:r>
              <w:rPr>
                <w:rFonts w:hint="eastAsia"/>
              </w:rPr>
              <w:t>电信南雄分公司</w:t>
            </w:r>
          </w:p>
        </w:tc>
        <w:tc>
          <w:tcPr>
            <w:tcW w:w="2206" w:type="pct"/>
            <w:vAlign w:val="center"/>
          </w:tcPr>
          <w:p w14:paraId="40A96C44">
            <w:pPr>
              <w:pStyle w:val="13"/>
              <w:jc w:val="left"/>
              <w:rPr>
                <w:rFonts w:hint="eastAsia"/>
              </w:rPr>
            </w:pPr>
            <w:r>
              <w:rPr>
                <w:rFonts w:hint="eastAsia"/>
              </w:rPr>
              <w:t>2010年度县级先进绩效单位三等奖</w:t>
            </w:r>
          </w:p>
        </w:tc>
        <w:tc>
          <w:tcPr>
            <w:tcW w:w="1280" w:type="pct"/>
            <w:vAlign w:val="center"/>
          </w:tcPr>
          <w:p w14:paraId="48C3E92F">
            <w:pPr>
              <w:pStyle w:val="13"/>
              <w:jc w:val="left"/>
              <w:rPr>
                <w:rFonts w:hint="eastAsia"/>
              </w:rPr>
            </w:pPr>
            <w:r>
              <w:rPr>
                <w:rFonts w:hint="eastAsia"/>
              </w:rPr>
              <w:t>中国电信广东公司</w:t>
            </w:r>
          </w:p>
        </w:tc>
        <w:tc>
          <w:tcPr>
            <w:tcW w:w="677" w:type="pct"/>
            <w:vAlign w:val="center"/>
          </w:tcPr>
          <w:p w14:paraId="1A27847D">
            <w:pPr>
              <w:pStyle w:val="13"/>
              <w:jc w:val="center"/>
              <w:rPr>
                <w:rFonts w:hint="eastAsia"/>
              </w:rPr>
            </w:pPr>
            <w:r>
              <w:rPr>
                <w:rFonts w:hint="eastAsia"/>
              </w:rPr>
              <w:t>中电信粤</w:t>
            </w:r>
          </w:p>
          <w:p w14:paraId="4DE7AF61">
            <w:pPr>
              <w:pStyle w:val="13"/>
              <w:jc w:val="center"/>
              <w:rPr>
                <w:rFonts w:hint="eastAsia"/>
              </w:rPr>
            </w:pPr>
            <w:r>
              <w:rPr>
                <w:rFonts w:hint="eastAsia"/>
              </w:rPr>
              <w:t>[2011]100号</w:t>
            </w:r>
          </w:p>
        </w:tc>
      </w:tr>
      <w:tr w14:paraId="6F8EE1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1813106B">
            <w:pPr>
              <w:pStyle w:val="13"/>
              <w:jc w:val="center"/>
              <w:rPr>
                <w:rFonts w:hint="eastAsia"/>
              </w:rPr>
            </w:pPr>
            <w:r>
              <w:rPr>
                <w:rFonts w:hint="eastAsia"/>
              </w:rPr>
              <w:t>公路局</w:t>
            </w:r>
          </w:p>
        </w:tc>
        <w:tc>
          <w:tcPr>
            <w:tcW w:w="2206" w:type="pct"/>
            <w:vAlign w:val="center"/>
          </w:tcPr>
          <w:p w14:paraId="6254F8B6">
            <w:pPr>
              <w:pStyle w:val="13"/>
              <w:jc w:val="left"/>
              <w:rPr>
                <w:rFonts w:hint="eastAsia"/>
              </w:rPr>
            </w:pPr>
            <w:r>
              <w:rPr>
                <w:rFonts w:hint="eastAsia"/>
              </w:rPr>
              <w:t>全国“安康杯”竞赛广东省优胜班组</w:t>
            </w:r>
          </w:p>
        </w:tc>
        <w:tc>
          <w:tcPr>
            <w:tcW w:w="1280" w:type="pct"/>
            <w:vAlign w:val="center"/>
          </w:tcPr>
          <w:p w14:paraId="37A10933">
            <w:pPr>
              <w:pStyle w:val="13"/>
              <w:jc w:val="left"/>
              <w:rPr>
                <w:rFonts w:hint="eastAsia"/>
              </w:rPr>
            </w:pPr>
            <w:r>
              <w:rPr>
                <w:rFonts w:hint="eastAsia"/>
              </w:rPr>
              <w:t>广东省总工会、广东省安全生产监督管理局</w:t>
            </w:r>
          </w:p>
        </w:tc>
        <w:tc>
          <w:tcPr>
            <w:tcW w:w="677" w:type="pct"/>
            <w:vAlign w:val="center"/>
          </w:tcPr>
          <w:p w14:paraId="0D314B28">
            <w:pPr>
              <w:pStyle w:val="13"/>
              <w:jc w:val="center"/>
              <w:rPr>
                <w:rFonts w:hint="eastAsia"/>
              </w:rPr>
            </w:pPr>
          </w:p>
        </w:tc>
      </w:tr>
      <w:tr w14:paraId="4952E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6590298F">
            <w:pPr>
              <w:pStyle w:val="13"/>
              <w:jc w:val="center"/>
              <w:rPr>
                <w:rFonts w:hint="eastAsia"/>
              </w:rPr>
            </w:pPr>
            <w:r>
              <w:rPr>
                <w:rFonts w:hint="eastAsia"/>
              </w:rPr>
              <w:t>团市委高春花</w:t>
            </w:r>
          </w:p>
        </w:tc>
        <w:tc>
          <w:tcPr>
            <w:tcW w:w="2206" w:type="pct"/>
            <w:vAlign w:val="center"/>
          </w:tcPr>
          <w:p w14:paraId="3DF26941">
            <w:pPr>
              <w:pStyle w:val="13"/>
              <w:jc w:val="left"/>
              <w:rPr>
                <w:rFonts w:hint="eastAsia"/>
              </w:rPr>
            </w:pPr>
            <w:r>
              <w:rPr>
                <w:rFonts w:hint="eastAsia"/>
              </w:rPr>
              <w:t>广东省优秀团干</w:t>
            </w:r>
          </w:p>
        </w:tc>
        <w:tc>
          <w:tcPr>
            <w:tcW w:w="1280" w:type="pct"/>
            <w:vAlign w:val="center"/>
          </w:tcPr>
          <w:p w14:paraId="4E45928F">
            <w:pPr>
              <w:pStyle w:val="13"/>
              <w:jc w:val="left"/>
              <w:rPr>
                <w:rFonts w:hint="eastAsia"/>
              </w:rPr>
            </w:pPr>
            <w:r>
              <w:rPr>
                <w:rFonts w:hint="eastAsia"/>
              </w:rPr>
              <w:t>共青团广东省委员会</w:t>
            </w:r>
          </w:p>
        </w:tc>
        <w:tc>
          <w:tcPr>
            <w:tcW w:w="677" w:type="pct"/>
            <w:vAlign w:val="center"/>
          </w:tcPr>
          <w:p w14:paraId="55D10E58">
            <w:pPr>
              <w:pStyle w:val="13"/>
              <w:jc w:val="center"/>
              <w:rPr>
                <w:rFonts w:hint="eastAsia"/>
              </w:rPr>
            </w:pPr>
          </w:p>
        </w:tc>
      </w:tr>
      <w:tr w14:paraId="47938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37F34200">
            <w:pPr>
              <w:pStyle w:val="13"/>
              <w:jc w:val="center"/>
              <w:rPr>
                <w:rFonts w:hint="eastAsia"/>
              </w:rPr>
            </w:pPr>
            <w:r>
              <w:rPr>
                <w:rFonts w:hint="eastAsia"/>
              </w:rPr>
              <w:t>电视台</w:t>
            </w:r>
          </w:p>
        </w:tc>
        <w:tc>
          <w:tcPr>
            <w:tcW w:w="2206" w:type="pct"/>
            <w:vAlign w:val="center"/>
          </w:tcPr>
          <w:p w14:paraId="76A85682">
            <w:pPr>
              <w:pStyle w:val="13"/>
              <w:jc w:val="left"/>
              <w:rPr>
                <w:rFonts w:hint="eastAsia"/>
              </w:rPr>
            </w:pPr>
            <w:r>
              <w:rPr>
                <w:rFonts w:hint="eastAsia"/>
              </w:rPr>
              <w:t>广播电视事业发展优秀奖</w:t>
            </w:r>
          </w:p>
        </w:tc>
        <w:tc>
          <w:tcPr>
            <w:tcW w:w="1280" w:type="pct"/>
            <w:vAlign w:val="center"/>
          </w:tcPr>
          <w:p w14:paraId="492CD00D">
            <w:pPr>
              <w:pStyle w:val="13"/>
              <w:jc w:val="left"/>
              <w:rPr>
                <w:rFonts w:hint="eastAsia"/>
              </w:rPr>
            </w:pPr>
            <w:r>
              <w:rPr>
                <w:rFonts w:hint="eastAsia"/>
              </w:rPr>
              <w:t>南方广播影视传媒集团</w:t>
            </w:r>
          </w:p>
        </w:tc>
        <w:tc>
          <w:tcPr>
            <w:tcW w:w="677" w:type="pct"/>
            <w:vAlign w:val="center"/>
          </w:tcPr>
          <w:p w14:paraId="0FDEDD94">
            <w:pPr>
              <w:pStyle w:val="13"/>
              <w:jc w:val="center"/>
              <w:rPr>
                <w:rFonts w:hint="eastAsia"/>
              </w:rPr>
            </w:pPr>
          </w:p>
        </w:tc>
      </w:tr>
      <w:tr w14:paraId="56430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23A9C3F5">
            <w:pPr>
              <w:pStyle w:val="13"/>
              <w:jc w:val="center"/>
              <w:rPr>
                <w:rFonts w:hint="eastAsia"/>
              </w:rPr>
            </w:pPr>
            <w:r>
              <w:rPr>
                <w:rFonts w:hint="eastAsia"/>
              </w:rPr>
              <w:t>电视台</w:t>
            </w:r>
          </w:p>
        </w:tc>
        <w:tc>
          <w:tcPr>
            <w:tcW w:w="2206" w:type="pct"/>
            <w:vAlign w:val="center"/>
          </w:tcPr>
          <w:p w14:paraId="1C609114">
            <w:pPr>
              <w:pStyle w:val="13"/>
              <w:jc w:val="left"/>
              <w:rPr>
                <w:rFonts w:hint="eastAsia"/>
              </w:rPr>
            </w:pPr>
            <w:r>
              <w:rPr>
                <w:rFonts w:hint="eastAsia"/>
              </w:rPr>
              <w:t>广播电视管理创新奖</w:t>
            </w:r>
          </w:p>
        </w:tc>
        <w:tc>
          <w:tcPr>
            <w:tcW w:w="1280" w:type="pct"/>
            <w:vAlign w:val="center"/>
          </w:tcPr>
          <w:p w14:paraId="2A996054">
            <w:pPr>
              <w:pStyle w:val="13"/>
              <w:jc w:val="left"/>
              <w:rPr>
                <w:rFonts w:hint="eastAsia"/>
              </w:rPr>
            </w:pPr>
            <w:r>
              <w:rPr>
                <w:rFonts w:hint="eastAsia"/>
              </w:rPr>
              <w:t>南方广播影视传媒集团</w:t>
            </w:r>
          </w:p>
        </w:tc>
        <w:tc>
          <w:tcPr>
            <w:tcW w:w="677" w:type="pct"/>
            <w:vAlign w:val="center"/>
          </w:tcPr>
          <w:p w14:paraId="0EB7BB41">
            <w:pPr>
              <w:pStyle w:val="13"/>
              <w:jc w:val="center"/>
              <w:rPr>
                <w:rFonts w:hint="eastAsia"/>
              </w:rPr>
            </w:pPr>
          </w:p>
        </w:tc>
      </w:tr>
      <w:tr w14:paraId="1C5DF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4180CD11">
            <w:pPr>
              <w:pStyle w:val="13"/>
              <w:jc w:val="center"/>
              <w:rPr>
                <w:rFonts w:hint="eastAsia"/>
              </w:rPr>
            </w:pPr>
            <w:r>
              <w:rPr>
                <w:rFonts w:hint="eastAsia"/>
              </w:rPr>
              <w:t>中医院女工委</w:t>
            </w:r>
          </w:p>
        </w:tc>
        <w:tc>
          <w:tcPr>
            <w:tcW w:w="2206" w:type="pct"/>
            <w:vAlign w:val="center"/>
          </w:tcPr>
          <w:p w14:paraId="27CC4E74">
            <w:pPr>
              <w:pStyle w:val="13"/>
              <w:jc w:val="left"/>
              <w:rPr>
                <w:rFonts w:hint="eastAsia"/>
              </w:rPr>
            </w:pPr>
            <w:r>
              <w:rPr>
                <w:rFonts w:hint="eastAsia"/>
              </w:rPr>
              <w:t>广东省三八红旗集体</w:t>
            </w:r>
          </w:p>
        </w:tc>
        <w:tc>
          <w:tcPr>
            <w:tcW w:w="1280" w:type="pct"/>
            <w:vAlign w:val="center"/>
          </w:tcPr>
          <w:p w14:paraId="0D8FF4EE">
            <w:pPr>
              <w:pStyle w:val="13"/>
              <w:jc w:val="left"/>
              <w:rPr>
                <w:rFonts w:hint="eastAsia"/>
              </w:rPr>
            </w:pPr>
            <w:r>
              <w:rPr>
                <w:rFonts w:hint="eastAsia"/>
              </w:rPr>
              <w:t>广东省妇女联合会</w:t>
            </w:r>
          </w:p>
        </w:tc>
        <w:tc>
          <w:tcPr>
            <w:tcW w:w="677" w:type="pct"/>
            <w:vAlign w:val="center"/>
          </w:tcPr>
          <w:p w14:paraId="39096499">
            <w:pPr>
              <w:pStyle w:val="13"/>
              <w:jc w:val="center"/>
              <w:rPr>
                <w:rFonts w:hint="eastAsia"/>
              </w:rPr>
            </w:pPr>
          </w:p>
        </w:tc>
      </w:tr>
      <w:tr w14:paraId="520A8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44578EDB">
            <w:pPr>
              <w:pStyle w:val="13"/>
              <w:jc w:val="center"/>
              <w:rPr>
                <w:rFonts w:hint="eastAsia"/>
              </w:rPr>
            </w:pPr>
            <w:r>
              <w:rPr>
                <w:rFonts w:hint="eastAsia"/>
              </w:rPr>
              <w:t>供销社</w:t>
            </w:r>
          </w:p>
        </w:tc>
        <w:tc>
          <w:tcPr>
            <w:tcW w:w="2206" w:type="pct"/>
            <w:vAlign w:val="center"/>
          </w:tcPr>
          <w:p w14:paraId="064E8518">
            <w:pPr>
              <w:pStyle w:val="13"/>
              <w:jc w:val="left"/>
              <w:rPr>
                <w:rFonts w:hint="eastAsia"/>
              </w:rPr>
            </w:pPr>
            <w:r>
              <w:rPr>
                <w:rFonts w:hint="eastAsia"/>
              </w:rPr>
              <w:t>2010年度广东省供销合作社系统县级供销合作社综合业绩一等奖</w:t>
            </w:r>
          </w:p>
        </w:tc>
        <w:tc>
          <w:tcPr>
            <w:tcW w:w="1280" w:type="pct"/>
            <w:vAlign w:val="center"/>
          </w:tcPr>
          <w:p w14:paraId="39ED8C4F">
            <w:pPr>
              <w:pStyle w:val="13"/>
              <w:jc w:val="left"/>
              <w:rPr>
                <w:rFonts w:hint="eastAsia"/>
              </w:rPr>
            </w:pPr>
            <w:r>
              <w:rPr>
                <w:rFonts w:hint="eastAsia"/>
              </w:rPr>
              <w:t>广东省供销合作联社</w:t>
            </w:r>
          </w:p>
        </w:tc>
        <w:tc>
          <w:tcPr>
            <w:tcW w:w="677" w:type="pct"/>
            <w:vAlign w:val="center"/>
          </w:tcPr>
          <w:p w14:paraId="5661EC22">
            <w:pPr>
              <w:pStyle w:val="13"/>
              <w:jc w:val="center"/>
              <w:rPr>
                <w:rFonts w:hint="eastAsia"/>
              </w:rPr>
            </w:pPr>
            <w:r>
              <w:rPr>
                <w:rFonts w:hint="eastAsia"/>
              </w:rPr>
              <w:t>粤供合</w:t>
            </w:r>
          </w:p>
          <w:p w14:paraId="1F891324">
            <w:pPr>
              <w:pStyle w:val="13"/>
              <w:jc w:val="center"/>
              <w:rPr>
                <w:rFonts w:hint="eastAsia"/>
              </w:rPr>
            </w:pPr>
            <w:r>
              <w:rPr>
                <w:rFonts w:hint="eastAsia"/>
              </w:rPr>
              <w:t>[2011]4号</w:t>
            </w:r>
          </w:p>
        </w:tc>
      </w:tr>
      <w:tr w14:paraId="1D6AC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5B2A9960">
            <w:pPr>
              <w:pStyle w:val="13"/>
              <w:jc w:val="center"/>
              <w:rPr>
                <w:rFonts w:hint="eastAsia"/>
              </w:rPr>
            </w:pPr>
            <w:r>
              <w:rPr>
                <w:rFonts w:hint="eastAsia"/>
              </w:rPr>
              <w:t>供销社</w:t>
            </w:r>
          </w:p>
        </w:tc>
        <w:tc>
          <w:tcPr>
            <w:tcW w:w="2206" w:type="pct"/>
            <w:vAlign w:val="center"/>
          </w:tcPr>
          <w:p w14:paraId="35CB40DF">
            <w:pPr>
              <w:pStyle w:val="13"/>
              <w:jc w:val="left"/>
              <w:rPr>
                <w:rFonts w:hint="eastAsia"/>
              </w:rPr>
            </w:pPr>
            <w:r>
              <w:rPr>
                <w:rFonts w:hint="eastAsia"/>
              </w:rPr>
              <w:t>南雄市农业生产资料有限责任公司、南雄市利民肉联厂被评为2010年度广东省供销合作社系统企业30强</w:t>
            </w:r>
          </w:p>
        </w:tc>
        <w:tc>
          <w:tcPr>
            <w:tcW w:w="1280" w:type="pct"/>
            <w:vAlign w:val="center"/>
          </w:tcPr>
          <w:p w14:paraId="06BF4190">
            <w:pPr>
              <w:pStyle w:val="13"/>
              <w:jc w:val="left"/>
              <w:rPr>
                <w:rFonts w:hint="eastAsia"/>
              </w:rPr>
            </w:pPr>
            <w:r>
              <w:rPr>
                <w:rFonts w:hint="eastAsia"/>
              </w:rPr>
              <w:t>广东省供销合作联社</w:t>
            </w:r>
          </w:p>
        </w:tc>
        <w:tc>
          <w:tcPr>
            <w:tcW w:w="677" w:type="pct"/>
            <w:vAlign w:val="center"/>
          </w:tcPr>
          <w:p w14:paraId="593FDD52">
            <w:pPr>
              <w:pStyle w:val="13"/>
              <w:jc w:val="center"/>
              <w:rPr>
                <w:rFonts w:hint="eastAsia"/>
              </w:rPr>
            </w:pPr>
            <w:r>
              <w:rPr>
                <w:rFonts w:hint="eastAsia"/>
              </w:rPr>
              <w:t>粤供科</w:t>
            </w:r>
          </w:p>
          <w:p w14:paraId="606B8D4A">
            <w:pPr>
              <w:pStyle w:val="13"/>
              <w:jc w:val="center"/>
              <w:rPr>
                <w:rFonts w:hint="eastAsia"/>
              </w:rPr>
            </w:pPr>
            <w:r>
              <w:rPr>
                <w:rFonts w:hint="eastAsia"/>
              </w:rPr>
              <w:t>[2010]5号</w:t>
            </w:r>
          </w:p>
        </w:tc>
      </w:tr>
      <w:tr w14:paraId="7F2D1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685971BA">
            <w:pPr>
              <w:pStyle w:val="13"/>
              <w:jc w:val="center"/>
              <w:rPr>
                <w:rFonts w:hint="eastAsia"/>
              </w:rPr>
            </w:pPr>
            <w:r>
              <w:rPr>
                <w:rFonts w:hint="eastAsia"/>
              </w:rPr>
              <w:t>供销社</w:t>
            </w:r>
          </w:p>
        </w:tc>
        <w:tc>
          <w:tcPr>
            <w:tcW w:w="2206" w:type="pct"/>
            <w:vAlign w:val="center"/>
          </w:tcPr>
          <w:p w14:paraId="62EE2DE9">
            <w:pPr>
              <w:pStyle w:val="13"/>
              <w:jc w:val="left"/>
              <w:rPr>
                <w:rFonts w:hint="eastAsia"/>
              </w:rPr>
            </w:pPr>
            <w:r>
              <w:rPr>
                <w:rFonts w:hint="eastAsia"/>
              </w:rPr>
              <w:t>水口供销社被评为2010年度广东省供销合作社系统30家改革发展先进基层供销社</w:t>
            </w:r>
          </w:p>
        </w:tc>
        <w:tc>
          <w:tcPr>
            <w:tcW w:w="1280" w:type="pct"/>
            <w:vAlign w:val="center"/>
          </w:tcPr>
          <w:p w14:paraId="19E61C6C">
            <w:pPr>
              <w:pStyle w:val="13"/>
              <w:jc w:val="left"/>
              <w:rPr>
                <w:rFonts w:hint="eastAsia"/>
              </w:rPr>
            </w:pPr>
            <w:r>
              <w:rPr>
                <w:rFonts w:hint="eastAsia"/>
              </w:rPr>
              <w:t>广东省供销合作联社</w:t>
            </w:r>
          </w:p>
        </w:tc>
        <w:tc>
          <w:tcPr>
            <w:tcW w:w="677" w:type="pct"/>
            <w:vAlign w:val="center"/>
          </w:tcPr>
          <w:p w14:paraId="0CC0F8D0">
            <w:pPr>
              <w:pStyle w:val="13"/>
              <w:jc w:val="center"/>
              <w:rPr>
                <w:rFonts w:hint="eastAsia"/>
              </w:rPr>
            </w:pPr>
            <w:r>
              <w:rPr>
                <w:rFonts w:hint="eastAsia"/>
              </w:rPr>
              <w:t>粤供科</w:t>
            </w:r>
          </w:p>
          <w:p w14:paraId="411C14F3">
            <w:pPr>
              <w:pStyle w:val="13"/>
              <w:jc w:val="center"/>
              <w:rPr>
                <w:rFonts w:hint="eastAsia"/>
              </w:rPr>
            </w:pPr>
            <w:r>
              <w:rPr>
                <w:rFonts w:hint="eastAsia"/>
              </w:rPr>
              <w:t>[2010]5号</w:t>
            </w:r>
          </w:p>
        </w:tc>
      </w:tr>
      <w:tr w14:paraId="4055C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5F4628B2">
            <w:pPr>
              <w:pStyle w:val="13"/>
              <w:jc w:val="center"/>
              <w:rPr>
                <w:rFonts w:hint="eastAsia"/>
              </w:rPr>
            </w:pPr>
            <w:r>
              <w:rPr>
                <w:rFonts w:hint="eastAsia"/>
              </w:rPr>
              <w:t>供销社</w:t>
            </w:r>
          </w:p>
        </w:tc>
        <w:tc>
          <w:tcPr>
            <w:tcW w:w="2206" w:type="pct"/>
            <w:vAlign w:val="center"/>
          </w:tcPr>
          <w:p w14:paraId="129D9A41">
            <w:pPr>
              <w:pStyle w:val="13"/>
              <w:jc w:val="left"/>
              <w:rPr>
                <w:rFonts w:hint="eastAsia"/>
              </w:rPr>
            </w:pPr>
            <w:r>
              <w:rPr>
                <w:rFonts w:hint="eastAsia"/>
              </w:rPr>
              <w:t>邓坊甜玉米专业合作社被评为2010年度广东省供销合作社系统示范专业合作社</w:t>
            </w:r>
          </w:p>
        </w:tc>
        <w:tc>
          <w:tcPr>
            <w:tcW w:w="1280" w:type="pct"/>
            <w:vAlign w:val="center"/>
          </w:tcPr>
          <w:p w14:paraId="681E532F">
            <w:pPr>
              <w:pStyle w:val="13"/>
              <w:jc w:val="left"/>
              <w:rPr>
                <w:rFonts w:hint="eastAsia"/>
              </w:rPr>
            </w:pPr>
            <w:r>
              <w:rPr>
                <w:rFonts w:hint="eastAsia"/>
              </w:rPr>
              <w:t>广东省供销合作联社</w:t>
            </w:r>
          </w:p>
        </w:tc>
        <w:tc>
          <w:tcPr>
            <w:tcW w:w="677" w:type="pct"/>
            <w:vAlign w:val="center"/>
          </w:tcPr>
          <w:p w14:paraId="3ACBB7E9">
            <w:pPr>
              <w:pStyle w:val="13"/>
              <w:jc w:val="center"/>
              <w:rPr>
                <w:rFonts w:hint="eastAsia"/>
              </w:rPr>
            </w:pPr>
          </w:p>
        </w:tc>
      </w:tr>
      <w:tr w14:paraId="72569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23E5E5DD">
            <w:pPr>
              <w:pStyle w:val="13"/>
              <w:jc w:val="center"/>
              <w:rPr>
                <w:rFonts w:hint="eastAsia"/>
              </w:rPr>
            </w:pPr>
            <w:r>
              <w:rPr>
                <w:rFonts w:hint="eastAsia"/>
              </w:rPr>
              <w:t>精细化工基地</w:t>
            </w:r>
          </w:p>
        </w:tc>
        <w:tc>
          <w:tcPr>
            <w:tcW w:w="2206" w:type="pct"/>
            <w:vAlign w:val="center"/>
          </w:tcPr>
          <w:p w14:paraId="5FC2C1E3">
            <w:pPr>
              <w:pStyle w:val="13"/>
              <w:jc w:val="left"/>
              <w:rPr>
                <w:rFonts w:hint="eastAsia"/>
              </w:rPr>
            </w:pPr>
            <w:r>
              <w:rPr>
                <w:rFonts w:hint="eastAsia"/>
              </w:rPr>
              <w:t>广东省产业转移工业园</w:t>
            </w:r>
          </w:p>
        </w:tc>
        <w:tc>
          <w:tcPr>
            <w:tcW w:w="1280" w:type="pct"/>
            <w:vAlign w:val="center"/>
          </w:tcPr>
          <w:p w14:paraId="7613AC46">
            <w:pPr>
              <w:pStyle w:val="13"/>
              <w:jc w:val="left"/>
              <w:rPr>
                <w:rFonts w:hint="eastAsia"/>
              </w:rPr>
            </w:pPr>
            <w:r>
              <w:rPr>
                <w:rFonts w:hint="eastAsia"/>
              </w:rPr>
              <w:t>广东省经济和信息化委员会</w:t>
            </w:r>
          </w:p>
        </w:tc>
        <w:tc>
          <w:tcPr>
            <w:tcW w:w="677" w:type="pct"/>
            <w:vAlign w:val="center"/>
          </w:tcPr>
          <w:p w14:paraId="02F5933F">
            <w:pPr>
              <w:pStyle w:val="13"/>
              <w:jc w:val="center"/>
              <w:rPr>
                <w:rFonts w:hint="eastAsia"/>
              </w:rPr>
            </w:pPr>
          </w:p>
        </w:tc>
      </w:tr>
      <w:tr w14:paraId="61DD5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457BCAE0">
            <w:pPr>
              <w:pStyle w:val="13"/>
              <w:jc w:val="center"/>
              <w:rPr>
                <w:rFonts w:hint="eastAsia"/>
              </w:rPr>
            </w:pPr>
            <w:r>
              <w:rPr>
                <w:rFonts w:hint="eastAsia"/>
              </w:rPr>
              <w:t>精细化工基地</w:t>
            </w:r>
          </w:p>
        </w:tc>
        <w:tc>
          <w:tcPr>
            <w:tcW w:w="2206" w:type="pct"/>
            <w:vAlign w:val="center"/>
          </w:tcPr>
          <w:p w14:paraId="79DBD304">
            <w:pPr>
              <w:pStyle w:val="13"/>
              <w:jc w:val="left"/>
              <w:rPr>
                <w:rFonts w:hint="eastAsia"/>
              </w:rPr>
            </w:pPr>
            <w:r>
              <w:rPr>
                <w:rFonts w:hint="eastAsia"/>
              </w:rPr>
              <w:t>全国十大特色示范园区</w:t>
            </w:r>
          </w:p>
        </w:tc>
        <w:tc>
          <w:tcPr>
            <w:tcW w:w="1280" w:type="pct"/>
            <w:vAlign w:val="center"/>
          </w:tcPr>
          <w:p w14:paraId="54398459">
            <w:pPr>
              <w:pStyle w:val="13"/>
              <w:jc w:val="left"/>
              <w:rPr>
                <w:rFonts w:hint="eastAsia"/>
              </w:rPr>
            </w:pPr>
            <w:r>
              <w:rPr>
                <w:rFonts w:hint="eastAsia"/>
              </w:rPr>
              <w:t>全国开发区招商促进会</w:t>
            </w:r>
          </w:p>
        </w:tc>
        <w:tc>
          <w:tcPr>
            <w:tcW w:w="677" w:type="pct"/>
            <w:vAlign w:val="center"/>
          </w:tcPr>
          <w:p w14:paraId="31295068">
            <w:pPr>
              <w:pStyle w:val="13"/>
              <w:jc w:val="center"/>
              <w:rPr>
                <w:rFonts w:hint="eastAsia"/>
              </w:rPr>
            </w:pPr>
          </w:p>
        </w:tc>
      </w:tr>
      <w:tr w14:paraId="530B6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3A0599FE">
            <w:pPr>
              <w:pStyle w:val="13"/>
              <w:jc w:val="center"/>
              <w:rPr>
                <w:rFonts w:hint="eastAsia"/>
              </w:rPr>
            </w:pPr>
            <w:r>
              <w:rPr>
                <w:rFonts w:hint="eastAsia"/>
              </w:rPr>
              <w:t>精细化工基地</w:t>
            </w:r>
          </w:p>
        </w:tc>
        <w:tc>
          <w:tcPr>
            <w:tcW w:w="2206" w:type="pct"/>
            <w:vAlign w:val="center"/>
          </w:tcPr>
          <w:p w14:paraId="12EDB004">
            <w:pPr>
              <w:pStyle w:val="13"/>
              <w:jc w:val="left"/>
              <w:rPr>
                <w:rFonts w:hint="eastAsia"/>
              </w:rPr>
            </w:pPr>
            <w:r>
              <w:rPr>
                <w:rFonts w:hint="eastAsia"/>
              </w:rPr>
              <w:t>1亿元省专业性产业转移园建设扶持资金</w:t>
            </w:r>
          </w:p>
        </w:tc>
        <w:tc>
          <w:tcPr>
            <w:tcW w:w="1280" w:type="pct"/>
            <w:vAlign w:val="center"/>
          </w:tcPr>
          <w:p w14:paraId="207F02B9">
            <w:pPr>
              <w:pStyle w:val="13"/>
              <w:jc w:val="left"/>
              <w:rPr>
                <w:rFonts w:hint="eastAsia"/>
              </w:rPr>
            </w:pPr>
            <w:r>
              <w:rPr>
                <w:rFonts w:hint="eastAsia"/>
              </w:rPr>
              <w:t>广东省经济和信息化委员会</w:t>
            </w:r>
          </w:p>
        </w:tc>
        <w:tc>
          <w:tcPr>
            <w:tcW w:w="677" w:type="pct"/>
            <w:vAlign w:val="center"/>
          </w:tcPr>
          <w:p w14:paraId="00B7D96E">
            <w:pPr>
              <w:pStyle w:val="13"/>
              <w:jc w:val="center"/>
              <w:rPr>
                <w:rFonts w:hint="eastAsia"/>
              </w:rPr>
            </w:pPr>
          </w:p>
        </w:tc>
      </w:tr>
      <w:tr w14:paraId="3AF72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3431A60D">
            <w:pPr>
              <w:pStyle w:val="13"/>
              <w:jc w:val="center"/>
              <w:rPr>
                <w:rFonts w:hint="eastAsia"/>
              </w:rPr>
            </w:pPr>
            <w:r>
              <w:rPr>
                <w:rFonts w:hint="eastAsia"/>
              </w:rPr>
              <w:t>精细化工基地</w:t>
            </w:r>
          </w:p>
        </w:tc>
        <w:tc>
          <w:tcPr>
            <w:tcW w:w="2206" w:type="pct"/>
            <w:vAlign w:val="center"/>
          </w:tcPr>
          <w:p w14:paraId="04332EDB">
            <w:pPr>
              <w:pStyle w:val="13"/>
              <w:jc w:val="left"/>
              <w:rPr>
                <w:rFonts w:hint="eastAsia"/>
              </w:rPr>
            </w:pPr>
            <w:r>
              <w:rPr>
                <w:rFonts w:hint="eastAsia"/>
              </w:rPr>
              <w:t>第一批省市共建循环经济产业基地</w:t>
            </w:r>
          </w:p>
        </w:tc>
        <w:tc>
          <w:tcPr>
            <w:tcW w:w="1280" w:type="pct"/>
            <w:vAlign w:val="center"/>
          </w:tcPr>
          <w:p w14:paraId="70DB7674">
            <w:pPr>
              <w:pStyle w:val="13"/>
              <w:jc w:val="left"/>
              <w:rPr>
                <w:rFonts w:hint="eastAsia"/>
              </w:rPr>
            </w:pPr>
            <w:r>
              <w:rPr>
                <w:rFonts w:hint="eastAsia"/>
              </w:rPr>
              <w:t>广东省经济和信息化委员会</w:t>
            </w:r>
          </w:p>
        </w:tc>
        <w:tc>
          <w:tcPr>
            <w:tcW w:w="677" w:type="pct"/>
            <w:vAlign w:val="center"/>
          </w:tcPr>
          <w:p w14:paraId="42FC56D4">
            <w:pPr>
              <w:pStyle w:val="13"/>
              <w:jc w:val="center"/>
              <w:rPr>
                <w:rFonts w:hint="eastAsia"/>
              </w:rPr>
            </w:pPr>
          </w:p>
        </w:tc>
      </w:tr>
      <w:tr w14:paraId="6654EB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7DBA3BA3">
            <w:pPr>
              <w:pStyle w:val="13"/>
              <w:jc w:val="center"/>
              <w:rPr>
                <w:rFonts w:hint="eastAsia"/>
              </w:rPr>
            </w:pPr>
            <w:r>
              <w:rPr>
                <w:rFonts w:hint="eastAsia"/>
              </w:rPr>
              <w:t>精细化工基地</w:t>
            </w:r>
          </w:p>
        </w:tc>
        <w:tc>
          <w:tcPr>
            <w:tcW w:w="2206" w:type="pct"/>
            <w:vAlign w:val="center"/>
          </w:tcPr>
          <w:p w14:paraId="1B1E56D9">
            <w:pPr>
              <w:pStyle w:val="13"/>
              <w:jc w:val="left"/>
              <w:rPr>
                <w:rFonts w:hint="eastAsia"/>
              </w:rPr>
            </w:pPr>
            <w:r>
              <w:rPr>
                <w:rFonts w:hint="eastAsia"/>
              </w:rPr>
              <w:t>广东省产业转移工业园考核第一名</w:t>
            </w:r>
          </w:p>
        </w:tc>
        <w:tc>
          <w:tcPr>
            <w:tcW w:w="1280" w:type="pct"/>
            <w:vAlign w:val="center"/>
          </w:tcPr>
          <w:p w14:paraId="0E0BBD6A">
            <w:pPr>
              <w:pStyle w:val="13"/>
              <w:jc w:val="left"/>
              <w:rPr>
                <w:rFonts w:hint="eastAsia"/>
              </w:rPr>
            </w:pPr>
            <w:r>
              <w:rPr>
                <w:rFonts w:hint="eastAsia"/>
              </w:rPr>
              <w:t>广东省经济和信息化委员会</w:t>
            </w:r>
          </w:p>
        </w:tc>
        <w:tc>
          <w:tcPr>
            <w:tcW w:w="677" w:type="pct"/>
            <w:vAlign w:val="center"/>
          </w:tcPr>
          <w:p w14:paraId="08108C2F">
            <w:pPr>
              <w:pStyle w:val="13"/>
              <w:jc w:val="center"/>
              <w:rPr>
                <w:rFonts w:hint="eastAsia"/>
              </w:rPr>
            </w:pPr>
          </w:p>
        </w:tc>
      </w:tr>
      <w:tr w14:paraId="0DCC8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44D8C0FF">
            <w:pPr>
              <w:pStyle w:val="13"/>
              <w:jc w:val="center"/>
              <w:rPr>
                <w:rFonts w:hint="eastAsia"/>
              </w:rPr>
            </w:pPr>
            <w:r>
              <w:rPr>
                <w:rFonts w:hint="eastAsia"/>
              </w:rPr>
              <w:t>精细化工基地</w:t>
            </w:r>
          </w:p>
        </w:tc>
        <w:tc>
          <w:tcPr>
            <w:tcW w:w="2206" w:type="pct"/>
            <w:vAlign w:val="center"/>
          </w:tcPr>
          <w:p w14:paraId="42C6FD98">
            <w:pPr>
              <w:pStyle w:val="13"/>
              <w:jc w:val="left"/>
              <w:rPr>
                <w:rFonts w:hint="eastAsia"/>
              </w:rPr>
            </w:pPr>
            <w:r>
              <w:rPr>
                <w:rFonts w:hint="eastAsia"/>
              </w:rPr>
              <w:t>第十三届“广东青年五四奖章”集体</w:t>
            </w:r>
          </w:p>
        </w:tc>
        <w:tc>
          <w:tcPr>
            <w:tcW w:w="1280" w:type="pct"/>
            <w:vAlign w:val="center"/>
          </w:tcPr>
          <w:p w14:paraId="27CB0EB2">
            <w:pPr>
              <w:pStyle w:val="13"/>
              <w:jc w:val="left"/>
              <w:rPr>
                <w:rFonts w:hint="eastAsia"/>
              </w:rPr>
            </w:pPr>
            <w:r>
              <w:rPr>
                <w:rFonts w:hint="eastAsia"/>
              </w:rPr>
              <w:t>共青团广东省委员会</w:t>
            </w:r>
          </w:p>
        </w:tc>
        <w:tc>
          <w:tcPr>
            <w:tcW w:w="677" w:type="pct"/>
            <w:vAlign w:val="center"/>
          </w:tcPr>
          <w:p w14:paraId="1334569A">
            <w:pPr>
              <w:pStyle w:val="13"/>
              <w:jc w:val="center"/>
              <w:rPr>
                <w:rFonts w:hint="eastAsia"/>
              </w:rPr>
            </w:pPr>
          </w:p>
        </w:tc>
      </w:tr>
      <w:tr w14:paraId="194FC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08D97C52">
            <w:pPr>
              <w:pStyle w:val="13"/>
              <w:jc w:val="center"/>
              <w:rPr>
                <w:rFonts w:hint="eastAsia" w:ascii="宋体" w:hAnsi="宋体" w:cs="宋体"/>
              </w:rPr>
            </w:pPr>
            <w:r>
              <w:rPr>
                <w:rFonts w:hint="eastAsia"/>
              </w:rPr>
              <w:t>慢性病</w:t>
            </w:r>
            <w:r>
              <w:rPr>
                <w:rFonts w:hint="eastAsia" w:ascii="宋体" w:hAnsi="宋体" w:cs="宋体"/>
              </w:rPr>
              <w:t>防治站</w:t>
            </w:r>
          </w:p>
        </w:tc>
        <w:tc>
          <w:tcPr>
            <w:tcW w:w="2206" w:type="pct"/>
            <w:vAlign w:val="center"/>
          </w:tcPr>
          <w:p w14:paraId="78AB94C4">
            <w:pPr>
              <w:pStyle w:val="13"/>
              <w:jc w:val="left"/>
              <w:rPr>
                <w:rFonts w:hint="eastAsia"/>
              </w:rPr>
            </w:pPr>
            <w:r>
              <w:rPr>
                <w:rFonts w:hint="eastAsia"/>
              </w:rPr>
              <w:t>2010年度广东省麻风病防治项目实施先进单位</w:t>
            </w:r>
          </w:p>
        </w:tc>
        <w:tc>
          <w:tcPr>
            <w:tcW w:w="1280" w:type="pct"/>
            <w:vAlign w:val="center"/>
          </w:tcPr>
          <w:p w14:paraId="4BC68671">
            <w:pPr>
              <w:pStyle w:val="13"/>
              <w:jc w:val="left"/>
              <w:rPr>
                <w:rFonts w:hint="eastAsia"/>
              </w:rPr>
            </w:pPr>
            <w:r>
              <w:rPr>
                <w:rFonts w:hint="eastAsia"/>
              </w:rPr>
              <w:t>广东省皮肤性病防治中心</w:t>
            </w:r>
          </w:p>
        </w:tc>
        <w:tc>
          <w:tcPr>
            <w:tcW w:w="677" w:type="pct"/>
            <w:vAlign w:val="center"/>
          </w:tcPr>
          <w:p w14:paraId="01C670D9">
            <w:pPr>
              <w:pStyle w:val="13"/>
              <w:jc w:val="center"/>
              <w:rPr>
                <w:rFonts w:hint="eastAsia" w:ascii="宋体" w:hAnsi="宋体" w:cs="宋体"/>
              </w:rPr>
            </w:pPr>
            <w:r>
              <w:rPr>
                <w:rFonts w:hint="eastAsia"/>
              </w:rPr>
              <w:t>粤皮防</w:t>
            </w:r>
          </w:p>
          <w:p w14:paraId="1FF75533">
            <w:pPr>
              <w:pStyle w:val="13"/>
              <w:jc w:val="center"/>
              <w:rPr>
                <w:rFonts w:hint="eastAsia"/>
              </w:rPr>
            </w:pPr>
            <w:r>
              <w:rPr>
                <w:rFonts w:hint="eastAsia"/>
              </w:rPr>
              <w:t>[2011]09号</w:t>
            </w:r>
          </w:p>
        </w:tc>
      </w:tr>
      <w:tr w14:paraId="69E7C7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7F732736">
            <w:pPr>
              <w:pStyle w:val="13"/>
              <w:jc w:val="center"/>
              <w:rPr>
                <w:rFonts w:hint="eastAsia" w:ascii="宋体" w:hAnsi="宋体" w:cs="宋体"/>
              </w:rPr>
            </w:pPr>
            <w:r>
              <w:rPr>
                <w:rFonts w:hint="eastAsia"/>
              </w:rPr>
              <w:t>雄州街道</w:t>
            </w:r>
          </w:p>
          <w:p w14:paraId="0C1CE0EF">
            <w:pPr>
              <w:pStyle w:val="13"/>
              <w:jc w:val="center"/>
              <w:rPr>
                <w:rFonts w:hint="eastAsia"/>
              </w:rPr>
            </w:pPr>
            <w:r>
              <w:rPr>
                <w:rFonts w:hint="eastAsia" w:ascii="宋体" w:hAnsi="宋体" w:cs="宋体"/>
              </w:rPr>
              <w:t>水南村委会</w:t>
            </w:r>
          </w:p>
        </w:tc>
        <w:tc>
          <w:tcPr>
            <w:tcW w:w="2206" w:type="pct"/>
            <w:vAlign w:val="center"/>
          </w:tcPr>
          <w:p w14:paraId="2043B245">
            <w:pPr>
              <w:pStyle w:val="13"/>
              <w:jc w:val="left"/>
              <w:rPr>
                <w:rFonts w:hint="eastAsia"/>
              </w:rPr>
            </w:pPr>
            <w:r>
              <w:rPr>
                <w:rFonts w:hint="eastAsia"/>
              </w:rPr>
              <w:t>全国妇联基层组织建设示范村</w:t>
            </w:r>
          </w:p>
        </w:tc>
        <w:tc>
          <w:tcPr>
            <w:tcW w:w="1280" w:type="pct"/>
            <w:vAlign w:val="center"/>
          </w:tcPr>
          <w:p w14:paraId="487617AC">
            <w:pPr>
              <w:pStyle w:val="13"/>
              <w:jc w:val="left"/>
              <w:rPr>
                <w:rFonts w:hint="eastAsia"/>
              </w:rPr>
            </w:pPr>
            <w:r>
              <w:rPr>
                <w:rFonts w:hint="eastAsia"/>
              </w:rPr>
              <w:t>中华全国妇女联合会</w:t>
            </w:r>
          </w:p>
        </w:tc>
        <w:tc>
          <w:tcPr>
            <w:tcW w:w="677" w:type="pct"/>
            <w:vAlign w:val="center"/>
          </w:tcPr>
          <w:p w14:paraId="4C393755">
            <w:pPr>
              <w:pStyle w:val="13"/>
              <w:jc w:val="center"/>
              <w:rPr>
                <w:rFonts w:hint="eastAsia"/>
              </w:rPr>
            </w:pPr>
          </w:p>
        </w:tc>
      </w:tr>
      <w:tr w14:paraId="37381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5D9EBC12">
            <w:pPr>
              <w:pStyle w:val="13"/>
              <w:jc w:val="center"/>
              <w:rPr>
                <w:rFonts w:hint="eastAsia"/>
              </w:rPr>
            </w:pPr>
            <w:r>
              <w:rPr>
                <w:rFonts w:hint="eastAsia"/>
              </w:rPr>
              <w:t>雄州街道</w:t>
            </w:r>
          </w:p>
        </w:tc>
        <w:tc>
          <w:tcPr>
            <w:tcW w:w="2206" w:type="pct"/>
            <w:vAlign w:val="center"/>
          </w:tcPr>
          <w:p w14:paraId="56283529">
            <w:pPr>
              <w:pStyle w:val="13"/>
              <w:jc w:val="left"/>
              <w:rPr>
                <w:rFonts w:hint="eastAsia"/>
              </w:rPr>
            </w:pPr>
            <w:r>
              <w:rPr>
                <w:rFonts w:hint="eastAsia"/>
              </w:rPr>
              <w:t>广东省交通安全文明示范村镇</w:t>
            </w:r>
          </w:p>
        </w:tc>
        <w:tc>
          <w:tcPr>
            <w:tcW w:w="1280" w:type="pct"/>
            <w:vAlign w:val="center"/>
          </w:tcPr>
          <w:p w14:paraId="69933CC4">
            <w:pPr>
              <w:pStyle w:val="13"/>
              <w:jc w:val="left"/>
              <w:rPr>
                <w:rFonts w:hint="eastAsia"/>
              </w:rPr>
            </w:pPr>
            <w:r>
              <w:rPr>
                <w:rFonts w:hint="eastAsia"/>
              </w:rPr>
              <w:t>广东省委宣传部、省公安厅、省教育厅、省安全生产监督管理局</w:t>
            </w:r>
          </w:p>
        </w:tc>
        <w:tc>
          <w:tcPr>
            <w:tcW w:w="677" w:type="pct"/>
            <w:vAlign w:val="center"/>
          </w:tcPr>
          <w:p w14:paraId="7D7612A0">
            <w:pPr>
              <w:pStyle w:val="13"/>
              <w:jc w:val="center"/>
              <w:rPr>
                <w:rFonts w:hint="eastAsia"/>
              </w:rPr>
            </w:pPr>
          </w:p>
        </w:tc>
      </w:tr>
      <w:tr w14:paraId="2E4572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7DA6D445">
            <w:pPr>
              <w:pStyle w:val="13"/>
              <w:jc w:val="center"/>
              <w:rPr>
                <w:rFonts w:hint="eastAsia"/>
              </w:rPr>
            </w:pPr>
            <w:r>
              <w:rPr>
                <w:rFonts w:hint="eastAsia"/>
              </w:rPr>
              <w:t>南雄中学</w:t>
            </w:r>
          </w:p>
        </w:tc>
        <w:tc>
          <w:tcPr>
            <w:tcW w:w="2206" w:type="pct"/>
            <w:vAlign w:val="center"/>
          </w:tcPr>
          <w:p w14:paraId="5EBEB6FD">
            <w:pPr>
              <w:pStyle w:val="13"/>
              <w:jc w:val="left"/>
              <w:rPr>
                <w:rFonts w:hint="eastAsia"/>
              </w:rPr>
            </w:pPr>
            <w:r>
              <w:rPr>
                <w:rFonts w:hint="eastAsia"/>
              </w:rPr>
              <w:t>广东省体育特色学校</w:t>
            </w:r>
          </w:p>
        </w:tc>
        <w:tc>
          <w:tcPr>
            <w:tcW w:w="1280" w:type="pct"/>
            <w:vAlign w:val="center"/>
          </w:tcPr>
          <w:p w14:paraId="0FE2DD04">
            <w:pPr>
              <w:pStyle w:val="13"/>
              <w:jc w:val="left"/>
              <w:rPr>
                <w:rFonts w:hint="eastAsia"/>
              </w:rPr>
            </w:pPr>
            <w:r>
              <w:rPr>
                <w:rFonts w:hint="eastAsia"/>
              </w:rPr>
              <w:t>广东省体育局、广东省教育厅</w:t>
            </w:r>
          </w:p>
        </w:tc>
        <w:tc>
          <w:tcPr>
            <w:tcW w:w="677" w:type="pct"/>
            <w:vAlign w:val="center"/>
          </w:tcPr>
          <w:p w14:paraId="595FA5F3">
            <w:pPr>
              <w:pStyle w:val="13"/>
              <w:jc w:val="center"/>
              <w:rPr>
                <w:rFonts w:hint="eastAsia"/>
              </w:rPr>
            </w:pPr>
          </w:p>
        </w:tc>
      </w:tr>
      <w:tr w14:paraId="79AE9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28388A02">
            <w:pPr>
              <w:pStyle w:val="13"/>
              <w:jc w:val="center"/>
              <w:rPr>
                <w:rFonts w:hint="eastAsia" w:ascii="宋体" w:hAnsi="宋体" w:cs="宋体"/>
              </w:rPr>
            </w:pPr>
            <w:r>
              <w:rPr>
                <w:rFonts w:hint="eastAsia"/>
              </w:rPr>
              <w:t>南雄中学</w:t>
            </w:r>
          </w:p>
          <w:p w14:paraId="0AB396A0">
            <w:pPr>
              <w:pStyle w:val="13"/>
              <w:jc w:val="center"/>
              <w:rPr>
                <w:rFonts w:hint="eastAsia"/>
              </w:rPr>
            </w:pPr>
            <w:r>
              <w:rPr>
                <w:rFonts w:hint="eastAsia" w:ascii="宋体" w:hAnsi="宋体" w:cs="宋体"/>
              </w:rPr>
              <w:t>郭  军</w:t>
            </w:r>
          </w:p>
        </w:tc>
        <w:tc>
          <w:tcPr>
            <w:tcW w:w="2206" w:type="pct"/>
            <w:vAlign w:val="center"/>
          </w:tcPr>
          <w:p w14:paraId="0B3C22BF">
            <w:pPr>
              <w:pStyle w:val="13"/>
              <w:jc w:val="left"/>
              <w:rPr>
                <w:rFonts w:hint="eastAsia"/>
              </w:rPr>
            </w:pPr>
            <w:r>
              <w:rPr>
                <w:rFonts w:hint="eastAsia"/>
              </w:rPr>
              <w:t>广东省特级教师</w:t>
            </w:r>
          </w:p>
        </w:tc>
        <w:tc>
          <w:tcPr>
            <w:tcW w:w="1280" w:type="pct"/>
            <w:vAlign w:val="center"/>
          </w:tcPr>
          <w:p w14:paraId="5DD0EDF3">
            <w:pPr>
              <w:pStyle w:val="13"/>
              <w:jc w:val="left"/>
              <w:rPr>
                <w:rFonts w:hint="eastAsia"/>
              </w:rPr>
            </w:pPr>
            <w:r>
              <w:rPr>
                <w:rFonts w:hint="eastAsia"/>
              </w:rPr>
              <w:t>广东省人民政府、广东省教育厅</w:t>
            </w:r>
          </w:p>
        </w:tc>
        <w:tc>
          <w:tcPr>
            <w:tcW w:w="677" w:type="pct"/>
            <w:vAlign w:val="center"/>
          </w:tcPr>
          <w:p w14:paraId="4D659172">
            <w:pPr>
              <w:pStyle w:val="13"/>
              <w:jc w:val="center"/>
              <w:rPr>
                <w:rFonts w:hint="eastAsia"/>
              </w:rPr>
            </w:pPr>
          </w:p>
        </w:tc>
      </w:tr>
      <w:tr w14:paraId="776A3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3D11A03A">
            <w:pPr>
              <w:pStyle w:val="13"/>
              <w:jc w:val="center"/>
              <w:rPr>
                <w:rFonts w:hint="eastAsia"/>
              </w:rPr>
            </w:pPr>
            <w:r>
              <w:rPr>
                <w:rFonts w:hint="eastAsia"/>
              </w:rPr>
              <w:t>交警大队</w:t>
            </w:r>
          </w:p>
        </w:tc>
        <w:tc>
          <w:tcPr>
            <w:tcW w:w="2206" w:type="pct"/>
            <w:vAlign w:val="center"/>
          </w:tcPr>
          <w:p w14:paraId="4EE02BE6">
            <w:pPr>
              <w:pStyle w:val="13"/>
              <w:jc w:val="left"/>
              <w:rPr>
                <w:rFonts w:hint="eastAsia"/>
              </w:rPr>
            </w:pPr>
            <w:r>
              <w:rPr>
                <w:rFonts w:hint="eastAsia"/>
              </w:rPr>
              <w:t>全国优秀县级车辆管理所</w:t>
            </w:r>
          </w:p>
        </w:tc>
        <w:tc>
          <w:tcPr>
            <w:tcW w:w="1280" w:type="pct"/>
            <w:vAlign w:val="center"/>
          </w:tcPr>
          <w:p w14:paraId="71130455">
            <w:pPr>
              <w:pStyle w:val="13"/>
              <w:jc w:val="left"/>
              <w:rPr>
                <w:rFonts w:hint="eastAsia"/>
              </w:rPr>
            </w:pPr>
            <w:r>
              <w:rPr>
                <w:rFonts w:hint="eastAsia"/>
              </w:rPr>
              <w:t>公安部</w:t>
            </w:r>
          </w:p>
        </w:tc>
        <w:tc>
          <w:tcPr>
            <w:tcW w:w="677" w:type="pct"/>
            <w:vAlign w:val="center"/>
          </w:tcPr>
          <w:p w14:paraId="7A370CFA">
            <w:pPr>
              <w:pStyle w:val="13"/>
              <w:jc w:val="center"/>
              <w:rPr>
                <w:rFonts w:hint="eastAsia"/>
              </w:rPr>
            </w:pPr>
          </w:p>
        </w:tc>
      </w:tr>
      <w:tr w14:paraId="033D9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16A0DAF0">
            <w:pPr>
              <w:pStyle w:val="13"/>
              <w:jc w:val="center"/>
              <w:rPr>
                <w:rFonts w:hint="eastAsia"/>
              </w:rPr>
            </w:pPr>
            <w:r>
              <w:rPr>
                <w:rFonts w:hint="eastAsia"/>
              </w:rPr>
              <w:t>公安局施光文</w:t>
            </w:r>
          </w:p>
        </w:tc>
        <w:tc>
          <w:tcPr>
            <w:tcW w:w="2206" w:type="pct"/>
            <w:vAlign w:val="center"/>
          </w:tcPr>
          <w:p w14:paraId="3B970C6C">
            <w:pPr>
              <w:pStyle w:val="13"/>
              <w:jc w:val="left"/>
              <w:rPr>
                <w:rFonts w:hint="eastAsia"/>
              </w:rPr>
            </w:pPr>
            <w:r>
              <w:rPr>
                <w:rFonts w:hint="eastAsia"/>
              </w:rPr>
              <w:t>全省公安机关思想政治工作优秀工作者</w:t>
            </w:r>
          </w:p>
        </w:tc>
        <w:tc>
          <w:tcPr>
            <w:tcW w:w="1280" w:type="pct"/>
            <w:vAlign w:val="center"/>
          </w:tcPr>
          <w:p w14:paraId="2B9F8ECC">
            <w:pPr>
              <w:pStyle w:val="13"/>
              <w:jc w:val="left"/>
              <w:rPr>
                <w:rFonts w:hint="eastAsia"/>
              </w:rPr>
            </w:pPr>
            <w:r>
              <w:rPr>
                <w:rFonts w:hint="eastAsia"/>
              </w:rPr>
              <w:t>广东省公安厅</w:t>
            </w:r>
          </w:p>
        </w:tc>
        <w:tc>
          <w:tcPr>
            <w:tcW w:w="677" w:type="pct"/>
            <w:vAlign w:val="center"/>
          </w:tcPr>
          <w:p w14:paraId="2F5C12F6">
            <w:pPr>
              <w:pStyle w:val="13"/>
              <w:jc w:val="center"/>
              <w:rPr>
                <w:rFonts w:hint="eastAsia"/>
              </w:rPr>
            </w:pPr>
          </w:p>
        </w:tc>
      </w:tr>
      <w:tr w14:paraId="64942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6ADD47AF">
            <w:pPr>
              <w:pStyle w:val="13"/>
              <w:jc w:val="center"/>
              <w:rPr>
                <w:rFonts w:hint="eastAsia"/>
              </w:rPr>
            </w:pPr>
            <w:r>
              <w:rPr>
                <w:rFonts w:hint="eastAsia"/>
              </w:rPr>
              <w:t>林业局</w:t>
            </w:r>
          </w:p>
        </w:tc>
        <w:tc>
          <w:tcPr>
            <w:tcW w:w="2206" w:type="pct"/>
            <w:vAlign w:val="center"/>
          </w:tcPr>
          <w:p w14:paraId="1F371361">
            <w:pPr>
              <w:pStyle w:val="13"/>
              <w:jc w:val="left"/>
              <w:rPr>
                <w:rFonts w:hint="eastAsia"/>
              </w:rPr>
            </w:pPr>
            <w:r>
              <w:rPr>
                <w:rFonts w:hint="eastAsia"/>
              </w:rPr>
              <w:t>孔江国家湿地公园</w:t>
            </w:r>
          </w:p>
        </w:tc>
        <w:tc>
          <w:tcPr>
            <w:tcW w:w="1280" w:type="pct"/>
            <w:vAlign w:val="center"/>
          </w:tcPr>
          <w:p w14:paraId="4A541757">
            <w:pPr>
              <w:pStyle w:val="13"/>
              <w:jc w:val="left"/>
              <w:rPr>
                <w:rFonts w:hint="eastAsia"/>
              </w:rPr>
            </w:pPr>
            <w:r>
              <w:rPr>
                <w:rFonts w:hint="eastAsia"/>
              </w:rPr>
              <w:t>国家林业局</w:t>
            </w:r>
          </w:p>
        </w:tc>
        <w:tc>
          <w:tcPr>
            <w:tcW w:w="677" w:type="pct"/>
            <w:vAlign w:val="center"/>
          </w:tcPr>
          <w:p w14:paraId="352F1BBD">
            <w:pPr>
              <w:pStyle w:val="13"/>
              <w:jc w:val="center"/>
              <w:rPr>
                <w:rFonts w:hint="eastAsia"/>
              </w:rPr>
            </w:pPr>
          </w:p>
        </w:tc>
      </w:tr>
      <w:tr w14:paraId="7D34E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6D4CE0F1">
            <w:pPr>
              <w:pStyle w:val="13"/>
              <w:jc w:val="center"/>
              <w:rPr>
                <w:rFonts w:hint="eastAsia"/>
              </w:rPr>
            </w:pPr>
            <w:r>
              <w:rPr>
                <w:rFonts w:hint="eastAsia"/>
              </w:rPr>
              <w:t>林业局</w:t>
            </w:r>
          </w:p>
        </w:tc>
        <w:tc>
          <w:tcPr>
            <w:tcW w:w="2206" w:type="pct"/>
            <w:vAlign w:val="center"/>
          </w:tcPr>
          <w:p w14:paraId="4692DB1E">
            <w:pPr>
              <w:pStyle w:val="13"/>
              <w:jc w:val="left"/>
              <w:rPr>
                <w:rFonts w:hint="eastAsia"/>
              </w:rPr>
            </w:pPr>
            <w:r>
              <w:rPr>
                <w:rFonts w:hint="eastAsia"/>
              </w:rPr>
              <w:t>广东省林业生态县</w:t>
            </w:r>
          </w:p>
        </w:tc>
        <w:tc>
          <w:tcPr>
            <w:tcW w:w="1280" w:type="pct"/>
            <w:vAlign w:val="center"/>
          </w:tcPr>
          <w:p w14:paraId="2756EED0">
            <w:pPr>
              <w:pStyle w:val="13"/>
              <w:jc w:val="left"/>
              <w:rPr>
                <w:rFonts w:hint="eastAsia"/>
              </w:rPr>
            </w:pPr>
            <w:r>
              <w:rPr>
                <w:rFonts w:hint="eastAsia"/>
              </w:rPr>
              <w:t>广东省人民政府</w:t>
            </w:r>
          </w:p>
        </w:tc>
        <w:tc>
          <w:tcPr>
            <w:tcW w:w="677" w:type="pct"/>
            <w:vAlign w:val="center"/>
          </w:tcPr>
          <w:p w14:paraId="0E1D0ACF">
            <w:pPr>
              <w:pStyle w:val="13"/>
              <w:jc w:val="center"/>
              <w:rPr>
                <w:rFonts w:hint="eastAsia"/>
              </w:rPr>
            </w:pPr>
          </w:p>
        </w:tc>
      </w:tr>
      <w:tr w14:paraId="435E9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4AED254F">
            <w:pPr>
              <w:pStyle w:val="13"/>
              <w:jc w:val="center"/>
              <w:rPr>
                <w:rFonts w:hint="eastAsia"/>
              </w:rPr>
            </w:pPr>
            <w:r>
              <w:rPr>
                <w:rFonts w:hint="eastAsia"/>
              </w:rPr>
              <w:t>林业局</w:t>
            </w:r>
          </w:p>
        </w:tc>
        <w:tc>
          <w:tcPr>
            <w:tcW w:w="2206" w:type="pct"/>
            <w:vAlign w:val="center"/>
          </w:tcPr>
          <w:p w14:paraId="7A7CEEA3">
            <w:pPr>
              <w:pStyle w:val="13"/>
              <w:jc w:val="left"/>
              <w:rPr>
                <w:rFonts w:hint="eastAsia"/>
              </w:rPr>
            </w:pPr>
            <w:r>
              <w:rPr>
                <w:rFonts w:hint="eastAsia"/>
              </w:rPr>
              <w:t>广东帽子峰森林公园</w:t>
            </w:r>
          </w:p>
        </w:tc>
        <w:tc>
          <w:tcPr>
            <w:tcW w:w="1280" w:type="pct"/>
            <w:vAlign w:val="center"/>
          </w:tcPr>
          <w:p w14:paraId="314AB995">
            <w:pPr>
              <w:pStyle w:val="13"/>
              <w:jc w:val="left"/>
              <w:rPr>
                <w:rFonts w:hint="eastAsia"/>
              </w:rPr>
            </w:pPr>
            <w:r>
              <w:rPr>
                <w:rFonts w:hint="eastAsia"/>
              </w:rPr>
              <w:t>广东省林业局</w:t>
            </w:r>
          </w:p>
        </w:tc>
        <w:tc>
          <w:tcPr>
            <w:tcW w:w="677" w:type="pct"/>
            <w:vAlign w:val="center"/>
          </w:tcPr>
          <w:p w14:paraId="7224966C">
            <w:pPr>
              <w:pStyle w:val="13"/>
              <w:jc w:val="center"/>
              <w:rPr>
                <w:rFonts w:hint="eastAsia"/>
              </w:rPr>
            </w:pPr>
          </w:p>
        </w:tc>
      </w:tr>
      <w:tr w14:paraId="04C4CD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77C1E4D8">
            <w:pPr>
              <w:pStyle w:val="13"/>
              <w:jc w:val="center"/>
              <w:rPr>
                <w:rFonts w:hint="eastAsia"/>
              </w:rPr>
            </w:pPr>
            <w:r>
              <w:rPr>
                <w:rFonts w:hint="eastAsia"/>
              </w:rPr>
              <w:t>林业局</w:t>
            </w:r>
          </w:p>
        </w:tc>
        <w:tc>
          <w:tcPr>
            <w:tcW w:w="2206" w:type="pct"/>
            <w:vAlign w:val="center"/>
          </w:tcPr>
          <w:p w14:paraId="0FCBD942">
            <w:pPr>
              <w:pStyle w:val="13"/>
              <w:jc w:val="left"/>
              <w:rPr>
                <w:rFonts w:hint="eastAsia"/>
              </w:rPr>
            </w:pPr>
            <w:r>
              <w:rPr>
                <w:rFonts w:hint="eastAsia"/>
              </w:rPr>
              <w:t>林业公路好路站</w:t>
            </w:r>
          </w:p>
        </w:tc>
        <w:tc>
          <w:tcPr>
            <w:tcW w:w="1280" w:type="pct"/>
            <w:vAlign w:val="center"/>
          </w:tcPr>
          <w:p w14:paraId="33AEC887">
            <w:pPr>
              <w:pStyle w:val="13"/>
              <w:jc w:val="left"/>
              <w:rPr>
                <w:rFonts w:hint="eastAsia"/>
              </w:rPr>
            </w:pPr>
            <w:r>
              <w:rPr>
                <w:rFonts w:hint="eastAsia"/>
              </w:rPr>
              <w:t>广东省林业局</w:t>
            </w:r>
          </w:p>
        </w:tc>
        <w:tc>
          <w:tcPr>
            <w:tcW w:w="677" w:type="pct"/>
            <w:vAlign w:val="center"/>
          </w:tcPr>
          <w:p w14:paraId="0503114D">
            <w:pPr>
              <w:pStyle w:val="13"/>
              <w:jc w:val="center"/>
              <w:rPr>
                <w:rFonts w:hint="eastAsia"/>
              </w:rPr>
            </w:pPr>
          </w:p>
        </w:tc>
      </w:tr>
      <w:tr w14:paraId="37124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74EC18B0">
            <w:pPr>
              <w:pStyle w:val="13"/>
              <w:jc w:val="center"/>
              <w:rPr>
                <w:rFonts w:hint="eastAsia"/>
              </w:rPr>
            </w:pPr>
            <w:r>
              <w:rPr>
                <w:rFonts w:hint="eastAsia"/>
              </w:rPr>
              <w:t>林业局</w:t>
            </w:r>
          </w:p>
        </w:tc>
        <w:tc>
          <w:tcPr>
            <w:tcW w:w="2206" w:type="pct"/>
            <w:vAlign w:val="center"/>
          </w:tcPr>
          <w:p w14:paraId="45763E5E">
            <w:pPr>
              <w:pStyle w:val="13"/>
              <w:jc w:val="left"/>
              <w:rPr>
                <w:rFonts w:hint="eastAsia"/>
              </w:rPr>
            </w:pPr>
            <w:r>
              <w:rPr>
                <w:rFonts w:hint="eastAsia"/>
              </w:rPr>
              <w:t>林业公路“双文明”班</w:t>
            </w:r>
          </w:p>
        </w:tc>
        <w:tc>
          <w:tcPr>
            <w:tcW w:w="1280" w:type="pct"/>
            <w:vAlign w:val="center"/>
          </w:tcPr>
          <w:p w14:paraId="46761788">
            <w:pPr>
              <w:pStyle w:val="13"/>
              <w:jc w:val="left"/>
              <w:rPr>
                <w:rFonts w:hint="eastAsia"/>
              </w:rPr>
            </w:pPr>
            <w:r>
              <w:rPr>
                <w:rFonts w:hint="eastAsia"/>
              </w:rPr>
              <w:t>广东省林业局</w:t>
            </w:r>
          </w:p>
        </w:tc>
        <w:tc>
          <w:tcPr>
            <w:tcW w:w="677" w:type="pct"/>
            <w:vAlign w:val="center"/>
          </w:tcPr>
          <w:p w14:paraId="242F58F5">
            <w:pPr>
              <w:pStyle w:val="13"/>
              <w:jc w:val="center"/>
              <w:rPr>
                <w:rFonts w:hint="eastAsia"/>
              </w:rPr>
            </w:pPr>
          </w:p>
        </w:tc>
      </w:tr>
      <w:tr w14:paraId="78B5C7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6FF01076">
            <w:pPr>
              <w:pStyle w:val="13"/>
              <w:jc w:val="center"/>
              <w:rPr>
                <w:rFonts w:hint="eastAsia"/>
              </w:rPr>
            </w:pPr>
            <w:r>
              <w:rPr>
                <w:rFonts w:hint="eastAsia"/>
              </w:rPr>
              <w:t>文广新局</w:t>
            </w:r>
          </w:p>
        </w:tc>
        <w:tc>
          <w:tcPr>
            <w:tcW w:w="2206" w:type="pct"/>
            <w:vAlign w:val="center"/>
          </w:tcPr>
          <w:p w14:paraId="70CAF752">
            <w:pPr>
              <w:pStyle w:val="13"/>
              <w:jc w:val="left"/>
              <w:rPr>
                <w:rFonts w:hint="eastAsia"/>
              </w:rPr>
            </w:pPr>
            <w:r>
              <w:rPr>
                <w:rFonts w:hint="eastAsia"/>
              </w:rPr>
              <w:t>广东流动图书馆2010年先进集体</w:t>
            </w:r>
          </w:p>
        </w:tc>
        <w:tc>
          <w:tcPr>
            <w:tcW w:w="1280" w:type="pct"/>
            <w:vAlign w:val="center"/>
          </w:tcPr>
          <w:p w14:paraId="6A0A5DE2">
            <w:pPr>
              <w:pStyle w:val="13"/>
              <w:jc w:val="left"/>
              <w:rPr>
                <w:rFonts w:hint="eastAsia"/>
              </w:rPr>
            </w:pPr>
            <w:r>
              <w:rPr>
                <w:rFonts w:hint="eastAsia"/>
              </w:rPr>
              <w:t>广东省文化厅</w:t>
            </w:r>
          </w:p>
        </w:tc>
        <w:tc>
          <w:tcPr>
            <w:tcW w:w="677" w:type="pct"/>
            <w:vAlign w:val="center"/>
          </w:tcPr>
          <w:p w14:paraId="6108B967">
            <w:pPr>
              <w:pStyle w:val="13"/>
              <w:jc w:val="center"/>
              <w:rPr>
                <w:rFonts w:hint="eastAsia"/>
              </w:rPr>
            </w:pPr>
          </w:p>
        </w:tc>
      </w:tr>
      <w:tr w14:paraId="49984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64F549FC">
            <w:pPr>
              <w:pStyle w:val="13"/>
              <w:jc w:val="center"/>
              <w:rPr>
                <w:rFonts w:hint="eastAsia"/>
              </w:rPr>
            </w:pPr>
            <w:r>
              <w:rPr>
                <w:rFonts w:hint="eastAsia"/>
              </w:rPr>
              <w:t>图书馆杨志丽</w:t>
            </w:r>
          </w:p>
        </w:tc>
        <w:tc>
          <w:tcPr>
            <w:tcW w:w="2206" w:type="pct"/>
            <w:vAlign w:val="center"/>
          </w:tcPr>
          <w:p w14:paraId="53F53795">
            <w:pPr>
              <w:pStyle w:val="13"/>
              <w:jc w:val="left"/>
              <w:rPr>
                <w:rFonts w:hint="eastAsia"/>
              </w:rPr>
            </w:pPr>
            <w:r>
              <w:rPr>
                <w:rFonts w:hint="eastAsia"/>
              </w:rPr>
              <w:t>广东流动图书馆2010年先进个人</w:t>
            </w:r>
          </w:p>
        </w:tc>
        <w:tc>
          <w:tcPr>
            <w:tcW w:w="1280" w:type="pct"/>
            <w:vAlign w:val="center"/>
          </w:tcPr>
          <w:p w14:paraId="56A09556">
            <w:pPr>
              <w:pStyle w:val="13"/>
              <w:jc w:val="left"/>
              <w:rPr>
                <w:rFonts w:hint="eastAsia"/>
              </w:rPr>
            </w:pPr>
            <w:r>
              <w:rPr>
                <w:rFonts w:hint="eastAsia"/>
              </w:rPr>
              <w:t>广东省文化厅</w:t>
            </w:r>
          </w:p>
        </w:tc>
        <w:tc>
          <w:tcPr>
            <w:tcW w:w="677" w:type="pct"/>
            <w:vAlign w:val="center"/>
          </w:tcPr>
          <w:p w14:paraId="755E986A">
            <w:pPr>
              <w:pStyle w:val="13"/>
              <w:jc w:val="center"/>
              <w:rPr>
                <w:rFonts w:hint="eastAsia"/>
              </w:rPr>
            </w:pPr>
          </w:p>
        </w:tc>
      </w:tr>
      <w:tr w14:paraId="57D38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20D4D284">
            <w:pPr>
              <w:pStyle w:val="13"/>
              <w:jc w:val="center"/>
              <w:rPr>
                <w:rFonts w:hint="eastAsia"/>
              </w:rPr>
            </w:pPr>
            <w:r>
              <w:rPr>
                <w:rFonts w:hint="eastAsia"/>
              </w:rPr>
              <w:t>博物馆庄子圣</w:t>
            </w:r>
          </w:p>
        </w:tc>
        <w:tc>
          <w:tcPr>
            <w:tcW w:w="2206" w:type="pct"/>
            <w:vAlign w:val="center"/>
          </w:tcPr>
          <w:p w14:paraId="7FBC3021">
            <w:pPr>
              <w:pStyle w:val="13"/>
              <w:jc w:val="left"/>
              <w:rPr>
                <w:rFonts w:hint="eastAsia"/>
              </w:rPr>
            </w:pPr>
            <w:r>
              <w:rPr>
                <w:rFonts w:hint="eastAsia"/>
              </w:rPr>
              <w:t>广东省第三次全国文物普查实地文物调查阶段先进个人</w:t>
            </w:r>
          </w:p>
        </w:tc>
        <w:tc>
          <w:tcPr>
            <w:tcW w:w="1280" w:type="pct"/>
            <w:vAlign w:val="center"/>
          </w:tcPr>
          <w:p w14:paraId="7D08B5EC">
            <w:pPr>
              <w:pStyle w:val="13"/>
              <w:jc w:val="left"/>
              <w:rPr>
                <w:rFonts w:hint="eastAsia"/>
              </w:rPr>
            </w:pPr>
          </w:p>
        </w:tc>
        <w:tc>
          <w:tcPr>
            <w:tcW w:w="677" w:type="pct"/>
            <w:vAlign w:val="center"/>
          </w:tcPr>
          <w:p w14:paraId="32AB22CE">
            <w:pPr>
              <w:pStyle w:val="13"/>
              <w:jc w:val="center"/>
              <w:rPr>
                <w:rFonts w:hint="eastAsia"/>
              </w:rPr>
            </w:pPr>
          </w:p>
        </w:tc>
      </w:tr>
      <w:tr w14:paraId="64235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2BD7B0BC">
            <w:pPr>
              <w:pStyle w:val="13"/>
              <w:jc w:val="center"/>
              <w:rPr>
                <w:rFonts w:hint="eastAsia" w:ascii="宋体" w:hAnsi="宋体" w:cs="宋体"/>
              </w:rPr>
            </w:pPr>
            <w:r>
              <w:rPr>
                <w:rFonts w:hint="eastAsia"/>
              </w:rPr>
              <w:t>帽子峰镇</w:t>
            </w:r>
          </w:p>
          <w:p w14:paraId="235B7960">
            <w:pPr>
              <w:pStyle w:val="13"/>
              <w:jc w:val="center"/>
              <w:rPr>
                <w:rFonts w:hint="eastAsia"/>
              </w:rPr>
            </w:pPr>
            <w:r>
              <w:rPr>
                <w:rFonts w:hint="eastAsia" w:ascii="宋体" w:hAnsi="宋体" w:cs="宋体"/>
              </w:rPr>
              <w:t>坪山新村</w:t>
            </w:r>
          </w:p>
        </w:tc>
        <w:tc>
          <w:tcPr>
            <w:tcW w:w="2206" w:type="pct"/>
            <w:vAlign w:val="center"/>
          </w:tcPr>
          <w:p w14:paraId="28E16E5C">
            <w:pPr>
              <w:pStyle w:val="13"/>
              <w:jc w:val="left"/>
              <w:rPr>
                <w:rFonts w:hint="eastAsia"/>
              </w:rPr>
            </w:pPr>
            <w:r>
              <w:rPr>
                <w:rFonts w:hint="eastAsia"/>
              </w:rPr>
              <w:t>广东省级卫生村</w:t>
            </w:r>
          </w:p>
        </w:tc>
        <w:tc>
          <w:tcPr>
            <w:tcW w:w="1280" w:type="pct"/>
            <w:vAlign w:val="center"/>
          </w:tcPr>
          <w:p w14:paraId="4C359ACC">
            <w:pPr>
              <w:pStyle w:val="13"/>
              <w:jc w:val="left"/>
              <w:rPr>
                <w:rFonts w:hint="eastAsia"/>
              </w:rPr>
            </w:pPr>
            <w:r>
              <w:rPr>
                <w:rFonts w:hint="eastAsia"/>
              </w:rPr>
              <w:t>广东爱卫会</w:t>
            </w:r>
          </w:p>
        </w:tc>
        <w:tc>
          <w:tcPr>
            <w:tcW w:w="677" w:type="pct"/>
            <w:vAlign w:val="center"/>
          </w:tcPr>
          <w:p w14:paraId="3669A328">
            <w:pPr>
              <w:pStyle w:val="13"/>
              <w:jc w:val="center"/>
              <w:rPr>
                <w:rFonts w:hint="eastAsia"/>
              </w:rPr>
            </w:pPr>
          </w:p>
        </w:tc>
      </w:tr>
      <w:tr w14:paraId="0CA61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5FD9E2A5">
            <w:pPr>
              <w:pStyle w:val="13"/>
              <w:jc w:val="center"/>
              <w:rPr>
                <w:rFonts w:hint="eastAsia"/>
              </w:rPr>
            </w:pPr>
            <w:r>
              <w:rPr>
                <w:rFonts w:hint="eastAsia"/>
              </w:rPr>
              <w:t>农业局</w:t>
            </w:r>
          </w:p>
        </w:tc>
        <w:tc>
          <w:tcPr>
            <w:tcW w:w="2206" w:type="pct"/>
            <w:vAlign w:val="center"/>
          </w:tcPr>
          <w:p w14:paraId="63D0C9F7">
            <w:pPr>
              <w:pStyle w:val="13"/>
              <w:jc w:val="left"/>
              <w:rPr>
                <w:rFonts w:hint="eastAsia"/>
              </w:rPr>
            </w:pPr>
            <w:r>
              <w:rPr>
                <w:rFonts w:hint="eastAsia"/>
              </w:rPr>
              <w:t>2010年全省水稻高产创建先进单位</w:t>
            </w:r>
          </w:p>
        </w:tc>
        <w:tc>
          <w:tcPr>
            <w:tcW w:w="1280" w:type="pct"/>
            <w:vAlign w:val="center"/>
          </w:tcPr>
          <w:p w14:paraId="492728DF">
            <w:pPr>
              <w:pStyle w:val="13"/>
              <w:jc w:val="left"/>
              <w:rPr>
                <w:rFonts w:hint="eastAsia"/>
              </w:rPr>
            </w:pPr>
            <w:r>
              <w:rPr>
                <w:rFonts w:hint="eastAsia"/>
              </w:rPr>
              <w:t>广东省农业厅</w:t>
            </w:r>
          </w:p>
        </w:tc>
        <w:tc>
          <w:tcPr>
            <w:tcW w:w="677" w:type="pct"/>
            <w:vAlign w:val="center"/>
          </w:tcPr>
          <w:p w14:paraId="37E041D5">
            <w:pPr>
              <w:pStyle w:val="13"/>
              <w:jc w:val="center"/>
              <w:rPr>
                <w:rFonts w:hint="eastAsia" w:ascii="宋体" w:hAnsi="宋体" w:cs="宋体"/>
              </w:rPr>
            </w:pPr>
            <w:r>
              <w:rPr>
                <w:rFonts w:hint="eastAsia"/>
              </w:rPr>
              <w:t>粤农</w:t>
            </w:r>
          </w:p>
          <w:p w14:paraId="217ED993">
            <w:pPr>
              <w:pStyle w:val="13"/>
              <w:jc w:val="center"/>
              <w:rPr>
                <w:rFonts w:hint="eastAsia"/>
              </w:rPr>
            </w:pPr>
            <w:r>
              <w:rPr>
                <w:rFonts w:hint="eastAsia"/>
              </w:rPr>
              <w:t>[2011]12号</w:t>
            </w:r>
          </w:p>
        </w:tc>
      </w:tr>
      <w:tr w14:paraId="20968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6BEC3CBA">
            <w:pPr>
              <w:pStyle w:val="13"/>
              <w:jc w:val="center"/>
              <w:rPr>
                <w:rFonts w:hint="eastAsia"/>
              </w:rPr>
            </w:pPr>
            <w:r>
              <w:rPr>
                <w:rFonts w:hint="eastAsia"/>
              </w:rPr>
              <w:t>农业局</w:t>
            </w:r>
          </w:p>
        </w:tc>
        <w:tc>
          <w:tcPr>
            <w:tcW w:w="2206" w:type="pct"/>
            <w:vAlign w:val="center"/>
          </w:tcPr>
          <w:p w14:paraId="5A96232E">
            <w:pPr>
              <w:pStyle w:val="13"/>
              <w:jc w:val="left"/>
              <w:rPr>
                <w:rFonts w:hint="eastAsia"/>
              </w:rPr>
            </w:pPr>
            <w:r>
              <w:rPr>
                <w:rFonts w:hint="eastAsia"/>
              </w:rPr>
              <w:t>2010年国家农综项目建设市县工作绩效考核被评为优秀</w:t>
            </w:r>
          </w:p>
        </w:tc>
        <w:tc>
          <w:tcPr>
            <w:tcW w:w="1280" w:type="pct"/>
            <w:vAlign w:val="center"/>
          </w:tcPr>
          <w:p w14:paraId="2967BF7B">
            <w:pPr>
              <w:pStyle w:val="13"/>
              <w:jc w:val="left"/>
              <w:rPr>
                <w:rFonts w:hint="eastAsia"/>
              </w:rPr>
            </w:pPr>
            <w:r>
              <w:rPr>
                <w:rFonts w:hint="eastAsia"/>
              </w:rPr>
              <w:t>广东省财政厅</w:t>
            </w:r>
          </w:p>
        </w:tc>
        <w:tc>
          <w:tcPr>
            <w:tcW w:w="677" w:type="pct"/>
            <w:vAlign w:val="center"/>
          </w:tcPr>
          <w:p w14:paraId="0E078CF0">
            <w:pPr>
              <w:pStyle w:val="13"/>
              <w:jc w:val="center"/>
              <w:rPr>
                <w:rFonts w:hint="eastAsia" w:ascii="宋体" w:hAnsi="宋体" w:cs="宋体"/>
              </w:rPr>
            </w:pPr>
            <w:r>
              <w:rPr>
                <w:rFonts w:hint="eastAsia"/>
              </w:rPr>
              <w:t>粤财农综</w:t>
            </w:r>
          </w:p>
          <w:p w14:paraId="0846770E">
            <w:pPr>
              <w:pStyle w:val="13"/>
              <w:jc w:val="center"/>
              <w:rPr>
                <w:rFonts w:hint="eastAsia"/>
              </w:rPr>
            </w:pPr>
            <w:r>
              <w:rPr>
                <w:rFonts w:hint="eastAsia"/>
              </w:rPr>
              <w:t>[2010]63号</w:t>
            </w:r>
          </w:p>
        </w:tc>
      </w:tr>
      <w:tr w14:paraId="15A24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6FA7EE01">
            <w:pPr>
              <w:pStyle w:val="13"/>
              <w:jc w:val="center"/>
              <w:rPr>
                <w:rFonts w:hint="eastAsia"/>
              </w:rPr>
            </w:pPr>
            <w:r>
              <w:rPr>
                <w:rFonts w:hint="eastAsia"/>
              </w:rPr>
              <w:t>市纪委监察局</w:t>
            </w:r>
          </w:p>
        </w:tc>
        <w:tc>
          <w:tcPr>
            <w:tcW w:w="2206" w:type="pct"/>
            <w:vAlign w:val="center"/>
          </w:tcPr>
          <w:p w14:paraId="21796AA2">
            <w:pPr>
              <w:pStyle w:val="13"/>
              <w:jc w:val="left"/>
              <w:rPr>
                <w:rFonts w:hint="eastAsia"/>
              </w:rPr>
            </w:pPr>
            <w:r>
              <w:rPr>
                <w:rFonts w:hint="eastAsia"/>
              </w:rPr>
              <w:t>全国纪检监察系统先进集体</w:t>
            </w:r>
          </w:p>
        </w:tc>
        <w:tc>
          <w:tcPr>
            <w:tcW w:w="1280" w:type="pct"/>
            <w:vAlign w:val="center"/>
          </w:tcPr>
          <w:p w14:paraId="017C7226">
            <w:pPr>
              <w:pStyle w:val="13"/>
              <w:jc w:val="left"/>
              <w:rPr>
                <w:rFonts w:hint="eastAsia"/>
              </w:rPr>
            </w:pPr>
            <w:r>
              <w:rPr>
                <w:rFonts w:hint="eastAsia"/>
              </w:rPr>
              <w:t>中纪委</w:t>
            </w:r>
          </w:p>
        </w:tc>
        <w:tc>
          <w:tcPr>
            <w:tcW w:w="677" w:type="pct"/>
            <w:vAlign w:val="center"/>
          </w:tcPr>
          <w:p w14:paraId="4B7D3A9D">
            <w:pPr>
              <w:pStyle w:val="13"/>
              <w:jc w:val="center"/>
              <w:rPr>
                <w:rFonts w:hint="eastAsia"/>
              </w:rPr>
            </w:pPr>
          </w:p>
        </w:tc>
      </w:tr>
      <w:tr w14:paraId="000B0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01376FA1">
            <w:pPr>
              <w:pStyle w:val="13"/>
              <w:jc w:val="center"/>
              <w:rPr>
                <w:rFonts w:hint="eastAsia"/>
              </w:rPr>
            </w:pPr>
            <w:r>
              <w:rPr>
                <w:rFonts w:hint="eastAsia"/>
              </w:rPr>
              <w:t>水务局</w:t>
            </w:r>
          </w:p>
        </w:tc>
        <w:tc>
          <w:tcPr>
            <w:tcW w:w="2206" w:type="pct"/>
            <w:vAlign w:val="center"/>
          </w:tcPr>
          <w:p w14:paraId="3B07C2E4">
            <w:pPr>
              <w:pStyle w:val="13"/>
              <w:jc w:val="left"/>
              <w:rPr>
                <w:rFonts w:hint="eastAsia"/>
              </w:rPr>
            </w:pPr>
            <w:r>
              <w:rPr>
                <w:rFonts w:hint="eastAsia"/>
              </w:rPr>
              <w:t>城乡水利防灾减灾工程建设先进单位</w:t>
            </w:r>
          </w:p>
        </w:tc>
        <w:tc>
          <w:tcPr>
            <w:tcW w:w="1280" w:type="pct"/>
            <w:vAlign w:val="center"/>
          </w:tcPr>
          <w:p w14:paraId="764CE3AA">
            <w:pPr>
              <w:pStyle w:val="13"/>
              <w:jc w:val="left"/>
              <w:rPr>
                <w:rFonts w:hint="eastAsia"/>
              </w:rPr>
            </w:pPr>
            <w:r>
              <w:rPr>
                <w:rFonts w:hint="eastAsia"/>
              </w:rPr>
              <w:t>广东省人社厅、省水利厅</w:t>
            </w:r>
          </w:p>
        </w:tc>
        <w:tc>
          <w:tcPr>
            <w:tcW w:w="677" w:type="pct"/>
            <w:vAlign w:val="center"/>
          </w:tcPr>
          <w:p w14:paraId="649074FB">
            <w:pPr>
              <w:pStyle w:val="13"/>
              <w:jc w:val="center"/>
              <w:rPr>
                <w:rFonts w:hint="eastAsia"/>
              </w:rPr>
            </w:pPr>
          </w:p>
        </w:tc>
      </w:tr>
      <w:tr w14:paraId="32C07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5FA473F0">
            <w:pPr>
              <w:pStyle w:val="13"/>
              <w:jc w:val="center"/>
              <w:rPr>
                <w:rFonts w:hint="eastAsia"/>
              </w:rPr>
            </w:pPr>
            <w:r>
              <w:rPr>
                <w:rFonts w:hint="eastAsia"/>
              </w:rPr>
              <w:t>烟草公司</w:t>
            </w:r>
          </w:p>
        </w:tc>
        <w:tc>
          <w:tcPr>
            <w:tcW w:w="2206" w:type="pct"/>
            <w:vAlign w:val="center"/>
          </w:tcPr>
          <w:p w14:paraId="7E655AC6">
            <w:pPr>
              <w:pStyle w:val="13"/>
              <w:jc w:val="left"/>
              <w:rPr>
                <w:rFonts w:hint="eastAsia"/>
              </w:rPr>
            </w:pPr>
            <w:r>
              <w:rPr>
                <w:rFonts w:hint="eastAsia"/>
              </w:rPr>
              <w:t>广东省烟草商业系统“十一五”期间技术创新工作先进集体</w:t>
            </w:r>
          </w:p>
        </w:tc>
        <w:tc>
          <w:tcPr>
            <w:tcW w:w="1280" w:type="pct"/>
            <w:vAlign w:val="center"/>
          </w:tcPr>
          <w:p w14:paraId="56C1D255">
            <w:pPr>
              <w:pStyle w:val="13"/>
              <w:jc w:val="left"/>
              <w:rPr>
                <w:rFonts w:hint="eastAsia"/>
              </w:rPr>
            </w:pPr>
            <w:r>
              <w:rPr>
                <w:rFonts w:hint="eastAsia"/>
              </w:rPr>
              <w:t>广东省烟草专卖局</w:t>
            </w:r>
          </w:p>
        </w:tc>
        <w:tc>
          <w:tcPr>
            <w:tcW w:w="677" w:type="pct"/>
            <w:vAlign w:val="center"/>
          </w:tcPr>
          <w:p w14:paraId="10B39907">
            <w:pPr>
              <w:pStyle w:val="13"/>
              <w:jc w:val="center"/>
              <w:rPr>
                <w:rFonts w:hint="eastAsia"/>
              </w:rPr>
            </w:pPr>
          </w:p>
        </w:tc>
      </w:tr>
      <w:tr w14:paraId="14E45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53D8C775">
            <w:pPr>
              <w:pStyle w:val="13"/>
              <w:jc w:val="center"/>
              <w:rPr>
                <w:rFonts w:hint="eastAsia"/>
              </w:rPr>
            </w:pPr>
            <w:r>
              <w:rPr>
                <w:rFonts w:hint="eastAsia"/>
              </w:rPr>
              <w:t>烟草公司</w:t>
            </w:r>
          </w:p>
        </w:tc>
        <w:tc>
          <w:tcPr>
            <w:tcW w:w="2206" w:type="pct"/>
            <w:vAlign w:val="center"/>
          </w:tcPr>
          <w:p w14:paraId="6CAE7861">
            <w:pPr>
              <w:pStyle w:val="13"/>
              <w:jc w:val="left"/>
              <w:rPr>
                <w:rFonts w:hint="eastAsia"/>
              </w:rPr>
            </w:pPr>
            <w:r>
              <w:rPr>
                <w:rFonts w:hint="eastAsia"/>
              </w:rPr>
              <w:t>2010年度烟叶工作目标考核结果一类一等奖</w:t>
            </w:r>
          </w:p>
        </w:tc>
        <w:tc>
          <w:tcPr>
            <w:tcW w:w="1280" w:type="pct"/>
            <w:vAlign w:val="center"/>
          </w:tcPr>
          <w:p w14:paraId="4FB497E4">
            <w:pPr>
              <w:pStyle w:val="13"/>
              <w:jc w:val="left"/>
              <w:rPr>
                <w:rFonts w:hint="eastAsia"/>
              </w:rPr>
            </w:pPr>
            <w:r>
              <w:rPr>
                <w:rFonts w:hint="eastAsia"/>
              </w:rPr>
              <w:t>广东省烟草专卖局</w:t>
            </w:r>
          </w:p>
        </w:tc>
        <w:tc>
          <w:tcPr>
            <w:tcW w:w="677" w:type="pct"/>
            <w:vAlign w:val="center"/>
          </w:tcPr>
          <w:p w14:paraId="462F5C9A">
            <w:pPr>
              <w:pStyle w:val="13"/>
              <w:jc w:val="center"/>
              <w:rPr>
                <w:rFonts w:hint="eastAsia"/>
              </w:rPr>
            </w:pPr>
          </w:p>
        </w:tc>
      </w:tr>
      <w:tr w14:paraId="6E1CA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53AA2941">
            <w:pPr>
              <w:pStyle w:val="13"/>
              <w:jc w:val="center"/>
              <w:rPr>
                <w:rFonts w:hint="eastAsia"/>
              </w:rPr>
            </w:pPr>
            <w:r>
              <w:rPr>
                <w:rFonts w:hint="eastAsia"/>
              </w:rPr>
              <w:t>统计局肖梅山</w:t>
            </w:r>
          </w:p>
        </w:tc>
        <w:tc>
          <w:tcPr>
            <w:tcW w:w="2206" w:type="pct"/>
            <w:vAlign w:val="center"/>
          </w:tcPr>
          <w:p w14:paraId="546FAD91">
            <w:pPr>
              <w:pStyle w:val="13"/>
              <w:jc w:val="left"/>
              <w:rPr>
                <w:rFonts w:hint="eastAsia"/>
              </w:rPr>
            </w:pPr>
            <w:r>
              <w:rPr>
                <w:rFonts w:hint="eastAsia"/>
              </w:rPr>
              <w:t>2006—2010年全省统计法制宣传教育先进个人</w:t>
            </w:r>
          </w:p>
        </w:tc>
        <w:tc>
          <w:tcPr>
            <w:tcW w:w="1280" w:type="pct"/>
            <w:vAlign w:val="center"/>
          </w:tcPr>
          <w:p w14:paraId="07A68BC7">
            <w:pPr>
              <w:pStyle w:val="13"/>
              <w:jc w:val="left"/>
              <w:rPr>
                <w:rFonts w:hint="eastAsia"/>
              </w:rPr>
            </w:pPr>
            <w:r>
              <w:rPr>
                <w:rFonts w:hint="eastAsia"/>
              </w:rPr>
              <w:t>广东省统计局</w:t>
            </w:r>
          </w:p>
        </w:tc>
        <w:tc>
          <w:tcPr>
            <w:tcW w:w="677" w:type="pct"/>
            <w:vAlign w:val="center"/>
          </w:tcPr>
          <w:p w14:paraId="7CB72E8E">
            <w:pPr>
              <w:pStyle w:val="13"/>
              <w:jc w:val="center"/>
              <w:rPr>
                <w:rFonts w:hint="eastAsia"/>
              </w:rPr>
            </w:pPr>
          </w:p>
        </w:tc>
      </w:tr>
      <w:tr w14:paraId="66A19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73428BD1">
            <w:pPr>
              <w:pStyle w:val="13"/>
              <w:jc w:val="center"/>
              <w:rPr>
                <w:rFonts w:hint="eastAsia"/>
              </w:rPr>
            </w:pPr>
            <w:r>
              <w:rPr>
                <w:rFonts w:hint="eastAsia"/>
              </w:rPr>
              <w:t>邮政局</w:t>
            </w:r>
          </w:p>
        </w:tc>
        <w:tc>
          <w:tcPr>
            <w:tcW w:w="2206" w:type="pct"/>
            <w:vAlign w:val="center"/>
          </w:tcPr>
          <w:p w14:paraId="179570F5">
            <w:pPr>
              <w:pStyle w:val="13"/>
              <w:jc w:val="left"/>
              <w:rPr>
                <w:rFonts w:hint="eastAsia"/>
              </w:rPr>
            </w:pPr>
            <w:r>
              <w:rPr>
                <w:rFonts w:hint="eastAsia"/>
              </w:rPr>
              <w:t>广东省邮政系统2010年度文明单位</w:t>
            </w:r>
          </w:p>
        </w:tc>
        <w:tc>
          <w:tcPr>
            <w:tcW w:w="1280" w:type="pct"/>
            <w:vAlign w:val="center"/>
          </w:tcPr>
          <w:p w14:paraId="0B71E269">
            <w:pPr>
              <w:pStyle w:val="13"/>
              <w:jc w:val="left"/>
              <w:rPr>
                <w:rFonts w:hint="eastAsia"/>
              </w:rPr>
            </w:pPr>
            <w:r>
              <w:rPr>
                <w:rFonts w:hint="eastAsia"/>
              </w:rPr>
              <w:t>广东省邮政局</w:t>
            </w:r>
          </w:p>
        </w:tc>
        <w:tc>
          <w:tcPr>
            <w:tcW w:w="677" w:type="pct"/>
            <w:vAlign w:val="center"/>
          </w:tcPr>
          <w:p w14:paraId="63A6E37A">
            <w:pPr>
              <w:pStyle w:val="13"/>
              <w:jc w:val="center"/>
              <w:rPr>
                <w:rFonts w:hint="eastAsia"/>
              </w:rPr>
            </w:pPr>
          </w:p>
        </w:tc>
      </w:tr>
      <w:tr w14:paraId="7F3B3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7" w:type="pct"/>
            <w:vAlign w:val="center"/>
          </w:tcPr>
          <w:p w14:paraId="2233C96D">
            <w:pPr>
              <w:pStyle w:val="13"/>
              <w:jc w:val="center"/>
              <w:rPr>
                <w:rFonts w:hint="eastAsia"/>
              </w:rPr>
            </w:pPr>
            <w:r>
              <w:rPr>
                <w:rFonts w:hint="eastAsia"/>
              </w:rPr>
              <w:t>党校蓝师俊</w:t>
            </w:r>
          </w:p>
        </w:tc>
        <w:tc>
          <w:tcPr>
            <w:tcW w:w="2206" w:type="pct"/>
            <w:vAlign w:val="center"/>
          </w:tcPr>
          <w:p w14:paraId="7FF64C69">
            <w:pPr>
              <w:pStyle w:val="13"/>
              <w:jc w:val="left"/>
              <w:rPr>
                <w:rFonts w:hint="eastAsia"/>
              </w:rPr>
            </w:pPr>
            <w:r>
              <w:rPr>
                <w:rFonts w:hint="eastAsia"/>
              </w:rPr>
              <w:t>被评为优秀教师</w:t>
            </w:r>
          </w:p>
        </w:tc>
        <w:tc>
          <w:tcPr>
            <w:tcW w:w="1280" w:type="pct"/>
            <w:vAlign w:val="center"/>
          </w:tcPr>
          <w:p w14:paraId="3F77B921">
            <w:pPr>
              <w:pStyle w:val="13"/>
              <w:jc w:val="left"/>
              <w:rPr>
                <w:rFonts w:hint="eastAsia"/>
              </w:rPr>
            </w:pPr>
            <w:r>
              <w:rPr>
                <w:rFonts w:hint="eastAsia"/>
              </w:rPr>
              <w:t>广东广播电视大学</w:t>
            </w:r>
          </w:p>
        </w:tc>
        <w:tc>
          <w:tcPr>
            <w:tcW w:w="677" w:type="pct"/>
            <w:vAlign w:val="center"/>
          </w:tcPr>
          <w:p w14:paraId="769C794D">
            <w:pPr>
              <w:pStyle w:val="13"/>
              <w:jc w:val="center"/>
              <w:rPr>
                <w:rFonts w:hint="eastAsia"/>
              </w:rPr>
            </w:pPr>
          </w:p>
        </w:tc>
      </w:tr>
      <w:tr w14:paraId="5F730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vAlign w:val="center"/>
          </w:tcPr>
          <w:p w14:paraId="56DCC946">
            <w:pPr>
              <w:pStyle w:val="13"/>
              <w:jc w:val="right"/>
              <w:rPr>
                <w:rFonts w:hint="eastAsia"/>
              </w:rPr>
            </w:pPr>
            <w:r>
              <w:rPr>
                <w:rFonts w:hint="eastAsia"/>
              </w:rPr>
              <w:t>注：以上获奖情况由各获奖单位统计上报·获奖指2010年度。</w:t>
            </w:r>
          </w:p>
        </w:tc>
      </w:tr>
    </w:tbl>
    <w:p w14:paraId="474EB2FD">
      <w:pPr>
        <w:pStyle w:val="3"/>
        <w:numPr>
          <w:ilvl w:val="0"/>
          <w:numId w:val="8"/>
        </w:numPr>
      </w:pPr>
      <w:r>
        <w:t>先进人物（2003年至2010年）</w:t>
      </w:r>
    </w:p>
    <w:p w14:paraId="180D1722">
      <w:pPr>
        <w:pStyle w:val="4"/>
      </w:pPr>
      <w:r>
        <w:rPr>
          <w:rFonts w:hint="eastAsia"/>
        </w:rPr>
        <w:t>获得全国各系统先进工作者</w:t>
      </w:r>
    </w:p>
    <w:p w14:paraId="574E2B93">
      <w:pPr>
        <w:pStyle w:val="5"/>
      </w:pPr>
      <w:r>
        <w:t>【肖志祥】</w:t>
      </w:r>
    </w:p>
    <w:p w14:paraId="1BA36DF3">
      <w:pPr>
        <w:ind w:firstLine="420"/>
        <w:rPr>
          <w:rFonts w:ascii="宋体" w:hAnsi="宋体"/>
        </w:rPr>
      </w:pPr>
      <w:r>
        <w:rPr>
          <w:rFonts w:ascii="宋体" w:hAnsi="宋体"/>
        </w:rPr>
        <w:t>男，中共党员，1952年10月出生，大专学历，1998年4月至2007年2月任南雄市粮食管理储备局局长。2006年3月被授予“全国粮食系统先进工作者”称号。自任南雄市粮食管理储备局局长以来，该局从1998年至2005年连续8年被韶关市粮食局评为先进单位。在这期间，抓好各级储备粮的安全管理，确保在南雄承储的储备粮数量真实、质量良好；大力发展推广优质稻，增加农民的收入，保护粮食的种植面积；还加强对粮食企业的指导力度，加强对粮食市场的监管力度，促进粮食企业的稳定、持续发展；全面完成南雄市国有粮食企业体制改革工作。</w:t>
      </w:r>
    </w:p>
    <w:p w14:paraId="5AF7D50E">
      <w:pPr>
        <w:pStyle w:val="5"/>
      </w:pPr>
      <w:r>
        <w:t>【刘传金】</w:t>
      </w:r>
    </w:p>
    <w:p w14:paraId="1917AD39">
      <w:pPr>
        <w:ind w:firstLine="420"/>
        <w:rPr>
          <w:rFonts w:ascii="宋体" w:hAnsi="宋体"/>
        </w:rPr>
      </w:pPr>
      <w:r>
        <w:rPr>
          <w:rFonts w:ascii="宋体" w:hAnsi="宋体"/>
        </w:rPr>
        <w:t>男，中共党员，1953年12月出生，大专学历，1997年9月至今任南雄市二轻集体企业联社主任。2007年被授予“全国轻工行业先进工作者”称号。作为南雄市联社的当家人，有较强的领导水平与组织能力，敢于创新，通过中间资产经营公司强化联社集体资产的营运，先后盘活闲置资金800多万元，促进集体资产保值增值；重视职工合法权益的保障，先后筹集资金千万元，全面推进属下企业的专制、分流工作，实现全系统企业的专制、分流工作软着陆，多次受到南雄市委、市政府的表彰。</w:t>
      </w:r>
    </w:p>
    <w:p w14:paraId="2A46562E">
      <w:pPr>
        <w:pStyle w:val="5"/>
      </w:pPr>
      <w:r>
        <w:t>【张宗财】</w:t>
      </w:r>
    </w:p>
    <w:p w14:paraId="5B106EE0">
      <w:pPr>
        <w:ind w:firstLine="420"/>
        <w:rPr>
          <w:rFonts w:ascii="宋体" w:hAnsi="宋体"/>
        </w:rPr>
      </w:pPr>
      <w:r>
        <w:rPr>
          <w:rFonts w:ascii="宋体" w:hAnsi="宋体"/>
        </w:rPr>
        <w:t>男，中共党员，1962年5月出生。本科学历，2001年12月2006年12月任南雄市总工会主席；现任南雄市人大常委会副主任兼南雄市总工会主席。2008年5月评为“全国工会工作先进个人”。自调任南雄市总工会任主席以来，工作上开拓创新、求真务实、廉洁自律、扎扎实实为职工办好事、实事。固本强基、依法维权、帮扶困难等工会工作得到市委、政府和上级工会的充分肯定，也得到广大职工群众的认可。南雄市总工会工作连续10年都评为韶关市工会系统优秀单位（工会综合工作一等奖）。南雄市总工会各项工作走在全韶关市工会系统前列，成为韶关市工会系统的一面旗帜。个人连续五年评为韶关市工会工作先进个人和南雄市优秀党务工作者和优秀共产党员。</w:t>
      </w:r>
    </w:p>
    <w:p w14:paraId="4ECF2174">
      <w:pPr>
        <w:pStyle w:val="5"/>
      </w:pPr>
      <w:r>
        <w:t>【曾凡辉】</w:t>
      </w:r>
    </w:p>
    <w:p w14:paraId="3D8034E8">
      <w:pPr>
        <w:ind w:firstLine="420"/>
        <w:rPr>
          <w:rFonts w:ascii="宋体" w:hAnsi="宋体"/>
        </w:rPr>
      </w:pPr>
      <w:r>
        <w:rPr>
          <w:rFonts w:ascii="宋体" w:hAnsi="宋体"/>
        </w:rPr>
        <w:t>男，中共党员，1960年4月出生，大专学历，小学数学高级教师（副高级），任南雄市黎灿学校校长。2008年被授予“全国未成年人思想道德建设先进工作者”称号、2009年被授予“全国教育系统先进工作者”称号。曾凡辉同志将毕生精力投身于党的教育事业。课堂教学水平高，运用“引探教学法”，构建高效课堂。科研能力强。先后主持、参与承担了9个课题研究，其中课题“用引探教学法提高学生学习能力的研究”获省第六届普通教育教学成果二等奖。曾凡辉同志积极推动学校的改革与发展。黎灿学校在他的精心管理下，形成了“以人为本、和谐发展、彰显个性，数奥冒尖、艺体见长、礼仪为先”的办学特色，成为南雄市小学教育的窗口性、示范性学校，成为南雄市小学教育的一张名片。</w:t>
      </w:r>
    </w:p>
    <w:p w14:paraId="2002403B">
      <w:pPr>
        <w:pStyle w:val="5"/>
      </w:pPr>
      <w:r>
        <w:t>【梁健灵】</w:t>
      </w:r>
    </w:p>
    <w:p w14:paraId="374067D4">
      <w:pPr>
        <w:ind w:firstLine="420"/>
        <w:rPr>
          <w:rFonts w:ascii="宋体" w:hAnsi="宋体"/>
        </w:rPr>
      </w:pPr>
      <w:r>
        <w:rPr>
          <w:rFonts w:ascii="宋体" w:hAnsi="宋体"/>
        </w:rPr>
        <w:t>男，从1978年分配到南雄农机总站（原农机局）工作至今，从事农机管理、农机安全监理工作。1988年至现在兼任农机统计年报工作。</w:t>
      </w:r>
    </w:p>
    <w:p w14:paraId="6A25DD41">
      <w:pPr>
        <w:ind w:firstLine="420"/>
        <w:rPr>
          <w:rFonts w:ascii="宋体" w:hAnsi="宋体"/>
        </w:rPr>
      </w:pPr>
      <w:r>
        <w:rPr>
          <w:rFonts w:ascii="宋体" w:hAnsi="宋体"/>
        </w:rPr>
        <w:t>该同志能够结合农机管理工作，深入基层，随时了解和掌握南雄农机化的农机化发展动态，勇于创新、善于分析、力求年报资料翔实、准确。在工作中还具有高度的责任感和事业心，工作踏实，多年来在搞好市农机管理工作的同时，积极做好农机化统计工作，从1990年至1997年，连续8年被广东省机械工业厅或省农机局评为“全省农机化统计工作先进个人”。2005年被农业部评为“全国农机化系统优秀统计人员”并授予荣誉证书。</w:t>
      </w:r>
    </w:p>
    <w:p w14:paraId="6DEE408B">
      <w:pPr>
        <w:pStyle w:val="4"/>
      </w:pPr>
      <w:r>
        <w:rPr>
          <w:rFonts w:hint="eastAsia"/>
        </w:rPr>
        <w:t>广东省劳动模范获得者</w:t>
      </w:r>
    </w:p>
    <w:p w14:paraId="1F3F909E">
      <w:pPr>
        <w:pStyle w:val="5"/>
      </w:pPr>
      <w:r>
        <w:t>【刘烈善】</w:t>
      </w:r>
    </w:p>
    <w:p w14:paraId="2EC868CD">
      <w:pPr>
        <w:ind w:firstLine="420"/>
        <w:rPr>
          <w:rFonts w:ascii="宋体" w:hAnsi="宋体"/>
        </w:rPr>
      </w:pPr>
      <w:r>
        <w:rPr>
          <w:rFonts w:ascii="宋体" w:hAnsi="宋体"/>
        </w:rPr>
        <w:t>男，中共党员，1951年4月出生，本科学历，2005年任广东韶能集团股份有限公司珠玑纸业分公司负责人。2006年4月被授予“广东省劳动模范”称号。在企业的改革发展中，与时俱进、求真务实、开拓创新，充分挥自己的管理水平和技术专长，不断推进企业的体制创新，管理创新和技术创新，使珠玑纸业由原来年产5500吨机制纸的生产规模扩大到年产30000吨的生产能力把一个频临倒闭的企业变成为南雄市的骨干企业和创税千万元大户，成为韶关市农业龙头企业和省林业龙头企业，为南雄经济发展，农业增效，地方财政和农民增收做出了突出贡献。</w:t>
      </w:r>
    </w:p>
    <w:p w14:paraId="2CCF865B">
      <w:pPr>
        <w:pStyle w:val="4"/>
      </w:pPr>
      <w:r>
        <w:rPr>
          <w:rFonts w:hint="eastAsia"/>
        </w:rPr>
        <w:t>广东省五一劳动奖章获得者</w:t>
      </w:r>
    </w:p>
    <w:p w14:paraId="226AC5EE">
      <w:pPr>
        <w:pStyle w:val="5"/>
      </w:pPr>
      <w:r>
        <w:t>【张林】</w:t>
      </w:r>
    </w:p>
    <w:p w14:paraId="7C7CC25E">
      <w:pPr>
        <w:ind w:firstLine="420"/>
        <w:rPr>
          <w:rFonts w:ascii="宋体" w:hAnsi="宋体"/>
        </w:rPr>
      </w:pPr>
      <w:r>
        <w:rPr>
          <w:rFonts w:ascii="宋体" w:hAnsi="宋体"/>
        </w:rPr>
        <w:t>男，中共党员，1963年9月出生，本科学历，现任南雄市水口中学校长，2005年4月被授予“广东省五一劳动奖章”称号。张林同志在南雄市最边远的山区镇——坪田中学任校长期间，能够坚持以学生为本，既教书又育人。为让适龄少年都能接受教育，他带领老师，跋山涉水、深入学生家中，不让一个孩子失学，使学生尽可能都学好；张林同志以“办人民满意的学校”为宗旨，通过各种途经努力改善办学条件，引资200多万元，新建坪田中学围墙、校门、食堂、学生宿舍楼和综合楼。针对实际，还对学校管理进行了一系列改革，营造适宜学生、教师、学校共同发展的环境，增强学校的凝聚力和战斗力，教育教学取得了优异的成绩，为改变山区教育落后面貌贡献了一份力量。</w:t>
      </w:r>
    </w:p>
    <w:p w14:paraId="5722BDC5">
      <w:pPr>
        <w:pStyle w:val="5"/>
      </w:pPr>
      <w:r>
        <w:t>【王英】</w:t>
      </w:r>
    </w:p>
    <w:p w14:paraId="09C5FF65">
      <w:pPr>
        <w:ind w:firstLine="420"/>
        <w:rPr>
          <w:rFonts w:ascii="宋体" w:hAnsi="宋体"/>
        </w:rPr>
      </w:pPr>
      <w:r>
        <w:rPr>
          <w:rFonts w:ascii="宋体" w:hAnsi="宋体"/>
        </w:rPr>
        <w:t>女，1967年12月出生，高中毕业，2005年4月被授予“广东省五一劳动奖章”称号。王英同志1988年5月进入烟草公司从事烟叶分级工作，一直在烟叶生产第一线工作，为烟农排扰解难，深入农户，动员、指导烟农多种烟、种好烟，积极推广新技术、新农药、新品种，使烟农科技兴烟水平很快得到提高；在收购烟叶过程中，坚持原则，以质论价，清正廉洁，拒收贿赂30多次，依照国家烟叶收购标准，公平、公正地定级，维护了国家、企业和烟农的利益；刻苦钻研业务知识，积极参加省、市烟草公司组织的烟叶分级和生产技术培训，在烟叶分级、评级技能方面取得较大成绩，曾荣获“广东省职工职业技能大赛烟叶分级技术状元”、“广东省技术能手”、“广东省职工经济技术创新能手”等荣誉称号。为南雄烟草事业的发展做出了积极的贡献。</w:t>
      </w:r>
    </w:p>
    <w:p w14:paraId="5DB407C0">
      <w:pPr>
        <w:pStyle w:val="5"/>
      </w:pPr>
      <w:r>
        <w:t>【戴诗椿】</w:t>
      </w:r>
    </w:p>
    <w:p w14:paraId="6D97B01C">
      <w:pPr>
        <w:ind w:firstLine="420"/>
        <w:rPr>
          <w:rFonts w:ascii="宋体" w:hAnsi="宋体"/>
        </w:rPr>
      </w:pPr>
      <w:r>
        <w:rPr>
          <w:rFonts w:ascii="宋体" w:hAnsi="宋体"/>
        </w:rPr>
        <w:t>男，中共党员，1966年6月出生，高中学历，2005年11月任韶关市南雄公路局湖口养护中心主任。2010年4月被授予“广东省五一劳动奖章”称号。戴诗椿是一名以公路为伴，把情、心、魂都系在公路上的普通员工。从1989年参加工作以来，20余年如一日地重复着枯燥的公路养护工作，累计加班500余天，肩挑手提的砂石达8000余立方米，等于搬走了一座小山，养护里程达5600余公里！他不怕苦，不怕累，不怕险，工作冲锋在前，从而赢得了同志们的赞赏和敬佩，多年来一直受到各级部门的表彰奖励，连续多年被韶关市公路局评为“养护能手”，多次被韶关市公路局评为“先进生产者”，2008年被中共韶关市委组织部等部门评为韶关市第六届“十大优秀青年”，2009年相继被中共韶关市委宣传部等部门评为2009“韶关好人”中的“敬业奉献好人”和2009“感动韶关十佳道德模范”中的“敬业奉献模范”。</w:t>
      </w:r>
    </w:p>
    <w:p w14:paraId="7065F764">
      <w:pPr>
        <w:pStyle w:val="3"/>
        <w:numPr>
          <w:ilvl w:val="0"/>
          <w:numId w:val="8"/>
        </w:numPr>
      </w:pPr>
      <w:r>
        <w:rPr>
          <w:rFonts w:hint="eastAsia"/>
        </w:rPr>
        <w:t>专业技术人员</w:t>
      </w:r>
    </w:p>
    <w:p w14:paraId="38D620EA">
      <w:pPr>
        <w:pStyle w:val="4"/>
      </w:pPr>
      <w:r>
        <w:rPr>
          <w:rFonts w:hint="eastAsia"/>
        </w:rPr>
        <w:t>表33-2  2010年专业技术资格职称人员</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9"/>
        <w:gridCol w:w="1040"/>
        <w:gridCol w:w="2289"/>
        <w:gridCol w:w="2496"/>
        <w:gridCol w:w="3388"/>
      </w:tblGrid>
      <w:tr w14:paraId="1A92D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47CD8D8C">
            <w:pPr>
              <w:pStyle w:val="13"/>
              <w:jc w:val="center"/>
              <w:rPr>
                <w:rFonts w:hint="eastAsia"/>
                <w:b/>
              </w:rPr>
            </w:pPr>
            <w:r>
              <w:rPr>
                <w:rFonts w:hint="eastAsia"/>
                <w:b/>
              </w:rPr>
              <w:t>序号</w:t>
            </w:r>
          </w:p>
        </w:tc>
        <w:tc>
          <w:tcPr>
            <w:tcW w:w="1671" w:type="pct"/>
            <w:gridSpan w:val="2"/>
            <w:vAlign w:val="center"/>
          </w:tcPr>
          <w:p w14:paraId="7BE6650D">
            <w:pPr>
              <w:pStyle w:val="13"/>
              <w:jc w:val="center"/>
              <w:rPr>
                <w:rFonts w:hint="eastAsia"/>
                <w:b/>
              </w:rPr>
            </w:pPr>
            <w:r>
              <w:rPr>
                <w:rFonts w:hint="eastAsia"/>
                <w:b/>
              </w:rPr>
              <w:t>单位</w:t>
            </w:r>
          </w:p>
        </w:tc>
        <w:tc>
          <w:tcPr>
            <w:tcW w:w="1253" w:type="pct"/>
            <w:vAlign w:val="center"/>
          </w:tcPr>
          <w:p w14:paraId="230C42D0">
            <w:pPr>
              <w:pStyle w:val="13"/>
              <w:jc w:val="center"/>
              <w:rPr>
                <w:rFonts w:hint="eastAsia"/>
                <w:b/>
              </w:rPr>
            </w:pPr>
            <w:r>
              <w:rPr>
                <w:rFonts w:hint="eastAsia"/>
                <w:b/>
              </w:rPr>
              <w:t>姓名</w:t>
            </w:r>
          </w:p>
        </w:tc>
        <w:tc>
          <w:tcPr>
            <w:tcW w:w="1699" w:type="pct"/>
            <w:vAlign w:val="center"/>
          </w:tcPr>
          <w:p w14:paraId="253FE2F5">
            <w:pPr>
              <w:pStyle w:val="13"/>
              <w:jc w:val="center"/>
              <w:rPr>
                <w:rFonts w:hint="eastAsia"/>
                <w:b/>
              </w:rPr>
            </w:pPr>
            <w:r>
              <w:rPr>
                <w:rFonts w:hint="eastAsia"/>
                <w:b/>
              </w:rPr>
              <w:t>专业技术资格名称</w:t>
            </w:r>
          </w:p>
        </w:tc>
      </w:tr>
      <w:tr w14:paraId="70C46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3C8EAC84">
            <w:pPr>
              <w:pStyle w:val="13"/>
              <w:jc w:val="center"/>
              <w:rPr>
                <w:rFonts w:hint="eastAsia"/>
              </w:rPr>
            </w:pPr>
            <w:r>
              <w:rPr>
                <w:rFonts w:hint="eastAsia"/>
              </w:rPr>
              <w:t>1</w:t>
            </w:r>
          </w:p>
        </w:tc>
        <w:tc>
          <w:tcPr>
            <w:tcW w:w="522" w:type="pct"/>
            <w:vMerge w:val="restart"/>
            <w:vAlign w:val="center"/>
          </w:tcPr>
          <w:p w14:paraId="6653FE59">
            <w:pPr>
              <w:pStyle w:val="13"/>
              <w:jc w:val="center"/>
              <w:rPr>
                <w:rFonts w:hint="eastAsia"/>
              </w:rPr>
            </w:pPr>
            <w:r>
              <w:rPr>
                <w:rFonts w:hint="eastAsia"/>
              </w:rPr>
              <w:t>教育</w:t>
            </w:r>
          </w:p>
        </w:tc>
        <w:tc>
          <w:tcPr>
            <w:tcW w:w="1149" w:type="pct"/>
            <w:vAlign w:val="center"/>
          </w:tcPr>
          <w:p w14:paraId="08FAE26C">
            <w:pPr>
              <w:pStyle w:val="13"/>
              <w:jc w:val="center"/>
              <w:rPr>
                <w:rFonts w:hint="eastAsia"/>
              </w:rPr>
            </w:pPr>
            <w:r>
              <w:rPr>
                <w:rFonts w:hint="eastAsia"/>
              </w:rPr>
              <w:t>坪田中学</w:t>
            </w:r>
          </w:p>
        </w:tc>
        <w:tc>
          <w:tcPr>
            <w:tcW w:w="1253" w:type="pct"/>
            <w:vAlign w:val="center"/>
          </w:tcPr>
          <w:p w14:paraId="2786FFC8">
            <w:pPr>
              <w:pStyle w:val="13"/>
              <w:jc w:val="center"/>
              <w:rPr>
                <w:rFonts w:hint="eastAsia"/>
              </w:rPr>
            </w:pPr>
            <w:r>
              <w:rPr>
                <w:rFonts w:hint="eastAsia"/>
              </w:rPr>
              <w:t>叶树胜</w:t>
            </w:r>
          </w:p>
        </w:tc>
        <w:tc>
          <w:tcPr>
            <w:tcW w:w="1699" w:type="pct"/>
            <w:vAlign w:val="center"/>
          </w:tcPr>
          <w:p w14:paraId="78BDDED9">
            <w:pPr>
              <w:pStyle w:val="13"/>
              <w:jc w:val="center"/>
              <w:rPr>
                <w:rFonts w:hint="eastAsia"/>
              </w:rPr>
            </w:pPr>
            <w:r>
              <w:rPr>
                <w:rFonts w:hint="eastAsia"/>
              </w:rPr>
              <w:t>中学高级</w:t>
            </w:r>
          </w:p>
        </w:tc>
      </w:tr>
      <w:tr w14:paraId="7D336C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0C593EED">
            <w:pPr>
              <w:pStyle w:val="13"/>
              <w:jc w:val="center"/>
              <w:rPr>
                <w:rFonts w:hint="eastAsia"/>
              </w:rPr>
            </w:pPr>
            <w:r>
              <w:rPr>
                <w:rFonts w:hint="eastAsia"/>
              </w:rPr>
              <w:t>2</w:t>
            </w:r>
          </w:p>
        </w:tc>
        <w:tc>
          <w:tcPr>
            <w:tcW w:w="522" w:type="pct"/>
            <w:vMerge w:val="continue"/>
            <w:vAlign w:val="center"/>
          </w:tcPr>
          <w:p w14:paraId="4547EA30">
            <w:pPr>
              <w:pStyle w:val="13"/>
              <w:jc w:val="center"/>
              <w:rPr>
                <w:rFonts w:hint="eastAsia"/>
              </w:rPr>
            </w:pPr>
          </w:p>
        </w:tc>
        <w:tc>
          <w:tcPr>
            <w:tcW w:w="1149" w:type="pct"/>
            <w:vAlign w:val="center"/>
          </w:tcPr>
          <w:p w14:paraId="5CDF670B">
            <w:pPr>
              <w:pStyle w:val="13"/>
              <w:jc w:val="center"/>
              <w:rPr>
                <w:rFonts w:hint="eastAsia"/>
              </w:rPr>
            </w:pPr>
            <w:r>
              <w:rPr>
                <w:rFonts w:hint="eastAsia"/>
              </w:rPr>
              <w:t>湖口中学</w:t>
            </w:r>
          </w:p>
        </w:tc>
        <w:tc>
          <w:tcPr>
            <w:tcW w:w="1253" w:type="pct"/>
            <w:vAlign w:val="center"/>
          </w:tcPr>
          <w:p w14:paraId="6BEC3636">
            <w:pPr>
              <w:pStyle w:val="13"/>
              <w:jc w:val="center"/>
              <w:rPr>
                <w:rFonts w:hint="eastAsia"/>
              </w:rPr>
            </w:pPr>
            <w:r>
              <w:rPr>
                <w:rFonts w:hint="eastAsia"/>
              </w:rPr>
              <w:t>谢  灏</w:t>
            </w:r>
          </w:p>
        </w:tc>
        <w:tc>
          <w:tcPr>
            <w:tcW w:w="1699" w:type="pct"/>
            <w:vAlign w:val="center"/>
          </w:tcPr>
          <w:p w14:paraId="5F3147B6">
            <w:pPr>
              <w:pStyle w:val="13"/>
              <w:jc w:val="center"/>
              <w:rPr>
                <w:rFonts w:hint="eastAsia"/>
              </w:rPr>
            </w:pPr>
            <w:r>
              <w:rPr>
                <w:rFonts w:hint="eastAsia"/>
              </w:rPr>
              <w:t>中学高级</w:t>
            </w:r>
          </w:p>
        </w:tc>
      </w:tr>
      <w:tr w14:paraId="6D1BF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35038FA4">
            <w:pPr>
              <w:pStyle w:val="13"/>
              <w:jc w:val="center"/>
              <w:rPr>
                <w:rFonts w:hint="eastAsia"/>
              </w:rPr>
            </w:pPr>
            <w:r>
              <w:rPr>
                <w:rFonts w:hint="eastAsia"/>
              </w:rPr>
              <w:t>3</w:t>
            </w:r>
          </w:p>
        </w:tc>
        <w:tc>
          <w:tcPr>
            <w:tcW w:w="522" w:type="pct"/>
            <w:vMerge w:val="continue"/>
            <w:vAlign w:val="center"/>
          </w:tcPr>
          <w:p w14:paraId="7CD44429">
            <w:pPr>
              <w:pStyle w:val="13"/>
              <w:jc w:val="center"/>
              <w:rPr>
                <w:rFonts w:hint="eastAsia"/>
              </w:rPr>
            </w:pPr>
          </w:p>
        </w:tc>
        <w:tc>
          <w:tcPr>
            <w:tcW w:w="1149" w:type="pct"/>
            <w:vAlign w:val="center"/>
          </w:tcPr>
          <w:p w14:paraId="4C91F7DC">
            <w:pPr>
              <w:pStyle w:val="13"/>
              <w:jc w:val="center"/>
              <w:rPr>
                <w:rFonts w:hint="eastAsia"/>
              </w:rPr>
            </w:pPr>
            <w:r>
              <w:rPr>
                <w:rFonts w:hint="eastAsia"/>
              </w:rPr>
              <w:t>水口中学</w:t>
            </w:r>
          </w:p>
        </w:tc>
        <w:tc>
          <w:tcPr>
            <w:tcW w:w="1253" w:type="pct"/>
            <w:vAlign w:val="center"/>
          </w:tcPr>
          <w:p w14:paraId="357E4FE1">
            <w:pPr>
              <w:pStyle w:val="13"/>
              <w:jc w:val="center"/>
              <w:rPr>
                <w:rFonts w:hint="eastAsia"/>
              </w:rPr>
            </w:pPr>
            <w:r>
              <w:rPr>
                <w:rFonts w:hint="eastAsia"/>
              </w:rPr>
              <w:t>魏修斌</w:t>
            </w:r>
          </w:p>
        </w:tc>
        <w:tc>
          <w:tcPr>
            <w:tcW w:w="1699" w:type="pct"/>
            <w:vAlign w:val="center"/>
          </w:tcPr>
          <w:p w14:paraId="12911211">
            <w:pPr>
              <w:pStyle w:val="13"/>
              <w:jc w:val="center"/>
              <w:rPr>
                <w:rFonts w:hint="eastAsia"/>
              </w:rPr>
            </w:pPr>
            <w:r>
              <w:rPr>
                <w:rFonts w:hint="eastAsia"/>
              </w:rPr>
              <w:t>中学高级</w:t>
            </w:r>
          </w:p>
        </w:tc>
      </w:tr>
      <w:tr w14:paraId="0A806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2307F6E7">
            <w:pPr>
              <w:pStyle w:val="13"/>
              <w:jc w:val="center"/>
              <w:rPr>
                <w:rFonts w:hint="eastAsia"/>
              </w:rPr>
            </w:pPr>
            <w:r>
              <w:rPr>
                <w:rFonts w:hint="eastAsia"/>
              </w:rPr>
              <w:t>4</w:t>
            </w:r>
          </w:p>
        </w:tc>
        <w:tc>
          <w:tcPr>
            <w:tcW w:w="522" w:type="pct"/>
            <w:vMerge w:val="continue"/>
            <w:vAlign w:val="center"/>
          </w:tcPr>
          <w:p w14:paraId="73E7B025">
            <w:pPr>
              <w:pStyle w:val="13"/>
              <w:jc w:val="center"/>
              <w:rPr>
                <w:rFonts w:hint="eastAsia"/>
              </w:rPr>
            </w:pPr>
          </w:p>
        </w:tc>
        <w:tc>
          <w:tcPr>
            <w:tcW w:w="1149" w:type="pct"/>
            <w:vAlign w:val="center"/>
          </w:tcPr>
          <w:p w14:paraId="209483EC">
            <w:pPr>
              <w:pStyle w:val="13"/>
              <w:jc w:val="center"/>
              <w:rPr>
                <w:rFonts w:hint="eastAsia"/>
              </w:rPr>
            </w:pPr>
            <w:r>
              <w:rPr>
                <w:rFonts w:hint="eastAsia"/>
              </w:rPr>
              <w:t>黎口中学</w:t>
            </w:r>
          </w:p>
        </w:tc>
        <w:tc>
          <w:tcPr>
            <w:tcW w:w="1253" w:type="pct"/>
            <w:vAlign w:val="center"/>
          </w:tcPr>
          <w:p w14:paraId="501D5068">
            <w:pPr>
              <w:pStyle w:val="13"/>
              <w:jc w:val="center"/>
              <w:rPr>
                <w:rFonts w:hint="eastAsia"/>
              </w:rPr>
            </w:pPr>
            <w:r>
              <w:rPr>
                <w:rFonts w:hint="eastAsia"/>
              </w:rPr>
              <w:t>吴华山</w:t>
            </w:r>
          </w:p>
        </w:tc>
        <w:tc>
          <w:tcPr>
            <w:tcW w:w="1699" w:type="pct"/>
            <w:vAlign w:val="center"/>
          </w:tcPr>
          <w:p w14:paraId="0A389803">
            <w:pPr>
              <w:pStyle w:val="13"/>
              <w:jc w:val="center"/>
              <w:rPr>
                <w:rFonts w:hint="eastAsia"/>
              </w:rPr>
            </w:pPr>
            <w:r>
              <w:rPr>
                <w:rFonts w:hint="eastAsia"/>
              </w:rPr>
              <w:t>中学高级</w:t>
            </w:r>
          </w:p>
        </w:tc>
      </w:tr>
      <w:tr w14:paraId="5679E4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15547F68">
            <w:pPr>
              <w:pStyle w:val="13"/>
              <w:jc w:val="center"/>
              <w:rPr>
                <w:rFonts w:hint="eastAsia"/>
              </w:rPr>
            </w:pPr>
            <w:r>
              <w:rPr>
                <w:rFonts w:hint="eastAsia"/>
              </w:rPr>
              <w:t>5</w:t>
            </w:r>
          </w:p>
        </w:tc>
        <w:tc>
          <w:tcPr>
            <w:tcW w:w="522" w:type="pct"/>
            <w:vMerge w:val="continue"/>
            <w:vAlign w:val="center"/>
          </w:tcPr>
          <w:p w14:paraId="6000374A">
            <w:pPr>
              <w:pStyle w:val="13"/>
              <w:jc w:val="center"/>
              <w:rPr>
                <w:rFonts w:hint="eastAsia"/>
              </w:rPr>
            </w:pPr>
          </w:p>
        </w:tc>
        <w:tc>
          <w:tcPr>
            <w:tcW w:w="1149" w:type="pct"/>
            <w:vAlign w:val="center"/>
          </w:tcPr>
          <w:p w14:paraId="6E5D3A79">
            <w:pPr>
              <w:pStyle w:val="13"/>
              <w:jc w:val="center"/>
              <w:rPr>
                <w:rFonts w:hint="eastAsia"/>
              </w:rPr>
            </w:pPr>
            <w:r>
              <w:rPr>
                <w:rFonts w:hint="eastAsia"/>
              </w:rPr>
              <w:t>黎口中学</w:t>
            </w:r>
          </w:p>
        </w:tc>
        <w:tc>
          <w:tcPr>
            <w:tcW w:w="1253" w:type="pct"/>
            <w:vAlign w:val="center"/>
          </w:tcPr>
          <w:p w14:paraId="5FE6EF0A">
            <w:pPr>
              <w:pStyle w:val="13"/>
              <w:jc w:val="center"/>
              <w:rPr>
                <w:rFonts w:hint="eastAsia"/>
              </w:rPr>
            </w:pPr>
            <w:r>
              <w:rPr>
                <w:rFonts w:hint="eastAsia"/>
              </w:rPr>
              <w:t>刘德平</w:t>
            </w:r>
          </w:p>
        </w:tc>
        <w:tc>
          <w:tcPr>
            <w:tcW w:w="1699" w:type="pct"/>
            <w:vAlign w:val="center"/>
          </w:tcPr>
          <w:p w14:paraId="40CBF351">
            <w:pPr>
              <w:pStyle w:val="13"/>
              <w:jc w:val="center"/>
              <w:rPr>
                <w:rFonts w:hint="eastAsia"/>
              </w:rPr>
            </w:pPr>
            <w:r>
              <w:rPr>
                <w:rFonts w:hint="eastAsia"/>
              </w:rPr>
              <w:t>中学高级</w:t>
            </w:r>
          </w:p>
        </w:tc>
      </w:tr>
      <w:tr w14:paraId="4CE48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1E933D8D">
            <w:pPr>
              <w:pStyle w:val="13"/>
              <w:jc w:val="center"/>
              <w:rPr>
                <w:rFonts w:hint="eastAsia"/>
              </w:rPr>
            </w:pPr>
            <w:r>
              <w:rPr>
                <w:rFonts w:hint="eastAsia"/>
              </w:rPr>
              <w:t>6</w:t>
            </w:r>
          </w:p>
        </w:tc>
        <w:tc>
          <w:tcPr>
            <w:tcW w:w="522" w:type="pct"/>
            <w:vMerge w:val="continue"/>
            <w:vAlign w:val="center"/>
          </w:tcPr>
          <w:p w14:paraId="0505083C">
            <w:pPr>
              <w:pStyle w:val="13"/>
              <w:jc w:val="center"/>
              <w:rPr>
                <w:rFonts w:hint="eastAsia"/>
              </w:rPr>
            </w:pPr>
          </w:p>
        </w:tc>
        <w:tc>
          <w:tcPr>
            <w:tcW w:w="1149" w:type="pct"/>
            <w:vAlign w:val="center"/>
          </w:tcPr>
          <w:p w14:paraId="47CEF171">
            <w:pPr>
              <w:pStyle w:val="13"/>
              <w:jc w:val="center"/>
              <w:rPr>
                <w:rFonts w:hint="eastAsia"/>
              </w:rPr>
            </w:pPr>
            <w:r>
              <w:rPr>
                <w:rFonts w:hint="eastAsia"/>
              </w:rPr>
              <w:t>黄坑中学</w:t>
            </w:r>
          </w:p>
        </w:tc>
        <w:tc>
          <w:tcPr>
            <w:tcW w:w="1253" w:type="pct"/>
            <w:vAlign w:val="center"/>
          </w:tcPr>
          <w:p w14:paraId="334063C6">
            <w:pPr>
              <w:pStyle w:val="13"/>
              <w:jc w:val="center"/>
              <w:rPr>
                <w:rFonts w:hint="eastAsia"/>
              </w:rPr>
            </w:pPr>
            <w:r>
              <w:rPr>
                <w:rFonts w:hint="eastAsia"/>
              </w:rPr>
              <w:t>肖  飞</w:t>
            </w:r>
          </w:p>
        </w:tc>
        <w:tc>
          <w:tcPr>
            <w:tcW w:w="1699" w:type="pct"/>
            <w:vAlign w:val="center"/>
          </w:tcPr>
          <w:p w14:paraId="48ADF57C">
            <w:pPr>
              <w:pStyle w:val="13"/>
              <w:jc w:val="center"/>
              <w:rPr>
                <w:rFonts w:hint="eastAsia"/>
              </w:rPr>
            </w:pPr>
            <w:r>
              <w:rPr>
                <w:rFonts w:hint="eastAsia"/>
              </w:rPr>
              <w:t>中学高级</w:t>
            </w:r>
          </w:p>
        </w:tc>
      </w:tr>
      <w:tr w14:paraId="23C00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6AFF4EFB">
            <w:pPr>
              <w:pStyle w:val="13"/>
              <w:jc w:val="center"/>
              <w:rPr>
                <w:rFonts w:hint="eastAsia"/>
              </w:rPr>
            </w:pPr>
            <w:r>
              <w:rPr>
                <w:rFonts w:hint="eastAsia"/>
              </w:rPr>
              <w:t>7</w:t>
            </w:r>
          </w:p>
        </w:tc>
        <w:tc>
          <w:tcPr>
            <w:tcW w:w="522" w:type="pct"/>
            <w:vMerge w:val="continue"/>
            <w:vAlign w:val="center"/>
          </w:tcPr>
          <w:p w14:paraId="78021893">
            <w:pPr>
              <w:pStyle w:val="13"/>
              <w:jc w:val="center"/>
              <w:rPr>
                <w:rFonts w:hint="eastAsia"/>
              </w:rPr>
            </w:pPr>
          </w:p>
        </w:tc>
        <w:tc>
          <w:tcPr>
            <w:tcW w:w="1149" w:type="pct"/>
            <w:vAlign w:val="center"/>
          </w:tcPr>
          <w:p w14:paraId="547D2EAF">
            <w:pPr>
              <w:pStyle w:val="13"/>
              <w:jc w:val="center"/>
              <w:rPr>
                <w:rFonts w:hint="eastAsia"/>
              </w:rPr>
            </w:pPr>
            <w:r>
              <w:rPr>
                <w:rFonts w:hint="eastAsia"/>
              </w:rPr>
              <w:t>雄州中学</w:t>
            </w:r>
          </w:p>
        </w:tc>
        <w:tc>
          <w:tcPr>
            <w:tcW w:w="1253" w:type="pct"/>
            <w:vAlign w:val="center"/>
          </w:tcPr>
          <w:p w14:paraId="4DF714DC">
            <w:pPr>
              <w:pStyle w:val="13"/>
              <w:jc w:val="center"/>
              <w:rPr>
                <w:rFonts w:hint="eastAsia"/>
              </w:rPr>
            </w:pPr>
            <w:r>
              <w:rPr>
                <w:rFonts w:hint="eastAsia"/>
              </w:rPr>
              <w:t>胡泽全</w:t>
            </w:r>
          </w:p>
        </w:tc>
        <w:tc>
          <w:tcPr>
            <w:tcW w:w="1699" w:type="pct"/>
            <w:vAlign w:val="center"/>
          </w:tcPr>
          <w:p w14:paraId="60A5AFF2">
            <w:pPr>
              <w:pStyle w:val="13"/>
              <w:jc w:val="center"/>
              <w:rPr>
                <w:rFonts w:hint="eastAsia"/>
              </w:rPr>
            </w:pPr>
            <w:r>
              <w:rPr>
                <w:rFonts w:hint="eastAsia"/>
              </w:rPr>
              <w:t>中学高级</w:t>
            </w:r>
          </w:p>
        </w:tc>
      </w:tr>
      <w:tr w14:paraId="2A5422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1F9F2BF7">
            <w:pPr>
              <w:pStyle w:val="13"/>
              <w:jc w:val="center"/>
              <w:rPr>
                <w:rFonts w:hint="eastAsia"/>
              </w:rPr>
            </w:pPr>
            <w:r>
              <w:rPr>
                <w:rFonts w:hint="eastAsia"/>
              </w:rPr>
              <w:t>8</w:t>
            </w:r>
          </w:p>
        </w:tc>
        <w:tc>
          <w:tcPr>
            <w:tcW w:w="522" w:type="pct"/>
            <w:vMerge w:val="continue"/>
            <w:vAlign w:val="center"/>
          </w:tcPr>
          <w:p w14:paraId="3268CC05">
            <w:pPr>
              <w:pStyle w:val="13"/>
              <w:jc w:val="center"/>
              <w:rPr>
                <w:rFonts w:hint="eastAsia"/>
              </w:rPr>
            </w:pPr>
          </w:p>
        </w:tc>
        <w:tc>
          <w:tcPr>
            <w:tcW w:w="1149" w:type="pct"/>
            <w:vAlign w:val="center"/>
          </w:tcPr>
          <w:p w14:paraId="56AB3557">
            <w:pPr>
              <w:pStyle w:val="13"/>
              <w:jc w:val="center"/>
              <w:rPr>
                <w:rFonts w:hint="eastAsia"/>
              </w:rPr>
            </w:pPr>
            <w:r>
              <w:rPr>
                <w:rFonts w:hint="eastAsia"/>
              </w:rPr>
              <w:t>新城中学</w:t>
            </w:r>
          </w:p>
        </w:tc>
        <w:tc>
          <w:tcPr>
            <w:tcW w:w="1253" w:type="pct"/>
            <w:vAlign w:val="center"/>
          </w:tcPr>
          <w:p w14:paraId="640CB112">
            <w:pPr>
              <w:pStyle w:val="13"/>
              <w:jc w:val="center"/>
              <w:rPr>
                <w:rFonts w:hint="eastAsia"/>
              </w:rPr>
            </w:pPr>
            <w:r>
              <w:rPr>
                <w:rFonts w:hint="eastAsia"/>
              </w:rPr>
              <w:t>康思财</w:t>
            </w:r>
          </w:p>
        </w:tc>
        <w:tc>
          <w:tcPr>
            <w:tcW w:w="1699" w:type="pct"/>
            <w:vAlign w:val="center"/>
          </w:tcPr>
          <w:p w14:paraId="1B0EBAF7">
            <w:pPr>
              <w:pStyle w:val="13"/>
              <w:jc w:val="center"/>
              <w:rPr>
                <w:rFonts w:hint="eastAsia"/>
              </w:rPr>
            </w:pPr>
            <w:r>
              <w:rPr>
                <w:rFonts w:hint="eastAsia"/>
              </w:rPr>
              <w:t>中学高级</w:t>
            </w:r>
          </w:p>
        </w:tc>
      </w:tr>
      <w:tr w14:paraId="5D3BEE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63004C76">
            <w:pPr>
              <w:pStyle w:val="13"/>
              <w:jc w:val="center"/>
              <w:rPr>
                <w:rFonts w:hint="eastAsia"/>
              </w:rPr>
            </w:pPr>
            <w:r>
              <w:rPr>
                <w:rFonts w:hint="eastAsia"/>
              </w:rPr>
              <w:t>9</w:t>
            </w:r>
          </w:p>
        </w:tc>
        <w:tc>
          <w:tcPr>
            <w:tcW w:w="522" w:type="pct"/>
            <w:vMerge w:val="continue"/>
            <w:vAlign w:val="center"/>
          </w:tcPr>
          <w:p w14:paraId="681A04EF">
            <w:pPr>
              <w:pStyle w:val="13"/>
              <w:jc w:val="center"/>
              <w:rPr>
                <w:rFonts w:hint="eastAsia"/>
              </w:rPr>
            </w:pPr>
          </w:p>
        </w:tc>
        <w:tc>
          <w:tcPr>
            <w:tcW w:w="1149" w:type="pct"/>
            <w:vAlign w:val="center"/>
          </w:tcPr>
          <w:p w14:paraId="1A9F91EC">
            <w:pPr>
              <w:pStyle w:val="13"/>
              <w:jc w:val="center"/>
              <w:rPr>
                <w:rFonts w:hint="eastAsia"/>
              </w:rPr>
            </w:pPr>
            <w:r>
              <w:rPr>
                <w:rFonts w:hint="eastAsia"/>
              </w:rPr>
              <w:t>新城中学</w:t>
            </w:r>
          </w:p>
        </w:tc>
        <w:tc>
          <w:tcPr>
            <w:tcW w:w="1253" w:type="pct"/>
            <w:vAlign w:val="center"/>
          </w:tcPr>
          <w:p w14:paraId="0E54B750">
            <w:pPr>
              <w:pStyle w:val="13"/>
              <w:jc w:val="center"/>
              <w:rPr>
                <w:rFonts w:hint="eastAsia"/>
              </w:rPr>
            </w:pPr>
            <w:r>
              <w:rPr>
                <w:rFonts w:hint="eastAsia"/>
              </w:rPr>
              <w:t>邱乐昌</w:t>
            </w:r>
          </w:p>
        </w:tc>
        <w:tc>
          <w:tcPr>
            <w:tcW w:w="1699" w:type="pct"/>
            <w:vAlign w:val="center"/>
          </w:tcPr>
          <w:p w14:paraId="3A94B2D0">
            <w:pPr>
              <w:pStyle w:val="13"/>
              <w:jc w:val="center"/>
              <w:rPr>
                <w:rFonts w:hint="eastAsia"/>
              </w:rPr>
            </w:pPr>
            <w:r>
              <w:rPr>
                <w:rFonts w:hint="eastAsia"/>
              </w:rPr>
              <w:t>中学高级</w:t>
            </w:r>
          </w:p>
        </w:tc>
      </w:tr>
      <w:tr w14:paraId="19B8B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5C4577E5">
            <w:pPr>
              <w:pStyle w:val="13"/>
              <w:jc w:val="center"/>
              <w:rPr>
                <w:rFonts w:hint="eastAsia"/>
              </w:rPr>
            </w:pPr>
            <w:r>
              <w:rPr>
                <w:rFonts w:hint="eastAsia"/>
              </w:rPr>
              <w:t>10</w:t>
            </w:r>
          </w:p>
        </w:tc>
        <w:tc>
          <w:tcPr>
            <w:tcW w:w="522" w:type="pct"/>
            <w:vMerge w:val="continue"/>
            <w:vAlign w:val="center"/>
          </w:tcPr>
          <w:p w14:paraId="172ED5C7">
            <w:pPr>
              <w:pStyle w:val="13"/>
              <w:jc w:val="center"/>
              <w:rPr>
                <w:rFonts w:hint="eastAsia"/>
              </w:rPr>
            </w:pPr>
          </w:p>
        </w:tc>
        <w:tc>
          <w:tcPr>
            <w:tcW w:w="1149" w:type="pct"/>
            <w:vAlign w:val="center"/>
          </w:tcPr>
          <w:p w14:paraId="564F3B2E">
            <w:pPr>
              <w:pStyle w:val="13"/>
              <w:jc w:val="center"/>
              <w:rPr>
                <w:rFonts w:hint="eastAsia"/>
              </w:rPr>
            </w:pPr>
            <w:r>
              <w:rPr>
                <w:rFonts w:hint="eastAsia"/>
              </w:rPr>
              <w:t>新城中学</w:t>
            </w:r>
          </w:p>
        </w:tc>
        <w:tc>
          <w:tcPr>
            <w:tcW w:w="1253" w:type="pct"/>
            <w:vAlign w:val="center"/>
          </w:tcPr>
          <w:p w14:paraId="1FAD489F">
            <w:pPr>
              <w:pStyle w:val="13"/>
              <w:jc w:val="center"/>
              <w:rPr>
                <w:rFonts w:hint="eastAsia"/>
              </w:rPr>
            </w:pPr>
            <w:r>
              <w:rPr>
                <w:rFonts w:hint="eastAsia"/>
              </w:rPr>
              <w:t>徐孔彬</w:t>
            </w:r>
          </w:p>
        </w:tc>
        <w:tc>
          <w:tcPr>
            <w:tcW w:w="1699" w:type="pct"/>
            <w:vAlign w:val="center"/>
          </w:tcPr>
          <w:p w14:paraId="27957B67">
            <w:pPr>
              <w:pStyle w:val="13"/>
              <w:jc w:val="center"/>
              <w:rPr>
                <w:rFonts w:hint="eastAsia"/>
              </w:rPr>
            </w:pPr>
            <w:r>
              <w:rPr>
                <w:rFonts w:hint="eastAsia"/>
              </w:rPr>
              <w:t>中学高级</w:t>
            </w:r>
          </w:p>
        </w:tc>
      </w:tr>
      <w:tr w14:paraId="487C3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71934858">
            <w:pPr>
              <w:pStyle w:val="13"/>
              <w:jc w:val="center"/>
              <w:rPr>
                <w:rFonts w:hint="eastAsia"/>
              </w:rPr>
            </w:pPr>
            <w:r>
              <w:rPr>
                <w:rFonts w:hint="eastAsia"/>
              </w:rPr>
              <w:t>11</w:t>
            </w:r>
          </w:p>
        </w:tc>
        <w:tc>
          <w:tcPr>
            <w:tcW w:w="522" w:type="pct"/>
            <w:vMerge w:val="continue"/>
            <w:vAlign w:val="center"/>
          </w:tcPr>
          <w:p w14:paraId="2A7CA419">
            <w:pPr>
              <w:pStyle w:val="13"/>
              <w:jc w:val="center"/>
              <w:rPr>
                <w:rFonts w:hint="eastAsia"/>
              </w:rPr>
            </w:pPr>
          </w:p>
        </w:tc>
        <w:tc>
          <w:tcPr>
            <w:tcW w:w="1149" w:type="pct"/>
            <w:vAlign w:val="center"/>
          </w:tcPr>
          <w:p w14:paraId="38E5D5E7">
            <w:pPr>
              <w:pStyle w:val="13"/>
              <w:jc w:val="center"/>
              <w:rPr>
                <w:rFonts w:hint="eastAsia"/>
              </w:rPr>
            </w:pPr>
            <w:r>
              <w:rPr>
                <w:rFonts w:hint="eastAsia"/>
              </w:rPr>
              <w:t>新城中学</w:t>
            </w:r>
          </w:p>
        </w:tc>
        <w:tc>
          <w:tcPr>
            <w:tcW w:w="1253" w:type="pct"/>
            <w:vAlign w:val="center"/>
          </w:tcPr>
          <w:p w14:paraId="609A5017">
            <w:pPr>
              <w:pStyle w:val="13"/>
              <w:jc w:val="center"/>
              <w:rPr>
                <w:rFonts w:hint="eastAsia"/>
              </w:rPr>
            </w:pPr>
            <w:r>
              <w:rPr>
                <w:rFonts w:hint="eastAsia"/>
              </w:rPr>
              <w:t>刘雄峰</w:t>
            </w:r>
          </w:p>
        </w:tc>
        <w:tc>
          <w:tcPr>
            <w:tcW w:w="1699" w:type="pct"/>
            <w:vAlign w:val="center"/>
          </w:tcPr>
          <w:p w14:paraId="0BD43383">
            <w:pPr>
              <w:pStyle w:val="13"/>
              <w:jc w:val="center"/>
              <w:rPr>
                <w:rFonts w:hint="eastAsia"/>
              </w:rPr>
            </w:pPr>
            <w:r>
              <w:rPr>
                <w:rFonts w:hint="eastAsia"/>
              </w:rPr>
              <w:t>中学高级</w:t>
            </w:r>
          </w:p>
        </w:tc>
      </w:tr>
      <w:tr w14:paraId="378B6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33376FD0">
            <w:pPr>
              <w:pStyle w:val="13"/>
              <w:jc w:val="center"/>
              <w:rPr>
                <w:rFonts w:hint="eastAsia"/>
              </w:rPr>
            </w:pPr>
            <w:r>
              <w:rPr>
                <w:rFonts w:hint="eastAsia"/>
              </w:rPr>
              <w:t>12</w:t>
            </w:r>
          </w:p>
        </w:tc>
        <w:tc>
          <w:tcPr>
            <w:tcW w:w="522" w:type="pct"/>
            <w:vMerge w:val="continue"/>
            <w:vAlign w:val="center"/>
          </w:tcPr>
          <w:p w14:paraId="0B596531">
            <w:pPr>
              <w:pStyle w:val="13"/>
              <w:jc w:val="center"/>
              <w:rPr>
                <w:rFonts w:hint="eastAsia"/>
              </w:rPr>
            </w:pPr>
          </w:p>
        </w:tc>
        <w:tc>
          <w:tcPr>
            <w:tcW w:w="1149" w:type="pct"/>
            <w:vAlign w:val="center"/>
          </w:tcPr>
          <w:p w14:paraId="3E861985">
            <w:pPr>
              <w:pStyle w:val="13"/>
              <w:jc w:val="center"/>
              <w:rPr>
                <w:rFonts w:hint="eastAsia"/>
              </w:rPr>
            </w:pPr>
            <w:r>
              <w:rPr>
                <w:rFonts w:hint="eastAsia"/>
              </w:rPr>
              <w:t>新城中学</w:t>
            </w:r>
          </w:p>
        </w:tc>
        <w:tc>
          <w:tcPr>
            <w:tcW w:w="1253" w:type="pct"/>
            <w:vAlign w:val="center"/>
          </w:tcPr>
          <w:p w14:paraId="5CEAA470">
            <w:pPr>
              <w:pStyle w:val="13"/>
              <w:jc w:val="center"/>
              <w:rPr>
                <w:rFonts w:hint="eastAsia"/>
              </w:rPr>
            </w:pPr>
            <w:r>
              <w:rPr>
                <w:rFonts w:hint="eastAsia"/>
              </w:rPr>
              <w:t>蓝霞秀</w:t>
            </w:r>
          </w:p>
        </w:tc>
        <w:tc>
          <w:tcPr>
            <w:tcW w:w="1699" w:type="pct"/>
            <w:vAlign w:val="center"/>
          </w:tcPr>
          <w:p w14:paraId="6669E096">
            <w:pPr>
              <w:pStyle w:val="13"/>
              <w:jc w:val="center"/>
              <w:rPr>
                <w:rFonts w:hint="eastAsia"/>
              </w:rPr>
            </w:pPr>
            <w:r>
              <w:rPr>
                <w:rFonts w:hint="eastAsia"/>
              </w:rPr>
              <w:t>中学高级</w:t>
            </w:r>
          </w:p>
        </w:tc>
      </w:tr>
      <w:tr w14:paraId="05212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127F90F9">
            <w:pPr>
              <w:pStyle w:val="13"/>
              <w:jc w:val="center"/>
              <w:rPr>
                <w:rFonts w:hint="eastAsia"/>
              </w:rPr>
            </w:pPr>
            <w:r>
              <w:rPr>
                <w:rFonts w:hint="eastAsia"/>
              </w:rPr>
              <w:t>13</w:t>
            </w:r>
          </w:p>
        </w:tc>
        <w:tc>
          <w:tcPr>
            <w:tcW w:w="522" w:type="pct"/>
            <w:vMerge w:val="continue"/>
            <w:vAlign w:val="center"/>
          </w:tcPr>
          <w:p w14:paraId="4ACD8647">
            <w:pPr>
              <w:pStyle w:val="13"/>
              <w:jc w:val="center"/>
              <w:rPr>
                <w:rFonts w:hint="eastAsia"/>
              </w:rPr>
            </w:pPr>
          </w:p>
        </w:tc>
        <w:tc>
          <w:tcPr>
            <w:tcW w:w="1149" w:type="pct"/>
            <w:vAlign w:val="center"/>
          </w:tcPr>
          <w:p w14:paraId="4A881895">
            <w:pPr>
              <w:pStyle w:val="13"/>
              <w:jc w:val="center"/>
              <w:rPr>
                <w:rFonts w:hint="eastAsia"/>
              </w:rPr>
            </w:pPr>
            <w:r>
              <w:rPr>
                <w:rFonts w:hint="eastAsia"/>
              </w:rPr>
              <w:t>新城中学</w:t>
            </w:r>
          </w:p>
        </w:tc>
        <w:tc>
          <w:tcPr>
            <w:tcW w:w="1253" w:type="pct"/>
            <w:vAlign w:val="center"/>
          </w:tcPr>
          <w:p w14:paraId="7E2E5C39">
            <w:pPr>
              <w:pStyle w:val="13"/>
              <w:jc w:val="center"/>
              <w:rPr>
                <w:rFonts w:hint="eastAsia"/>
              </w:rPr>
            </w:pPr>
            <w:r>
              <w:rPr>
                <w:rFonts w:hint="eastAsia"/>
              </w:rPr>
              <w:t>黎文兴</w:t>
            </w:r>
          </w:p>
        </w:tc>
        <w:tc>
          <w:tcPr>
            <w:tcW w:w="1699" w:type="pct"/>
            <w:vAlign w:val="center"/>
          </w:tcPr>
          <w:p w14:paraId="1732F065">
            <w:pPr>
              <w:pStyle w:val="13"/>
              <w:jc w:val="center"/>
              <w:rPr>
                <w:rFonts w:hint="eastAsia"/>
              </w:rPr>
            </w:pPr>
            <w:r>
              <w:rPr>
                <w:rFonts w:hint="eastAsia"/>
              </w:rPr>
              <w:t>中学高级</w:t>
            </w:r>
          </w:p>
        </w:tc>
      </w:tr>
      <w:tr w14:paraId="2A95D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5A70C346">
            <w:pPr>
              <w:pStyle w:val="13"/>
              <w:jc w:val="center"/>
              <w:rPr>
                <w:rFonts w:hint="eastAsia"/>
              </w:rPr>
            </w:pPr>
            <w:r>
              <w:rPr>
                <w:rFonts w:hint="eastAsia"/>
              </w:rPr>
              <w:t>14</w:t>
            </w:r>
          </w:p>
        </w:tc>
        <w:tc>
          <w:tcPr>
            <w:tcW w:w="522" w:type="pct"/>
            <w:vMerge w:val="continue"/>
            <w:vAlign w:val="center"/>
          </w:tcPr>
          <w:p w14:paraId="6FCD247F">
            <w:pPr>
              <w:pStyle w:val="13"/>
              <w:jc w:val="center"/>
              <w:rPr>
                <w:rFonts w:hint="eastAsia"/>
              </w:rPr>
            </w:pPr>
          </w:p>
        </w:tc>
        <w:tc>
          <w:tcPr>
            <w:tcW w:w="1149" w:type="pct"/>
            <w:vAlign w:val="center"/>
          </w:tcPr>
          <w:p w14:paraId="545A669D">
            <w:pPr>
              <w:pStyle w:val="13"/>
              <w:jc w:val="center"/>
              <w:rPr>
                <w:rFonts w:hint="eastAsia"/>
              </w:rPr>
            </w:pPr>
            <w:r>
              <w:rPr>
                <w:rFonts w:hint="eastAsia"/>
              </w:rPr>
              <w:t>新城中学</w:t>
            </w:r>
          </w:p>
        </w:tc>
        <w:tc>
          <w:tcPr>
            <w:tcW w:w="1253" w:type="pct"/>
            <w:vAlign w:val="center"/>
          </w:tcPr>
          <w:p w14:paraId="503B0A5C">
            <w:pPr>
              <w:pStyle w:val="13"/>
              <w:jc w:val="center"/>
              <w:rPr>
                <w:rFonts w:hint="eastAsia"/>
              </w:rPr>
            </w:pPr>
            <w:r>
              <w:rPr>
                <w:rFonts w:hint="eastAsia"/>
              </w:rPr>
              <w:t>侯春明</w:t>
            </w:r>
          </w:p>
        </w:tc>
        <w:tc>
          <w:tcPr>
            <w:tcW w:w="1699" w:type="pct"/>
            <w:vAlign w:val="center"/>
          </w:tcPr>
          <w:p w14:paraId="653230A0">
            <w:pPr>
              <w:pStyle w:val="13"/>
              <w:jc w:val="center"/>
              <w:rPr>
                <w:rFonts w:hint="eastAsia"/>
              </w:rPr>
            </w:pPr>
            <w:r>
              <w:rPr>
                <w:rFonts w:hint="eastAsia"/>
              </w:rPr>
              <w:t>中学高级</w:t>
            </w:r>
          </w:p>
        </w:tc>
      </w:tr>
      <w:tr w14:paraId="25C73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56B237C5">
            <w:pPr>
              <w:pStyle w:val="13"/>
              <w:jc w:val="center"/>
              <w:rPr>
                <w:rFonts w:hint="eastAsia"/>
              </w:rPr>
            </w:pPr>
            <w:r>
              <w:rPr>
                <w:rFonts w:hint="eastAsia"/>
              </w:rPr>
              <w:t>15</w:t>
            </w:r>
          </w:p>
        </w:tc>
        <w:tc>
          <w:tcPr>
            <w:tcW w:w="522" w:type="pct"/>
            <w:vMerge w:val="continue"/>
            <w:vAlign w:val="center"/>
          </w:tcPr>
          <w:p w14:paraId="784CCA60">
            <w:pPr>
              <w:pStyle w:val="13"/>
              <w:jc w:val="center"/>
              <w:rPr>
                <w:rFonts w:hint="eastAsia"/>
              </w:rPr>
            </w:pPr>
          </w:p>
        </w:tc>
        <w:tc>
          <w:tcPr>
            <w:tcW w:w="1149" w:type="pct"/>
            <w:vAlign w:val="center"/>
          </w:tcPr>
          <w:p w14:paraId="5414057B">
            <w:pPr>
              <w:pStyle w:val="13"/>
              <w:jc w:val="center"/>
              <w:rPr>
                <w:rFonts w:hint="eastAsia"/>
              </w:rPr>
            </w:pPr>
            <w:r>
              <w:rPr>
                <w:rFonts w:hint="eastAsia"/>
              </w:rPr>
              <w:t>新城中学</w:t>
            </w:r>
          </w:p>
        </w:tc>
        <w:tc>
          <w:tcPr>
            <w:tcW w:w="1253" w:type="pct"/>
            <w:vAlign w:val="center"/>
          </w:tcPr>
          <w:p w14:paraId="7C9A13D2">
            <w:pPr>
              <w:pStyle w:val="13"/>
              <w:jc w:val="center"/>
              <w:rPr>
                <w:rFonts w:hint="eastAsia"/>
              </w:rPr>
            </w:pPr>
            <w:r>
              <w:rPr>
                <w:rFonts w:hint="eastAsia"/>
              </w:rPr>
              <w:t>雷清巧</w:t>
            </w:r>
          </w:p>
        </w:tc>
        <w:tc>
          <w:tcPr>
            <w:tcW w:w="1699" w:type="pct"/>
            <w:vAlign w:val="center"/>
          </w:tcPr>
          <w:p w14:paraId="19A954CE">
            <w:pPr>
              <w:pStyle w:val="13"/>
              <w:jc w:val="center"/>
              <w:rPr>
                <w:rFonts w:hint="eastAsia"/>
              </w:rPr>
            </w:pPr>
            <w:r>
              <w:rPr>
                <w:rFonts w:hint="eastAsia"/>
              </w:rPr>
              <w:t>中学高级</w:t>
            </w:r>
          </w:p>
        </w:tc>
      </w:tr>
      <w:tr w14:paraId="5DA82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42C10106">
            <w:pPr>
              <w:pStyle w:val="13"/>
              <w:jc w:val="center"/>
              <w:rPr>
                <w:rFonts w:hint="eastAsia"/>
              </w:rPr>
            </w:pPr>
            <w:r>
              <w:rPr>
                <w:rFonts w:hint="eastAsia"/>
              </w:rPr>
              <w:t>16</w:t>
            </w:r>
          </w:p>
        </w:tc>
        <w:tc>
          <w:tcPr>
            <w:tcW w:w="522" w:type="pct"/>
            <w:vMerge w:val="continue"/>
            <w:vAlign w:val="center"/>
          </w:tcPr>
          <w:p w14:paraId="10B6BE43">
            <w:pPr>
              <w:pStyle w:val="13"/>
              <w:jc w:val="center"/>
              <w:rPr>
                <w:rFonts w:hint="eastAsia"/>
              </w:rPr>
            </w:pPr>
          </w:p>
        </w:tc>
        <w:tc>
          <w:tcPr>
            <w:tcW w:w="1149" w:type="pct"/>
            <w:vAlign w:val="center"/>
          </w:tcPr>
          <w:p w14:paraId="7776A759">
            <w:pPr>
              <w:pStyle w:val="13"/>
              <w:jc w:val="center"/>
              <w:rPr>
                <w:rFonts w:hint="eastAsia"/>
              </w:rPr>
            </w:pPr>
            <w:r>
              <w:rPr>
                <w:rFonts w:hint="eastAsia"/>
              </w:rPr>
              <w:t>新城中学</w:t>
            </w:r>
          </w:p>
        </w:tc>
        <w:tc>
          <w:tcPr>
            <w:tcW w:w="1253" w:type="pct"/>
            <w:vAlign w:val="center"/>
          </w:tcPr>
          <w:p w14:paraId="43FE3AEC">
            <w:pPr>
              <w:pStyle w:val="13"/>
              <w:jc w:val="center"/>
              <w:rPr>
                <w:rFonts w:hint="eastAsia"/>
              </w:rPr>
            </w:pPr>
            <w:r>
              <w:rPr>
                <w:rFonts w:hint="eastAsia"/>
              </w:rPr>
              <w:t>郭文汇</w:t>
            </w:r>
          </w:p>
        </w:tc>
        <w:tc>
          <w:tcPr>
            <w:tcW w:w="1699" w:type="pct"/>
            <w:vAlign w:val="center"/>
          </w:tcPr>
          <w:p w14:paraId="421BCEDB">
            <w:pPr>
              <w:pStyle w:val="13"/>
              <w:jc w:val="center"/>
              <w:rPr>
                <w:rFonts w:hint="eastAsia"/>
              </w:rPr>
            </w:pPr>
            <w:r>
              <w:rPr>
                <w:rFonts w:hint="eastAsia"/>
              </w:rPr>
              <w:t>中学高级</w:t>
            </w:r>
          </w:p>
        </w:tc>
      </w:tr>
      <w:tr w14:paraId="00134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28635E8D">
            <w:pPr>
              <w:pStyle w:val="13"/>
              <w:jc w:val="center"/>
              <w:rPr>
                <w:rFonts w:hint="eastAsia"/>
              </w:rPr>
            </w:pPr>
            <w:r>
              <w:rPr>
                <w:rFonts w:hint="eastAsia"/>
              </w:rPr>
              <w:t>17</w:t>
            </w:r>
          </w:p>
        </w:tc>
        <w:tc>
          <w:tcPr>
            <w:tcW w:w="522" w:type="pct"/>
            <w:vMerge w:val="continue"/>
            <w:vAlign w:val="center"/>
          </w:tcPr>
          <w:p w14:paraId="5D0E4689">
            <w:pPr>
              <w:pStyle w:val="13"/>
              <w:jc w:val="center"/>
              <w:rPr>
                <w:rFonts w:hint="eastAsia"/>
              </w:rPr>
            </w:pPr>
          </w:p>
        </w:tc>
        <w:tc>
          <w:tcPr>
            <w:tcW w:w="1149" w:type="pct"/>
            <w:vAlign w:val="center"/>
          </w:tcPr>
          <w:p w14:paraId="6151D6C8">
            <w:pPr>
              <w:pStyle w:val="13"/>
              <w:jc w:val="center"/>
              <w:rPr>
                <w:rFonts w:hint="eastAsia"/>
              </w:rPr>
            </w:pPr>
            <w:r>
              <w:rPr>
                <w:rFonts w:hint="eastAsia"/>
              </w:rPr>
              <w:t>南雄中学</w:t>
            </w:r>
          </w:p>
        </w:tc>
        <w:tc>
          <w:tcPr>
            <w:tcW w:w="1253" w:type="pct"/>
            <w:vAlign w:val="center"/>
          </w:tcPr>
          <w:p w14:paraId="58E72B49">
            <w:pPr>
              <w:pStyle w:val="13"/>
              <w:jc w:val="center"/>
              <w:rPr>
                <w:rFonts w:hint="eastAsia"/>
              </w:rPr>
            </w:pPr>
            <w:r>
              <w:rPr>
                <w:rFonts w:hint="eastAsia"/>
              </w:rPr>
              <w:t>徐  军</w:t>
            </w:r>
          </w:p>
        </w:tc>
        <w:tc>
          <w:tcPr>
            <w:tcW w:w="1699" w:type="pct"/>
            <w:vAlign w:val="center"/>
          </w:tcPr>
          <w:p w14:paraId="0D3541E6">
            <w:pPr>
              <w:pStyle w:val="13"/>
              <w:jc w:val="center"/>
              <w:rPr>
                <w:rFonts w:hint="eastAsia"/>
              </w:rPr>
            </w:pPr>
            <w:r>
              <w:rPr>
                <w:rFonts w:hint="eastAsia"/>
              </w:rPr>
              <w:t>中学高级</w:t>
            </w:r>
          </w:p>
        </w:tc>
      </w:tr>
      <w:tr w14:paraId="3D274C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6B8E22DC">
            <w:pPr>
              <w:pStyle w:val="13"/>
              <w:jc w:val="center"/>
              <w:rPr>
                <w:rFonts w:hint="eastAsia"/>
              </w:rPr>
            </w:pPr>
            <w:r>
              <w:rPr>
                <w:rFonts w:hint="eastAsia"/>
              </w:rPr>
              <w:t>18</w:t>
            </w:r>
          </w:p>
        </w:tc>
        <w:tc>
          <w:tcPr>
            <w:tcW w:w="522" w:type="pct"/>
            <w:vMerge w:val="continue"/>
            <w:vAlign w:val="center"/>
          </w:tcPr>
          <w:p w14:paraId="3F88C79C">
            <w:pPr>
              <w:pStyle w:val="13"/>
              <w:jc w:val="center"/>
              <w:rPr>
                <w:rFonts w:hint="eastAsia"/>
              </w:rPr>
            </w:pPr>
          </w:p>
        </w:tc>
        <w:tc>
          <w:tcPr>
            <w:tcW w:w="1149" w:type="pct"/>
            <w:vAlign w:val="center"/>
          </w:tcPr>
          <w:p w14:paraId="59E339B0">
            <w:pPr>
              <w:pStyle w:val="13"/>
              <w:jc w:val="center"/>
              <w:rPr>
                <w:rFonts w:hint="eastAsia"/>
              </w:rPr>
            </w:pPr>
            <w:r>
              <w:rPr>
                <w:rFonts w:hint="eastAsia"/>
              </w:rPr>
              <w:t>南雄中学</w:t>
            </w:r>
          </w:p>
        </w:tc>
        <w:tc>
          <w:tcPr>
            <w:tcW w:w="1253" w:type="pct"/>
            <w:vAlign w:val="center"/>
          </w:tcPr>
          <w:p w14:paraId="016BEB01">
            <w:pPr>
              <w:pStyle w:val="13"/>
              <w:jc w:val="center"/>
              <w:rPr>
                <w:rFonts w:hint="eastAsia"/>
              </w:rPr>
            </w:pPr>
            <w:r>
              <w:rPr>
                <w:rFonts w:hint="eastAsia"/>
              </w:rPr>
              <w:t>陈晓生</w:t>
            </w:r>
          </w:p>
        </w:tc>
        <w:tc>
          <w:tcPr>
            <w:tcW w:w="1699" w:type="pct"/>
            <w:vAlign w:val="center"/>
          </w:tcPr>
          <w:p w14:paraId="5AA07CA8">
            <w:pPr>
              <w:pStyle w:val="13"/>
              <w:jc w:val="center"/>
              <w:rPr>
                <w:rFonts w:hint="eastAsia"/>
              </w:rPr>
            </w:pPr>
            <w:r>
              <w:rPr>
                <w:rFonts w:hint="eastAsia"/>
              </w:rPr>
              <w:t>中学高级</w:t>
            </w:r>
          </w:p>
        </w:tc>
      </w:tr>
      <w:tr w14:paraId="18B9D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69BB8D11">
            <w:pPr>
              <w:pStyle w:val="13"/>
              <w:jc w:val="center"/>
              <w:rPr>
                <w:rFonts w:hint="eastAsia"/>
              </w:rPr>
            </w:pPr>
            <w:r>
              <w:rPr>
                <w:rFonts w:hint="eastAsia"/>
              </w:rPr>
              <w:t>19</w:t>
            </w:r>
          </w:p>
        </w:tc>
        <w:tc>
          <w:tcPr>
            <w:tcW w:w="522" w:type="pct"/>
            <w:vMerge w:val="continue"/>
            <w:vAlign w:val="center"/>
          </w:tcPr>
          <w:p w14:paraId="01EC8053">
            <w:pPr>
              <w:pStyle w:val="13"/>
              <w:jc w:val="center"/>
              <w:rPr>
                <w:rFonts w:hint="eastAsia"/>
              </w:rPr>
            </w:pPr>
          </w:p>
        </w:tc>
        <w:tc>
          <w:tcPr>
            <w:tcW w:w="1149" w:type="pct"/>
            <w:vAlign w:val="center"/>
          </w:tcPr>
          <w:p w14:paraId="357B8189">
            <w:pPr>
              <w:pStyle w:val="13"/>
              <w:jc w:val="center"/>
              <w:rPr>
                <w:rFonts w:hint="eastAsia"/>
              </w:rPr>
            </w:pPr>
            <w:r>
              <w:rPr>
                <w:rFonts w:hint="eastAsia"/>
              </w:rPr>
              <w:t>南雄中学</w:t>
            </w:r>
          </w:p>
        </w:tc>
        <w:tc>
          <w:tcPr>
            <w:tcW w:w="1253" w:type="pct"/>
            <w:vAlign w:val="center"/>
          </w:tcPr>
          <w:p w14:paraId="63676116">
            <w:pPr>
              <w:pStyle w:val="13"/>
              <w:jc w:val="center"/>
              <w:rPr>
                <w:rFonts w:hint="eastAsia"/>
              </w:rPr>
            </w:pPr>
            <w:r>
              <w:rPr>
                <w:rFonts w:hint="eastAsia"/>
              </w:rPr>
              <w:t>严庆星</w:t>
            </w:r>
          </w:p>
        </w:tc>
        <w:tc>
          <w:tcPr>
            <w:tcW w:w="1699" w:type="pct"/>
            <w:vAlign w:val="center"/>
          </w:tcPr>
          <w:p w14:paraId="4752A8D1">
            <w:pPr>
              <w:pStyle w:val="13"/>
              <w:jc w:val="center"/>
              <w:rPr>
                <w:rFonts w:hint="eastAsia"/>
              </w:rPr>
            </w:pPr>
            <w:r>
              <w:rPr>
                <w:rFonts w:hint="eastAsia"/>
              </w:rPr>
              <w:t>中学高级</w:t>
            </w:r>
          </w:p>
        </w:tc>
      </w:tr>
      <w:tr w14:paraId="1AB7A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076D03D9">
            <w:pPr>
              <w:pStyle w:val="13"/>
              <w:jc w:val="center"/>
              <w:rPr>
                <w:rFonts w:hint="eastAsia"/>
              </w:rPr>
            </w:pPr>
            <w:r>
              <w:rPr>
                <w:rFonts w:hint="eastAsia"/>
              </w:rPr>
              <w:t>20</w:t>
            </w:r>
          </w:p>
        </w:tc>
        <w:tc>
          <w:tcPr>
            <w:tcW w:w="522" w:type="pct"/>
            <w:vMerge w:val="continue"/>
            <w:vAlign w:val="center"/>
          </w:tcPr>
          <w:p w14:paraId="04A53050">
            <w:pPr>
              <w:pStyle w:val="13"/>
              <w:jc w:val="center"/>
              <w:rPr>
                <w:rFonts w:hint="eastAsia"/>
              </w:rPr>
            </w:pPr>
          </w:p>
        </w:tc>
        <w:tc>
          <w:tcPr>
            <w:tcW w:w="1149" w:type="pct"/>
            <w:vAlign w:val="center"/>
          </w:tcPr>
          <w:p w14:paraId="65ACDA67">
            <w:pPr>
              <w:pStyle w:val="13"/>
              <w:jc w:val="center"/>
              <w:rPr>
                <w:rFonts w:hint="eastAsia"/>
              </w:rPr>
            </w:pPr>
            <w:r>
              <w:rPr>
                <w:rFonts w:hint="eastAsia"/>
              </w:rPr>
              <w:t>南雄中学</w:t>
            </w:r>
          </w:p>
        </w:tc>
        <w:tc>
          <w:tcPr>
            <w:tcW w:w="1253" w:type="pct"/>
            <w:vAlign w:val="center"/>
          </w:tcPr>
          <w:p w14:paraId="591AF964">
            <w:pPr>
              <w:pStyle w:val="13"/>
              <w:jc w:val="center"/>
              <w:rPr>
                <w:rFonts w:hint="eastAsia"/>
              </w:rPr>
            </w:pPr>
            <w:r>
              <w:rPr>
                <w:rFonts w:hint="eastAsia"/>
              </w:rPr>
              <w:t>江会忠</w:t>
            </w:r>
          </w:p>
        </w:tc>
        <w:tc>
          <w:tcPr>
            <w:tcW w:w="1699" w:type="pct"/>
            <w:vAlign w:val="center"/>
          </w:tcPr>
          <w:p w14:paraId="28481A30">
            <w:pPr>
              <w:pStyle w:val="13"/>
              <w:jc w:val="center"/>
              <w:rPr>
                <w:rFonts w:hint="eastAsia"/>
              </w:rPr>
            </w:pPr>
            <w:r>
              <w:rPr>
                <w:rFonts w:hint="eastAsia"/>
              </w:rPr>
              <w:t>中学高级</w:t>
            </w:r>
          </w:p>
        </w:tc>
      </w:tr>
      <w:tr w14:paraId="0A0FE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013B5A20">
            <w:pPr>
              <w:pStyle w:val="13"/>
              <w:jc w:val="center"/>
              <w:rPr>
                <w:rFonts w:hint="eastAsia"/>
              </w:rPr>
            </w:pPr>
            <w:r>
              <w:rPr>
                <w:rFonts w:hint="eastAsia"/>
              </w:rPr>
              <w:t>21</w:t>
            </w:r>
          </w:p>
        </w:tc>
        <w:tc>
          <w:tcPr>
            <w:tcW w:w="522" w:type="pct"/>
            <w:vMerge w:val="continue"/>
            <w:vAlign w:val="center"/>
          </w:tcPr>
          <w:p w14:paraId="05252A31">
            <w:pPr>
              <w:pStyle w:val="13"/>
              <w:jc w:val="center"/>
              <w:rPr>
                <w:rFonts w:hint="eastAsia"/>
              </w:rPr>
            </w:pPr>
          </w:p>
        </w:tc>
        <w:tc>
          <w:tcPr>
            <w:tcW w:w="1149" w:type="pct"/>
            <w:vAlign w:val="center"/>
          </w:tcPr>
          <w:p w14:paraId="3AB4E8CD">
            <w:pPr>
              <w:pStyle w:val="13"/>
              <w:jc w:val="center"/>
              <w:rPr>
                <w:rFonts w:hint="eastAsia"/>
              </w:rPr>
            </w:pPr>
            <w:r>
              <w:rPr>
                <w:rFonts w:hint="eastAsia"/>
              </w:rPr>
              <w:t>南雄中学</w:t>
            </w:r>
          </w:p>
        </w:tc>
        <w:tc>
          <w:tcPr>
            <w:tcW w:w="1253" w:type="pct"/>
            <w:vAlign w:val="center"/>
          </w:tcPr>
          <w:p w14:paraId="13814B31">
            <w:pPr>
              <w:pStyle w:val="13"/>
              <w:jc w:val="center"/>
              <w:rPr>
                <w:rFonts w:hint="eastAsia"/>
              </w:rPr>
            </w:pPr>
            <w:r>
              <w:rPr>
                <w:rFonts w:hint="eastAsia"/>
              </w:rPr>
              <w:t>叶毓圣</w:t>
            </w:r>
          </w:p>
        </w:tc>
        <w:tc>
          <w:tcPr>
            <w:tcW w:w="1699" w:type="pct"/>
            <w:vAlign w:val="center"/>
          </w:tcPr>
          <w:p w14:paraId="6E63831F">
            <w:pPr>
              <w:pStyle w:val="13"/>
              <w:jc w:val="center"/>
              <w:rPr>
                <w:rFonts w:hint="eastAsia"/>
              </w:rPr>
            </w:pPr>
            <w:r>
              <w:rPr>
                <w:rFonts w:hint="eastAsia"/>
              </w:rPr>
              <w:t>中学高级</w:t>
            </w:r>
          </w:p>
        </w:tc>
      </w:tr>
      <w:tr w14:paraId="001C4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515BD2CC">
            <w:pPr>
              <w:pStyle w:val="13"/>
              <w:jc w:val="center"/>
              <w:rPr>
                <w:rFonts w:hint="eastAsia"/>
              </w:rPr>
            </w:pPr>
            <w:r>
              <w:rPr>
                <w:rFonts w:hint="eastAsia"/>
              </w:rPr>
              <w:t>22</w:t>
            </w:r>
          </w:p>
        </w:tc>
        <w:tc>
          <w:tcPr>
            <w:tcW w:w="522" w:type="pct"/>
            <w:vMerge w:val="continue"/>
            <w:vAlign w:val="center"/>
          </w:tcPr>
          <w:p w14:paraId="3358908B">
            <w:pPr>
              <w:pStyle w:val="13"/>
              <w:jc w:val="center"/>
              <w:rPr>
                <w:rFonts w:hint="eastAsia"/>
              </w:rPr>
            </w:pPr>
          </w:p>
        </w:tc>
        <w:tc>
          <w:tcPr>
            <w:tcW w:w="1149" w:type="pct"/>
            <w:vAlign w:val="center"/>
          </w:tcPr>
          <w:p w14:paraId="7DF42A35">
            <w:pPr>
              <w:pStyle w:val="13"/>
              <w:jc w:val="center"/>
              <w:rPr>
                <w:rFonts w:hint="eastAsia"/>
              </w:rPr>
            </w:pPr>
            <w:r>
              <w:rPr>
                <w:rFonts w:hint="eastAsia"/>
              </w:rPr>
              <w:t>南雄中学</w:t>
            </w:r>
          </w:p>
        </w:tc>
        <w:tc>
          <w:tcPr>
            <w:tcW w:w="1253" w:type="pct"/>
            <w:vAlign w:val="center"/>
          </w:tcPr>
          <w:p w14:paraId="2001D6F7">
            <w:pPr>
              <w:pStyle w:val="13"/>
              <w:jc w:val="center"/>
              <w:rPr>
                <w:rFonts w:hint="eastAsia"/>
              </w:rPr>
            </w:pPr>
            <w:r>
              <w:rPr>
                <w:rFonts w:hint="eastAsia"/>
              </w:rPr>
              <w:t>赖华忠</w:t>
            </w:r>
          </w:p>
        </w:tc>
        <w:tc>
          <w:tcPr>
            <w:tcW w:w="1699" w:type="pct"/>
            <w:vAlign w:val="center"/>
          </w:tcPr>
          <w:p w14:paraId="0502F3B2">
            <w:pPr>
              <w:pStyle w:val="13"/>
              <w:jc w:val="center"/>
              <w:rPr>
                <w:rFonts w:hint="eastAsia"/>
              </w:rPr>
            </w:pPr>
            <w:r>
              <w:rPr>
                <w:rFonts w:hint="eastAsia"/>
              </w:rPr>
              <w:t>中学高级</w:t>
            </w:r>
          </w:p>
        </w:tc>
      </w:tr>
      <w:tr w14:paraId="182F0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7A86E51A">
            <w:pPr>
              <w:pStyle w:val="13"/>
              <w:jc w:val="center"/>
              <w:rPr>
                <w:rFonts w:hint="eastAsia"/>
              </w:rPr>
            </w:pPr>
            <w:r>
              <w:rPr>
                <w:rFonts w:hint="eastAsia"/>
              </w:rPr>
              <w:t>23</w:t>
            </w:r>
          </w:p>
        </w:tc>
        <w:tc>
          <w:tcPr>
            <w:tcW w:w="522" w:type="pct"/>
            <w:vMerge w:val="continue"/>
            <w:vAlign w:val="center"/>
          </w:tcPr>
          <w:p w14:paraId="290B355D">
            <w:pPr>
              <w:pStyle w:val="13"/>
              <w:jc w:val="center"/>
              <w:rPr>
                <w:rFonts w:hint="eastAsia"/>
              </w:rPr>
            </w:pPr>
          </w:p>
        </w:tc>
        <w:tc>
          <w:tcPr>
            <w:tcW w:w="1149" w:type="pct"/>
            <w:vAlign w:val="center"/>
          </w:tcPr>
          <w:p w14:paraId="1C5784DE">
            <w:pPr>
              <w:pStyle w:val="13"/>
              <w:jc w:val="center"/>
              <w:rPr>
                <w:rFonts w:hint="eastAsia"/>
              </w:rPr>
            </w:pPr>
            <w:r>
              <w:rPr>
                <w:rFonts w:hint="eastAsia"/>
              </w:rPr>
              <w:t>南雄中学</w:t>
            </w:r>
          </w:p>
        </w:tc>
        <w:tc>
          <w:tcPr>
            <w:tcW w:w="1253" w:type="pct"/>
            <w:vAlign w:val="center"/>
          </w:tcPr>
          <w:p w14:paraId="18CB38A8">
            <w:pPr>
              <w:pStyle w:val="13"/>
              <w:jc w:val="center"/>
              <w:rPr>
                <w:rFonts w:hint="eastAsia"/>
              </w:rPr>
            </w:pPr>
            <w:r>
              <w:rPr>
                <w:rFonts w:hint="eastAsia"/>
              </w:rPr>
              <w:t>黄晓斌</w:t>
            </w:r>
          </w:p>
        </w:tc>
        <w:tc>
          <w:tcPr>
            <w:tcW w:w="1699" w:type="pct"/>
            <w:vAlign w:val="center"/>
          </w:tcPr>
          <w:p w14:paraId="14CB67BA">
            <w:pPr>
              <w:pStyle w:val="13"/>
              <w:jc w:val="center"/>
              <w:rPr>
                <w:rFonts w:hint="eastAsia"/>
              </w:rPr>
            </w:pPr>
            <w:r>
              <w:rPr>
                <w:rFonts w:hint="eastAsia"/>
              </w:rPr>
              <w:t>中学高级</w:t>
            </w:r>
          </w:p>
        </w:tc>
      </w:tr>
      <w:tr w14:paraId="0533A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0DC62979">
            <w:pPr>
              <w:pStyle w:val="13"/>
              <w:jc w:val="center"/>
              <w:rPr>
                <w:rFonts w:hint="eastAsia"/>
              </w:rPr>
            </w:pPr>
            <w:r>
              <w:rPr>
                <w:rFonts w:hint="eastAsia"/>
              </w:rPr>
              <w:t>24</w:t>
            </w:r>
          </w:p>
        </w:tc>
        <w:tc>
          <w:tcPr>
            <w:tcW w:w="522" w:type="pct"/>
            <w:vMerge w:val="continue"/>
            <w:vAlign w:val="center"/>
          </w:tcPr>
          <w:p w14:paraId="794C6E14">
            <w:pPr>
              <w:pStyle w:val="13"/>
              <w:jc w:val="center"/>
              <w:rPr>
                <w:rFonts w:hint="eastAsia"/>
              </w:rPr>
            </w:pPr>
          </w:p>
        </w:tc>
        <w:tc>
          <w:tcPr>
            <w:tcW w:w="1149" w:type="pct"/>
            <w:vAlign w:val="center"/>
          </w:tcPr>
          <w:p w14:paraId="19380596">
            <w:pPr>
              <w:pStyle w:val="13"/>
              <w:jc w:val="center"/>
              <w:rPr>
                <w:rFonts w:hint="eastAsia"/>
              </w:rPr>
            </w:pPr>
            <w:r>
              <w:rPr>
                <w:rFonts w:hint="eastAsia"/>
              </w:rPr>
              <w:t>南雄中学</w:t>
            </w:r>
          </w:p>
        </w:tc>
        <w:tc>
          <w:tcPr>
            <w:tcW w:w="1253" w:type="pct"/>
            <w:vAlign w:val="center"/>
          </w:tcPr>
          <w:p w14:paraId="1F5B7347">
            <w:pPr>
              <w:pStyle w:val="13"/>
              <w:jc w:val="center"/>
              <w:rPr>
                <w:rFonts w:hint="eastAsia"/>
              </w:rPr>
            </w:pPr>
            <w:r>
              <w:rPr>
                <w:rFonts w:hint="eastAsia"/>
              </w:rPr>
              <w:t>邱  英</w:t>
            </w:r>
          </w:p>
        </w:tc>
        <w:tc>
          <w:tcPr>
            <w:tcW w:w="1699" w:type="pct"/>
            <w:vAlign w:val="center"/>
          </w:tcPr>
          <w:p w14:paraId="79571898">
            <w:pPr>
              <w:pStyle w:val="13"/>
              <w:jc w:val="center"/>
              <w:rPr>
                <w:rFonts w:hint="eastAsia"/>
              </w:rPr>
            </w:pPr>
            <w:r>
              <w:rPr>
                <w:rFonts w:hint="eastAsia"/>
              </w:rPr>
              <w:t>中学高级</w:t>
            </w:r>
          </w:p>
        </w:tc>
      </w:tr>
      <w:tr w14:paraId="162EE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3ADE1811">
            <w:pPr>
              <w:pStyle w:val="13"/>
              <w:jc w:val="center"/>
              <w:rPr>
                <w:rFonts w:hint="eastAsia"/>
              </w:rPr>
            </w:pPr>
            <w:r>
              <w:rPr>
                <w:rFonts w:hint="eastAsia"/>
              </w:rPr>
              <w:t>25</w:t>
            </w:r>
          </w:p>
        </w:tc>
        <w:tc>
          <w:tcPr>
            <w:tcW w:w="522" w:type="pct"/>
            <w:vMerge w:val="continue"/>
            <w:vAlign w:val="center"/>
          </w:tcPr>
          <w:p w14:paraId="4C4363AA">
            <w:pPr>
              <w:pStyle w:val="13"/>
              <w:jc w:val="center"/>
              <w:rPr>
                <w:rFonts w:hint="eastAsia"/>
              </w:rPr>
            </w:pPr>
          </w:p>
        </w:tc>
        <w:tc>
          <w:tcPr>
            <w:tcW w:w="1149" w:type="pct"/>
            <w:vAlign w:val="center"/>
          </w:tcPr>
          <w:p w14:paraId="262F9530">
            <w:pPr>
              <w:pStyle w:val="13"/>
              <w:jc w:val="center"/>
              <w:rPr>
                <w:rFonts w:hint="eastAsia"/>
              </w:rPr>
            </w:pPr>
            <w:r>
              <w:rPr>
                <w:rFonts w:hint="eastAsia"/>
              </w:rPr>
              <w:t>南雄中学</w:t>
            </w:r>
          </w:p>
        </w:tc>
        <w:tc>
          <w:tcPr>
            <w:tcW w:w="1253" w:type="pct"/>
            <w:vAlign w:val="center"/>
          </w:tcPr>
          <w:p w14:paraId="4AF54A6A">
            <w:pPr>
              <w:pStyle w:val="13"/>
              <w:jc w:val="center"/>
              <w:rPr>
                <w:rFonts w:hint="eastAsia"/>
              </w:rPr>
            </w:pPr>
            <w:r>
              <w:rPr>
                <w:rFonts w:hint="eastAsia"/>
              </w:rPr>
              <w:t>黄  辉</w:t>
            </w:r>
          </w:p>
        </w:tc>
        <w:tc>
          <w:tcPr>
            <w:tcW w:w="1699" w:type="pct"/>
            <w:vAlign w:val="center"/>
          </w:tcPr>
          <w:p w14:paraId="30DE0BDC">
            <w:pPr>
              <w:pStyle w:val="13"/>
              <w:jc w:val="center"/>
              <w:rPr>
                <w:rFonts w:hint="eastAsia"/>
              </w:rPr>
            </w:pPr>
            <w:r>
              <w:rPr>
                <w:rFonts w:hint="eastAsia"/>
              </w:rPr>
              <w:t>中学高级</w:t>
            </w:r>
          </w:p>
        </w:tc>
      </w:tr>
      <w:tr w14:paraId="792CF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48C4B2A3">
            <w:pPr>
              <w:pStyle w:val="13"/>
              <w:jc w:val="center"/>
              <w:rPr>
                <w:rFonts w:hint="eastAsia"/>
              </w:rPr>
            </w:pPr>
            <w:r>
              <w:rPr>
                <w:rFonts w:hint="eastAsia"/>
              </w:rPr>
              <w:t>26</w:t>
            </w:r>
          </w:p>
        </w:tc>
        <w:tc>
          <w:tcPr>
            <w:tcW w:w="522" w:type="pct"/>
            <w:vMerge w:val="continue"/>
            <w:vAlign w:val="center"/>
          </w:tcPr>
          <w:p w14:paraId="1381398C">
            <w:pPr>
              <w:pStyle w:val="13"/>
              <w:jc w:val="center"/>
              <w:rPr>
                <w:rFonts w:hint="eastAsia"/>
              </w:rPr>
            </w:pPr>
          </w:p>
        </w:tc>
        <w:tc>
          <w:tcPr>
            <w:tcW w:w="1149" w:type="pct"/>
            <w:vAlign w:val="center"/>
          </w:tcPr>
          <w:p w14:paraId="09CACED5">
            <w:pPr>
              <w:pStyle w:val="13"/>
              <w:jc w:val="center"/>
              <w:rPr>
                <w:rFonts w:hint="eastAsia"/>
              </w:rPr>
            </w:pPr>
            <w:r>
              <w:rPr>
                <w:rFonts w:hint="eastAsia"/>
              </w:rPr>
              <w:t>南雄中学</w:t>
            </w:r>
          </w:p>
        </w:tc>
        <w:tc>
          <w:tcPr>
            <w:tcW w:w="1253" w:type="pct"/>
            <w:vAlign w:val="center"/>
          </w:tcPr>
          <w:p w14:paraId="1397602D">
            <w:pPr>
              <w:pStyle w:val="13"/>
              <w:jc w:val="center"/>
              <w:rPr>
                <w:rFonts w:hint="eastAsia"/>
              </w:rPr>
            </w:pPr>
            <w:r>
              <w:rPr>
                <w:rFonts w:hint="eastAsia"/>
              </w:rPr>
              <w:t>张熙祥</w:t>
            </w:r>
          </w:p>
        </w:tc>
        <w:tc>
          <w:tcPr>
            <w:tcW w:w="1699" w:type="pct"/>
            <w:vAlign w:val="center"/>
          </w:tcPr>
          <w:p w14:paraId="2924B441">
            <w:pPr>
              <w:pStyle w:val="13"/>
              <w:jc w:val="center"/>
              <w:rPr>
                <w:rFonts w:hint="eastAsia"/>
              </w:rPr>
            </w:pPr>
            <w:r>
              <w:rPr>
                <w:rFonts w:hint="eastAsia"/>
              </w:rPr>
              <w:t>中学高级</w:t>
            </w:r>
          </w:p>
        </w:tc>
      </w:tr>
      <w:tr w14:paraId="3DA76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76" w:type="pct"/>
            <w:vAlign w:val="center"/>
          </w:tcPr>
          <w:p w14:paraId="17101A48">
            <w:pPr>
              <w:pStyle w:val="13"/>
              <w:jc w:val="center"/>
              <w:rPr>
                <w:rFonts w:hint="eastAsia"/>
              </w:rPr>
            </w:pPr>
            <w:r>
              <w:rPr>
                <w:rFonts w:hint="eastAsia"/>
              </w:rPr>
              <w:t>27</w:t>
            </w:r>
          </w:p>
        </w:tc>
        <w:tc>
          <w:tcPr>
            <w:tcW w:w="522" w:type="pct"/>
            <w:vMerge w:val="continue"/>
            <w:vAlign w:val="center"/>
          </w:tcPr>
          <w:p w14:paraId="01D57E72">
            <w:pPr>
              <w:pStyle w:val="13"/>
              <w:jc w:val="center"/>
              <w:rPr>
                <w:rFonts w:hint="eastAsia"/>
              </w:rPr>
            </w:pPr>
          </w:p>
        </w:tc>
        <w:tc>
          <w:tcPr>
            <w:tcW w:w="1149" w:type="pct"/>
            <w:vAlign w:val="center"/>
          </w:tcPr>
          <w:p w14:paraId="64DD9783">
            <w:pPr>
              <w:pStyle w:val="13"/>
              <w:jc w:val="center"/>
              <w:rPr>
                <w:rFonts w:hint="eastAsia"/>
              </w:rPr>
            </w:pPr>
            <w:r>
              <w:rPr>
                <w:rFonts w:hint="eastAsia"/>
              </w:rPr>
              <w:t>市一中</w:t>
            </w:r>
          </w:p>
        </w:tc>
        <w:tc>
          <w:tcPr>
            <w:tcW w:w="1253" w:type="pct"/>
            <w:vAlign w:val="center"/>
          </w:tcPr>
          <w:p w14:paraId="3C0185D4">
            <w:pPr>
              <w:pStyle w:val="13"/>
              <w:jc w:val="center"/>
              <w:rPr>
                <w:rFonts w:hint="eastAsia"/>
              </w:rPr>
            </w:pPr>
            <w:r>
              <w:rPr>
                <w:rFonts w:hint="eastAsia"/>
              </w:rPr>
              <w:t>郭春燕</w:t>
            </w:r>
          </w:p>
        </w:tc>
        <w:tc>
          <w:tcPr>
            <w:tcW w:w="1699" w:type="pct"/>
            <w:vAlign w:val="center"/>
          </w:tcPr>
          <w:p w14:paraId="17E12575">
            <w:pPr>
              <w:pStyle w:val="13"/>
              <w:jc w:val="center"/>
              <w:rPr>
                <w:rFonts w:hint="eastAsia"/>
              </w:rPr>
            </w:pPr>
            <w:r>
              <w:rPr>
                <w:rFonts w:hint="eastAsia"/>
              </w:rPr>
              <w:t>中学高级</w:t>
            </w:r>
          </w:p>
        </w:tc>
      </w:tr>
      <w:tr w14:paraId="3555BE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3E8AD013">
            <w:pPr>
              <w:pStyle w:val="13"/>
              <w:jc w:val="center"/>
              <w:rPr>
                <w:rFonts w:hint="eastAsia"/>
              </w:rPr>
            </w:pPr>
            <w:r>
              <w:rPr>
                <w:rFonts w:hint="eastAsia"/>
              </w:rPr>
              <w:t>28</w:t>
            </w:r>
          </w:p>
        </w:tc>
        <w:tc>
          <w:tcPr>
            <w:tcW w:w="522" w:type="pct"/>
            <w:vMerge w:val="continue"/>
            <w:vAlign w:val="center"/>
          </w:tcPr>
          <w:p w14:paraId="3E6A251B">
            <w:pPr>
              <w:pStyle w:val="13"/>
              <w:jc w:val="center"/>
              <w:rPr>
                <w:rFonts w:hint="eastAsia"/>
              </w:rPr>
            </w:pPr>
          </w:p>
        </w:tc>
        <w:tc>
          <w:tcPr>
            <w:tcW w:w="1149" w:type="pct"/>
            <w:vAlign w:val="center"/>
          </w:tcPr>
          <w:p w14:paraId="7EB50058">
            <w:pPr>
              <w:pStyle w:val="13"/>
              <w:jc w:val="center"/>
              <w:rPr>
                <w:rFonts w:hint="eastAsia"/>
              </w:rPr>
            </w:pPr>
            <w:r>
              <w:rPr>
                <w:rFonts w:hint="eastAsia"/>
              </w:rPr>
              <w:t>市一中</w:t>
            </w:r>
          </w:p>
        </w:tc>
        <w:tc>
          <w:tcPr>
            <w:tcW w:w="1253" w:type="pct"/>
            <w:vAlign w:val="center"/>
          </w:tcPr>
          <w:p w14:paraId="623FF431">
            <w:pPr>
              <w:pStyle w:val="13"/>
              <w:jc w:val="center"/>
              <w:rPr>
                <w:rFonts w:hint="eastAsia"/>
              </w:rPr>
            </w:pPr>
            <w:r>
              <w:rPr>
                <w:rFonts w:hint="eastAsia"/>
              </w:rPr>
              <w:t>杨应华</w:t>
            </w:r>
          </w:p>
        </w:tc>
        <w:tc>
          <w:tcPr>
            <w:tcW w:w="1699" w:type="pct"/>
            <w:vAlign w:val="center"/>
          </w:tcPr>
          <w:p w14:paraId="5C23A6BE">
            <w:pPr>
              <w:pStyle w:val="13"/>
              <w:jc w:val="center"/>
              <w:rPr>
                <w:rFonts w:hint="eastAsia"/>
              </w:rPr>
            </w:pPr>
            <w:r>
              <w:rPr>
                <w:rFonts w:hint="eastAsia"/>
              </w:rPr>
              <w:t>中学高级</w:t>
            </w:r>
          </w:p>
        </w:tc>
      </w:tr>
      <w:tr w14:paraId="77F933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4072C31D">
            <w:pPr>
              <w:pStyle w:val="13"/>
              <w:jc w:val="center"/>
              <w:rPr>
                <w:rFonts w:hint="eastAsia"/>
              </w:rPr>
            </w:pPr>
            <w:r>
              <w:rPr>
                <w:rFonts w:hint="eastAsia"/>
              </w:rPr>
              <w:t>29</w:t>
            </w:r>
          </w:p>
        </w:tc>
        <w:tc>
          <w:tcPr>
            <w:tcW w:w="522" w:type="pct"/>
            <w:vMerge w:val="continue"/>
            <w:vAlign w:val="center"/>
          </w:tcPr>
          <w:p w14:paraId="5587E30A">
            <w:pPr>
              <w:pStyle w:val="13"/>
              <w:jc w:val="center"/>
              <w:rPr>
                <w:rFonts w:hint="eastAsia"/>
              </w:rPr>
            </w:pPr>
          </w:p>
        </w:tc>
        <w:tc>
          <w:tcPr>
            <w:tcW w:w="1149" w:type="pct"/>
            <w:vAlign w:val="center"/>
          </w:tcPr>
          <w:p w14:paraId="699165D3">
            <w:pPr>
              <w:pStyle w:val="13"/>
              <w:jc w:val="center"/>
              <w:rPr>
                <w:rFonts w:hint="eastAsia"/>
              </w:rPr>
            </w:pPr>
            <w:r>
              <w:rPr>
                <w:rFonts w:hint="eastAsia"/>
              </w:rPr>
              <w:t>市一中</w:t>
            </w:r>
          </w:p>
        </w:tc>
        <w:tc>
          <w:tcPr>
            <w:tcW w:w="1253" w:type="pct"/>
            <w:vAlign w:val="center"/>
          </w:tcPr>
          <w:p w14:paraId="723EA397">
            <w:pPr>
              <w:pStyle w:val="13"/>
              <w:jc w:val="center"/>
              <w:rPr>
                <w:rFonts w:hint="eastAsia"/>
              </w:rPr>
            </w:pPr>
            <w:r>
              <w:rPr>
                <w:rFonts w:hint="eastAsia"/>
              </w:rPr>
              <w:t>陈高翔</w:t>
            </w:r>
          </w:p>
        </w:tc>
        <w:tc>
          <w:tcPr>
            <w:tcW w:w="1699" w:type="pct"/>
            <w:vAlign w:val="center"/>
          </w:tcPr>
          <w:p w14:paraId="284E1DE1">
            <w:pPr>
              <w:pStyle w:val="13"/>
              <w:jc w:val="center"/>
              <w:rPr>
                <w:rFonts w:hint="eastAsia"/>
              </w:rPr>
            </w:pPr>
            <w:r>
              <w:rPr>
                <w:rFonts w:hint="eastAsia"/>
              </w:rPr>
              <w:t>中学高级</w:t>
            </w:r>
          </w:p>
        </w:tc>
      </w:tr>
      <w:tr w14:paraId="264F0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56821065">
            <w:pPr>
              <w:pStyle w:val="13"/>
              <w:jc w:val="center"/>
              <w:rPr>
                <w:rFonts w:hint="eastAsia"/>
              </w:rPr>
            </w:pPr>
            <w:r>
              <w:rPr>
                <w:rFonts w:hint="eastAsia"/>
              </w:rPr>
              <w:t>30</w:t>
            </w:r>
          </w:p>
        </w:tc>
        <w:tc>
          <w:tcPr>
            <w:tcW w:w="522" w:type="pct"/>
            <w:vMerge w:val="continue"/>
            <w:vAlign w:val="center"/>
          </w:tcPr>
          <w:p w14:paraId="3056E6C4">
            <w:pPr>
              <w:pStyle w:val="13"/>
              <w:jc w:val="center"/>
              <w:rPr>
                <w:rFonts w:hint="eastAsia"/>
              </w:rPr>
            </w:pPr>
          </w:p>
        </w:tc>
        <w:tc>
          <w:tcPr>
            <w:tcW w:w="1149" w:type="pct"/>
            <w:vAlign w:val="center"/>
          </w:tcPr>
          <w:p w14:paraId="4720D765">
            <w:pPr>
              <w:pStyle w:val="13"/>
              <w:jc w:val="center"/>
              <w:rPr>
                <w:rFonts w:hint="eastAsia"/>
              </w:rPr>
            </w:pPr>
            <w:r>
              <w:rPr>
                <w:rFonts w:hint="eastAsia"/>
              </w:rPr>
              <w:t>中等职业学校</w:t>
            </w:r>
          </w:p>
        </w:tc>
        <w:tc>
          <w:tcPr>
            <w:tcW w:w="1253" w:type="pct"/>
            <w:vAlign w:val="center"/>
          </w:tcPr>
          <w:p w14:paraId="75E16B37">
            <w:pPr>
              <w:pStyle w:val="13"/>
              <w:jc w:val="center"/>
              <w:rPr>
                <w:rFonts w:hint="eastAsia"/>
              </w:rPr>
            </w:pPr>
            <w:r>
              <w:rPr>
                <w:rFonts w:hint="eastAsia"/>
              </w:rPr>
              <w:t>胡付莲</w:t>
            </w:r>
          </w:p>
        </w:tc>
        <w:tc>
          <w:tcPr>
            <w:tcW w:w="1699" w:type="pct"/>
            <w:vAlign w:val="center"/>
          </w:tcPr>
          <w:p w14:paraId="65536F0D">
            <w:pPr>
              <w:pStyle w:val="13"/>
              <w:jc w:val="center"/>
              <w:rPr>
                <w:rFonts w:hint="eastAsia"/>
              </w:rPr>
            </w:pPr>
            <w:r>
              <w:rPr>
                <w:rFonts w:hint="eastAsia"/>
              </w:rPr>
              <w:t>中学高级</w:t>
            </w:r>
          </w:p>
        </w:tc>
      </w:tr>
      <w:tr w14:paraId="6295B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504EF2E8">
            <w:pPr>
              <w:pStyle w:val="13"/>
              <w:jc w:val="center"/>
              <w:rPr>
                <w:rFonts w:hint="eastAsia"/>
              </w:rPr>
            </w:pPr>
            <w:r>
              <w:rPr>
                <w:rFonts w:hint="eastAsia"/>
              </w:rPr>
              <w:t>31</w:t>
            </w:r>
          </w:p>
        </w:tc>
        <w:tc>
          <w:tcPr>
            <w:tcW w:w="522" w:type="pct"/>
            <w:vMerge w:val="continue"/>
            <w:vAlign w:val="center"/>
          </w:tcPr>
          <w:p w14:paraId="2B0E9DD8">
            <w:pPr>
              <w:pStyle w:val="13"/>
              <w:jc w:val="center"/>
              <w:rPr>
                <w:rFonts w:hint="eastAsia"/>
              </w:rPr>
            </w:pPr>
          </w:p>
        </w:tc>
        <w:tc>
          <w:tcPr>
            <w:tcW w:w="1149" w:type="pct"/>
            <w:vAlign w:val="center"/>
          </w:tcPr>
          <w:p w14:paraId="13B453D5">
            <w:pPr>
              <w:pStyle w:val="13"/>
              <w:jc w:val="center"/>
              <w:rPr>
                <w:rFonts w:hint="eastAsia"/>
              </w:rPr>
            </w:pPr>
            <w:r>
              <w:rPr>
                <w:rFonts w:hint="eastAsia"/>
              </w:rPr>
              <w:t>中等职业学校</w:t>
            </w:r>
          </w:p>
        </w:tc>
        <w:tc>
          <w:tcPr>
            <w:tcW w:w="1253" w:type="pct"/>
            <w:vAlign w:val="center"/>
          </w:tcPr>
          <w:p w14:paraId="7EE442FD">
            <w:pPr>
              <w:pStyle w:val="13"/>
              <w:jc w:val="center"/>
              <w:rPr>
                <w:rFonts w:hint="eastAsia"/>
              </w:rPr>
            </w:pPr>
            <w:r>
              <w:rPr>
                <w:rFonts w:hint="eastAsia"/>
              </w:rPr>
              <w:t>邓光拥</w:t>
            </w:r>
          </w:p>
        </w:tc>
        <w:tc>
          <w:tcPr>
            <w:tcW w:w="1699" w:type="pct"/>
            <w:vAlign w:val="center"/>
          </w:tcPr>
          <w:p w14:paraId="07CEF3A9">
            <w:pPr>
              <w:pStyle w:val="13"/>
              <w:jc w:val="center"/>
              <w:rPr>
                <w:rFonts w:hint="eastAsia"/>
              </w:rPr>
            </w:pPr>
            <w:r>
              <w:rPr>
                <w:rFonts w:hint="eastAsia"/>
              </w:rPr>
              <w:t>中学高级</w:t>
            </w:r>
          </w:p>
        </w:tc>
      </w:tr>
      <w:tr w14:paraId="56623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5EBAC027">
            <w:pPr>
              <w:pStyle w:val="13"/>
              <w:jc w:val="center"/>
              <w:rPr>
                <w:rFonts w:hint="eastAsia"/>
              </w:rPr>
            </w:pPr>
            <w:r>
              <w:rPr>
                <w:rFonts w:hint="eastAsia"/>
              </w:rPr>
              <w:t>32</w:t>
            </w:r>
          </w:p>
        </w:tc>
        <w:tc>
          <w:tcPr>
            <w:tcW w:w="522" w:type="pct"/>
            <w:vMerge w:val="continue"/>
            <w:vAlign w:val="center"/>
          </w:tcPr>
          <w:p w14:paraId="5F117596">
            <w:pPr>
              <w:pStyle w:val="13"/>
              <w:jc w:val="center"/>
              <w:rPr>
                <w:rFonts w:hint="eastAsia"/>
              </w:rPr>
            </w:pPr>
          </w:p>
        </w:tc>
        <w:tc>
          <w:tcPr>
            <w:tcW w:w="1149" w:type="pct"/>
            <w:vAlign w:val="center"/>
          </w:tcPr>
          <w:p w14:paraId="08999ADE">
            <w:pPr>
              <w:pStyle w:val="13"/>
              <w:jc w:val="center"/>
              <w:rPr>
                <w:rFonts w:hint="eastAsia"/>
              </w:rPr>
            </w:pPr>
            <w:r>
              <w:rPr>
                <w:rFonts w:hint="eastAsia"/>
              </w:rPr>
              <w:t>中等职业学校</w:t>
            </w:r>
          </w:p>
        </w:tc>
        <w:tc>
          <w:tcPr>
            <w:tcW w:w="1253" w:type="pct"/>
            <w:vAlign w:val="center"/>
          </w:tcPr>
          <w:p w14:paraId="5A4B84B6">
            <w:pPr>
              <w:pStyle w:val="13"/>
              <w:jc w:val="center"/>
              <w:rPr>
                <w:rFonts w:hint="eastAsia"/>
              </w:rPr>
            </w:pPr>
            <w:r>
              <w:rPr>
                <w:rFonts w:hint="eastAsia"/>
              </w:rPr>
              <w:t>戚露燕</w:t>
            </w:r>
          </w:p>
        </w:tc>
        <w:tc>
          <w:tcPr>
            <w:tcW w:w="1699" w:type="pct"/>
            <w:vAlign w:val="center"/>
          </w:tcPr>
          <w:p w14:paraId="2BEA0F1C">
            <w:pPr>
              <w:pStyle w:val="13"/>
              <w:jc w:val="center"/>
              <w:rPr>
                <w:rFonts w:hint="eastAsia"/>
              </w:rPr>
            </w:pPr>
            <w:r>
              <w:rPr>
                <w:rFonts w:hint="eastAsia"/>
              </w:rPr>
              <w:t>中学高级</w:t>
            </w:r>
          </w:p>
        </w:tc>
      </w:tr>
      <w:tr w14:paraId="41CA8D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7925313A">
            <w:pPr>
              <w:pStyle w:val="13"/>
              <w:jc w:val="center"/>
              <w:rPr>
                <w:rFonts w:hint="eastAsia"/>
              </w:rPr>
            </w:pPr>
            <w:r>
              <w:rPr>
                <w:rFonts w:hint="eastAsia"/>
              </w:rPr>
              <w:t>33</w:t>
            </w:r>
          </w:p>
        </w:tc>
        <w:tc>
          <w:tcPr>
            <w:tcW w:w="522" w:type="pct"/>
            <w:vMerge w:val="continue"/>
            <w:vAlign w:val="center"/>
          </w:tcPr>
          <w:p w14:paraId="4EEC4143">
            <w:pPr>
              <w:pStyle w:val="13"/>
              <w:jc w:val="center"/>
              <w:rPr>
                <w:rFonts w:hint="eastAsia"/>
              </w:rPr>
            </w:pPr>
          </w:p>
        </w:tc>
        <w:tc>
          <w:tcPr>
            <w:tcW w:w="1149" w:type="pct"/>
            <w:vAlign w:val="center"/>
          </w:tcPr>
          <w:p w14:paraId="46630E48">
            <w:pPr>
              <w:pStyle w:val="13"/>
              <w:jc w:val="center"/>
              <w:rPr>
                <w:rFonts w:hint="eastAsia"/>
              </w:rPr>
            </w:pPr>
            <w:r>
              <w:rPr>
                <w:rFonts w:hint="eastAsia"/>
              </w:rPr>
              <w:t>中等职业学校</w:t>
            </w:r>
          </w:p>
        </w:tc>
        <w:tc>
          <w:tcPr>
            <w:tcW w:w="1253" w:type="pct"/>
            <w:vAlign w:val="center"/>
          </w:tcPr>
          <w:p w14:paraId="2EC2FE9B">
            <w:pPr>
              <w:pStyle w:val="13"/>
              <w:jc w:val="center"/>
              <w:rPr>
                <w:rFonts w:hint="eastAsia"/>
              </w:rPr>
            </w:pPr>
            <w:r>
              <w:rPr>
                <w:rFonts w:hint="eastAsia"/>
              </w:rPr>
              <w:t>陈如权</w:t>
            </w:r>
          </w:p>
        </w:tc>
        <w:tc>
          <w:tcPr>
            <w:tcW w:w="1699" w:type="pct"/>
            <w:vAlign w:val="center"/>
          </w:tcPr>
          <w:p w14:paraId="2FED3FBA">
            <w:pPr>
              <w:pStyle w:val="13"/>
              <w:jc w:val="center"/>
              <w:rPr>
                <w:rFonts w:hint="eastAsia"/>
              </w:rPr>
            </w:pPr>
            <w:r>
              <w:rPr>
                <w:rFonts w:hint="eastAsia"/>
              </w:rPr>
              <w:t>中学高级</w:t>
            </w:r>
          </w:p>
        </w:tc>
      </w:tr>
      <w:tr w14:paraId="6C36C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6859F205">
            <w:pPr>
              <w:pStyle w:val="13"/>
              <w:jc w:val="center"/>
              <w:rPr>
                <w:rFonts w:hint="eastAsia"/>
              </w:rPr>
            </w:pPr>
            <w:r>
              <w:rPr>
                <w:rFonts w:hint="eastAsia"/>
              </w:rPr>
              <w:t>34</w:t>
            </w:r>
          </w:p>
        </w:tc>
        <w:tc>
          <w:tcPr>
            <w:tcW w:w="522" w:type="pct"/>
            <w:vMerge w:val="continue"/>
            <w:vAlign w:val="center"/>
          </w:tcPr>
          <w:p w14:paraId="2FC3A3BA">
            <w:pPr>
              <w:pStyle w:val="13"/>
              <w:jc w:val="center"/>
              <w:rPr>
                <w:rFonts w:hint="eastAsia"/>
              </w:rPr>
            </w:pPr>
          </w:p>
        </w:tc>
        <w:tc>
          <w:tcPr>
            <w:tcW w:w="1149" w:type="pct"/>
            <w:vAlign w:val="center"/>
          </w:tcPr>
          <w:p w14:paraId="3DEA16B4">
            <w:pPr>
              <w:pStyle w:val="13"/>
              <w:jc w:val="center"/>
              <w:rPr>
                <w:rFonts w:hint="eastAsia"/>
              </w:rPr>
            </w:pPr>
            <w:r>
              <w:rPr>
                <w:rFonts w:hint="eastAsia"/>
              </w:rPr>
              <w:t>黎灿学校</w:t>
            </w:r>
          </w:p>
        </w:tc>
        <w:tc>
          <w:tcPr>
            <w:tcW w:w="1253" w:type="pct"/>
            <w:vAlign w:val="center"/>
          </w:tcPr>
          <w:p w14:paraId="7FFA608C">
            <w:pPr>
              <w:pStyle w:val="13"/>
              <w:jc w:val="center"/>
              <w:rPr>
                <w:rFonts w:hint="eastAsia"/>
              </w:rPr>
            </w:pPr>
            <w:r>
              <w:rPr>
                <w:rFonts w:hint="eastAsia"/>
              </w:rPr>
              <w:t>彭春莲</w:t>
            </w:r>
          </w:p>
        </w:tc>
        <w:tc>
          <w:tcPr>
            <w:tcW w:w="1699" w:type="pct"/>
            <w:vAlign w:val="center"/>
          </w:tcPr>
          <w:p w14:paraId="1548BC2C">
            <w:pPr>
              <w:pStyle w:val="13"/>
              <w:jc w:val="center"/>
              <w:rPr>
                <w:rFonts w:hint="eastAsia"/>
              </w:rPr>
            </w:pPr>
            <w:r>
              <w:rPr>
                <w:rFonts w:hint="eastAsia"/>
              </w:rPr>
              <w:t>小学高级（副高级）</w:t>
            </w:r>
          </w:p>
        </w:tc>
      </w:tr>
      <w:tr w14:paraId="77606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19F63F51">
            <w:pPr>
              <w:pStyle w:val="13"/>
              <w:jc w:val="center"/>
              <w:rPr>
                <w:rFonts w:hint="eastAsia"/>
              </w:rPr>
            </w:pPr>
            <w:r>
              <w:rPr>
                <w:rFonts w:hint="eastAsia"/>
              </w:rPr>
              <w:t>35</w:t>
            </w:r>
          </w:p>
        </w:tc>
        <w:tc>
          <w:tcPr>
            <w:tcW w:w="522" w:type="pct"/>
            <w:vMerge w:val="restart"/>
            <w:vAlign w:val="center"/>
          </w:tcPr>
          <w:p w14:paraId="65BE5925">
            <w:pPr>
              <w:pStyle w:val="13"/>
              <w:jc w:val="center"/>
              <w:rPr>
                <w:rFonts w:hint="eastAsia"/>
              </w:rPr>
            </w:pPr>
            <w:r>
              <w:rPr>
                <w:rFonts w:hint="eastAsia"/>
              </w:rPr>
              <w:t>卫生</w:t>
            </w:r>
          </w:p>
        </w:tc>
        <w:tc>
          <w:tcPr>
            <w:tcW w:w="1149" w:type="pct"/>
            <w:vAlign w:val="center"/>
          </w:tcPr>
          <w:p w14:paraId="3C0AD0E5">
            <w:pPr>
              <w:pStyle w:val="13"/>
              <w:jc w:val="center"/>
              <w:rPr>
                <w:rFonts w:hint="eastAsia"/>
              </w:rPr>
            </w:pPr>
            <w:r>
              <w:rPr>
                <w:rFonts w:hint="eastAsia"/>
              </w:rPr>
              <w:t>卫生人民医院</w:t>
            </w:r>
          </w:p>
        </w:tc>
        <w:tc>
          <w:tcPr>
            <w:tcW w:w="1253" w:type="pct"/>
            <w:vAlign w:val="center"/>
          </w:tcPr>
          <w:p w14:paraId="1E83C472">
            <w:pPr>
              <w:pStyle w:val="13"/>
              <w:jc w:val="center"/>
              <w:rPr>
                <w:rFonts w:hint="eastAsia"/>
              </w:rPr>
            </w:pPr>
            <w:r>
              <w:rPr>
                <w:rFonts w:hint="eastAsia"/>
              </w:rPr>
              <w:t>王桂芬</w:t>
            </w:r>
          </w:p>
        </w:tc>
        <w:tc>
          <w:tcPr>
            <w:tcW w:w="1699" w:type="pct"/>
            <w:vAlign w:val="center"/>
          </w:tcPr>
          <w:p w14:paraId="5C3DDC6B">
            <w:pPr>
              <w:pStyle w:val="13"/>
              <w:jc w:val="center"/>
              <w:rPr>
                <w:rFonts w:hint="eastAsia"/>
              </w:rPr>
            </w:pPr>
            <w:r>
              <w:rPr>
                <w:rFonts w:hint="eastAsia"/>
              </w:rPr>
              <w:t>护理专业副主任护师</w:t>
            </w:r>
          </w:p>
        </w:tc>
      </w:tr>
      <w:tr w14:paraId="75724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7107BB27">
            <w:pPr>
              <w:pStyle w:val="13"/>
              <w:jc w:val="center"/>
              <w:rPr>
                <w:rFonts w:hint="eastAsia"/>
              </w:rPr>
            </w:pPr>
            <w:r>
              <w:rPr>
                <w:rFonts w:hint="eastAsia"/>
              </w:rPr>
              <w:t>36</w:t>
            </w:r>
          </w:p>
        </w:tc>
        <w:tc>
          <w:tcPr>
            <w:tcW w:w="522" w:type="pct"/>
            <w:vMerge w:val="continue"/>
            <w:vAlign w:val="center"/>
          </w:tcPr>
          <w:p w14:paraId="08FD2B8E">
            <w:pPr>
              <w:pStyle w:val="13"/>
              <w:jc w:val="center"/>
              <w:rPr>
                <w:rFonts w:hint="eastAsia"/>
              </w:rPr>
            </w:pPr>
          </w:p>
        </w:tc>
        <w:tc>
          <w:tcPr>
            <w:tcW w:w="1149" w:type="pct"/>
            <w:vAlign w:val="center"/>
          </w:tcPr>
          <w:p w14:paraId="391B26EE">
            <w:pPr>
              <w:pStyle w:val="13"/>
              <w:jc w:val="center"/>
              <w:rPr>
                <w:rFonts w:hint="eastAsia"/>
              </w:rPr>
            </w:pPr>
            <w:r>
              <w:rPr>
                <w:rFonts w:hint="eastAsia"/>
              </w:rPr>
              <w:t>人民医院</w:t>
            </w:r>
          </w:p>
        </w:tc>
        <w:tc>
          <w:tcPr>
            <w:tcW w:w="1253" w:type="pct"/>
            <w:vAlign w:val="center"/>
          </w:tcPr>
          <w:p w14:paraId="164DCE62">
            <w:pPr>
              <w:pStyle w:val="13"/>
              <w:jc w:val="center"/>
              <w:rPr>
                <w:rFonts w:hint="eastAsia"/>
              </w:rPr>
            </w:pPr>
            <w:r>
              <w:rPr>
                <w:rFonts w:hint="eastAsia"/>
              </w:rPr>
              <w:t>彭兰英</w:t>
            </w:r>
          </w:p>
        </w:tc>
        <w:tc>
          <w:tcPr>
            <w:tcW w:w="1699" w:type="pct"/>
            <w:vAlign w:val="center"/>
          </w:tcPr>
          <w:p w14:paraId="686F1129">
            <w:pPr>
              <w:pStyle w:val="13"/>
              <w:jc w:val="center"/>
              <w:rPr>
                <w:rFonts w:hint="eastAsia"/>
              </w:rPr>
            </w:pPr>
            <w:r>
              <w:rPr>
                <w:rFonts w:hint="eastAsia"/>
              </w:rPr>
              <w:t>护理专业副主任护师</w:t>
            </w:r>
          </w:p>
        </w:tc>
      </w:tr>
      <w:tr w14:paraId="4AB52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681031F9">
            <w:pPr>
              <w:pStyle w:val="13"/>
              <w:jc w:val="center"/>
              <w:rPr>
                <w:rFonts w:hint="eastAsia"/>
              </w:rPr>
            </w:pPr>
            <w:r>
              <w:rPr>
                <w:rFonts w:hint="eastAsia"/>
              </w:rPr>
              <w:t>37</w:t>
            </w:r>
          </w:p>
        </w:tc>
        <w:tc>
          <w:tcPr>
            <w:tcW w:w="522" w:type="pct"/>
            <w:vMerge w:val="continue"/>
            <w:vAlign w:val="center"/>
          </w:tcPr>
          <w:p w14:paraId="589B256A">
            <w:pPr>
              <w:pStyle w:val="13"/>
              <w:jc w:val="center"/>
              <w:rPr>
                <w:rFonts w:hint="eastAsia"/>
              </w:rPr>
            </w:pPr>
          </w:p>
        </w:tc>
        <w:tc>
          <w:tcPr>
            <w:tcW w:w="1149" w:type="pct"/>
            <w:vAlign w:val="center"/>
          </w:tcPr>
          <w:p w14:paraId="5FA7E10A">
            <w:pPr>
              <w:pStyle w:val="13"/>
              <w:jc w:val="center"/>
              <w:rPr>
                <w:rFonts w:hint="eastAsia"/>
              </w:rPr>
            </w:pPr>
            <w:r>
              <w:rPr>
                <w:rFonts w:hint="eastAsia"/>
              </w:rPr>
              <w:t>人民医院</w:t>
            </w:r>
          </w:p>
        </w:tc>
        <w:tc>
          <w:tcPr>
            <w:tcW w:w="1253" w:type="pct"/>
            <w:vAlign w:val="center"/>
          </w:tcPr>
          <w:p w14:paraId="704F7662">
            <w:pPr>
              <w:pStyle w:val="13"/>
              <w:jc w:val="center"/>
              <w:rPr>
                <w:rFonts w:hint="eastAsia"/>
              </w:rPr>
            </w:pPr>
            <w:r>
              <w:rPr>
                <w:rFonts w:hint="eastAsia"/>
              </w:rPr>
              <w:t>刘  敏</w:t>
            </w:r>
          </w:p>
        </w:tc>
        <w:tc>
          <w:tcPr>
            <w:tcW w:w="1699" w:type="pct"/>
            <w:vAlign w:val="center"/>
          </w:tcPr>
          <w:p w14:paraId="134D252E">
            <w:pPr>
              <w:pStyle w:val="13"/>
              <w:jc w:val="center"/>
              <w:rPr>
                <w:rFonts w:hint="eastAsia"/>
              </w:rPr>
            </w:pPr>
            <w:r>
              <w:rPr>
                <w:rFonts w:hint="eastAsia"/>
              </w:rPr>
              <w:t>妇产科副主任医师</w:t>
            </w:r>
          </w:p>
        </w:tc>
      </w:tr>
      <w:tr w14:paraId="235A1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0A5BF440">
            <w:pPr>
              <w:pStyle w:val="13"/>
              <w:jc w:val="center"/>
              <w:rPr>
                <w:rFonts w:hint="eastAsia"/>
              </w:rPr>
            </w:pPr>
            <w:r>
              <w:rPr>
                <w:rFonts w:hint="eastAsia"/>
              </w:rPr>
              <w:t>38</w:t>
            </w:r>
          </w:p>
        </w:tc>
        <w:tc>
          <w:tcPr>
            <w:tcW w:w="522" w:type="pct"/>
            <w:vMerge w:val="continue"/>
            <w:vAlign w:val="center"/>
          </w:tcPr>
          <w:p w14:paraId="6609040B">
            <w:pPr>
              <w:pStyle w:val="13"/>
              <w:jc w:val="center"/>
              <w:rPr>
                <w:rFonts w:hint="eastAsia"/>
              </w:rPr>
            </w:pPr>
          </w:p>
        </w:tc>
        <w:tc>
          <w:tcPr>
            <w:tcW w:w="1149" w:type="pct"/>
            <w:vAlign w:val="center"/>
          </w:tcPr>
          <w:p w14:paraId="55441A84">
            <w:pPr>
              <w:pStyle w:val="13"/>
              <w:jc w:val="center"/>
              <w:rPr>
                <w:rFonts w:hint="eastAsia"/>
              </w:rPr>
            </w:pPr>
            <w:r>
              <w:rPr>
                <w:rFonts w:hint="eastAsia"/>
              </w:rPr>
              <w:t>人民医院</w:t>
            </w:r>
          </w:p>
        </w:tc>
        <w:tc>
          <w:tcPr>
            <w:tcW w:w="1253" w:type="pct"/>
            <w:vAlign w:val="center"/>
          </w:tcPr>
          <w:p w14:paraId="416BE0B0">
            <w:pPr>
              <w:pStyle w:val="13"/>
              <w:jc w:val="center"/>
              <w:rPr>
                <w:rFonts w:hint="eastAsia"/>
              </w:rPr>
            </w:pPr>
            <w:r>
              <w:rPr>
                <w:rFonts w:hint="eastAsia"/>
              </w:rPr>
              <w:t>曾令军</w:t>
            </w:r>
          </w:p>
        </w:tc>
        <w:tc>
          <w:tcPr>
            <w:tcW w:w="1699" w:type="pct"/>
            <w:vAlign w:val="center"/>
          </w:tcPr>
          <w:p w14:paraId="4766F0BE">
            <w:pPr>
              <w:pStyle w:val="13"/>
              <w:jc w:val="center"/>
              <w:rPr>
                <w:rFonts w:hint="eastAsia"/>
              </w:rPr>
            </w:pPr>
            <w:r>
              <w:rPr>
                <w:rFonts w:hint="eastAsia"/>
              </w:rPr>
              <w:t>普通内科副主任医师</w:t>
            </w:r>
          </w:p>
        </w:tc>
      </w:tr>
      <w:tr w14:paraId="13CF4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0C981866">
            <w:pPr>
              <w:pStyle w:val="13"/>
              <w:jc w:val="center"/>
              <w:rPr>
                <w:rFonts w:hint="eastAsia"/>
              </w:rPr>
            </w:pPr>
            <w:r>
              <w:rPr>
                <w:rFonts w:hint="eastAsia"/>
              </w:rPr>
              <w:t>39</w:t>
            </w:r>
          </w:p>
        </w:tc>
        <w:tc>
          <w:tcPr>
            <w:tcW w:w="522" w:type="pct"/>
            <w:vMerge w:val="continue"/>
            <w:vAlign w:val="center"/>
          </w:tcPr>
          <w:p w14:paraId="3792290C">
            <w:pPr>
              <w:pStyle w:val="13"/>
              <w:jc w:val="center"/>
              <w:rPr>
                <w:rFonts w:hint="eastAsia"/>
              </w:rPr>
            </w:pPr>
          </w:p>
        </w:tc>
        <w:tc>
          <w:tcPr>
            <w:tcW w:w="1149" w:type="pct"/>
            <w:vAlign w:val="center"/>
          </w:tcPr>
          <w:p w14:paraId="3E84761F">
            <w:pPr>
              <w:pStyle w:val="13"/>
              <w:jc w:val="center"/>
              <w:rPr>
                <w:rFonts w:hint="eastAsia"/>
              </w:rPr>
            </w:pPr>
            <w:r>
              <w:rPr>
                <w:rFonts w:hint="eastAsia"/>
              </w:rPr>
              <w:t>人民医院</w:t>
            </w:r>
          </w:p>
        </w:tc>
        <w:tc>
          <w:tcPr>
            <w:tcW w:w="1253" w:type="pct"/>
            <w:vAlign w:val="center"/>
          </w:tcPr>
          <w:p w14:paraId="1F9E6731">
            <w:pPr>
              <w:pStyle w:val="13"/>
              <w:jc w:val="center"/>
              <w:rPr>
                <w:rFonts w:hint="eastAsia"/>
              </w:rPr>
            </w:pPr>
            <w:r>
              <w:rPr>
                <w:rFonts w:hint="eastAsia"/>
              </w:rPr>
              <w:t>温全妹</w:t>
            </w:r>
          </w:p>
        </w:tc>
        <w:tc>
          <w:tcPr>
            <w:tcW w:w="1699" w:type="pct"/>
            <w:vAlign w:val="center"/>
          </w:tcPr>
          <w:p w14:paraId="635F1033">
            <w:pPr>
              <w:pStyle w:val="13"/>
              <w:jc w:val="center"/>
              <w:rPr>
                <w:rFonts w:hint="eastAsia"/>
              </w:rPr>
            </w:pPr>
            <w:r>
              <w:rPr>
                <w:rFonts w:hint="eastAsia"/>
              </w:rPr>
              <w:t>药学副主任药师</w:t>
            </w:r>
          </w:p>
        </w:tc>
      </w:tr>
      <w:tr w14:paraId="300AD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2D2E3378">
            <w:pPr>
              <w:pStyle w:val="13"/>
              <w:jc w:val="center"/>
              <w:rPr>
                <w:rFonts w:hint="eastAsia"/>
              </w:rPr>
            </w:pPr>
            <w:r>
              <w:rPr>
                <w:rFonts w:hint="eastAsia"/>
              </w:rPr>
              <w:t>40</w:t>
            </w:r>
          </w:p>
        </w:tc>
        <w:tc>
          <w:tcPr>
            <w:tcW w:w="522" w:type="pct"/>
            <w:vMerge w:val="continue"/>
            <w:vAlign w:val="center"/>
          </w:tcPr>
          <w:p w14:paraId="3520A7BF">
            <w:pPr>
              <w:pStyle w:val="13"/>
              <w:jc w:val="center"/>
              <w:rPr>
                <w:rFonts w:hint="eastAsia"/>
              </w:rPr>
            </w:pPr>
          </w:p>
        </w:tc>
        <w:tc>
          <w:tcPr>
            <w:tcW w:w="1149" w:type="pct"/>
            <w:vAlign w:val="center"/>
          </w:tcPr>
          <w:p w14:paraId="42B690B3">
            <w:pPr>
              <w:pStyle w:val="13"/>
              <w:jc w:val="center"/>
              <w:rPr>
                <w:rFonts w:hint="eastAsia"/>
              </w:rPr>
            </w:pPr>
            <w:r>
              <w:rPr>
                <w:rFonts w:hint="eastAsia"/>
              </w:rPr>
              <w:t>中医院</w:t>
            </w:r>
          </w:p>
        </w:tc>
        <w:tc>
          <w:tcPr>
            <w:tcW w:w="1253" w:type="pct"/>
            <w:vAlign w:val="center"/>
          </w:tcPr>
          <w:p w14:paraId="60C584B6">
            <w:pPr>
              <w:pStyle w:val="13"/>
              <w:jc w:val="center"/>
              <w:rPr>
                <w:rFonts w:hint="eastAsia"/>
              </w:rPr>
            </w:pPr>
            <w:r>
              <w:rPr>
                <w:rFonts w:hint="eastAsia"/>
              </w:rPr>
              <w:t>曹春梅</w:t>
            </w:r>
          </w:p>
        </w:tc>
        <w:tc>
          <w:tcPr>
            <w:tcW w:w="1699" w:type="pct"/>
            <w:vAlign w:val="center"/>
          </w:tcPr>
          <w:p w14:paraId="421CC559">
            <w:pPr>
              <w:pStyle w:val="13"/>
              <w:jc w:val="center"/>
              <w:rPr>
                <w:rFonts w:hint="eastAsia"/>
              </w:rPr>
            </w:pPr>
            <w:r>
              <w:rPr>
                <w:rFonts w:hint="eastAsia"/>
              </w:rPr>
              <w:t>针灸主任中医师</w:t>
            </w:r>
          </w:p>
        </w:tc>
      </w:tr>
      <w:tr w14:paraId="714DF0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14:paraId="760F19F7">
            <w:pPr>
              <w:pStyle w:val="13"/>
              <w:jc w:val="center"/>
              <w:rPr>
                <w:rFonts w:hint="eastAsia"/>
              </w:rPr>
            </w:pPr>
            <w:r>
              <w:rPr>
                <w:rFonts w:hint="eastAsia"/>
              </w:rPr>
              <w:t>41</w:t>
            </w:r>
          </w:p>
        </w:tc>
        <w:tc>
          <w:tcPr>
            <w:tcW w:w="522" w:type="pct"/>
            <w:vMerge w:val="continue"/>
            <w:vAlign w:val="center"/>
          </w:tcPr>
          <w:p w14:paraId="541E2573">
            <w:pPr>
              <w:pStyle w:val="13"/>
              <w:jc w:val="center"/>
              <w:rPr>
                <w:rFonts w:hint="eastAsia"/>
              </w:rPr>
            </w:pPr>
          </w:p>
        </w:tc>
        <w:tc>
          <w:tcPr>
            <w:tcW w:w="1149" w:type="pct"/>
            <w:vAlign w:val="center"/>
          </w:tcPr>
          <w:p w14:paraId="1D90FA37">
            <w:pPr>
              <w:pStyle w:val="13"/>
              <w:jc w:val="center"/>
              <w:rPr>
                <w:rFonts w:hint="eastAsia"/>
              </w:rPr>
            </w:pPr>
            <w:r>
              <w:rPr>
                <w:rFonts w:hint="eastAsia"/>
              </w:rPr>
              <w:t>中医院</w:t>
            </w:r>
          </w:p>
        </w:tc>
        <w:tc>
          <w:tcPr>
            <w:tcW w:w="1253" w:type="pct"/>
            <w:vAlign w:val="center"/>
          </w:tcPr>
          <w:p w14:paraId="6B403E38">
            <w:pPr>
              <w:pStyle w:val="13"/>
              <w:jc w:val="center"/>
              <w:rPr>
                <w:rFonts w:hint="eastAsia"/>
              </w:rPr>
            </w:pPr>
            <w:r>
              <w:rPr>
                <w:rFonts w:hint="eastAsia"/>
              </w:rPr>
              <w:t>刘霞珍</w:t>
            </w:r>
          </w:p>
        </w:tc>
        <w:tc>
          <w:tcPr>
            <w:tcW w:w="1699" w:type="pct"/>
            <w:vAlign w:val="center"/>
          </w:tcPr>
          <w:p w14:paraId="0B01A84C">
            <w:pPr>
              <w:pStyle w:val="13"/>
              <w:jc w:val="center"/>
              <w:rPr>
                <w:rFonts w:hint="eastAsia"/>
              </w:rPr>
            </w:pPr>
            <w:r>
              <w:rPr>
                <w:rFonts w:hint="eastAsia"/>
              </w:rPr>
              <w:t>妇产科副主任医师</w:t>
            </w:r>
          </w:p>
        </w:tc>
      </w:tr>
      <w:tr w14:paraId="55FFD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5"/>
            <w:vAlign w:val="center"/>
          </w:tcPr>
          <w:p w14:paraId="3C466754">
            <w:pPr>
              <w:pStyle w:val="13"/>
              <w:jc w:val="left"/>
              <w:rPr>
                <w:rFonts w:hint="eastAsia"/>
              </w:rPr>
            </w:pPr>
            <w:r>
              <w:rPr>
                <w:rFonts w:hint="eastAsia"/>
              </w:rPr>
              <w:t>合计：教育34人，卫生7人。</w:t>
            </w:r>
          </w:p>
        </w:tc>
      </w:tr>
    </w:tbl>
    <w:p w14:paraId="204647D8">
      <w:pPr>
        <w:pStyle w:val="3"/>
        <w:numPr>
          <w:ilvl w:val="0"/>
          <w:numId w:val="8"/>
        </w:numPr>
      </w:pPr>
      <w:r>
        <w:t>烈士（2003年至2010年）</w:t>
      </w:r>
    </w:p>
    <w:p w14:paraId="18CCEFB0">
      <w:pPr>
        <w:pStyle w:val="4"/>
      </w:pPr>
      <w:r>
        <w:rPr>
          <w:rFonts w:hint="eastAsia"/>
        </w:rPr>
        <w:t>刘成（主要事迹）</w:t>
      </w:r>
    </w:p>
    <w:p w14:paraId="49FEF066">
      <w:pPr>
        <w:ind w:firstLine="420"/>
        <w:rPr>
          <w:rFonts w:ascii="宋体" w:hAnsi="宋体"/>
        </w:rPr>
      </w:pPr>
      <w:r>
        <w:rPr>
          <w:rFonts w:ascii="宋体" w:hAnsi="宋体"/>
        </w:rPr>
        <w:t>刘成，男，汉族，1990年1月出生，广东省南雄市雄州镇人，中专文化，2007年12月入伍，系深圳市公安边防支队司令部直属机动队战士。2009年9月23日，在参加深港海上联合专项行动演习过程中，为救援一同参与演练因船艇故障不慎掉入大海的一名地方船员，被突然高速旋转的螺旋桨猛烈撞击头部至重伤，经抢救无效牺牲。</w:t>
      </w:r>
    </w:p>
    <w:p w14:paraId="480FBDCB">
      <w:pPr>
        <w:pStyle w:val="2"/>
      </w:pPr>
      <w:r>
        <w:t>社会经济统计资料</w:t>
      </w:r>
    </w:p>
    <w:p w14:paraId="322CF762">
      <w:pPr>
        <w:pStyle w:val="3"/>
      </w:pPr>
      <w:r>
        <w:t>南雄市2010年国民经济和社会发展统计公报</w:t>
      </w:r>
    </w:p>
    <w:p w14:paraId="0011824D">
      <w:pPr>
        <w:ind w:firstLine="422"/>
        <w:jc w:val="center"/>
        <w:rPr>
          <w:rFonts w:ascii="宋体" w:hAnsi="宋体"/>
          <w:b/>
          <w:bCs/>
        </w:rPr>
      </w:pPr>
      <w:r>
        <w:rPr>
          <w:rFonts w:ascii="宋体" w:hAnsi="宋体"/>
          <w:b/>
          <w:bCs/>
        </w:rPr>
        <w:t>南雄市统计局</w:t>
      </w:r>
    </w:p>
    <w:p w14:paraId="63B67652">
      <w:pPr>
        <w:ind w:firstLine="422"/>
        <w:jc w:val="center"/>
        <w:rPr>
          <w:rFonts w:ascii="宋体" w:hAnsi="宋体"/>
          <w:b/>
          <w:bCs/>
        </w:rPr>
      </w:pPr>
      <w:r>
        <w:rPr>
          <w:rFonts w:ascii="宋体" w:hAnsi="宋体"/>
          <w:b/>
          <w:bCs/>
        </w:rPr>
        <w:t>（2011年3月15日）</w:t>
      </w:r>
    </w:p>
    <w:p w14:paraId="33B71763">
      <w:pPr>
        <w:ind w:firstLine="420"/>
        <w:rPr>
          <w:rFonts w:ascii="宋体" w:hAnsi="宋体"/>
        </w:rPr>
      </w:pPr>
      <w:r>
        <w:rPr>
          <w:rFonts w:ascii="宋体" w:hAnsi="宋体"/>
        </w:rPr>
        <w:t>2010年，全市人民在市委、市政府的正确领导下，以邓小平理论和“三个代表”重要思想为指导，坚持科学发展主题，突出“调整结构，提升水平，三产联动，做大总量”工作主线，抓集聚、促产业，实施重大工作和重点项目带动战略，着力破解制约发展的各种问题和难题，在全市人民的共同努力下，经济建设取得了新的突破，社会事业发展取得了新的进步，国民经济继续保持稳定较快的发展态势，综合经济实力进一步增强，农业生产和农村经济稳步推进，工业经济实现跨越式发展，城市建设力度进一步加大，基础设施建设进一步完善，人民生活水平进一步提高，城乡消费市场繁荣，社会继续保持和谐稳定，基本实现了南雄市经济和社会发展的预期目标。</w:t>
      </w:r>
    </w:p>
    <w:p w14:paraId="0F5C3663">
      <w:pPr>
        <w:ind w:firstLine="422"/>
        <w:rPr>
          <w:rFonts w:ascii="宋体" w:hAnsi="宋体"/>
          <w:b/>
          <w:bCs/>
        </w:rPr>
      </w:pPr>
      <w:r>
        <w:rPr>
          <w:rFonts w:hint="eastAsia" w:ascii="宋体" w:hAnsi="宋体"/>
          <w:b/>
          <w:bCs/>
        </w:rPr>
        <w:t>一、综合</w:t>
      </w:r>
    </w:p>
    <w:p w14:paraId="3D1821E1">
      <w:pPr>
        <w:ind w:firstLine="420"/>
        <w:rPr>
          <w:rFonts w:ascii="宋体" w:hAnsi="宋体"/>
        </w:rPr>
      </w:pPr>
      <w:r>
        <w:rPr>
          <w:rFonts w:ascii="宋体" w:hAnsi="宋体"/>
        </w:rPr>
        <w:t>初步核算，全年实现地区生产总值56.34亿元，比上年增长14.5%。其中，第一产业实现增加值16.65亿元，增长5.0%；第二产业实现增加值14.69亿元，增长31.0%；第三产业实现增加值25.01亿元，增长12.2%。第一、第二和第三产业增加值占地区生产总值的比重分别为29.5%、26.1%和44.4%，产业结构进一步优化。一、二、三产业对生产总值增长的贡献率分别为10.1%、50.4%和39.5%，第二产业对经济增长的贡献不断扩大。</w:t>
      </w:r>
    </w:p>
    <w:p w14:paraId="5956AE44">
      <w:pPr>
        <w:ind w:firstLine="420"/>
        <w:rPr>
          <w:rFonts w:ascii="宋体" w:hAnsi="宋体"/>
        </w:rPr>
      </w:pPr>
      <w:r>
        <w:rPr>
          <w:rFonts w:ascii="宋体" w:hAnsi="宋体"/>
        </w:rPr>
        <w:t>价格指数总体提高。全市居民消费价格指数为102.9%，高于上年5.4个百分点；规模以上工业品出厂价格指数为104.2%，高于上年7.6个百分点；固定资产投资价格指数为102.8%，高于上年6.3个百分点；房地产开发经营业价格指数为102.6%，高于上年2.6个百分点；商品零售价格指数为102.9%，高于上年6.5个百分点；农产品生产价格指数为109.5%，高于上年12.1个百分点。</w:t>
      </w:r>
    </w:p>
    <w:p w14:paraId="6B401EC7">
      <w:pPr>
        <w:ind w:firstLine="422"/>
        <w:jc w:val="center"/>
        <w:rPr>
          <w:rFonts w:ascii="宋体" w:hAnsi="宋体"/>
          <w:b/>
        </w:rPr>
      </w:pPr>
      <w:r>
        <w:rPr>
          <w:rFonts w:hint="eastAsia" w:ascii="宋体" w:hAnsi="宋体"/>
          <w:b/>
        </w:rPr>
        <w:t>表34-1  地区生产总值</w:t>
      </w:r>
    </w:p>
    <w:p w14:paraId="137DCE8F">
      <w:pPr>
        <w:ind w:firstLine="422"/>
        <w:jc w:val="right"/>
        <w:rPr>
          <w:rFonts w:ascii="宋体" w:hAnsi="宋体"/>
          <w:b/>
        </w:rPr>
      </w:pPr>
      <w:r>
        <w:rPr>
          <w:rFonts w:hint="eastAsia" w:ascii="宋体" w:hAnsi="宋体"/>
          <w:b/>
        </w:rPr>
        <w:t>单位：亿元</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37"/>
        <w:gridCol w:w="3262"/>
        <w:gridCol w:w="2763"/>
      </w:tblGrid>
      <w:tr w14:paraId="6A1B9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pct"/>
            <w:vAlign w:val="center"/>
          </w:tcPr>
          <w:p w14:paraId="1473AABB">
            <w:pPr>
              <w:pStyle w:val="13"/>
              <w:jc w:val="center"/>
              <w:rPr>
                <w:rFonts w:hint="eastAsia"/>
                <w:b/>
              </w:rPr>
            </w:pPr>
            <w:r>
              <w:rPr>
                <w:rFonts w:hint="eastAsia"/>
                <w:b/>
              </w:rPr>
              <w:t>指标</w:t>
            </w:r>
          </w:p>
        </w:tc>
        <w:tc>
          <w:tcPr>
            <w:tcW w:w="1637" w:type="pct"/>
            <w:vAlign w:val="center"/>
          </w:tcPr>
          <w:p w14:paraId="3FEC7302">
            <w:pPr>
              <w:pStyle w:val="13"/>
              <w:jc w:val="center"/>
              <w:rPr>
                <w:rFonts w:hint="eastAsia"/>
                <w:b/>
              </w:rPr>
            </w:pPr>
            <w:r>
              <w:rPr>
                <w:rFonts w:hint="eastAsia"/>
                <w:b/>
              </w:rPr>
              <w:t>2010年</w:t>
            </w:r>
          </w:p>
        </w:tc>
        <w:tc>
          <w:tcPr>
            <w:tcW w:w="1388" w:type="pct"/>
            <w:vAlign w:val="center"/>
          </w:tcPr>
          <w:p w14:paraId="7DC8D24C">
            <w:pPr>
              <w:pStyle w:val="13"/>
              <w:jc w:val="center"/>
              <w:rPr>
                <w:rFonts w:hint="eastAsia"/>
                <w:b/>
              </w:rPr>
            </w:pPr>
            <w:r>
              <w:rPr>
                <w:rFonts w:hint="eastAsia"/>
                <w:b/>
              </w:rPr>
              <w:t>比上年增长+-%</w:t>
            </w:r>
          </w:p>
        </w:tc>
      </w:tr>
      <w:tr w14:paraId="1F8230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pct"/>
            <w:vAlign w:val="center"/>
          </w:tcPr>
          <w:p w14:paraId="22B08242">
            <w:pPr>
              <w:pStyle w:val="13"/>
              <w:jc w:val="left"/>
              <w:rPr>
                <w:rFonts w:hint="eastAsia"/>
              </w:rPr>
            </w:pPr>
            <w:r>
              <w:rPr>
                <w:rFonts w:hint="eastAsia"/>
              </w:rPr>
              <w:t>地区生产总值</w:t>
            </w:r>
          </w:p>
        </w:tc>
        <w:tc>
          <w:tcPr>
            <w:tcW w:w="1637" w:type="pct"/>
            <w:vAlign w:val="center"/>
          </w:tcPr>
          <w:p w14:paraId="0712879C">
            <w:pPr>
              <w:pStyle w:val="13"/>
              <w:jc w:val="center"/>
              <w:rPr>
                <w:rFonts w:hint="eastAsia"/>
              </w:rPr>
            </w:pPr>
            <w:r>
              <w:rPr>
                <w:rFonts w:hint="eastAsia"/>
              </w:rPr>
              <w:t>56.34</w:t>
            </w:r>
          </w:p>
        </w:tc>
        <w:tc>
          <w:tcPr>
            <w:tcW w:w="1388" w:type="pct"/>
            <w:vAlign w:val="center"/>
          </w:tcPr>
          <w:p w14:paraId="7A59DAE9">
            <w:pPr>
              <w:pStyle w:val="13"/>
              <w:jc w:val="center"/>
              <w:rPr>
                <w:rFonts w:hint="eastAsia"/>
              </w:rPr>
            </w:pPr>
            <w:r>
              <w:rPr>
                <w:rFonts w:hint="eastAsia"/>
              </w:rPr>
              <w:t>14.5</w:t>
            </w:r>
          </w:p>
        </w:tc>
      </w:tr>
      <w:tr w14:paraId="702FF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pct"/>
            <w:vAlign w:val="center"/>
          </w:tcPr>
          <w:p w14:paraId="3DC9B10D">
            <w:pPr>
              <w:pStyle w:val="13"/>
              <w:ind w:firstLine="210" w:firstLineChars="100"/>
              <w:jc w:val="left"/>
              <w:rPr>
                <w:rFonts w:hint="eastAsia"/>
              </w:rPr>
            </w:pPr>
            <w:r>
              <w:rPr>
                <w:rFonts w:hint="eastAsia"/>
              </w:rPr>
              <w:t>第一产业</w:t>
            </w:r>
          </w:p>
        </w:tc>
        <w:tc>
          <w:tcPr>
            <w:tcW w:w="1637" w:type="pct"/>
            <w:vAlign w:val="center"/>
          </w:tcPr>
          <w:p w14:paraId="35FBF6DB">
            <w:pPr>
              <w:pStyle w:val="13"/>
              <w:jc w:val="center"/>
              <w:rPr>
                <w:rFonts w:hint="eastAsia"/>
              </w:rPr>
            </w:pPr>
            <w:r>
              <w:rPr>
                <w:rFonts w:hint="eastAsia"/>
              </w:rPr>
              <w:t>16.65</w:t>
            </w:r>
          </w:p>
        </w:tc>
        <w:tc>
          <w:tcPr>
            <w:tcW w:w="1388" w:type="pct"/>
            <w:vAlign w:val="center"/>
          </w:tcPr>
          <w:p w14:paraId="74848BA9">
            <w:pPr>
              <w:pStyle w:val="13"/>
              <w:jc w:val="center"/>
              <w:rPr>
                <w:rFonts w:hint="eastAsia"/>
              </w:rPr>
            </w:pPr>
            <w:r>
              <w:rPr>
                <w:rFonts w:hint="eastAsia"/>
              </w:rPr>
              <w:t>5.0</w:t>
            </w:r>
          </w:p>
        </w:tc>
      </w:tr>
      <w:tr w14:paraId="5ACA6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pct"/>
            <w:vAlign w:val="center"/>
          </w:tcPr>
          <w:p w14:paraId="5D6F9979">
            <w:pPr>
              <w:pStyle w:val="13"/>
              <w:ind w:firstLine="210" w:firstLineChars="100"/>
              <w:jc w:val="left"/>
              <w:rPr>
                <w:rFonts w:hint="eastAsia"/>
              </w:rPr>
            </w:pPr>
            <w:r>
              <w:rPr>
                <w:rFonts w:hint="eastAsia"/>
              </w:rPr>
              <w:t>第二产业</w:t>
            </w:r>
          </w:p>
        </w:tc>
        <w:tc>
          <w:tcPr>
            <w:tcW w:w="1637" w:type="pct"/>
            <w:vAlign w:val="center"/>
          </w:tcPr>
          <w:p w14:paraId="344AB6FE">
            <w:pPr>
              <w:pStyle w:val="13"/>
              <w:jc w:val="center"/>
              <w:rPr>
                <w:rFonts w:hint="eastAsia"/>
              </w:rPr>
            </w:pPr>
            <w:r>
              <w:rPr>
                <w:rFonts w:hint="eastAsia"/>
              </w:rPr>
              <w:t>14.69</w:t>
            </w:r>
          </w:p>
        </w:tc>
        <w:tc>
          <w:tcPr>
            <w:tcW w:w="1388" w:type="pct"/>
            <w:vAlign w:val="center"/>
          </w:tcPr>
          <w:p w14:paraId="1489D562">
            <w:pPr>
              <w:pStyle w:val="13"/>
              <w:jc w:val="center"/>
              <w:rPr>
                <w:rFonts w:hint="eastAsia"/>
              </w:rPr>
            </w:pPr>
            <w:r>
              <w:rPr>
                <w:rFonts w:hint="eastAsia"/>
              </w:rPr>
              <w:t>31.0</w:t>
            </w:r>
          </w:p>
        </w:tc>
      </w:tr>
      <w:tr w14:paraId="1C505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pct"/>
            <w:vAlign w:val="center"/>
          </w:tcPr>
          <w:p w14:paraId="1404CB5A">
            <w:pPr>
              <w:pStyle w:val="13"/>
              <w:ind w:firstLine="420" w:firstLineChars="200"/>
              <w:jc w:val="left"/>
              <w:rPr>
                <w:rFonts w:hint="eastAsia"/>
              </w:rPr>
            </w:pPr>
            <w:r>
              <w:rPr>
                <w:rFonts w:hint="eastAsia"/>
              </w:rPr>
              <w:t>工业</w:t>
            </w:r>
          </w:p>
        </w:tc>
        <w:tc>
          <w:tcPr>
            <w:tcW w:w="1637" w:type="pct"/>
            <w:vAlign w:val="center"/>
          </w:tcPr>
          <w:p w14:paraId="33B8C64C">
            <w:pPr>
              <w:pStyle w:val="13"/>
              <w:jc w:val="center"/>
              <w:rPr>
                <w:rFonts w:hint="eastAsia"/>
              </w:rPr>
            </w:pPr>
            <w:r>
              <w:rPr>
                <w:rFonts w:hint="eastAsia"/>
              </w:rPr>
              <w:t>9.10</w:t>
            </w:r>
          </w:p>
        </w:tc>
        <w:tc>
          <w:tcPr>
            <w:tcW w:w="1388" w:type="pct"/>
            <w:vAlign w:val="center"/>
          </w:tcPr>
          <w:p w14:paraId="47947ED7">
            <w:pPr>
              <w:pStyle w:val="13"/>
              <w:jc w:val="center"/>
              <w:rPr>
                <w:rFonts w:hint="eastAsia"/>
              </w:rPr>
            </w:pPr>
            <w:r>
              <w:rPr>
                <w:rFonts w:hint="eastAsia"/>
              </w:rPr>
              <w:t>35.8</w:t>
            </w:r>
          </w:p>
        </w:tc>
      </w:tr>
      <w:tr w14:paraId="3A2BB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pct"/>
            <w:vAlign w:val="center"/>
          </w:tcPr>
          <w:p w14:paraId="6B2A8CA2">
            <w:pPr>
              <w:pStyle w:val="13"/>
              <w:ind w:firstLine="420" w:firstLineChars="200"/>
              <w:jc w:val="left"/>
              <w:rPr>
                <w:rFonts w:hint="eastAsia"/>
              </w:rPr>
            </w:pPr>
            <w:r>
              <w:rPr>
                <w:rFonts w:hint="eastAsia"/>
              </w:rPr>
              <w:t>建筑业</w:t>
            </w:r>
          </w:p>
        </w:tc>
        <w:tc>
          <w:tcPr>
            <w:tcW w:w="1637" w:type="pct"/>
            <w:vAlign w:val="center"/>
          </w:tcPr>
          <w:p w14:paraId="4F413156">
            <w:pPr>
              <w:pStyle w:val="13"/>
              <w:jc w:val="center"/>
              <w:rPr>
                <w:rFonts w:hint="eastAsia"/>
              </w:rPr>
            </w:pPr>
            <w:r>
              <w:rPr>
                <w:rFonts w:hint="eastAsia"/>
              </w:rPr>
              <w:t>5.58</w:t>
            </w:r>
          </w:p>
        </w:tc>
        <w:tc>
          <w:tcPr>
            <w:tcW w:w="1388" w:type="pct"/>
            <w:vAlign w:val="center"/>
          </w:tcPr>
          <w:p w14:paraId="574C0328">
            <w:pPr>
              <w:pStyle w:val="13"/>
              <w:jc w:val="center"/>
              <w:rPr>
                <w:rFonts w:hint="eastAsia"/>
              </w:rPr>
            </w:pPr>
            <w:r>
              <w:rPr>
                <w:rFonts w:hint="eastAsia"/>
              </w:rPr>
              <w:t>23.0</w:t>
            </w:r>
          </w:p>
        </w:tc>
      </w:tr>
      <w:tr w14:paraId="70CF8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pct"/>
            <w:vAlign w:val="center"/>
          </w:tcPr>
          <w:p w14:paraId="49B77DB2">
            <w:pPr>
              <w:pStyle w:val="13"/>
              <w:ind w:firstLine="210" w:firstLineChars="100"/>
              <w:jc w:val="left"/>
              <w:rPr>
                <w:rFonts w:hint="eastAsia"/>
              </w:rPr>
            </w:pPr>
            <w:r>
              <w:rPr>
                <w:rFonts w:hint="eastAsia"/>
              </w:rPr>
              <w:t>第三产业</w:t>
            </w:r>
          </w:p>
        </w:tc>
        <w:tc>
          <w:tcPr>
            <w:tcW w:w="1637" w:type="pct"/>
            <w:vAlign w:val="center"/>
          </w:tcPr>
          <w:p w14:paraId="401718BE">
            <w:pPr>
              <w:pStyle w:val="13"/>
              <w:jc w:val="center"/>
              <w:rPr>
                <w:rFonts w:hint="eastAsia"/>
              </w:rPr>
            </w:pPr>
            <w:r>
              <w:rPr>
                <w:rFonts w:hint="eastAsia"/>
              </w:rPr>
              <w:t>25.01</w:t>
            </w:r>
          </w:p>
        </w:tc>
        <w:tc>
          <w:tcPr>
            <w:tcW w:w="1388" w:type="pct"/>
            <w:vAlign w:val="center"/>
          </w:tcPr>
          <w:p w14:paraId="413E406D">
            <w:pPr>
              <w:pStyle w:val="13"/>
              <w:jc w:val="center"/>
              <w:rPr>
                <w:rFonts w:hint="eastAsia"/>
              </w:rPr>
            </w:pPr>
            <w:r>
              <w:rPr>
                <w:rFonts w:hint="eastAsia"/>
              </w:rPr>
              <w:t>12.2</w:t>
            </w:r>
          </w:p>
        </w:tc>
      </w:tr>
      <w:tr w14:paraId="356D99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pct"/>
            <w:vAlign w:val="center"/>
          </w:tcPr>
          <w:p w14:paraId="6508081F">
            <w:pPr>
              <w:pStyle w:val="13"/>
              <w:ind w:firstLine="420" w:firstLineChars="200"/>
              <w:jc w:val="left"/>
              <w:rPr>
                <w:rFonts w:hint="eastAsia"/>
              </w:rPr>
            </w:pPr>
            <w:r>
              <w:rPr>
                <w:rFonts w:hint="eastAsia"/>
              </w:rPr>
              <w:t>交通运输、仓储和邮政业</w:t>
            </w:r>
          </w:p>
        </w:tc>
        <w:tc>
          <w:tcPr>
            <w:tcW w:w="1637" w:type="pct"/>
            <w:vAlign w:val="center"/>
          </w:tcPr>
          <w:p w14:paraId="69EE5A34">
            <w:pPr>
              <w:pStyle w:val="13"/>
              <w:jc w:val="center"/>
              <w:rPr>
                <w:rFonts w:hint="eastAsia"/>
              </w:rPr>
            </w:pPr>
            <w:r>
              <w:rPr>
                <w:rFonts w:hint="eastAsia"/>
              </w:rPr>
              <w:t>3.27</w:t>
            </w:r>
          </w:p>
        </w:tc>
        <w:tc>
          <w:tcPr>
            <w:tcW w:w="1388" w:type="pct"/>
            <w:vAlign w:val="center"/>
          </w:tcPr>
          <w:p w14:paraId="4D650D77">
            <w:pPr>
              <w:pStyle w:val="13"/>
              <w:jc w:val="center"/>
              <w:rPr>
                <w:rFonts w:hint="eastAsia"/>
              </w:rPr>
            </w:pPr>
            <w:r>
              <w:rPr>
                <w:rFonts w:hint="eastAsia"/>
              </w:rPr>
              <w:t>25.3</w:t>
            </w:r>
          </w:p>
        </w:tc>
      </w:tr>
      <w:tr w14:paraId="4E536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pct"/>
            <w:vAlign w:val="center"/>
          </w:tcPr>
          <w:p w14:paraId="1ACDACD9">
            <w:pPr>
              <w:pStyle w:val="13"/>
              <w:ind w:firstLine="420" w:firstLineChars="200"/>
              <w:jc w:val="left"/>
              <w:rPr>
                <w:rFonts w:hint="eastAsia"/>
              </w:rPr>
            </w:pPr>
            <w:r>
              <w:rPr>
                <w:rFonts w:hint="eastAsia"/>
              </w:rPr>
              <w:t>信息传输、计算机服务和软件业</w:t>
            </w:r>
          </w:p>
        </w:tc>
        <w:tc>
          <w:tcPr>
            <w:tcW w:w="1637" w:type="pct"/>
            <w:vAlign w:val="center"/>
          </w:tcPr>
          <w:p w14:paraId="0D03AFE5">
            <w:pPr>
              <w:pStyle w:val="13"/>
              <w:jc w:val="center"/>
              <w:rPr>
                <w:rFonts w:hint="eastAsia"/>
              </w:rPr>
            </w:pPr>
            <w:r>
              <w:rPr>
                <w:rFonts w:hint="eastAsia"/>
              </w:rPr>
              <w:t>0.95</w:t>
            </w:r>
          </w:p>
        </w:tc>
        <w:tc>
          <w:tcPr>
            <w:tcW w:w="1388" w:type="pct"/>
            <w:vAlign w:val="center"/>
          </w:tcPr>
          <w:p w14:paraId="76798677">
            <w:pPr>
              <w:pStyle w:val="13"/>
              <w:jc w:val="center"/>
              <w:rPr>
                <w:rFonts w:hint="eastAsia"/>
              </w:rPr>
            </w:pPr>
            <w:r>
              <w:rPr>
                <w:rFonts w:hint="eastAsia"/>
              </w:rPr>
              <w:t>11.6</w:t>
            </w:r>
          </w:p>
        </w:tc>
      </w:tr>
      <w:tr w14:paraId="501D9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pct"/>
            <w:vAlign w:val="center"/>
          </w:tcPr>
          <w:p w14:paraId="0E69D136">
            <w:pPr>
              <w:pStyle w:val="13"/>
              <w:ind w:firstLine="420" w:firstLineChars="200"/>
              <w:jc w:val="left"/>
              <w:rPr>
                <w:rFonts w:hint="eastAsia"/>
              </w:rPr>
            </w:pPr>
            <w:r>
              <w:rPr>
                <w:rFonts w:hint="eastAsia"/>
              </w:rPr>
              <w:t>批发和零售业</w:t>
            </w:r>
          </w:p>
        </w:tc>
        <w:tc>
          <w:tcPr>
            <w:tcW w:w="1637" w:type="pct"/>
            <w:vAlign w:val="center"/>
          </w:tcPr>
          <w:p w14:paraId="6859DE6F">
            <w:pPr>
              <w:pStyle w:val="13"/>
              <w:jc w:val="center"/>
              <w:rPr>
                <w:rFonts w:hint="eastAsia"/>
              </w:rPr>
            </w:pPr>
            <w:r>
              <w:rPr>
                <w:rFonts w:hint="eastAsia"/>
              </w:rPr>
              <w:t>5.04</w:t>
            </w:r>
          </w:p>
        </w:tc>
        <w:tc>
          <w:tcPr>
            <w:tcW w:w="1388" w:type="pct"/>
            <w:vAlign w:val="center"/>
          </w:tcPr>
          <w:p w14:paraId="6549A91B">
            <w:pPr>
              <w:pStyle w:val="13"/>
              <w:jc w:val="center"/>
              <w:rPr>
                <w:rFonts w:hint="eastAsia"/>
              </w:rPr>
            </w:pPr>
            <w:r>
              <w:rPr>
                <w:rFonts w:hint="eastAsia"/>
              </w:rPr>
              <w:t>4.5</w:t>
            </w:r>
          </w:p>
        </w:tc>
      </w:tr>
      <w:tr w14:paraId="24BAB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pct"/>
            <w:vAlign w:val="center"/>
          </w:tcPr>
          <w:p w14:paraId="5237BB3A">
            <w:pPr>
              <w:pStyle w:val="13"/>
              <w:ind w:firstLine="420" w:firstLineChars="200"/>
              <w:jc w:val="left"/>
              <w:rPr>
                <w:rFonts w:hint="eastAsia"/>
              </w:rPr>
            </w:pPr>
            <w:r>
              <w:rPr>
                <w:rFonts w:hint="eastAsia"/>
              </w:rPr>
              <w:t>住宿和餐饮业</w:t>
            </w:r>
          </w:p>
        </w:tc>
        <w:tc>
          <w:tcPr>
            <w:tcW w:w="1637" w:type="pct"/>
            <w:vAlign w:val="center"/>
          </w:tcPr>
          <w:p w14:paraId="26DF6417">
            <w:pPr>
              <w:pStyle w:val="13"/>
              <w:jc w:val="center"/>
              <w:rPr>
                <w:rFonts w:hint="eastAsia"/>
              </w:rPr>
            </w:pPr>
            <w:r>
              <w:rPr>
                <w:rFonts w:hint="eastAsia"/>
              </w:rPr>
              <w:t>1.12</w:t>
            </w:r>
          </w:p>
        </w:tc>
        <w:tc>
          <w:tcPr>
            <w:tcW w:w="1388" w:type="pct"/>
            <w:vAlign w:val="center"/>
          </w:tcPr>
          <w:p w14:paraId="6CC0B37B">
            <w:pPr>
              <w:pStyle w:val="13"/>
              <w:jc w:val="center"/>
              <w:rPr>
                <w:rFonts w:hint="eastAsia"/>
              </w:rPr>
            </w:pPr>
            <w:r>
              <w:rPr>
                <w:rFonts w:hint="eastAsia"/>
              </w:rPr>
              <w:t>8.9</w:t>
            </w:r>
          </w:p>
        </w:tc>
      </w:tr>
      <w:tr w14:paraId="66DBCB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pct"/>
            <w:vAlign w:val="center"/>
          </w:tcPr>
          <w:p w14:paraId="109227B9">
            <w:pPr>
              <w:pStyle w:val="13"/>
              <w:ind w:firstLine="420" w:firstLineChars="200"/>
              <w:jc w:val="left"/>
              <w:rPr>
                <w:rFonts w:hint="eastAsia"/>
              </w:rPr>
            </w:pPr>
            <w:r>
              <w:rPr>
                <w:rFonts w:hint="eastAsia"/>
              </w:rPr>
              <w:t>金融业</w:t>
            </w:r>
          </w:p>
        </w:tc>
        <w:tc>
          <w:tcPr>
            <w:tcW w:w="1637" w:type="pct"/>
            <w:vAlign w:val="center"/>
          </w:tcPr>
          <w:p w14:paraId="2FB3DC19">
            <w:pPr>
              <w:pStyle w:val="13"/>
              <w:jc w:val="center"/>
              <w:rPr>
                <w:rFonts w:hint="eastAsia"/>
              </w:rPr>
            </w:pPr>
            <w:r>
              <w:rPr>
                <w:rFonts w:hint="eastAsia"/>
              </w:rPr>
              <w:t>0.78</w:t>
            </w:r>
          </w:p>
        </w:tc>
        <w:tc>
          <w:tcPr>
            <w:tcW w:w="1388" w:type="pct"/>
            <w:vAlign w:val="center"/>
          </w:tcPr>
          <w:p w14:paraId="3D2DFCA6">
            <w:pPr>
              <w:pStyle w:val="13"/>
              <w:jc w:val="center"/>
              <w:rPr>
                <w:rFonts w:hint="eastAsia"/>
              </w:rPr>
            </w:pPr>
            <w:r>
              <w:rPr>
                <w:rFonts w:hint="eastAsia"/>
              </w:rPr>
              <w:t>4.8</w:t>
            </w:r>
          </w:p>
        </w:tc>
      </w:tr>
      <w:tr w14:paraId="78805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pct"/>
            <w:vAlign w:val="center"/>
          </w:tcPr>
          <w:p w14:paraId="7CA089B8">
            <w:pPr>
              <w:pStyle w:val="13"/>
              <w:ind w:firstLine="420" w:firstLineChars="200"/>
              <w:jc w:val="left"/>
              <w:rPr>
                <w:rFonts w:hint="eastAsia"/>
              </w:rPr>
            </w:pPr>
            <w:r>
              <w:rPr>
                <w:rFonts w:hint="eastAsia"/>
              </w:rPr>
              <w:t>房地产业</w:t>
            </w:r>
          </w:p>
        </w:tc>
        <w:tc>
          <w:tcPr>
            <w:tcW w:w="1637" w:type="pct"/>
            <w:vAlign w:val="center"/>
          </w:tcPr>
          <w:p w14:paraId="515AD0F5">
            <w:pPr>
              <w:pStyle w:val="13"/>
              <w:jc w:val="center"/>
              <w:rPr>
                <w:rFonts w:hint="eastAsia"/>
              </w:rPr>
            </w:pPr>
            <w:r>
              <w:rPr>
                <w:rFonts w:hint="eastAsia"/>
              </w:rPr>
              <w:t>1.67</w:t>
            </w:r>
          </w:p>
        </w:tc>
        <w:tc>
          <w:tcPr>
            <w:tcW w:w="1388" w:type="pct"/>
            <w:vAlign w:val="center"/>
          </w:tcPr>
          <w:p w14:paraId="2DE94719">
            <w:pPr>
              <w:pStyle w:val="13"/>
              <w:jc w:val="center"/>
              <w:rPr>
                <w:rFonts w:hint="eastAsia"/>
              </w:rPr>
            </w:pPr>
            <w:r>
              <w:rPr>
                <w:rFonts w:hint="eastAsia"/>
              </w:rPr>
              <w:t>5.1</w:t>
            </w:r>
          </w:p>
        </w:tc>
      </w:tr>
      <w:tr w14:paraId="5D9CF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pct"/>
            <w:vAlign w:val="center"/>
          </w:tcPr>
          <w:p w14:paraId="0786A22E">
            <w:pPr>
              <w:pStyle w:val="13"/>
              <w:ind w:firstLine="420" w:firstLineChars="200"/>
              <w:jc w:val="left"/>
              <w:rPr>
                <w:rFonts w:hint="eastAsia"/>
              </w:rPr>
            </w:pPr>
            <w:r>
              <w:rPr>
                <w:rFonts w:hint="eastAsia"/>
              </w:rPr>
              <w:t>其他营利性服务业</w:t>
            </w:r>
          </w:p>
        </w:tc>
        <w:tc>
          <w:tcPr>
            <w:tcW w:w="1637" w:type="pct"/>
            <w:vAlign w:val="center"/>
          </w:tcPr>
          <w:p w14:paraId="3B948F98">
            <w:pPr>
              <w:pStyle w:val="13"/>
              <w:jc w:val="center"/>
              <w:rPr>
                <w:rFonts w:hint="eastAsia"/>
              </w:rPr>
            </w:pPr>
            <w:r>
              <w:rPr>
                <w:rFonts w:hint="eastAsia"/>
              </w:rPr>
              <w:t>5.70</w:t>
            </w:r>
          </w:p>
        </w:tc>
        <w:tc>
          <w:tcPr>
            <w:tcW w:w="1388" w:type="pct"/>
            <w:vAlign w:val="center"/>
          </w:tcPr>
          <w:p w14:paraId="0A14AC94">
            <w:pPr>
              <w:pStyle w:val="13"/>
              <w:jc w:val="center"/>
              <w:rPr>
                <w:rFonts w:hint="eastAsia"/>
              </w:rPr>
            </w:pPr>
            <w:r>
              <w:rPr>
                <w:rFonts w:hint="eastAsia"/>
              </w:rPr>
              <w:t>17.2</w:t>
            </w:r>
          </w:p>
        </w:tc>
      </w:tr>
      <w:tr w14:paraId="50C89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pct"/>
            <w:vAlign w:val="center"/>
          </w:tcPr>
          <w:p w14:paraId="105B5582">
            <w:pPr>
              <w:pStyle w:val="13"/>
              <w:ind w:firstLine="420" w:firstLineChars="200"/>
              <w:jc w:val="left"/>
              <w:rPr>
                <w:rFonts w:hint="eastAsia"/>
              </w:rPr>
            </w:pPr>
            <w:r>
              <w:rPr>
                <w:rFonts w:hint="eastAsia"/>
              </w:rPr>
              <w:t>非营利性服务业</w:t>
            </w:r>
          </w:p>
        </w:tc>
        <w:tc>
          <w:tcPr>
            <w:tcW w:w="1637" w:type="pct"/>
            <w:vAlign w:val="center"/>
          </w:tcPr>
          <w:p w14:paraId="021BFE26">
            <w:pPr>
              <w:pStyle w:val="13"/>
              <w:jc w:val="center"/>
              <w:rPr>
                <w:rFonts w:hint="eastAsia"/>
              </w:rPr>
            </w:pPr>
            <w:r>
              <w:rPr>
                <w:rFonts w:hint="eastAsia"/>
              </w:rPr>
              <w:t>6.49</w:t>
            </w:r>
          </w:p>
        </w:tc>
        <w:tc>
          <w:tcPr>
            <w:tcW w:w="1388" w:type="pct"/>
            <w:vAlign w:val="center"/>
          </w:tcPr>
          <w:p w14:paraId="3697C22E">
            <w:pPr>
              <w:pStyle w:val="13"/>
              <w:jc w:val="center"/>
              <w:rPr>
                <w:rFonts w:hint="eastAsia"/>
              </w:rPr>
            </w:pPr>
            <w:r>
              <w:rPr>
                <w:rFonts w:hint="eastAsia"/>
              </w:rPr>
              <w:t>11.7</w:t>
            </w:r>
          </w:p>
        </w:tc>
      </w:tr>
    </w:tbl>
    <w:p w14:paraId="6026FAE1">
      <w:pPr>
        <w:ind w:firstLine="420"/>
        <w:rPr>
          <w:rFonts w:ascii="宋体" w:hAnsi="宋体"/>
        </w:rPr>
      </w:pPr>
      <w:r>
        <w:rPr>
          <w:rFonts w:ascii="宋体" w:hAnsi="宋体"/>
        </w:rPr>
        <w:t>全市新增城镇就业人数4552人，城镇失业人员实现再就业3567人，其中就业困难人员实现再就业349人，转移农村劳动力10695人，分别完成年度目标任务的101.2%、101.9%、116.3%和106.9%。城镇登记失业率控制在3.01%以内。劳动关系和谐稳定，各类企事业单位劳动合同签订率不断上升。</w:t>
      </w:r>
    </w:p>
    <w:p w14:paraId="7FEAE256">
      <w:pPr>
        <w:ind w:firstLine="420"/>
        <w:rPr>
          <w:rFonts w:ascii="宋体" w:hAnsi="宋体"/>
        </w:rPr>
      </w:pPr>
      <w:r>
        <w:rPr>
          <w:rFonts w:ascii="宋体" w:hAnsi="宋体"/>
        </w:rPr>
        <w:t>全年各项税收收入4.05亿元，比上年增加0.58亿元，增长16.7%。其中国税收入1.09亿元，同比增长3.6%；地税收入2.96亿元，同比增长24.9%。</w:t>
      </w:r>
    </w:p>
    <w:p w14:paraId="360A7C3C">
      <w:pPr>
        <w:ind w:firstLine="420"/>
        <w:rPr>
          <w:rFonts w:ascii="宋体" w:hAnsi="宋体"/>
        </w:rPr>
      </w:pPr>
      <w:r>
        <w:rPr>
          <w:rFonts w:ascii="宋体" w:hAnsi="宋体"/>
        </w:rPr>
        <w:t>国民经济和社会发展中存在的突出问题是：经济基础薄弱，经济总量小、财政自给率低；产业结构调整和转变经济发展方式有待优化；产业转移园对经济增长贡献有待提高，重大项目对投资的拉动作用有待增强；节能减排任务艰巨。</w:t>
      </w:r>
    </w:p>
    <w:p w14:paraId="03B02D9B">
      <w:pPr>
        <w:ind w:firstLine="422"/>
        <w:rPr>
          <w:rFonts w:ascii="宋体" w:hAnsi="宋体"/>
          <w:b/>
          <w:bCs/>
        </w:rPr>
      </w:pPr>
      <w:r>
        <w:rPr>
          <w:rFonts w:hint="eastAsia" w:ascii="宋体" w:hAnsi="宋体"/>
          <w:b/>
          <w:bCs/>
        </w:rPr>
        <w:t>二、农业</w:t>
      </w:r>
    </w:p>
    <w:p w14:paraId="7FB4715A">
      <w:pPr>
        <w:ind w:firstLine="420"/>
        <w:rPr>
          <w:rFonts w:ascii="宋体" w:hAnsi="宋体"/>
        </w:rPr>
      </w:pPr>
      <w:r>
        <w:rPr>
          <w:rFonts w:ascii="宋体" w:hAnsi="宋体"/>
        </w:rPr>
        <w:t>2010年，南雄市坚持以科学发展观统领农村社会经济发展全局，全面推进新农村建设。各级各部门认真贯彻落实中央一号文件、党的十七届四中、五中全会、中央、省和韶关市农村工作会议精神，重点抓好省委、省政府《关于促进粤北山区跨越发展的指导意见》的落实，始终把“三农”作为全市农业农村工作的重中之重，按照“稳粮、增收、强基础、重民生、抓改革、促统筹”的要求，认真落实各项增收措施，以强农惠农为根本目的、以深化改革为强大动力，农村经济发展继续保持良好势头，农民收入持续增长。农业生产和农村经济全面健康发展。</w:t>
      </w:r>
    </w:p>
    <w:p w14:paraId="27D9BF5F">
      <w:pPr>
        <w:ind w:firstLine="420"/>
        <w:rPr>
          <w:rFonts w:ascii="宋体" w:hAnsi="宋体"/>
        </w:rPr>
      </w:pPr>
      <w:r>
        <w:rPr>
          <w:rFonts w:ascii="宋体" w:hAnsi="宋体"/>
        </w:rPr>
        <w:t>农业农村经济效益持续稳定增长。初步统计，全年完成农业总产值27.68亿元，同比增长5.2%；其中种植业产值17.45亿元，林业产值1.62亿元，牧业产值7.11亿元，渔业产值1.07亿元，农林牧渔服务业产值0.43亿元，同比分别增长4.6%、3.2%、7.3%、3.9%和3.2%。全市实现农业增加值16.65亿元，比上年增长5.0%。</w:t>
      </w:r>
    </w:p>
    <w:p w14:paraId="5EF3F3C8">
      <w:pPr>
        <w:ind w:firstLine="420"/>
        <w:rPr>
          <w:rFonts w:ascii="宋体" w:hAnsi="宋体"/>
        </w:rPr>
      </w:pPr>
      <w:r>
        <w:rPr>
          <w:rFonts w:ascii="宋体" w:hAnsi="宋体"/>
        </w:rPr>
        <w:t>特色农业发展加快。按照《南雄市农业产业化发展规划》，围绕特色农业项目建设，不断加快农业产业化发展步伐。坚持以市场为导向，以效益为中心，以生产无公害、绿色、有机农产品为重点，促进南雄市特色农业上规模、上档次、上效益。重点发展了11.87万亩优质烤烟；以金友公司为龙头，以优质稻专业合作社为依托，采取公司+基地+农户经营模式，发展订单农业，种植优质稻25万亩；发展种植了5000亩有机稻；在百顺镇发展罗汉果产业，种植700亩，效益初步显现；以永骏食品厂为依托，在非烟区种植甜玉米2万亩；成立鱼鲜、鑫岭南、友联等食用菌农民专业合作社，发展香菇生产300多亩。农业产业化步伐进一步加快。</w:t>
      </w:r>
    </w:p>
    <w:p w14:paraId="3710171C">
      <w:pPr>
        <w:ind w:firstLine="420"/>
        <w:rPr>
          <w:rFonts w:ascii="宋体" w:hAnsi="宋体"/>
        </w:rPr>
      </w:pPr>
      <w:r>
        <w:rPr>
          <w:rFonts w:ascii="宋体" w:hAnsi="宋体"/>
        </w:rPr>
        <w:t>惠农政策得到全面落实。新农村建设稳步推进，沼气、太阳能等新能源在农村得到了有效推广和应用，新建新农村示范村25个，农民的生活条件和生活环境得到进一步提高。粮食产量连年增长。2010年，全市粮食总播种面积达56.69万亩，比上年增加1.95万亩，增长3.6%；粮食综合平均单产407公斤，比上年增加11公斤，增长2.8%；粮食总产量23.05万吨，比上年增加1.84万吨增长8.7%。商品粮达到15万吨，被国家和省确定为“产粮大县”。</w:t>
      </w:r>
    </w:p>
    <w:p w14:paraId="14A30ED8">
      <w:pPr>
        <w:ind w:firstLine="420"/>
        <w:rPr>
          <w:rFonts w:ascii="宋体" w:hAnsi="宋体"/>
        </w:rPr>
      </w:pPr>
      <w:r>
        <w:rPr>
          <w:rFonts w:ascii="宋体" w:hAnsi="宋体"/>
        </w:rPr>
        <w:t>烟叶产业进一步巩固。南雄市以整县推进现代烟草农业建设为契机，大力发展现代烟草农业。采取有效措施，减低洪涝灾害对烟叶生产的影响，2010年，黄烟生产稳定。全市黄烟种植面积达14.81万亩，收购烟叶30.62万担，收购金额2.34亿元，为南雄市提供了5167万元的财政收入。</w:t>
      </w:r>
    </w:p>
    <w:p w14:paraId="0A0642C3">
      <w:pPr>
        <w:ind w:firstLine="420"/>
        <w:rPr>
          <w:rFonts w:ascii="宋体" w:hAnsi="宋体"/>
        </w:rPr>
      </w:pPr>
      <w:r>
        <w:rPr>
          <w:rFonts w:ascii="宋体" w:hAnsi="宋体"/>
        </w:rPr>
        <w:t>畜牧业平稳发展。2010年，南雄市畜牧业在一系列调控政策的有力拉动下，畜产品市场价格稳定，生产形势良好，畜牧业生产整体保持了平稳发展的态势。全市肉类总产量达3.62万吨，同比增长7.4%；禽蛋产量0.28万吨，同比增长5.0%。以华农温氏畜牧公司为龙头，采取公司+基地+农户的经营模式，生猪产业得到长足发展。年末生猪存栏为26.9万头，同比增长7.9%；家禽存栏为131.8万只，同比增长6.5%；全年生猪出栏为38.29万头，同比增长9.5%；家禽出栏为565.8万只，同比增长4.4%。</w:t>
      </w:r>
    </w:p>
    <w:p w14:paraId="3F5A4219">
      <w:pPr>
        <w:ind w:firstLine="420"/>
        <w:rPr>
          <w:rFonts w:ascii="宋体" w:hAnsi="宋体"/>
        </w:rPr>
      </w:pPr>
      <w:r>
        <w:rPr>
          <w:rFonts w:ascii="宋体" w:hAnsi="宋体"/>
        </w:rPr>
        <w:t>渔业生产持续稳定，水果种植面积增加。年末实有水果种植面积达3.94万亩，水果总产量1.62万吨，同比分别增长12.9%和8.0%。水产品总产量达1.38万吨，同比增长4.3%。</w:t>
      </w:r>
    </w:p>
    <w:p w14:paraId="11DDF995">
      <w:pPr>
        <w:ind w:firstLine="420"/>
        <w:rPr>
          <w:rFonts w:ascii="宋体" w:hAnsi="宋体"/>
        </w:rPr>
      </w:pPr>
      <w:r>
        <w:rPr>
          <w:rFonts w:ascii="宋体" w:hAnsi="宋体"/>
        </w:rPr>
        <w:t>林业生产快速发展。集体林权制度改革顺利推进，基本完成了林地所有权证、使用权证的发放工作，积极创建林业生态市，着力抓好生态示范镇、村创建工作，水土保持工作成效明显。当年完成造林面积31068亩，幼林抚育作业面积6万亩次，四旁（零星）植树51.76万株，更新造林3615亩，木材采伐量为4.47万立方米，毛竹砍伐394.4万根。全年完成林业产值1.62亿元。</w:t>
      </w:r>
    </w:p>
    <w:p w14:paraId="74EDC271">
      <w:pPr>
        <w:ind w:firstLine="422"/>
        <w:jc w:val="center"/>
        <w:rPr>
          <w:rFonts w:ascii="宋体" w:hAnsi="宋体"/>
          <w:b/>
          <w:bCs/>
        </w:rPr>
      </w:pPr>
      <w:r>
        <w:rPr>
          <w:rFonts w:hint="eastAsia" w:ascii="宋体" w:hAnsi="宋体"/>
          <w:b/>
          <w:bCs/>
        </w:rPr>
        <w:t>表34-2  2010年主要农产品产量</w:t>
      </w:r>
    </w:p>
    <w:p w14:paraId="55821589">
      <w:pPr>
        <w:ind w:firstLine="422"/>
        <w:jc w:val="right"/>
        <w:rPr>
          <w:rFonts w:ascii="宋体" w:hAnsi="宋体"/>
          <w:b/>
        </w:rPr>
      </w:pPr>
      <w:r>
        <w:rPr>
          <w:rFonts w:hint="eastAsia" w:ascii="宋体" w:hAnsi="宋体"/>
          <w:b/>
        </w:rPr>
        <w:t>单位：万吨</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21"/>
        <w:gridCol w:w="3321"/>
        <w:gridCol w:w="3320"/>
      </w:tblGrid>
      <w:tr w14:paraId="713AC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7FD0EC3E">
            <w:pPr>
              <w:pStyle w:val="13"/>
              <w:jc w:val="center"/>
              <w:rPr>
                <w:rFonts w:hint="eastAsia"/>
                <w:b/>
              </w:rPr>
            </w:pPr>
            <w:r>
              <w:rPr>
                <w:rFonts w:hint="eastAsia"/>
                <w:b/>
              </w:rPr>
              <w:t>产品名称</w:t>
            </w:r>
          </w:p>
        </w:tc>
        <w:tc>
          <w:tcPr>
            <w:tcW w:w="1667" w:type="pct"/>
            <w:vAlign w:val="center"/>
          </w:tcPr>
          <w:p w14:paraId="4A5E3019">
            <w:pPr>
              <w:pStyle w:val="13"/>
              <w:jc w:val="center"/>
              <w:rPr>
                <w:rFonts w:hint="eastAsia"/>
                <w:b/>
              </w:rPr>
            </w:pPr>
            <w:r>
              <w:rPr>
                <w:rFonts w:hint="eastAsia"/>
                <w:b/>
              </w:rPr>
              <w:t>产量</w:t>
            </w:r>
          </w:p>
        </w:tc>
        <w:tc>
          <w:tcPr>
            <w:tcW w:w="1666" w:type="pct"/>
            <w:vAlign w:val="center"/>
          </w:tcPr>
          <w:p w14:paraId="18C3A97C">
            <w:pPr>
              <w:pStyle w:val="13"/>
              <w:jc w:val="center"/>
              <w:rPr>
                <w:rFonts w:hint="eastAsia"/>
                <w:b/>
              </w:rPr>
            </w:pPr>
            <w:r>
              <w:rPr>
                <w:rFonts w:hint="eastAsia"/>
                <w:b/>
              </w:rPr>
              <w:t>比上年增长+-%</w:t>
            </w:r>
          </w:p>
        </w:tc>
      </w:tr>
      <w:tr w14:paraId="4D449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7F407603">
            <w:pPr>
              <w:pStyle w:val="13"/>
              <w:ind w:firstLine="630" w:firstLineChars="300"/>
              <w:rPr>
                <w:rFonts w:hint="eastAsia"/>
              </w:rPr>
            </w:pPr>
            <w:r>
              <w:rPr>
                <w:rFonts w:hint="eastAsia"/>
              </w:rPr>
              <w:t>粮食作物</w:t>
            </w:r>
          </w:p>
        </w:tc>
        <w:tc>
          <w:tcPr>
            <w:tcW w:w="1667" w:type="pct"/>
            <w:vAlign w:val="center"/>
          </w:tcPr>
          <w:p w14:paraId="7CEA9692">
            <w:pPr>
              <w:pStyle w:val="13"/>
              <w:jc w:val="center"/>
              <w:rPr>
                <w:rFonts w:hint="eastAsia"/>
              </w:rPr>
            </w:pPr>
            <w:r>
              <w:rPr>
                <w:rFonts w:hint="eastAsia"/>
              </w:rPr>
              <w:t>23.05</w:t>
            </w:r>
          </w:p>
        </w:tc>
        <w:tc>
          <w:tcPr>
            <w:tcW w:w="1666" w:type="pct"/>
            <w:vAlign w:val="center"/>
          </w:tcPr>
          <w:p w14:paraId="7060155C">
            <w:pPr>
              <w:pStyle w:val="13"/>
              <w:jc w:val="center"/>
              <w:rPr>
                <w:rFonts w:hint="eastAsia"/>
              </w:rPr>
            </w:pPr>
            <w:r>
              <w:rPr>
                <w:rFonts w:hint="eastAsia"/>
              </w:rPr>
              <w:t>8.7</w:t>
            </w:r>
          </w:p>
        </w:tc>
      </w:tr>
      <w:tr w14:paraId="1B594C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67D16618">
            <w:pPr>
              <w:pStyle w:val="13"/>
              <w:ind w:firstLine="1050" w:firstLineChars="500"/>
              <w:jc w:val="left"/>
              <w:rPr>
                <w:rFonts w:hint="eastAsia"/>
              </w:rPr>
            </w:pPr>
            <w:r>
              <w:rPr>
                <w:rFonts w:hint="eastAsia"/>
              </w:rPr>
              <w:t>稻谷</w:t>
            </w:r>
          </w:p>
        </w:tc>
        <w:tc>
          <w:tcPr>
            <w:tcW w:w="1667" w:type="pct"/>
            <w:vAlign w:val="center"/>
          </w:tcPr>
          <w:p w14:paraId="60CA8128">
            <w:pPr>
              <w:pStyle w:val="13"/>
              <w:jc w:val="center"/>
              <w:rPr>
                <w:rFonts w:hint="eastAsia"/>
              </w:rPr>
            </w:pPr>
            <w:r>
              <w:rPr>
                <w:rFonts w:hint="eastAsia"/>
              </w:rPr>
              <w:t>20.85</w:t>
            </w:r>
          </w:p>
        </w:tc>
        <w:tc>
          <w:tcPr>
            <w:tcW w:w="1666" w:type="pct"/>
            <w:vAlign w:val="center"/>
          </w:tcPr>
          <w:p w14:paraId="47722ADC">
            <w:pPr>
              <w:pStyle w:val="13"/>
              <w:jc w:val="center"/>
              <w:rPr>
                <w:rFonts w:hint="eastAsia"/>
              </w:rPr>
            </w:pPr>
            <w:r>
              <w:rPr>
                <w:rFonts w:hint="eastAsia"/>
              </w:rPr>
              <w:t>8.8</w:t>
            </w:r>
          </w:p>
        </w:tc>
      </w:tr>
      <w:tr w14:paraId="224700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7DAD6B96">
            <w:pPr>
              <w:pStyle w:val="13"/>
              <w:ind w:firstLine="1050" w:firstLineChars="500"/>
              <w:jc w:val="left"/>
              <w:rPr>
                <w:rFonts w:hint="eastAsia"/>
              </w:rPr>
            </w:pPr>
            <w:r>
              <w:rPr>
                <w:rFonts w:hint="eastAsia"/>
              </w:rPr>
              <w:t>旱粮</w:t>
            </w:r>
          </w:p>
        </w:tc>
        <w:tc>
          <w:tcPr>
            <w:tcW w:w="1667" w:type="pct"/>
            <w:vAlign w:val="center"/>
          </w:tcPr>
          <w:p w14:paraId="06D721CD">
            <w:pPr>
              <w:pStyle w:val="13"/>
              <w:jc w:val="center"/>
              <w:rPr>
                <w:rFonts w:hint="eastAsia"/>
              </w:rPr>
            </w:pPr>
            <w:r>
              <w:rPr>
                <w:rFonts w:hint="eastAsia"/>
              </w:rPr>
              <w:t>0.46</w:t>
            </w:r>
          </w:p>
        </w:tc>
        <w:tc>
          <w:tcPr>
            <w:tcW w:w="1666" w:type="pct"/>
            <w:vAlign w:val="center"/>
          </w:tcPr>
          <w:p w14:paraId="463AE94F">
            <w:pPr>
              <w:pStyle w:val="13"/>
              <w:jc w:val="center"/>
              <w:rPr>
                <w:rFonts w:hint="eastAsia"/>
              </w:rPr>
            </w:pPr>
            <w:r>
              <w:rPr>
                <w:rFonts w:hint="eastAsia"/>
              </w:rPr>
              <w:t>8.3</w:t>
            </w:r>
          </w:p>
        </w:tc>
      </w:tr>
      <w:tr w14:paraId="16DFE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33CF90C0">
            <w:pPr>
              <w:pStyle w:val="13"/>
              <w:ind w:firstLine="1050" w:firstLineChars="500"/>
              <w:jc w:val="left"/>
              <w:rPr>
                <w:rFonts w:hint="eastAsia"/>
              </w:rPr>
            </w:pPr>
            <w:r>
              <w:rPr>
                <w:rFonts w:hint="eastAsia"/>
              </w:rPr>
              <w:t>薯类</w:t>
            </w:r>
          </w:p>
        </w:tc>
        <w:tc>
          <w:tcPr>
            <w:tcW w:w="1667" w:type="pct"/>
            <w:vAlign w:val="center"/>
          </w:tcPr>
          <w:p w14:paraId="3C6854F9">
            <w:pPr>
              <w:pStyle w:val="13"/>
              <w:jc w:val="center"/>
              <w:rPr>
                <w:rFonts w:hint="eastAsia"/>
              </w:rPr>
            </w:pPr>
            <w:r>
              <w:rPr>
                <w:rFonts w:hint="eastAsia"/>
              </w:rPr>
              <w:t>1.12</w:t>
            </w:r>
          </w:p>
        </w:tc>
        <w:tc>
          <w:tcPr>
            <w:tcW w:w="1666" w:type="pct"/>
            <w:vAlign w:val="center"/>
          </w:tcPr>
          <w:p w14:paraId="312B23F8">
            <w:pPr>
              <w:pStyle w:val="13"/>
              <w:jc w:val="center"/>
              <w:rPr>
                <w:rFonts w:hint="eastAsia"/>
              </w:rPr>
            </w:pPr>
            <w:r>
              <w:rPr>
                <w:rFonts w:hint="eastAsia"/>
              </w:rPr>
              <w:t>7.8</w:t>
            </w:r>
          </w:p>
        </w:tc>
      </w:tr>
      <w:tr w14:paraId="2539C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53CD095E">
            <w:pPr>
              <w:pStyle w:val="13"/>
              <w:ind w:firstLine="1050" w:firstLineChars="500"/>
              <w:jc w:val="left"/>
              <w:rPr>
                <w:rFonts w:hint="eastAsia"/>
              </w:rPr>
            </w:pPr>
            <w:r>
              <w:rPr>
                <w:rFonts w:hint="eastAsia"/>
              </w:rPr>
              <w:t>大豆</w:t>
            </w:r>
          </w:p>
        </w:tc>
        <w:tc>
          <w:tcPr>
            <w:tcW w:w="1667" w:type="pct"/>
            <w:vAlign w:val="center"/>
          </w:tcPr>
          <w:p w14:paraId="35EBB138">
            <w:pPr>
              <w:pStyle w:val="13"/>
              <w:jc w:val="center"/>
              <w:rPr>
                <w:rFonts w:hint="eastAsia"/>
              </w:rPr>
            </w:pPr>
            <w:r>
              <w:rPr>
                <w:rFonts w:hint="eastAsia"/>
              </w:rPr>
              <w:t>0.62</w:t>
            </w:r>
          </w:p>
        </w:tc>
        <w:tc>
          <w:tcPr>
            <w:tcW w:w="1666" w:type="pct"/>
            <w:vAlign w:val="center"/>
          </w:tcPr>
          <w:p w14:paraId="7DF3799C">
            <w:pPr>
              <w:pStyle w:val="13"/>
              <w:jc w:val="center"/>
              <w:rPr>
                <w:rFonts w:hint="eastAsia"/>
              </w:rPr>
            </w:pPr>
            <w:r>
              <w:rPr>
                <w:rFonts w:hint="eastAsia"/>
              </w:rPr>
              <w:t>7.2</w:t>
            </w:r>
          </w:p>
        </w:tc>
      </w:tr>
      <w:tr w14:paraId="3EC4D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77A39600">
            <w:pPr>
              <w:pStyle w:val="13"/>
              <w:ind w:firstLine="630" w:firstLineChars="300"/>
              <w:jc w:val="left"/>
              <w:rPr>
                <w:rFonts w:hint="eastAsia"/>
              </w:rPr>
            </w:pPr>
            <w:r>
              <w:rPr>
                <w:rFonts w:hint="eastAsia"/>
              </w:rPr>
              <w:t>经济作物</w:t>
            </w:r>
          </w:p>
        </w:tc>
        <w:tc>
          <w:tcPr>
            <w:tcW w:w="1667" w:type="pct"/>
            <w:vAlign w:val="center"/>
          </w:tcPr>
          <w:p w14:paraId="7E2B5F04">
            <w:pPr>
              <w:pStyle w:val="13"/>
              <w:jc w:val="center"/>
              <w:rPr>
                <w:rFonts w:hint="eastAsia"/>
              </w:rPr>
            </w:pPr>
          </w:p>
        </w:tc>
        <w:tc>
          <w:tcPr>
            <w:tcW w:w="1667" w:type="pct"/>
            <w:vAlign w:val="center"/>
          </w:tcPr>
          <w:p w14:paraId="71A1B293">
            <w:pPr>
              <w:pStyle w:val="13"/>
              <w:jc w:val="center"/>
              <w:rPr>
                <w:rFonts w:hint="eastAsia"/>
              </w:rPr>
            </w:pPr>
          </w:p>
        </w:tc>
      </w:tr>
      <w:tr w14:paraId="3A4C7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111A1652">
            <w:pPr>
              <w:pStyle w:val="13"/>
              <w:ind w:firstLine="1050" w:firstLineChars="500"/>
              <w:jc w:val="left"/>
              <w:rPr>
                <w:rFonts w:hint="eastAsia"/>
              </w:rPr>
            </w:pPr>
            <w:r>
              <w:rPr>
                <w:rFonts w:hint="eastAsia"/>
              </w:rPr>
              <w:t>花生</w:t>
            </w:r>
          </w:p>
        </w:tc>
        <w:tc>
          <w:tcPr>
            <w:tcW w:w="1667" w:type="pct"/>
            <w:vAlign w:val="center"/>
          </w:tcPr>
          <w:p w14:paraId="03AC303D">
            <w:pPr>
              <w:pStyle w:val="13"/>
              <w:jc w:val="center"/>
              <w:rPr>
                <w:rFonts w:hint="eastAsia"/>
              </w:rPr>
            </w:pPr>
            <w:r>
              <w:rPr>
                <w:rFonts w:hint="eastAsia"/>
              </w:rPr>
              <w:t>2.11</w:t>
            </w:r>
          </w:p>
        </w:tc>
        <w:tc>
          <w:tcPr>
            <w:tcW w:w="1666" w:type="pct"/>
            <w:vAlign w:val="center"/>
          </w:tcPr>
          <w:p w14:paraId="48F92925">
            <w:pPr>
              <w:pStyle w:val="13"/>
              <w:jc w:val="center"/>
              <w:rPr>
                <w:rFonts w:hint="eastAsia"/>
              </w:rPr>
            </w:pPr>
            <w:r>
              <w:rPr>
                <w:rFonts w:hint="eastAsia"/>
              </w:rPr>
              <w:t>3.4</w:t>
            </w:r>
          </w:p>
        </w:tc>
      </w:tr>
      <w:tr w14:paraId="282F0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05A6B21A">
            <w:pPr>
              <w:pStyle w:val="13"/>
              <w:ind w:firstLine="1050" w:firstLineChars="500"/>
              <w:jc w:val="left"/>
              <w:rPr>
                <w:rFonts w:hint="eastAsia"/>
              </w:rPr>
            </w:pPr>
            <w:r>
              <w:rPr>
                <w:rFonts w:hint="eastAsia"/>
              </w:rPr>
              <w:t>烟叶</w:t>
            </w:r>
          </w:p>
        </w:tc>
        <w:tc>
          <w:tcPr>
            <w:tcW w:w="1667" w:type="pct"/>
            <w:vAlign w:val="center"/>
          </w:tcPr>
          <w:p w14:paraId="37B9922F">
            <w:pPr>
              <w:pStyle w:val="13"/>
              <w:jc w:val="center"/>
              <w:rPr>
                <w:rFonts w:hint="eastAsia"/>
              </w:rPr>
            </w:pPr>
            <w:r>
              <w:rPr>
                <w:rFonts w:hint="eastAsia"/>
              </w:rPr>
              <w:t>2.37</w:t>
            </w:r>
          </w:p>
        </w:tc>
        <w:tc>
          <w:tcPr>
            <w:tcW w:w="1666" w:type="pct"/>
            <w:vAlign w:val="center"/>
          </w:tcPr>
          <w:p w14:paraId="402A0439">
            <w:pPr>
              <w:pStyle w:val="13"/>
              <w:jc w:val="center"/>
              <w:rPr>
                <w:rFonts w:hint="eastAsia"/>
              </w:rPr>
            </w:pPr>
            <w:r>
              <w:rPr>
                <w:rFonts w:hint="eastAsia"/>
              </w:rPr>
              <w:t>3.9</w:t>
            </w:r>
          </w:p>
        </w:tc>
      </w:tr>
      <w:tr w14:paraId="067A1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214280B9">
            <w:pPr>
              <w:pStyle w:val="13"/>
              <w:ind w:firstLine="1050" w:firstLineChars="500"/>
              <w:jc w:val="left"/>
              <w:rPr>
                <w:rFonts w:hint="eastAsia"/>
              </w:rPr>
            </w:pPr>
            <w:r>
              <w:rPr>
                <w:rFonts w:hint="eastAsia"/>
              </w:rPr>
              <w:t>水果</w:t>
            </w:r>
          </w:p>
        </w:tc>
        <w:tc>
          <w:tcPr>
            <w:tcW w:w="1667" w:type="pct"/>
            <w:vAlign w:val="center"/>
          </w:tcPr>
          <w:p w14:paraId="48ECAED4">
            <w:pPr>
              <w:pStyle w:val="13"/>
              <w:jc w:val="center"/>
              <w:rPr>
                <w:rFonts w:hint="eastAsia"/>
              </w:rPr>
            </w:pPr>
            <w:r>
              <w:rPr>
                <w:rFonts w:hint="eastAsia"/>
              </w:rPr>
              <w:t>1.62</w:t>
            </w:r>
          </w:p>
        </w:tc>
        <w:tc>
          <w:tcPr>
            <w:tcW w:w="1666" w:type="pct"/>
            <w:vAlign w:val="center"/>
          </w:tcPr>
          <w:p w14:paraId="5B764195">
            <w:pPr>
              <w:pStyle w:val="13"/>
              <w:jc w:val="center"/>
              <w:rPr>
                <w:rFonts w:hint="eastAsia"/>
              </w:rPr>
            </w:pPr>
            <w:r>
              <w:rPr>
                <w:rFonts w:hint="eastAsia"/>
              </w:rPr>
              <w:t>8.0</w:t>
            </w:r>
          </w:p>
        </w:tc>
      </w:tr>
      <w:tr w14:paraId="1BE9C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1B18E5AB">
            <w:pPr>
              <w:pStyle w:val="13"/>
              <w:ind w:firstLine="1050" w:firstLineChars="500"/>
              <w:jc w:val="left"/>
              <w:rPr>
                <w:rFonts w:hint="eastAsia"/>
              </w:rPr>
            </w:pPr>
            <w:r>
              <w:rPr>
                <w:rFonts w:hint="eastAsia"/>
              </w:rPr>
              <w:t>蔬菜</w:t>
            </w:r>
          </w:p>
        </w:tc>
        <w:tc>
          <w:tcPr>
            <w:tcW w:w="1667" w:type="pct"/>
            <w:vAlign w:val="center"/>
          </w:tcPr>
          <w:p w14:paraId="11013EB2">
            <w:pPr>
              <w:pStyle w:val="13"/>
              <w:jc w:val="center"/>
              <w:rPr>
                <w:rFonts w:hint="eastAsia"/>
              </w:rPr>
            </w:pPr>
            <w:r>
              <w:rPr>
                <w:rFonts w:hint="eastAsia"/>
              </w:rPr>
              <w:t>13.38</w:t>
            </w:r>
          </w:p>
        </w:tc>
        <w:tc>
          <w:tcPr>
            <w:tcW w:w="1666" w:type="pct"/>
            <w:vAlign w:val="center"/>
          </w:tcPr>
          <w:p w14:paraId="5101A787">
            <w:pPr>
              <w:pStyle w:val="13"/>
              <w:jc w:val="center"/>
              <w:rPr>
                <w:rFonts w:hint="eastAsia"/>
              </w:rPr>
            </w:pPr>
            <w:r>
              <w:rPr>
                <w:rFonts w:hint="eastAsia"/>
              </w:rPr>
              <w:t>2.8</w:t>
            </w:r>
          </w:p>
        </w:tc>
      </w:tr>
      <w:tr w14:paraId="4BDFA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15BABC1A">
            <w:pPr>
              <w:pStyle w:val="13"/>
              <w:ind w:firstLine="1050" w:firstLineChars="500"/>
              <w:jc w:val="left"/>
              <w:rPr>
                <w:rFonts w:hint="eastAsia"/>
              </w:rPr>
            </w:pPr>
            <w:r>
              <w:rPr>
                <w:rFonts w:hint="eastAsia"/>
              </w:rPr>
              <w:t>猪肉</w:t>
            </w:r>
          </w:p>
        </w:tc>
        <w:tc>
          <w:tcPr>
            <w:tcW w:w="1667" w:type="pct"/>
            <w:vAlign w:val="center"/>
          </w:tcPr>
          <w:p w14:paraId="48E0A0D1">
            <w:pPr>
              <w:pStyle w:val="13"/>
              <w:jc w:val="center"/>
              <w:rPr>
                <w:rFonts w:hint="eastAsia"/>
              </w:rPr>
            </w:pPr>
            <w:r>
              <w:rPr>
                <w:rFonts w:hint="eastAsia"/>
              </w:rPr>
              <w:t>2.74</w:t>
            </w:r>
          </w:p>
        </w:tc>
        <w:tc>
          <w:tcPr>
            <w:tcW w:w="1666" w:type="pct"/>
            <w:vAlign w:val="center"/>
          </w:tcPr>
          <w:p w14:paraId="0FB3641E">
            <w:pPr>
              <w:pStyle w:val="13"/>
              <w:jc w:val="center"/>
              <w:rPr>
                <w:rFonts w:hint="eastAsia"/>
              </w:rPr>
            </w:pPr>
            <w:r>
              <w:rPr>
                <w:rFonts w:hint="eastAsia"/>
              </w:rPr>
              <w:t>8.4</w:t>
            </w:r>
          </w:p>
        </w:tc>
      </w:tr>
      <w:tr w14:paraId="56578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31D0AEAB">
            <w:pPr>
              <w:pStyle w:val="13"/>
              <w:ind w:firstLine="1050" w:firstLineChars="500"/>
              <w:jc w:val="left"/>
              <w:rPr>
                <w:rFonts w:hint="eastAsia"/>
              </w:rPr>
            </w:pPr>
            <w:r>
              <w:rPr>
                <w:rFonts w:hint="eastAsia"/>
              </w:rPr>
              <w:t>家禽肉</w:t>
            </w:r>
          </w:p>
        </w:tc>
        <w:tc>
          <w:tcPr>
            <w:tcW w:w="1667" w:type="pct"/>
            <w:vAlign w:val="center"/>
          </w:tcPr>
          <w:p w14:paraId="6AF3261D">
            <w:pPr>
              <w:pStyle w:val="13"/>
              <w:jc w:val="center"/>
              <w:rPr>
                <w:rFonts w:hint="eastAsia"/>
              </w:rPr>
            </w:pPr>
            <w:r>
              <w:rPr>
                <w:rFonts w:hint="eastAsia"/>
              </w:rPr>
              <w:t>0.81</w:t>
            </w:r>
          </w:p>
        </w:tc>
        <w:tc>
          <w:tcPr>
            <w:tcW w:w="1666" w:type="pct"/>
            <w:vAlign w:val="center"/>
          </w:tcPr>
          <w:p w14:paraId="2D710C3C">
            <w:pPr>
              <w:pStyle w:val="13"/>
              <w:jc w:val="center"/>
              <w:rPr>
                <w:rFonts w:hint="eastAsia"/>
              </w:rPr>
            </w:pPr>
            <w:r>
              <w:rPr>
                <w:rFonts w:hint="eastAsia"/>
              </w:rPr>
              <w:t>4.4</w:t>
            </w:r>
          </w:p>
        </w:tc>
      </w:tr>
      <w:tr w14:paraId="02906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4317BB83">
            <w:pPr>
              <w:pStyle w:val="13"/>
              <w:ind w:firstLine="1050" w:firstLineChars="500"/>
              <w:jc w:val="left"/>
              <w:rPr>
                <w:rFonts w:hint="eastAsia"/>
              </w:rPr>
            </w:pPr>
            <w:r>
              <w:rPr>
                <w:rFonts w:hint="eastAsia"/>
              </w:rPr>
              <w:t>禽蛋</w:t>
            </w:r>
          </w:p>
        </w:tc>
        <w:tc>
          <w:tcPr>
            <w:tcW w:w="1667" w:type="pct"/>
            <w:vAlign w:val="center"/>
          </w:tcPr>
          <w:p w14:paraId="423FD3C3">
            <w:pPr>
              <w:pStyle w:val="13"/>
              <w:jc w:val="center"/>
              <w:rPr>
                <w:rFonts w:hint="eastAsia"/>
              </w:rPr>
            </w:pPr>
            <w:r>
              <w:rPr>
                <w:rFonts w:hint="eastAsia"/>
              </w:rPr>
              <w:t>0.28</w:t>
            </w:r>
          </w:p>
        </w:tc>
        <w:tc>
          <w:tcPr>
            <w:tcW w:w="1666" w:type="pct"/>
            <w:vAlign w:val="center"/>
          </w:tcPr>
          <w:p w14:paraId="5B8C8335">
            <w:pPr>
              <w:pStyle w:val="13"/>
              <w:jc w:val="center"/>
              <w:rPr>
                <w:rFonts w:hint="eastAsia"/>
              </w:rPr>
            </w:pPr>
            <w:r>
              <w:rPr>
                <w:rFonts w:hint="eastAsia"/>
              </w:rPr>
              <w:t>5.0</w:t>
            </w:r>
          </w:p>
        </w:tc>
      </w:tr>
      <w:tr w14:paraId="749F1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2A25840D">
            <w:pPr>
              <w:pStyle w:val="13"/>
              <w:ind w:firstLine="1050" w:firstLineChars="500"/>
              <w:jc w:val="left"/>
              <w:rPr>
                <w:rFonts w:hint="eastAsia"/>
              </w:rPr>
            </w:pPr>
            <w:r>
              <w:rPr>
                <w:rFonts w:hint="eastAsia"/>
              </w:rPr>
              <w:t>鱼类</w:t>
            </w:r>
          </w:p>
        </w:tc>
        <w:tc>
          <w:tcPr>
            <w:tcW w:w="1667" w:type="pct"/>
            <w:vAlign w:val="center"/>
          </w:tcPr>
          <w:p w14:paraId="50C4B546">
            <w:pPr>
              <w:pStyle w:val="13"/>
              <w:jc w:val="center"/>
              <w:rPr>
                <w:rFonts w:hint="eastAsia"/>
              </w:rPr>
            </w:pPr>
            <w:r>
              <w:rPr>
                <w:rFonts w:hint="eastAsia"/>
              </w:rPr>
              <w:t>1.35</w:t>
            </w:r>
          </w:p>
        </w:tc>
        <w:tc>
          <w:tcPr>
            <w:tcW w:w="1666" w:type="pct"/>
            <w:vAlign w:val="center"/>
          </w:tcPr>
          <w:p w14:paraId="17E72E00">
            <w:pPr>
              <w:pStyle w:val="13"/>
              <w:jc w:val="center"/>
              <w:rPr>
                <w:rFonts w:hint="eastAsia"/>
              </w:rPr>
            </w:pPr>
            <w:r>
              <w:rPr>
                <w:rFonts w:hint="eastAsia"/>
              </w:rPr>
              <w:t>4.3</w:t>
            </w:r>
          </w:p>
        </w:tc>
      </w:tr>
    </w:tbl>
    <w:p w14:paraId="01561731">
      <w:pPr>
        <w:ind w:firstLine="420"/>
        <w:rPr>
          <w:rFonts w:ascii="宋体" w:hAnsi="宋体"/>
        </w:rPr>
      </w:pPr>
      <w:r>
        <w:rPr>
          <w:rFonts w:ascii="宋体" w:hAnsi="宋体"/>
        </w:rPr>
        <w:t>农民人均纯收入5945元，按可比口径增长10.9%。全市农村经济总收入47.65亿元，比上年增长6.6%。</w:t>
      </w:r>
    </w:p>
    <w:p w14:paraId="545527B3">
      <w:pPr>
        <w:ind w:firstLine="420"/>
        <w:rPr>
          <w:rFonts w:ascii="宋体" w:hAnsi="宋体"/>
        </w:rPr>
      </w:pPr>
      <w:r>
        <w:rPr>
          <w:rFonts w:ascii="宋体" w:hAnsi="宋体"/>
        </w:rPr>
        <w:t>农业生产条件不断提高。投入资金2600万元，基本完成了7宗农田改造项目，受益面积2.3万亩。投资约1.9亿元，完成了省城乡水利防灾减灾工程建设5宗；投资3975万元，完成省小型病险水库除险加固工程22宗；投入1256万元进行农村饮水安全工程。积极促进农业机械化发展，争取上级资金420万元，补贴农户购买水稻联合收割机、拖拉机、烟草起垄机等农业机械1820套（台）。全年农村用电量达3227万千瓦时，同比增长4.3%。镇、村办水电站112个，装机容量为4.08万千瓦，发电量1.45万千瓦时。2010年末，全市农业机械总动力为27.95万千瓦，同比增长4.5%；拥有大中型拖拉机12台，小型拖拉机1.45万台，联合收割机507台，农用排灌电动机285台，自走式机动割晒机458台，农用运输车901辆，农用水泵9579台。</w:t>
      </w:r>
    </w:p>
    <w:p w14:paraId="117B5EE6">
      <w:pPr>
        <w:ind w:firstLine="422"/>
        <w:rPr>
          <w:rFonts w:ascii="宋体" w:hAnsi="宋体"/>
          <w:b/>
          <w:bCs/>
        </w:rPr>
      </w:pPr>
      <w:r>
        <w:rPr>
          <w:rFonts w:hint="eastAsia" w:ascii="宋体" w:hAnsi="宋体"/>
          <w:b/>
          <w:bCs/>
        </w:rPr>
        <w:t>三、</w:t>
      </w:r>
      <w:r>
        <w:rPr>
          <w:rFonts w:ascii="宋体" w:hAnsi="宋体"/>
          <w:b/>
          <w:bCs/>
        </w:rPr>
        <w:t>工业和建筑业</w:t>
      </w:r>
    </w:p>
    <w:p w14:paraId="60FDE9DE">
      <w:pPr>
        <w:ind w:firstLine="420"/>
        <w:rPr>
          <w:rFonts w:ascii="宋体" w:hAnsi="宋体"/>
        </w:rPr>
      </w:pPr>
      <w:r>
        <w:rPr>
          <w:rFonts w:ascii="宋体" w:hAnsi="宋体"/>
        </w:rPr>
        <w:t>2010年，南雄市围绕“抓项目、调结构”的工作思路，大力发展特色工业和应用技术改造提升传统优势产业，工业结构和布局进一步优化和提升。产业转移工业园进一步发展，产业集聚效应逐步显现，工业拉动经济发展的引擎作用进一步凸显。工业招商引资工作成效显著，全年新增12家规模以上工业企业。</w:t>
      </w:r>
    </w:p>
    <w:p w14:paraId="071D7F29">
      <w:pPr>
        <w:ind w:firstLine="420"/>
        <w:rPr>
          <w:rFonts w:ascii="宋体" w:hAnsi="宋体"/>
        </w:rPr>
      </w:pPr>
      <w:r>
        <w:rPr>
          <w:rFonts w:ascii="宋体" w:hAnsi="宋体"/>
        </w:rPr>
        <w:t>初步统计，全年完成工业总产值37.77亿元，同比增长46.2%；实现工业增加值9.1亿元，同比增长35.8%。对GDP的贡献率为36.4%，拉动GDP增长5.3个百分点。其中规模以上工业企业完成工业总产值30.46亿元，同比增长65.3%，实现工业增加值5.87亿元，同比增长53.3%；规模以下工业完成工业总产值7.31亿元，同比增长13.2%，实现工业增加值3.23亿元，同比增长13.2%。</w:t>
      </w:r>
    </w:p>
    <w:p w14:paraId="49FACFAF">
      <w:pPr>
        <w:ind w:firstLine="422"/>
        <w:jc w:val="center"/>
        <w:rPr>
          <w:rFonts w:ascii="宋体" w:hAnsi="宋体"/>
          <w:b/>
          <w:bCs/>
        </w:rPr>
      </w:pPr>
      <w:r>
        <w:rPr>
          <w:rFonts w:hint="eastAsia" w:ascii="宋体" w:hAnsi="宋体"/>
          <w:b/>
          <w:bCs/>
        </w:rPr>
        <w:t>表34-3  2010年主要工业产品产量</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48"/>
        <w:gridCol w:w="2238"/>
        <w:gridCol w:w="2238"/>
        <w:gridCol w:w="2238"/>
      </w:tblGrid>
      <w:tr w14:paraId="516FD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0" w:type="pct"/>
            <w:vAlign w:val="center"/>
          </w:tcPr>
          <w:p w14:paraId="2D5A86E0">
            <w:pPr>
              <w:pStyle w:val="13"/>
              <w:jc w:val="center"/>
              <w:rPr>
                <w:rFonts w:hint="eastAsia"/>
                <w:b/>
              </w:rPr>
            </w:pPr>
            <w:r>
              <w:rPr>
                <w:rFonts w:hint="eastAsia"/>
                <w:b/>
              </w:rPr>
              <w:t>产品名称</w:t>
            </w:r>
          </w:p>
        </w:tc>
        <w:tc>
          <w:tcPr>
            <w:tcW w:w="1123" w:type="pct"/>
            <w:vAlign w:val="center"/>
          </w:tcPr>
          <w:p w14:paraId="3D418300">
            <w:pPr>
              <w:pStyle w:val="13"/>
              <w:jc w:val="center"/>
              <w:rPr>
                <w:rFonts w:hint="eastAsia"/>
                <w:b/>
              </w:rPr>
            </w:pPr>
            <w:r>
              <w:rPr>
                <w:rFonts w:hint="eastAsia"/>
                <w:b/>
              </w:rPr>
              <w:t>计量单位</w:t>
            </w:r>
          </w:p>
        </w:tc>
        <w:tc>
          <w:tcPr>
            <w:tcW w:w="1123" w:type="pct"/>
            <w:vAlign w:val="center"/>
          </w:tcPr>
          <w:p w14:paraId="4BDF553A">
            <w:pPr>
              <w:pStyle w:val="13"/>
              <w:jc w:val="center"/>
              <w:rPr>
                <w:rFonts w:hint="eastAsia"/>
                <w:b/>
              </w:rPr>
            </w:pPr>
            <w:r>
              <w:rPr>
                <w:rFonts w:hint="eastAsia"/>
                <w:b/>
              </w:rPr>
              <w:t>产量</w:t>
            </w:r>
          </w:p>
        </w:tc>
        <w:tc>
          <w:tcPr>
            <w:tcW w:w="1123" w:type="pct"/>
            <w:vAlign w:val="center"/>
          </w:tcPr>
          <w:p w14:paraId="72496334">
            <w:pPr>
              <w:pStyle w:val="13"/>
              <w:jc w:val="center"/>
              <w:rPr>
                <w:rFonts w:hint="eastAsia"/>
                <w:b/>
              </w:rPr>
            </w:pPr>
            <w:r>
              <w:rPr>
                <w:rFonts w:hint="eastAsia"/>
                <w:b/>
              </w:rPr>
              <w:t>比上年增长+-%</w:t>
            </w:r>
          </w:p>
        </w:tc>
      </w:tr>
      <w:tr w14:paraId="6468A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0" w:type="pct"/>
            <w:vAlign w:val="center"/>
          </w:tcPr>
          <w:p w14:paraId="571BEA95">
            <w:pPr>
              <w:pStyle w:val="13"/>
              <w:jc w:val="left"/>
              <w:rPr>
                <w:rFonts w:hint="eastAsia"/>
              </w:rPr>
            </w:pPr>
            <w:r>
              <w:rPr>
                <w:rFonts w:hint="eastAsia"/>
              </w:rPr>
              <w:t>钨精矿折含量（折三氧化钨）</w:t>
            </w:r>
          </w:p>
        </w:tc>
        <w:tc>
          <w:tcPr>
            <w:tcW w:w="1123" w:type="pct"/>
            <w:vAlign w:val="center"/>
          </w:tcPr>
          <w:p w14:paraId="181FA532">
            <w:pPr>
              <w:pStyle w:val="13"/>
              <w:jc w:val="center"/>
              <w:rPr>
                <w:rFonts w:hint="eastAsia"/>
              </w:rPr>
            </w:pPr>
            <w:r>
              <w:rPr>
                <w:rFonts w:hint="eastAsia"/>
              </w:rPr>
              <w:t>吨</w:t>
            </w:r>
          </w:p>
        </w:tc>
        <w:tc>
          <w:tcPr>
            <w:tcW w:w="1123" w:type="pct"/>
            <w:vAlign w:val="center"/>
          </w:tcPr>
          <w:p w14:paraId="5C3F2D5C">
            <w:pPr>
              <w:pStyle w:val="13"/>
              <w:jc w:val="center"/>
              <w:rPr>
                <w:rFonts w:hint="eastAsia"/>
              </w:rPr>
            </w:pPr>
            <w:r>
              <w:rPr>
                <w:rFonts w:hint="eastAsia"/>
              </w:rPr>
              <w:t>218.82</w:t>
            </w:r>
          </w:p>
        </w:tc>
        <w:tc>
          <w:tcPr>
            <w:tcW w:w="1123" w:type="pct"/>
            <w:vAlign w:val="center"/>
          </w:tcPr>
          <w:p w14:paraId="12C2569B">
            <w:pPr>
              <w:pStyle w:val="13"/>
              <w:jc w:val="center"/>
              <w:rPr>
                <w:rFonts w:hint="eastAsia"/>
              </w:rPr>
            </w:pPr>
            <w:r>
              <w:rPr>
                <w:rFonts w:hint="eastAsia"/>
              </w:rPr>
              <w:t>18.7</w:t>
            </w:r>
          </w:p>
        </w:tc>
      </w:tr>
      <w:tr w14:paraId="4FA2A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0" w:type="pct"/>
            <w:vAlign w:val="center"/>
          </w:tcPr>
          <w:p w14:paraId="5ABE8018">
            <w:pPr>
              <w:pStyle w:val="13"/>
              <w:jc w:val="left"/>
              <w:rPr>
                <w:rFonts w:hint="eastAsia"/>
              </w:rPr>
            </w:pPr>
            <w:r>
              <w:rPr>
                <w:rFonts w:hint="eastAsia"/>
              </w:rPr>
              <w:t>钼精矿折含量（含纯钼45%）</w:t>
            </w:r>
          </w:p>
        </w:tc>
        <w:tc>
          <w:tcPr>
            <w:tcW w:w="1123" w:type="pct"/>
            <w:vAlign w:val="center"/>
          </w:tcPr>
          <w:p w14:paraId="5B0DBFD4">
            <w:pPr>
              <w:pStyle w:val="13"/>
              <w:jc w:val="center"/>
              <w:rPr>
                <w:rFonts w:hint="eastAsia"/>
              </w:rPr>
            </w:pPr>
            <w:r>
              <w:rPr>
                <w:rFonts w:hint="eastAsia"/>
              </w:rPr>
              <w:t>吨</w:t>
            </w:r>
          </w:p>
        </w:tc>
        <w:tc>
          <w:tcPr>
            <w:tcW w:w="1123" w:type="pct"/>
            <w:vAlign w:val="center"/>
          </w:tcPr>
          <w:p w14:paraId="0A07D206">
            <w:pPr>
              <w:pStyle w:val="13"/>
              <w:jc w:val="center"/>
              <w:rPr>
                <w:rFonts w:hint="eastAsia"/>
              </w:rPr>
            </w:pPr>
            <w:r>
              <w:rPr>
                <w:rFonts w:hint="eastAsia"/>
              </w:rPr>
              <w:t>102.57</w:t>
            </w:r>
          </w:p>
        </w:tc>
        <w:tc>
          <w:tcPr>
            <w:tcW w:w="1123" w:type="pct"/>
            <w:vAlign w:val="center"/>
          </w:tcPr>
          <w:p w14:paraId="32D1831A">
            <w:pPr>
              <w:pStyle w:val="13"/>
              <w:jc w:val="center"/>
              <w:rPr>
                <w:rFonts w:hint="eastAsia"/>
              </w:rPr>
            </w:pPr>
            <w:r>
              <w:rPr>
                <w:rFonts w:hint="eastAsia"/>
              </w:rPr>
              <w:t>9.5</w:t>
            </w:r>
          </w:p>
        </w:tc>
      </w:tr>
      <w:tr w14:paraId="698A4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0" w:type="pct"/>
            <w:vAlign w:val="center"/>
          </w:tcPr>
          <w:p w14:paraId="495496BD">
            <w:pPr>
              <w:pStyle w:val="13"/>
              <w:jc w:val="left"/>
              <w:rPr>
                <w:rFonts w:hint="eastAsia"/>
              </w:rPr>
            </w:pPr>
            <w:r>
              <w:rPr>
                <w:rFonts w:hint="eastAsia"/>
              </w:rPr>
              <w:t>机制纸及纸板</w:t>
            </w:r>
          </w:p>
        </w:tc>
        <w:tc>
          <w:tcPr>
            <w:tcW w:w="1123" w:type="pct"/>
            <w:vAlign w:val="center"/>
          </w:tcPr>
          <w:p w14:paraId="230FFBD1">
            <w:pPr>
              <w:pStyle w:val="13"/>
              <w:jc w:val="center"/>
              <w:rPr>
                <w:rFonts w:hint="eastAsia"/>
              </w:rPr>
            </w:pPr>
            <w:r>
              <w:rPr>
                <w:rFonts w:hint="eastAsia"/>
              </w:rPr>
              <w:t>吨</w:t>
            </w:r>
          </w:p>
        </w:tc>
        <w:tc>
          <w:tcPr>
            <w:tcW w:w="1123" w:type="pct"/>
            <w:vAlign w:val="center"/>
          </w:tcPr>
          <w:p w14:paraId="2A671214">
            <w:pPr>
              <w:pStyle w:val="13"/>
              <w:jc w:val="center"/>
              <w:rPr>
                <w:rFonts w:hint="eastAsia"/>
              </w:rPr>
            </w:pPr>
            <w:r>
              <w:rPr>
                <w:rFonts w:hint="eastAsia"/>
              </w:rPr>
              <w:t>31907</w:t>
            </w:r>
          </w:p>
        </w:tc>
        <w:tc>
          <w:tcPr>
            <w:tcW w:w="1123" w:type="pct"/>
            <w:vAlign w:val="center"/>
          </w:tcPr>
          <w:p w14:paraId="357A9F11">
            <w:pPr>
              <w:pStyle w:val="13"/>
              <w:jc w:val="center"/>
              <w:rPr>
                <w:rFonts w:hint="eastAsia"/>
              </w:rPr>
            </w:pPr>
            <w:r>
              <w:rPr>
                <w:rFonts w:hint="eastAsia"/>
              </w:rPr>
              <w:t>44.0</w:t>
            </w:r>
          </w:p>
        </w:tc>
      </w:tr>
      <w:tr w14:paraId="21AFC4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0" w:type="pct"/>
            <w:vAlign w:val="center"/>
          </w:tcPr>
          <w:p w14:paraId="08B0B5B5">
            <w:pPr>
              <w:pStyle w:val="13"/>
              <w:jc w:val="left"/>
              <w:rPr>
                <w:rFonts w:hint="eastAsia"/>
              </w:rPr>
            </w:pPr>
            <w:r>
              <w:rPr>
                <w:rFonts w:hint="eastAsia"/>
              </w:rPr>
              <w:t>发电量</w:t>
            </w:r>
          </w:p>
        </w:tc>
        <w:tc>
          <w:tcPr>
            <w:tcW w:w="1123" w:type="pct"/>
            <w:vAlign w:val="center"/>
          </w:tcPr>
          <w:p w14:paraId="6FB78CCF">
            <w:pPr>
              <w:pStyle w:val="13"/>
              <w:jc w:val="center"/>
              <w:rPr>
                <w:rFonts w:hint="eastAsia"/>
              </w:rPr>
            </w:pPr>
            <w:r>
              <w:rPr>
                <w:rFonts w:hint="eastAsia"/>
              </w:rPr>
              <w:t>万千瓦小时</w:t>
            </w:r>
          </w:p>
        </w:tc>
        <w:tc>
          <w:tcPr>
            <w:tcW w:w="1123" w:type="pct"/>
            <w:vAlign w:val="center"/>
          </w:tcPr>
          <w:p w14:paraId="482E9B62">
            <w:pPr>
              <w:pStyle w:val="13"/>
              <w:jc w:val="center"/>
              <w:rPr>
                <w:rFonts w:hint="eastAsia"/>
              </w:rPr>
            </w:pPr>
            <w:r>
              <w:rPr>
                <w:rFonts w:hint="eastAsia"/>
              </w:rPr>
              <w:t>11043</w:t>
            </w:r>
          </w:p>
        </w:tc>
        <w:tc>
          <w:tcPr>
            <w:tcW w:w="1123" w:type="pct"/>
            <w:vAlign w:val="center"/>
          </w:tcPr>
          <w:p w14:paraId="02EC0170">
            <w:pPr>
              <w:pStyle w:val="13"/>
              <w:jc w:val="center"/>
              <w:rPr>
                <w:rFonts w:hint="eastAsia"/>
              </w:rPr>
            </w:pPr>
            <w:r>
              <w:rPr>
                <w:rFonts w:hint="eastAsia"/>
              </w:rPr>
              <w:t>65.4</w:t>
            </w:r>
          </w:p>
        </w:tc>
      </w:tr>
      <w:tr w14:paraId="67988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0" w:type="pct"/>
            <w:vAlign w:val="center"/>
          </w:tcPr>
          <w:p w14:paraId="0F1CCAE8">
            <w:pPr>
              <w:pStyle w:val="13"/>
              <w:jc w:val="left"/>
              <w:rPr>
                <w:rFonts w:hint="eastAsia"/>
              </w:rPr>
            </w:pPr>
            <w:r>
              <w:rPr>
                <w:rFonts w:hint="eastAsia"/>
              </w:rPr>
              <w:t>自来水生产量</w:t>
            </w:r>
          </w:p>
        </w:tc>
        <w:tc>
          <w:tcPr>
            <w:tcW w:w="1123" w:type="pct"/>
            <w:vAlign w:val="center"/>
          </w:tcPr>
          <w:p w14:paraId="5B611914">
            <w:pPr>
              <w:pStyle w:val="13"/>
              <w:jc w:val="center"/>
              <w:rPr>
                <w:rFonts w:hint="eastAsia"/>
              </w:rPr>
            </w:pPr>
            <w:r>
              <w:rPr>
                <w:rFonts w:hint="eastAsia"/>
              </w:rPr>
              <w:t>万立方米</w:t>
            </w:r>
          </w:p>
        </w:tc>
        <w:tc>
          <w:tcPr>
            <w:tcW w:w="1123" w:type="pct"/>
            <w:vAlign w:val="center"/>
          </w:tcPr>
          <w:p w14:paraId="3A41F6CF">
            <w:pPr>
              <w:pStyle w:val="13"/>
              <w:jc w:val="center"/>
              <w:rPr>
                <w:rFonts w:hint="eastAsia"/>
              </w:rPr>
            </w:pPr>
            <w:r>
              <w:rPr>
                <w:rFonts w:hint="eastAsia"/>
              </w:rPr>
              <w:t>492</w:t>
            </w:r>
          </w:p>
        </w:tc>
        <w:tc>
          <w:tcPr>
            <w:tcW w:w="1123" w:type="pct"/>
            <w:vAlign w:val="center"/>
          </w:tcPr>
          <w:p w14:paraId="1B73B60D">
            <w:pPr>
              <w:pStyle w:val="13"/>
              <w:jc w:val="center"/>
              <w:rPr>
                <w:rFonts w:hint="eastAsia"/>
              </w:rPr>
            </w:pPr>
            <w:r>
              <w:rPr>
                <w:rFonts w:hint="eastAsia"/>
              </w:rPr>
              <w:t>持平</w:t>
            </w:r>
          </w:p>
        </w:tc>
      </w:tr>
      <w:tr w14:paraId="51754B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0" w:type="pct"/>
            <w:vAlign w:val="center"/>
          </w:tcPr>
          <w:p w14:paraId="039457FF">
            <w:pPr>
              <w:pStyle w:val="13"/>
              <w:jc w:val="left"/>
              <w:rPr>
                <w:rFonts w:hint="eastAsia"/>
              </w:rPr>
            </w:pPr>
            <w:r>
              <w:rPr>
                <w:rFonts w:hint="eastAsia"/>
              </w:rPr>
              <w:t>鲜冷藏冻肉</w:t>
            </w:r>
          </w:p>
        </w:tc>
        <w:tc>
          <w:tcPr>
            <w:tcW w:w="1123" w:type="pct"/>
            <w:vAlign w:val="center"/>
          </w:tcPr>
          <w:p w14:paraId="55257C34">
            <w:pPr>
              <w:pStyle w:val="13"/>
              <w:jc w:val="center"/>
              <w:rPr>
                <w:rFonts w:hint="eastAsia"/>
              </w:rPr>
            </w:pPr>
            <w:r>
              <w:rPr>
                <w:rFonts w:hint="eastAsia"/>
              </w:rPr>
              <w:t>吨</w:t>
            </w:r>
          </w:p>
        </w:tc>
        <w:tc>
          <w:tcPr>
            <w:tcW w:w="1123" w:type="pct"/>
            <w:vAlign w:val="center"/>
          </w:tcPr>
          <w:p w14:paraId="6A6824BA">
            <w:pPr>
              <w:pStyle w:val="13"/>
              <w:jc w:val="center"/>
              <w:rPr>
                <w:rFonts w:hint="eastAsia"/>
              </w:rPr>
            </w:pPr>
            <w:r>
              <w:rPr>
                <w:rFonts w:hint="eastAsia"/>
              </w:rPr>
              <w:t>4060</w:t>
            </w:r>
          </w:p>
        </w:tc>
        <w:tc>
          <w:tcPr>
            <w:tcW w:w="1123" w:type="pct"/>
            <w:vAlign w:val="center"/>
          </w:tcPr>
          <w:p w14:paraId="79883E90">
            <w:pPr>
              <w:pStyle w:val="13"/>
              <w:jc w:val="center"/>
              <w:rPr>
                <w:rFonts w:hint="eastAsia"/>
              </w:rPr>
            </w:pPr>
            <w:r>
              <w:rPr>
                <w:rFonts w:hint="eastAsia"/>
              </w:rPr>
              <w:t>10.7</w:t>
            </w:r>
          </w:p>
        </w:tc>
      </w:tr>
      <w:tr w14:paraId="3B171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0" w:type="pct"/>
            <w:vAlign w:val="center"/>
          </w:tcPr>
          <w:p w14:paraId="62C219BE">
            <w:pPr>
              <w:pStyle w:val="13"/>
              <w:jc w:val="left"/>
              <w:rPr>
                <w:rFonts w:hint="eastAsia"/>
              </w:rPr>
            </w:pPr>
            <w:r>
              <w:rPr>
                <w:rFonts w:hint="eastAsia"/>
              </w:rPr>
              <w:t>饮料酒</w:t>
            </w:r>
          </w:p>
        </w:tc>
        <w:tc>
          <w:tcPr>
            <w:tcW w:w="1123" w:type="pct"/>
            <w:vAlign w:val="center"/>
          </w:tcPr>
          <w:p w14:paraId="5985294B">
            <w:pPr>
              <w:pStyle w:val="13"/>
              <w:jc w:val="center"/>
              <w:rPr>
                <w:rFonts w:hint="eastAsia"/>
              </w:rPr>
            </w:pPr>
            <w:r>
              <w:rPr>
                <w:rFonts w:hint="eastAsia"/>
              </w:rPr>
              <w:t>千升</w:t>
            </w:r>
          </w:p>
        </w:tc>
        <w:tc>
          <w:tcPr>
            <w:tcW w:w="1123" w:type="pct"/>
            <w:vAlign w:val="center"/>
          </w:tcPr>
          <w:p w14:paraId="3E36EEEF">
            <w:pPr>
              <w:pStyle w:val="13"/>
              <w:jc w:val="center"/>
              <w:rPr>
                <w:rFonts w:hint="eastAsia"/>
              </w:rPr>
            </w:pPr>
            <w:r>
              <w:rPr>
                <w:rFonts w:hint="eastAsia"/>
              </w:rPr>
              <w:t>77.7</w:t>
            </w:r>
          </w:p>
        </w:tc>
        <w:tc>
          <w:tcPr>
            <w:tcW w:w="1123" w:type="pct"/>
            <w:vAlign w:val="center"/>
          </w:tcPr>
          <w:p w14:paraId="63BB06D3">
            <w:pPr>
              <w:pStyle w:val="13"/>
              <w:jc w:val="center"/>
              <w:rPr>
                <w:rFonts w:hint="eastAsia"/>
              </w:rPr>
            </w:pPr>
          </w:p>
        </w:tc>
      </w:tr>
      <w:tr w14:paraId="08D0B0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0" w:type="pct"/>
            <w:vAlign w:val="center"/>
          </w:tcPr>
          <w:p w14:paraId="215368BB">
            <w:pPr>
              <w:pStyle w:val="13"/>
              <w:jc w:val="left"/>
              <w:rPr>
                <w:rFonts w:hint="eastAsia"/>
              </w:rPr>
            </w:pPr>
            <w:r>
              <w:rPr>
                <w:rFonts w:hint="eastAsia"/>
              </w:rPr>
              <w:t>家具</w:t>
            </w:r>
          </w:p>
        </w:tc>
        <w:tc>
          <w:tcPr>
            <w:tcW w:w="1123" w:type="pct"/>
            <w:vAlign w:val="center"/>
          </w:tcPr>
          <w:p w14:paraId="1FD7319C">
            <w:pPr>
              <w:pStyle w:val="13"/>
              <w:jc w:val="center"/>
              <w:rPr>
                <w:rFonts w:hint="eastAsia"/>
              </w:rPr>
            </w:pPr>
            <w:r>
              <w:rPr>
                <w:rFonts w:hint="eastAsia"/>
              </w:rPr>
              <w:t>万件</w:t>
            </w:r>
          </w:p>
        </w:tc>
        <w:tc>
          <w:tcPr>
            <w:tcW w:w="1123" w:type="pct"/>
            <w:vAlign w:val="center"/>
          </w:tcPr>
          <w:p w14:paraId="1DA35307">
            <w:pPr>
              <w:pStyle w:val="13"/>
              <w:jc w:val="center"/>
              <w:rPr>
                <w:rFonts w:hint="eastAsia"/>
              </w:rPr>
            </w:pPr>
            <w:r>
              <w:rPr>
                <w:rFonts w:hint="eastAsia"/>
              </w:rPr>
              <w:t>7.99</w:t>
            </w:r>
          </w:p>
        </w:tc>
        <w:tc>
          <w:tcPr>
            <w:tcW w:w="1123" w:type="pct"/>
            <w:vAlign w:val="center"/>
          </w:tcPr>
          <w:p w14:paraId="5671F11F">
            <w:pPr>
              <w:pStyle w:val="13"/>
              <w:jc w:val="center"/>
              <w:rPr>
                <w:rFonts w:hint="eastAsia"/>
              </w:rPr>
            </w:pPr>
            <w:r>
              <w:rPr>
                <w:rFonts w:hint="eastAsia"/>
              </w:rPr>
              <w:t>167.8</w:t>
            </w:r>
          </w:p>
        </w:tc>
      </w:tr>
      <w:tr w14:paraId="72F66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0" w:type="pct"/>
            <w:vAlign w:val="center"/>
          </w:tcPr>
          <w:p w14:paraId="7A4F675D">
            <w:pPr>
              <w:pStyle w:val="13"/>
              <w:jc w:val="left"/>
              <w:rPr>
                <w:rFonts w:hint="eastAsia"/>
              </w:rPr>
            </w:pPr>
            <w:r>
              <w:rPr>
                <w:rFonts w:hint="eastAsia"/>
              </w:rPr>
              <w:t>塑料制品</w:t>
            </w:r>
          </w:p>
        </w:tc>
        <w:tc>
          <w:tcPr>
            <w:tcW w:w="1123" w:type="pct"/>
            <w:vAlign w:val="center"/>
          </w:tcPr>
          <w:p w14:paraId="2B5B10FC">
            <w:pPr>
              <w:pStyle w:val="13"/>
              <w:jc w:val="center"/>
              <w:rPr>
                <w:rFonts w:hint="eastAsia"/>
              </w:rPr>
            </w:pPr>
            <w:r>
              <w:rPr>
                <w:rFonts w:hint="eastAsia"/>
              </w:rPr>
              <w:t>吨</w:t>
            </w:r>
          </w:p>
        </w:tc>
        <w:tc>
          <w:tcPr>
            <w:tcW w:w="1123" w:type="pct"/>
            <w:vAlign w:val="center"/>
          </w:tcPr>
          <w:p w14:paraId="18905346">
            <w:pPr>
              <w:pStyle w:val="13"/>
              <w:jc w:val="center"/>
              <w:rPr>
                <w:rFonts w:hint="eastAsia"/>
              </w:rPr>
            </w:pPr>
            <w:r>
              <w:rPr>
                <w:rFonts w:hint="eastAsia"/>
              </w:rPr>
              <w:t>35838</w:t>
            </w:r>
          </w:p>
        </w:tc>
        <w:tc>
          <w:tcPr>
            <w:tcW w:w="1123" w:type="pct"/>
            <w:vAlign w:val="center"/>
          </w:tcPr>
          <w:p w14:paraId="52CD8B09">
            <w:pPr>
              <w:pStyle w:val="13"/>
              <w:jc w:val="center"/>
              <w:rPr>
                <w:rFonts w:hint="eastAsia"/>
              </w:rPr>
            </w:pPr>
            <w:r>
              <w:rPr>
                <w:rFonts w:hint="eastAsia"/>
              </w:rPr>
              <w:t>117.1</w:t>
            </w:r>
          </w:p>
        </w:tc>
      </w:tr>
      <w:tr w14:paraId="71B4A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30" w:type="pct"/>
            <w:vAlign w:val="center"/>
          </w:tcPr>
          <w:p w14:paraId="44BD1AFF">
            <w:pPr>
              <w:pStyle w:val="13"/>
              <w:jc w:val="left"/>
              <w:rPr>
                <w:rFonts w:hint="eastAsia"/>
              </w:rPr>
            </w:pPr>
            <w:r>
              <w:rPr>
                <w:rFonts w:hint="eastAsia"/>
              </w:rPr>
              <w:t>涂料</w:t>
            </w:r>
          </w:p>
        </w:tc>
        <w:tc>
          <w:tcPr>
            <w:tcW w:w="1123" w:type="pct"/>
            <w:vAlign w:val="center"/>
          </w:tcPr>
          <w:p w14:paraId="048C4BD6">
            <w:pPr>
              <w:pStyle w:val="13"/>
              <w:jc w:val="center"/>
              <w:rPr>
                <w:rFonts w:hint="eastAsia"/>
              </w:rPr>
            </w:pPr>
            <w:r>
              <w:rPr>
                <w:rFonts w:hint="eastAsia"/>
              </w:rPr>
              <w:t>吨</w:t>
            </w:r>
          </w:p>
        </w:tc>
        <w:tc>
          <w:tcPr>
            <w:tcW w:w="1123" w:type="pct"/>
            <w:vAlign w:val="center"/>
          </w:tcPr>
          <w:p w14:paraId="3DE6E503">
            <w:pPr>
              <w:pStyle w:val="13"/>
              <w:jc w:val="center"/>
              <w:rPr>
                <w:rFonts w:hint="eastAsia"/>
              </w:rPr>
            </w:pPr>
            <w:r>
              <w:rPr>
                <w:rFonts w:hint="eastAsia"/>
              </w:rPr>
              <w:t>22558</w:t>
            </w:r>
          </w:p>
        </w:tc>
        <w:tc>
          <w:tcPr>
            <w:tcW w:w="1123" w:type="pct"/>
            <w:vAlign w:val="center"/>
          </w:tcPr>
          <w:p w14:paraId="52E63788">
            <w:pPr>
              <w:pStyle w:val="13"/>
              <w:jc w:val="center"/>
              <w:rPr>
                <w:rFonts w:hint="eastAsia"/>
              </w:rPr>
            </w:pPr>
            <w:r>
              <w:rPr>
                <w:rFonts w:hint="eastAsia"/>
              </w:rPr>
              <w:t>2.2倍</w:t>
            </w:r>
          </w:p>
        </w:tc>
      </w:tr>
    </w:tbl>
    <w:p w14:paraId="3B1872DA">
      <w:pPr>
        <w:ind w:firstLine="420"/>
        <w:rPr>
          <w:rFonts w:ascii="宋体" w:hAnsi="宋体"/>
        </w:rPr>
      </w:pPr>
      <w:r>
        <w:rPr>
          <w:rFonts w:ascii="宋体" w:hAnsi="宋体"/>
        </w:rPr>
        <w:t>轻重工业结构调整优化。规模以上工业实现轻工业增加值4.07亿元，同比上年增长74.8%，完成工业总产值16.61亿元，同比上年增长72.2%；实现重工业增加值1.8亿元，增长65.3%，完成工业总产值13.84亿元，增长65.2%。轻重工业产值结构由上年的51.2：48.8优化为54.5：45.5。</w:t>
      </w:r>
    </w:p>
    <w:p w14:paraId="2CF38012">
      <w:pPr>
        <w:ind w:firstLine="420"/>
        <w:rPr>
          <w:rFonts w:ascii="宋体" w:hAnsi="宋体"/>
        </w:rPr>
      </w:pPr>
      <w:r>
        <w:rPr>
          <w:rFonts w:ascii="宋体" w:hAnsi="宋体"/>
        </w:rPr>
        <w:t>精细化工产业效应显现。2010年，东莞大岭山（南雄）产业转移工业园被认定为省产业转移工业园，并在全省专业性产业转移工业园竞争性扶持资金竞标中脱颖而出，以总分第一名的成绩，获得化工材料专业方向的园区建设扶持资金1亿元，为园区的加快发展注入了新的动力。园区内已经建立常规性报表制度的15个规模以上工业企业2010年共完成工业总产值11.66亿元，实现工业增加值2亿元，同比分别增长2.33倍和1.75倍，分别占规模以上工业产值和增加值比重的38.3%和34.1%。</w:t>
      </w:r>
    </w:p>
    <w:p w14:paraId="0F8E7B29">
      <w:pPr>
        <w:ind w:firstLine="420"/>
        <w:rPr>
          <w:rFonts w:ascii="宋体" w:hAnsi="宋体"/>
        </w:rPr>
      </w:pPr>
      <w:r>
        <w:rPr>
          <w:rFonts w:ascii="宋体" w:hAnsi="宋体"/>
        </w:rPr>
        <w:t>工业产销衔接好。2010年，规模以上工业企业完成销售产值29.89亿元，工业产品销售率为98.2%，比上年提高0.3个百分点。其中重工业为97.9%，轻工业为98.4%；按经济类型分，国有企业为99.7%，股份制企业为98.0%，外商及港澳台商投资企业为99.0%，其他经济类型企业为97.7%。</w:t>
      </w:r>
    </w:p>
    <w:p w14:paraId="412B144B">
      <w:pPr>
        <w:ind w:firstLine="420"/>
        <w:rPr>
          <w:rFonts w:ascii="宋体" w:hAnsi="宋体"/>
        </w:rPr>
      </w:pPr>
      <w:r>
        <w:rPr>
          <w:rFonts w:ascii="宋体" w:hAnsi="宋体"/>
        </w:rPr>
        <w:t>工业经济效益提升。规模以上工业企业经济效益综合指数为153.65，比上年提高5.83个百分点。全年实现利税总额1.23亿元，实现利润2.85亿元；总资产贡献率1.3%，提高1.1个百分点；资本保值增值率99.86%，提高0.63个百分点；流动资产周转率6.18次，加快0.55次；全员劳动生产率为105437元/人，提高10.5%。2010年单位工业增加值能耗为1.24吨标准煤/万元，比上年下降20.4%。</w:t>
      </w:r>
    </w:p>
    <w:p w14:paraId="33EE4B94">
      <w:pPr>
        <w:ind w:firstLine="420"/>
        <w:rPr>
          <w:rFonts w:ascii="宋体" w:hAnsi="宋体"/>
        </w:rPr>
      </w:pPr>
      <w:r>
        <w:rPr>
          <w:rFonts w:ascii="宋体" w:hAnsi="宋体"/>
        </w:rPr>
        <w:t>节能减排工作顺利进行。抓好节能减排工作，重点抓好珠玑纸业、水泥厂、棉土窝矿等企业的排污监察，加强水源保护区水质检查，确保饮用水安全。检查排污企业169家次，关闭非法小纸厂3家，治污降耗和节能减排措施到位，完成了省和韶关市下达的主要污染物总量减排任务。</w:t>
      </w:r>
    </w:p>
    <w:p w14:paraId="2074B3F2">
      <w:pPr>
        <w:ind w:firstLine="420"/>
        <w:rPr>
          <w:rFonts w:ascii="宋体" w:hAnsi="宋体"/>
        </w:rPr>
      </w:pPr>
      <w:r>
        <w:rPr>
          <w:rFonts w:ascii="宋体" w:hAnsi="宋体"/>
        </w:rPr>
        <w:t>建筑业生产经营状况良好。全部建筑业完成增加值5.58亿元，增长23.0%。其中资质以内建筑业企业完成总产值9.26亿元，实现增加值2.95亿元，分别比上年增长22.9%和26.6%。全年房屋建筑施工面积158.3万平方米，房屋建筑竣工面积83.85万平方米，分别比上年同期增长31.4%和100%。全市资质以内建筑企业4家，上交税金4525万元，实现利润5908万元。按产值计算的全员劳动生产率人均7.58万元，比上年提高0.35万元。</w:t>
      </w:r>
    </w:p>
    <w:p w14:paraId="76106DBF">
      <w:pPr>
        <w:ind w:firstLine="422"/>
        <w:rPr>
          <w:rFonts w:ascii="宋体" w:hAnsi="宋体"/>
          <w:b/>
          <w:bCs/>
        </w:rPr>
      </w:pPr>
      <w:r>
        <w:rPr>
          <w:rFonts w:hint="eastAsia" w:ascii="宋体" w:hAnsi="宋体"/>
          <w:b/>
          <w:bCs/>
        </w:rPr>
        <w:t>四、</w:t>
      </w:r>
      <w:r>
        <w:rPr>
          <w:rFonts w:ascii="宋体" w:hAnsi="宋体"/>
          <w:b/>
          <w:bCs/>
        </w:rPr>
        <w:t>固定资产投资</w:t>
      </w:r>
    </w:p>
    <w:p w14:paraId="17DF0FB5">
      <w:pPr>
        <w:ind w:firstLine="420"/>
        <w:rPr>
          <w:rFonts w:ascii="宋体" w:hAnsi="宋体"/>
        </w:rPr>
      </w:pPr>
      <w:r>
        <w:rPr>
          <w:rFonts w:ascii="宋体" w:hAnsi="宋体"/>
        </w:rPr>
        <w:t>南雄市市委、市政府坚定不移地以建设粤北门户城市为目标，城乡基础设施建设进一步完善，重点建设项目稳步推进，作为珠三角地区进入华东地区“桥头堡”的区位交通优势进一步显现。</w:t>
      </w:r>
    </w:p>
    <w:p w14:paraId="582B66DF">
      <w:pPr>
        <w:ind w:firstLine="420"/>
        <w:rPr>
          <w:rFonts w:ascii="宋体" w:hAnsi="宋体"/>
        </w:rPr>
      </w:pPr>
      <w:r>
        <w:rPr>
          <w:rFonts w:ascii="宋体" w:hAnsi="宋体"/>
        </w:rPr>
        <w:t>固定资产投资总量增加。2010年全市完成全社会固定资产投资58.03亿元，同比增长35.1%。其中城镇投资完成52.03亿元，农村投资完成6.01亿元，分别比上年增长40.0%和3.6%。按登记注册类型分，国有及国有控股经济投资27.9亿元，民营经济投资30.13亿元，分别比上年增长40.5%和30.9%。从产业投向看，第一产业投资2.02亿元，第二产业投资21.59亿元，第三产业投资34.43亿元，分别比上年增长20.3%、60.5%和23.7%。资金来源呈现多元化。自筹资金成为主渠道，达到37.89亿元，比上年增长42.7%；自筹资金占全部到位资金的82.2%。</w:t>
      </w:r>
    </w:p>
    <w:p w14:paraId="16973FDC">
      <w:pPr>
        <w:ind w:firstLine="420"/>
        <w:rPr>
          <w:rFonts w:ascii="宋体" w:hAnsi="宋体"/>
        </w:rPr>
      </w:pPr>
      <w:r>
        <w:rPr>
          <w:rFonts w:ascii="宋体" w:hAnsi="宋体"/>
        </w:rPr>
        <w:t>重点项目（工程）进展顺利。全市重点建设项目61个，完成投资21.5亿元。产业转移园基础设施、产业转移园污水处理厂、仟邦实业有限公司、远大（广州）胶粘制品有限公司、明威胶粘涂料化工有限公司、敖祥有限公司、温氏集团饲料厂、樟屋鱼鲜猪场、农村公路路面硬化、黄坑农业综合开发、110KV安澜线改造等项目已经提前完成全年投资计划。农林水项目完成投资1.42亿元，电力能源项目完成投资744亿元，工业项目完成投资9.19亿元。</w:t>
      </w:r>
    </w:p>
    <w:p w14:paraId="65B6C453">
      <w:pPr>
        <w:ind w:firstLine="420"/>
        <w:rPr>
          <w:rFonts w:ascii="宋体" w:hAnsi="宋体"/>
        </w:rPr>
      </w:pPr>
      <w:r>
        <w:rPr>
          <w:rFonts w:ascii="宋体" w:hAnsi="宋体"/>
        </w:rPr>
        <w:t>交通能源基础设施建设稳步进行。韶赣,高速公路南雄段已经顺利建成通车，赣韶铁路南雄段基本完成面上征地拆迁任务，铁路站场和货场规划工作已经启动。西气东输南雄段管道焊接已基本完成，管道填埋、复垦完成56公里，地貌恢复40公里，项目建设进展顺利。</w:t>
      </w:r>
    </w:p>
    <w:p w14:paraId="0BBDBE7A">
      <w:pPr>
        <w:ind w:firstLine="420"/>
        <w:rPr>
          <w:rFonts w:ascii="宋体" w:hAnsi="宋体"/>
        </w:rPr>
      </w:pPr>
      <w:r>
        <w:rPr>
          <w:rFonts w:ascii="宋体" w:hAnsi="宋体"/>
        </w:rPr>
        <w:t>城市品味进一步提升。2010年全市市政建设投入1亿多元，城市面貌焕然一新。原国道323线穿城路段改造工程基本完成，金叶大道全线贯通，雄州大道繁荣路段道路铺设全面完成，中心城区总体规划设计修编和城区控制性规划编制工作积极推进。新城影剧院建设紧张进行。乌迳、珠玑、界址等小城镇建设稳步推进。不断扩大城市绿化面积，大力推进城市亮化工程，市容市貌明显好转。</w:t>
      </w:r>
    </w:p>
    <w:p w14:paraId="6658E176">
      <w:pPr>
        <w:ind w:firstLine="420"/>
        <w:rPr>
          <w:rFonts w:ascii="宋体" w:hAnsi="宋体"/>
        </w:rPr>
      </w:pPr>
      <w:r>
        <w:rPr>
          <w:rFonts w:ascii="宋体" w:hAnsi="宋体"/>
        </w:rPr>
        <w:t>国计民生基础设施不断完善。投资900万元建成产业转移园污水处理厂；投资1000多万元完善了城市污水处理截污管网，城市污水处理能力进一步提高。投资550万元，建设空气环境质量自动监测系统。110KV澜河变电站改造工程、110KV安澜线改造工程和2010年配网改造工程全面竣工。投资3975万元完成省小型病险水库除险加固工程22宗，投资1.9亿元完成省城乡水利防灾减灾工程建设5宗。建设保障房160多套，改善了低收入者的住房条件。</w:t>
      </w:r>
    </w:p>
    <w:p w14:paraId="35AD440E">
      <w:pPr>
        <w:ind w:firstLine="420"/>
        <w:rPr>
          <w:rFonts w:ascii="宋体" w:hAnsi="宋体"/>
        </w:rPr>
      </w:pPr>
      <w:r>
        <w:rPr>
          <w:rFonts w:ascii="宋体" w:hAnsi="宋体"/>
        </w:rPr>
        <w:t>全市完成房地产开发投资3.32亿元，同比增长16.1%，增速提高1个百分点。商品房销售面积27.26万平方米，同比增长20.1%；其中住宅25.31万平方米，同比增长26.4%。商品房空置面积0.1万平方米，下降92.7%。商品房销售额5.37亿元，同比增长23.7%。全年园林绿化面积154.16公顷，建成区绿化覆盖面积达162.71公顷，均比上年增长3.4%和3.1%。</w:t>
      </w:r>
    </w:p>
    <w:p w14:paraId="58C7AEA3">
      <w:pPr>
        <w:ind w:firstLine="422"/>
        <w:rPr>
          <w:rFonts w:ascii="宋体" w:hAnsi="宋体"/>
          <w:b/>
          <w:bCs/>
        </w:rPr>
      </w:pPr>
      <w:r>
        <w:rPr>
          <w:rFonts w:ascii="宋体" w:hAnsi="宋体"/>
          <w:b/>
          <w:bCs/>
        </w:rPr>
        <w:t>五、交通、邮电和旅游</w:t>
      </w:r>
    </w:p>
    <w:p w14:paraId="364B1930">
      <w:pPr>
        <w:ind w:firstLine="420"/>
        <w:rPr>
          <w:rFonts w:ascii="宋体" w:hAnsi="宋体"/>
        </w:rPr>
      </w:pPr>
      <w:r>
        <w:rPr>
          <w:rFonts w:ascii="宋体" w:hAnsi="宋体"/>
        </w:rPr>
        <w:t>全年实现交通运输、仓储和邮政业增加值3.27亿元，同比上年增长25.3%，增速提高2.4个百分点。</w:t>
      </w:r>
    </w:p>
    <w:p w14:paraId="0FE58B4C">
      <w:pPr>
        <w:ind w:firstLine="420"/>
        <w:rPr>
          <w:rFonts w:ascii="宋体" w:hAnsi="宋体"/>
        </w:rPr>
      </w:pPr>
      <w:r>
        <w:rPr>
          <w:rFonts w:ascii="宋体" w:hAnsi="宋体"/>
        </w:rPr>
        <w:t>城乡交通运输方便快捷。年末全市公路通车里程1917.97公里，增加29.36公里，其中高等级公路里程1113.59公里，增加8.34公里。随着居民收入的持续增长及购买能力的增强，汽车、摩托车数量不断增加。全市新增民用汽车1176辆，新增摩托车2587辆。</w:t>
      </w:r>
    </w:p>
    <w:p w14:paraId="3A4463DF">
      <w:pPr>
        <w:ind w:firstLine="420"/>
        <w:rPr>
          <w:rFonts w:ascii="宋体" w:hAnsi="宋体"/>
        </w:rPr>
      </w:pPr>
      <w:r>
        <w:rPr>
          <w:rFonts w:ascii="宋体" w:hAnsi="宋体"/>
        </w:rPr>
        <w:t>电信和邮政业务有序经营。全年邮电业务总量完成1.38亿元，其中电信企业业务总量1.18亿元，增长6.3%。年末全市拥有固定电话交换机总量12.35万门，固定电话用户6.95万户。全年邮政业务总收入1984万元，发送函件48万件，增长26.3%，订阅和销售各种报纸229.65万份，增长18.4%。全市移动通信业务进一步发展，移动电话业务增加，移动通讯质量提高。全年移动电话用户18.83万户，增长23.2%；网络建设不断加强。2010年末，全市使用互联网用户达到1.63万户，增长20.7%。小灵通用户达2.74万户，同比增长0.4%。</w:t>
      </w:r>
    </w:p>
    <w:p w14:paraId="2C8B4312">
      <w:pPr>
        <w:ind w:firstLine="420"/>
        <w:rPr>
          <w:rFonts w:ascii="宋体" w:hAnsi="宋体"/>
        </w:rPr>
      </w:pPr>
      <w:r>
        <w:rPr>
          <w:rFonts w:ascii="宋体" w:hAnsi="宋体"/>
        </w:rPr>
        <w:t>全市信息化程度不断提高。政府公众信息网和各类局域网建设不断健全，政府部门（单位）政务信息公开网站进一步完善，南雄远程教育网、文联网、南雄旅游网和纪检监察网浏览人数不断增加，南雄连心楼论坛使全市人民真正实现了民政互动。部门（单位）网络化办公条件日益成熟，初步实现了网络收发通知和文件，确保了政令畅通。制定了《政府信息公开条例》，行政审批电子监察系统进一步健全，政风行风建设成效显著，机关作风切实转变，机关效能进一步提高，加快了政府电子政务建设，政务环境建设和服务水平进一步提高。</w:t>
      </w:r>
    </w:p>
    <w:p w14:paraId="1205D8F5">
      <w:pPr>
        <w:ind w:firstLine="420"/>
        <w:rPr>
          <w:rFonts w:ascii="宋体" w:hAnsi="宋体"/>
        </w:rPr>
      </w:pPr>
      <w:r>
        <w:rPr>
          <w:rFonts w:ascii="宋体" w:hAnsi="宋体"/>
        </w:rPr>
        <w:t>旅游业继续保持良好发展势头。南雄市以打造珠玑巷文化品牌为主线，不断完善珠玑古巷、梅关古道等旅游景区基础设施，加大旅游开发和宣传力度，扩大了南雄旅游品牌影响，促进了旅游业的健康发展。积极争取珠玑巷后裔联谊会的经费支持，确保了受到自然灾害受损的千年古榕得到及时的抢救和保护。全市三星级酒店3家，客房总数达到320间，为南雄市的旅游和消费创造了良好的环境。全年接待旅游人数109.29万人次，同比增长41%；旅游总收入达到6.95亿元，同比增长55.5%。</w:t>
      </w:r>
    </w:p>
    <w:p w14:paraId="6C4D866E">
      <w:pPr>
        <w:ind w:firstLine="422"/>
        <w:rPr>
          <w:rFonts w:ascii="宋体" w:hAnsi="宋体"/>
          <w:b/>
          <w:bCs/>
        </w:rPr>
      </w:pPr>
      <w:r>
        <w:rPr>
          <w:rFonts w:ascii="宋体" w:hAnsi="宋体"/>
          <w:b/>
          <w:bCs/>
        </w:rPr>
        <w:t>六、贸易和外经</w:t>
      </w:r>
    </w:p>
    <w:p w14:paraId="58983CA7">
      <w:pPr>
        <w:ind w:firstLine="420"/>
        <w:rPr>
          <w:rFonts w:ascii="宋体" w:hAnsi="宋体"/>
        </w:rPr>
      </w:pPr>
      <w:r>
        <w:rPr>
          <w:rFonts w:ascii="宋体" w:hAnsi="宋体"/>
        </w:rPr>
        <w:t>商贸市场繁荣兴旺。“万村千乡市场工程”、“家电下乡、以旧换新”等政策的顺利实施，有效地拉动了内需，商贸流通和城乡市场交易持续繁荣兴旺。全年社会消费品零售总额完成24.53亿元，比上年增长18.6%。分城乡看，城市消费品零售额18.45亿元，增长18.2%；农村消费品零售额6.08亿元，增长19.9%。分行业看，批发业总额5087万元，增长30.8%；零售业总额21.25亿元，增长18.4%；住宿餐饮业零售额2.77亿元，增长18.4%。</w:t>
      </w:r>
    </w:p>
    <w:p w14:paraId="06A2356F">
      <w:pPr>
        <w:ind w:firstLine="420"/>
        <w:rPr>
          <w:rFonts w:ascii="宋体" w:hAnsi="宋体"/>
        </w:rPr>
      </w:pPr>
      <w:r>
        <w:rPr>
          <w:rFonts w:ascii="宋体" w:hAnsi="宋体"/>
        </w:rPr>
        <w:t>居民生活质量进一步。通过实施“家电下乡、以旧换新”活动，拉动居民消费，家庭的电器化程度不断提高。汽车、液晶电视、手机、空调等消费热点进一步显现。私人购车、二次购房等已成为广大居民的投资置业首选。</w:t>
      </w:r>
    </w:p>
    <w:p w14:paraId="7C1B5D22">
      <w:pPr>
        <w:ind w:firstLine="420"/>
        <w:rPr>
          <w:rFonts w:ascii="宋体" w:hAnsi="宋体"/>
        </w:rPr>
      </w:pPr>
      <w:r>
        <w:rPr>
          <w:rFonts w:ascii="宋体" w:hAnsi="宋体"/>
        </w:rPr>
        <w:t>南雄市充分发挥“中央苏区县”和“省级产业转移园”的金字招牌作用，围绕完善产业园区产业链条，提高产业集聚水平，通过产业招商、委托招商、行业招商、专业招商以及到珠江三角洲举办推介会等形式，招商引资工作有了新突破，达到了预期效果。全年共签约项目39个，合同资金17亿元，实际利用外资1800万美元，比上年增长10%。产业园完善了信息互动平台、应急救援中心、基地警务室等；进入园区的企业试投产的21家，在建、筹建的企业77家。园区第二期已经完成2200多亩的征地任务，园区总体规划、土石方工程图、施工蓝图已出版，控制性规划设计已完成，安全条件论证、安全评价、可行性研究报告正在紧张进行。申报广东省产业集聚升级示范区和广东省循环经济园区工作获得省人民政府认定，并获得2500万元省、市（县）共建循环经济基地资金。</w:t>
      </w:r>
    </w:p>
    <w:p w14:paraId="765E8FB2">
      <w:pPr>
        <w:ind w:firstLine="420"/>
        <w:rPr>
          <w:rFonts w:ascii="宋体" w:hAnsi="宋体"/>
        </w:rPr>
      </w:pPr>
      <w:r>
        <w:rPr>
          <w:rFonts w:ascii="宋体" w:hAnsi="宋体"/>
        </w:rPr>
        <w:t>全年外贸出口总额2003万美元，同比上年增长16.8%。</w:t>
      </w:r>
    </w:p>
    <w:p w14:paraId="1A903276">
      <w:pPr>
        <w:ind w:firstLine="422"/>
        <w:jc w:val="center"/>
        <w:rPr>
          <w:rFonts w:ascii="宋体" w:hAnsi="宋体"/>
          <w:b/>
          <w:bCs/>
        </w:rPr>
      </w:pPr>
      <w:r>
        <w:rPr>
          <w:rFonts w:hint="eastAsia" w:ascii="宋体" w:hAnsi="宋体"/>
          <w:b/>
          <w:bCs/>
        </w:rPr>
        <w:t>表34-4  2010年全部金融机构本外币存贷款及其增长速度</w:t>
      </w:r>
    </w:p>
    <w:p w14:paraId="18AECA08">
      <w:pPr>
        <w:ind w:firstLine="422"/>
        <w:jc w:val="right"/>
        <w:rPr>
          <w:rFonts w:ascii="宋体" w:hAnsi="宋体"/>
          <w:b/>
        </w:rPr>
      </w:pPr>
      <w:r>
        <w:rPr>
          <w:rFonts w:hint="eastAsia" w:ascii="宋体" w:hAnsi="宋体"/>
          <w:b/>
        </w:rPr>
        <w:t>单位：万元</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88"/>
        <w:gridCol w:w="2837"/>
        <w:gridCol w:w="2837"/>
      </w:tblGrid>
      <w:tr w14:paraId="25A8A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4A94BACC">
            <w:pPr>
              <w:pStyle w:val="13"/>
              <w:jc w:val="center"/>
              <w:rPr>
                <w:rFonts w:hint="eastAsia"/>
                <w:b/>
              </w:rPr>
            </w:pPr>
            <w:r>
              <w:rPr>
                <w:rFonts w:hint="eastAsia"/>
                <w:b/>
              </w:rPr>
              <w:t>指标</w:t>
            </w:r>
          </w:p>
        </w:tc>
        <w:tc>
          <w:tcPr>
            <w:tcW w:w="1424" w:type="pct"/>
            <w:vAlign w:val="center"/>
          </w:tcPr>
          <w:p w14:paraId="35CD6F45">
            <w:pPr>
              <w:pStyle w:val="13"/>
              <w:jc w:val="center"/>
              <w:rPr>
                <w:rFonts w:hint="eastAsia"/>
                <w:b/>
              </w:rPr>
            </w:pPr>
            <w:r>
              <w:rPr>
                <w:rFonts w:hint="eastAsia"/>
                <w:b/>
              </w:rPr>
              <w:t>年末数</w:t>
            </w:r>
          </w:p>
        </w:tc>
        <w:tc>
          <w:tcPr>
            <w:tcW w:w="1424" w:type="pct"/>
            <w:vAlign w:val="center"/>
          </w:tcPr>
          <w:p w14:paraId="1217B21C">
            <w:pPr>
              <w:pStyle w:val="13"/>
              <w:jc w:val="center"/>
              <w:rPr>
                <w:rFonts w:hint="eastAsia"/>
                <w:b/>
              </w:rPr>
            </w:pPr>
            <w:r>
              <w:rPr>
                <w:rFonts w:hint="eastAsia"/>
                <w:b/>
              </w:rPr>
              <w:t>比年初增长%</w:t>
            </w:r>
          </w:p>
        </w:tc>
      </w:tr>
      <w:tr w14:paraId="367656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368F2F5A">
            <w:pPr>
              <w:pStyle w:val="13"/>
              <w:jc w:val="left"/>
              <w:rPr>
                <w:rFonts w:hint="eastAsia"/>
              </w:rPr>
            </w:pPr>
            <w:r>
              <w:rPr>
                <w:rFonts w:hint="eastAsia"/>
              </w:rPr>
              <w:t>各项存款余额</w:t>
            </w:r>
          </w:p>
        </w:tc>
        <w:tc>
          <w:tcPr>
            <w:tcW w:w="1424" w:type="pct"/>
            <w:vAlign w:val="center"/>
          </w:tcPr>
          <w:p w14:paraId="7EAAF47A">
            <w:pPr>
              <w:pStyle w:val="13"/>
              <w:jc w:val="center"/>
              <w:rPr>
                <w:rFonts w:hint="eastAsia"/>
              </w:rPr>
            </w:pPr>
            <w:r>
              <w:rPr>
                <w:rFonts w:hint="eastAsia"/>
              </w:rPr>
              <w:t>566261</w:t>
            </w:r>
          </w:p>
        </w:tc>
        <w:tc>
          <w:tcPr>
            <w:tcW w:w="1424" w:type="pct"/>
            <w:vAlign w:val="center"/>
          </w:tcPr>
          <w:p w14:paraId="6520D4C5">
            <w:pPr>
              <w:pStyle w:val="13"/>
              <w:jc w:val="center"/>
              <w:rPr>
                <w:rFonts w:hint="eastAsia"/>
              </w:rPr>
            </w:pPr>
            <w:r>
              <w:rPr>
                <w:rFonts w:hint="eastAsia"/>
              </w:rPr>
              <w:t>17.0</w:t>
            </w:r>
          </w:p>
        </w:tc>
      </w:tr>
      <w:tr w14:paraId="69F6B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1E542294">
            <w:pPr>
              <w:pStyle w:val="13"/>
              <w:jc w:val="left"/>
              <w:rPr>
                <w:rFonts w:hint="eastAsia"/>
              </w:rPr>
            </w:pPr>
            <w:r>
              <w:rPr>
                <w:rFonts w:hint="eastAsia"/>
              </w:rPr>
              <w:t>其中：企事业单位存款</w:t>
            </w:r>
          </w:p>
        </w:tc>
        <w:tc>
          <w:tcPr>
            <w:tcW w:w="1424" w:type="pct"/>
            <w:vAlign w:val="center"/>
          </w:tcPr>
          <w:p w14:paraId="76BA1606">
            <w:pPr>
              <w:pStyle w:val="13"/>
              <w:jc w:val="center"/>
              <w:rPr>
                <w:rFonts w:hint="eastAsia"/>
              </w:rPr>
            </w:pPr>
            <w:r>
              <w:rPr>
                <w:rFonts w:hint="eastAsia"/>
              </w:rPr>
              <w:t>45257</w:t>
            </w:r>
          </w:p>
        </w:tc>
        <w:tc>
          <w:tcPr>
            <w:tcW w:w="1424" w:type="pct"/>
            <w:vAlign w:val="center"/>
          </w:tcPr>
          <w:p w14:paraId="54DBB02C">
            <w:pPr>
              <w:pStyle w:val="13"/>
              <w:jc w:val="center"/>
              <w:rPr>
                <w:rFonts w:hint="eastAsia"/>
              </w:rPr>
            </w:pPr>
            <w:r>
              <w:rPr>
                <w:rFonts w:hint="eastAsia"/>
              </w:rPr>
              <w:t>40.1</w:t>
            </w:r>
          </w:p>
        </w:tc>
      </w:tr>
      <w:tr w14:paraId="453FC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3BCF9EAF">
            <w:pPr>
              <w:pStyle w:val="13"/>
              <w:jc w:val="left"/>
              <w:rPr>
                <w:rFonts w:hint="eastAsia"/>
              </w:rPr>
            </w:pPr>
            <w:r>
              <w:rPr>
                <w:rFonts w:hint="eastAsia"/>
              </w:rPr>
              <w:t>城乡居民储蓄存款</w:t>
            </w:r>
          </w:p>
        </w:tc>
        <w:tc>
          <w:tcPr>
            <w:tcW w:w="1424" w:type="pct"/>
            <w:vAlign w:val="center"/>
          </w:tcPr>
          <w:p w14:paraId="3B27FC3C">
            <w:pPr>
              <w:pStyle w:val="13"/>
              <w:jc w:val="center"/>
              <w:rPr>
                <w:rFonts w:hint="eastAsia"/>
              </w:rPr>
            </w:pPr>
            <w:r>
              <w:rPr>
                <w:rFonts w:hint="eastAsia"/>
              </w:rPr>
              <w:t>449689</w:t>
            </w:r>
          </w:p>
        </w:tc>
        <w:tc>
          <w:tcPr>
            <w:tcW w:w="1424" w:type="pct"/>
            <w:vAlign w:val="center"/>
          </w:tcPr>
          <w:p w14:paraId="5E746F67">
            <w:pPr>
              <w:pStyle w:val="13"/>
              <w:jc w:val="center"/>
              <w:rPr>
                <w:rFonts w:hint="eastAsia"/>
              </w:rPr>
            </w:pPr>
            <w:r>
              <w:rPr>
                <w:rFonts w:hint="eastAsia"/>
              </w:rPr>
              <w:t>15.2</w:t>
            </w:r>
          </w:p>
        </w:tc>
      </w:tr>
      <w:tr w14:paraId="15BE4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5ED1EAD8">
            <w:pPr>
              <w:pStyle w:val="13"/>
              <w:jc w:val="left"/>
              <w:rPr>
                <w:rFonts w:hint="eastAsia"/>
              </w:rPr>
            </w:pPr>
            <w:r>
              <w:rPr>
                <w:rFonts w:hint="eastAsia"/>
              </w:rPr>
              <w:t>其他存款</w:t>
            </w:r>
          </w:p>
        </w:tc>
        <w:tc>
          <w:tcPr>
            <w:tcW w:w="1424" w:type="pct"/>
            <w:vAlign w:val="center"/>
          </w:tcPr>
          <w:p w14:paraId="0C873F31">
            <w:pPr>
              <w:pStyle w:val="13"/>
              <w:jc w:val="center"/>
              <w:rPr>
                <w:rFonts w:hint="eastAsia"/>
              </w:rPr>
            </w:pPr>
            <w:r>
              <w:rPr>
                <w:rFonts w:hint="eastAsia"/>
              </w:rPr>
              <w:t>71293</w:t>
            </w:r>
          </w:p>
        </w:tc>
        <w:tc>
          <w:tcPr>
            <w:tcW w:w="1424" w:type="pct"/>
            <w:vAlign w:val="center"/>
          </w:tcPr>
          <w:p w14:paraId="75D13556">
            <w:pPr>
              <w:pStyle w:val="13"/>
              <w:jc w:val="center"/>
              <w:rPr>
                <w:rFonts w:hint="eastAsia"/>
              </w:rPr>
            </w:pPr>
            <w:r>
              <w:rPr>
                <w:rFonts w:hint="eastAsia"/>
              </w:rPr>
              <w:t>16.3</w:t>
            </w:r>
          </w:p>
        </w:tc>
      </w:tr>
      <w:tr w14:paraId="02B71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7F4072B5">
            <w:pPr>
              <w:pStyle w:val="13"/>
              <w:jc w:val="left"/>
              <w:rPr>
                <w:rFonts w:hint="eastAsia"/>
              </w:rPr>
            </w:pPr>
            <w:r>
              <w:rPr>
                <w:rFonts w:hint="eastAsia"/>
              </w:rPr>
              <w:t>各项贷款余额</w:t>
            </w:r>
          </w:p>
        </w:tc>
        <w:tc>
          <w:tcPr>
            <w:tcW w:w="1424" w:type="pct"/>
            <w:vAlign w:val="center"/>
          </w:tcPr>
          <w:p w14:paraId="25915B80">
            <w:pPr>
              <w:pStyle w:val="13"/>
              <w:jc w:val="center"/>
              <w:rPr>
                <w:rFonts w:hint="eastAsia"/>
              </w:rPr>
            </w:pPr>
            <w:r>
              <w:rPr>
                <w:rFonts w:hint="eastAsia"/>
              </w:rPr>
              <w:t>149442</w:t>
            </w:r>
          </w:p>
        </w:tc>
        <w:tc>
          <w:tcPr>
            <w:tcW w:w="1424" w:type="pct"/>
            <w:vAlign w:val="center"/>
          </w:tcPr>
          <w:p w14:paraId="083391D5">
            <w:pPr>
              <w:pStyle w:val="13"/>
              <w:jc w:val="center"/>
              <w:rPr>
                <w:rFonts w:hint="eastAsia"/>
              </w:rPr>
            </w:pPr>
            <w:r>
              <w:rPr>
                <w:rFonts w:hint="eastAsia"/>
              </w:rPr>
              <w:t>28.4</w:t>
            </w:r>
          </w:p>
        </w:tc>
      </w:tr>
      <w:tr w14:paraId="56FC9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179DCFE9">
            <w:pPr>
              <w:pStyle w:val="13"/>
              <w:jc w:val="left"/>
              <w:rPr>
                <w:rFonts w:hint="eastAsia"/>
              </w:rPr>
            </w:pPr>
            <w:r>
              <w:rPr>
                <w:rFonts w:hint="eastAsia"/>
              </w:rPr>
              <w:t>其中：短期贷款</w:t>
            </w:r>
          </w:p>
        </w:tc>
        <w:tc>
          <w:tcPr>
            <w:tcW w:w="1424" w:type="pct"/>
            <w:vAlign w:val="center"/>
          </w:tcPr>
          <w:p w14:paraId="62438668">
            <w:pPr>
              <w:pStyle w:val="13"/>
              <w:jc w:val="center"/>
              <w:rPr>
                <w:rFonts w:hint="eastAsia"/>
              </w:rPr>
            </w:pPr>
            <w:r>
              <w:rPr>
                <w:rFonts w:hint="eastAsia"/>
              </w:rPr>
              <w:t>32962</w:t>
            </w:r>
          </w:p>
        </w:tc>
        <w:tc>
          <w:tcPr>
            <w:tcW w:w="1424" w:type="pct"/>
            <w:vAlign w:val="center"/>
          </w:tcPr>
          <w:p w14:paraId="6E261653">
            <w:pPr>
              <w:pStyle w:val="13"/>
              <w:jc w:val="center"/>
              <w:rPr>
                <w:rFonts w:hint="eastAsia"/>
              </w:rPr>
            </w:pPr>
            <w:r>
              <w:rPr>
                <w:rFonts w:hint="eastAsia"/>
              </w:rPr>
              <w:t>-21.4</w:t>
            </w:r>
          </w:p>
        </w:tc>
      </w:tr>
      <w:tr w14:paraId="692E6F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2807B141">
            <w:pPr>
              <w:pStyle w:val="13"/>
              <w:jc w:val="left"/>
              <w:rPr>
                <w:rFonts w:hint="eastAsia"/>
              </w:rPr>
            </w:pPr>
            <w:r>
              <w:rPr>
                <w:rFonts w:hint="eastAsia"/>
              </w:rPr>
              <w:t>中长期贷款</w:t>
            </w:r>
          </w:p>
        </w:tc>
        <w:tc>
          <w:tcPr>
            <w:tcW w:w="1424" w:type="pct"/>
            <w:vAlign w:val="center"/>
          </w:tcPr>
          <w:p w14:paraId="0E074A24">
            <w:pPr>
              <w:pStyle w:val="13"/>
              <w:jc w:val="center"/>
              <w:rPr>
                <w:rFonts w:hint="eastAsia"/>
              </w:rPr>
            </w:pPr>
            <w:r>
              <w:rPr>
                <w:rFonts w:hint="eastAsia"/>
              </w:rPr>
              <w:t>116479</w:t>
            </w:r>
          </w:p>
        </w:tc>
        <w:tc>
          <w:tcPr>
            <w:tcW w:w="1424" w:type="pct"/>
            <w:vAlign w:val="center"/>
          </w:tcPr>
          <w:p w14:paraId="2AB477A7">
            <w:pPr>
              <w:pStyle w:val="13"/>
              <w:jc w:val="center"/>
              <w:rPr>
                <w:rFonts w:hint="eastAsia"/>
              </w:rPr>
            </w:pPr>
            <w:r>
              <w:rPr>
                <w:rFonts w:hint="eastAsia"/>
              </w:rPr>
              <w:t>56.4</w:t>
            </w:r>
          </w:p>
        </w:tc>
      </w:tr>
    </w:tbl>
    <w:p w14:paraId="1E92D296">
      <w:pPr>
        <w:ind w:firstLine="420"/>
        <w:rPr>
          <w:rFonts w:ascii="宋体" w:hAnsi="宋体"/>
        </w:rPr>
      </w:pPr>
      <w:r>
        <w:rPr>
          <w:rFonts w:ascii="宋体" w:hAnsi="宋体"/>
        </w:rPr>
        <w:t>七、财政、金融和保险</w:t>
      </w:r>
    </w:p>
    <w:p w14:paraId="13FF93B6">
      <w:pPr>
        <w:ind w:firstLine="420"/>
        <w:rPr>
          <w:rFonts w:ascii="宋体" w:hAnsi="宋体"/>
        </w:rPr>
      </w:pPr>
      <w:r>
        <w:rPr>
          <w:rFonts w:ascii="宋体" w:hAnsi="宋体"/>
        </w:rPr>
        <w:t>金融运行稳定。积极实施适度宽松的货币政策，切实加强金融风险监测，确保金融运行态势平稳，为地方经济发展提供了优质的金融服务。2010年末，全市金融机构各项存款余额达56.63亿元，同比年初增加8.24亿元，增长了17%；城乡居民储蓄存款余额为44.97亿元，同比年初增加5.94亿元，增长15.2%。全市金融机构各项贷款余额为14.94亿元，同比年初增加3.3亿元，增长28.4%，其中短期贷款下降21.4%，中长期贷款增长56.4%。</w:t>
      </w:r>
    </w:p>
    <w:p w14:paraId="1E9988CF">
      <w:pPr>
        <w:ind w:firstLine="420"/>
        <w:rPr>
          <w:rFonts w:ascii="宋体" w:hAnsi="宋体"/>
        </w:rPr>
      </w:pPr>
      <w:r>
        <w:rPr>
          <w:rFonts w:ascii="宋体" w:hAnsi="宋体"/>
        </w:rPr>
        <w:t>财政工作取得新成绩。围绕全市发展大局，灵活运用财政杠杆，有力地促进了地方经济社会发展。切实加强财税征管、财税协调工作，开展了全市性税源调查摸底工作，积极拓展税源，组建了城投公司、房地产一体化管理中心，盘活存量土地和加强房地产税费的征管，严格收支两条线管理办法，规范非税收入征缴；严格执行财政预算，把保基本运转、保民生纾困、保重点工程、保社会稳定摆在首位，有效提高资金运作，支出结构进一步优化。全年地税收入2.96亿元，同比增长24.9%；国税收入1.09亿元，同比增长3.6%。全年财政总收入达9.35亿元，同比增长40.2%；其中地方财政一般预算收入2.83亿元，同比增长25.1%；财政累计支出8.73亿元，财政收支基本平衡，略有结余。保险事业稳步发展。随着市场的开放和准入机制的逐步完善和成熟，南雄市保险事业稳步推进，中保、人寿、平安、新华、太平洋等保险公司鼎立保险市场。全年保费收入7734万元，其中：财产险保费收入1631万元，人寿险保费收入6103万元。支付各项赔款给付2018万元，其中财产险赔付款1141万元，增长7.7%；人身险赔付877万元，增长11倍。</w:t>
      </w:r>
    </w:p>
    <w:p w14:paraId="7920CCDB">
      <w:pPr>
        <w:ind w:firstLine="422"/>
        <w:jc w:val="center"/>
        <w:rPr>
          <w:rFonts w:ascii="宋体" w:hAnsi="宋体"/>
          <w:b/>
          <w:bCs/>
        </w:rPr>
      </w:pPr>
      <w:r>
        <w:rPr>
          <w:rFonts w:hint="eastAsia" w:ascii="宋体" w:hAnsi="宋体"/>
          <w:b/>
          <w:bCs/>
        </w:rPr>
        <w:t>表34-5  2010年财政支出项目表</w:t>
      </w:r>
    </w:p>
    <w:p w14:paraId="206A62D7">
      <w:pPr>
        <w:ind w:firstLine="422"/>
        <w:jc w:val="right"/>
        <w:rPr>
          <w:rFonts w:ascii="宋体" w:hAnsi="宋体"/>
          <w:b/>
        </w:rPr>
      </w:pPr>
      <w:r>
        <w:rPr>
          <w:rFonts w:hint="eastAsia" w:ascii="宋体" w:hAnsi="宋体"/>
          <w:b/>
        </w:rPr>
        <w:t>单位：万元</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21"/>
        <w:gridCol w:w="3321"/>
        <w:gridCol w:w="3320"/>
      </w:tblGrid>
      <w:tr w14:paraId="445FC6B5">
        <w:tblPrEx>
          <w:tblCellMar>
            <w:top w:w="0" w:type="dxa"/>
            <w:left w:w="108" w:type="dxa"/>
            <w:bottom w:w="0" w:type="dxa"/>
            <w:right w:w="108" w:type="dxa"/>
          </w:tblCellMar>
        </w:tblPrEx>
        <w:tc>
          <w:tcPr>
            <w:tcW w:w="1667" w:type="pct"/>
            <w:vAlign w:val="center"/>
          </w:tcPr>
          <w:p w14:paraId="71D0FB5C">
            <w:pPr>
              <w:pStyle w:val="13"/>
              <w:jc w:val="center"/>
              <w:rPr>
                <w:rFonts w:hint="eastAsia"/>
                <w:b/>
              </w:rPr>
            </w:pPr>
            <w:r>
              <w:rPr>
                <w:rFonts w:hint="eastAsia"/>
                <w:b/>
              </w:rPr>
              <w:t>指标</w:t>
            </w:r>
          </w:p>
        </w:tc>
        <w:tc>
          <w:tcPr>
            <w:tcW w:w="1667" w:type="pct"/>
            <w:vAlign w:val="center"/>
          </w:tcPr>
          <w:p w14:paraId="3D09D5CC">
            <w:pPr>
              <w:pStyle w:val="13"/>
              <w:jc w:val="center"/>
              <w:rPr>
                <w:rFonts w:hint="eastAsia"/>
                <w:b/>
              </w:rPr>
            </w:pPr>
            <w:r>
              <w:rPr>
                <w:rFonts w:hint="eastAsia"/>
                <w:b/>
              </w:rPr>
              <w:t>年末数</w:t>
            </w:r>
          </w:p>
        </w:tc>
        <w:tc>
          <w:tcPr>
            <w:tcW w:w="1667" w:type="pct"/>
            <w:vAlign w:val="center"/>
          </w:tcPr>
          <w:p w14:paraId="0B6F10A0">
            <w:pPr>
              <w:pStyle w:val="13"/>
              <w:jc w:val="center"/>
              <w:rPr>
                <w:rFonts w:hint="eastAsia"/>
                <w:b/>
              </w:rPr>
            </w:pPr>
            <w:r>
              <w:rPr>
                <w:rFonts w:hint="eastAsia"/>
                <w:b/>
              </w:rPr>
              <w:t>比年初增长%</w:t>
            </w:r>
          </w:p>
        </w:tc>
      </w:tr>
      <w:tr w14:paraId="33173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2EE5E080">
            <w:pPr>
              <w:pStyle w:val="13"/>
              <w:jc w:val="left"/>
              <w:rPr>
                <w:rFonts w:hint="eastAsia"/>
              </w:rPr>
            </w:pPr>
            <w:r>
              <w:rPr>
                <w:rFonts w:hint="eastAsia"/>
              </w:rPr>
              <w:t>支出项目</w:t>
            </w:r>
          </w:p>
        </w:tc>
        <w:tc>
          <w:tcPr>
            <w:tcW w:w="1667" w:type="pct"/>
            <w:vAlign w:val="center"/>
          </w:tcPr>
          <w:p w14:paraId="441395DF">
            <w:pPr>
              <w:pStyle w:val="13"/>
              <w:jc w:val="center"/>
              <w:rPr>
                <w:rFonts w:hint="eastAsia"/>
              </w:rPr>
            </w:pPr>
            <w:r>
              <w:rPr>
                <w:rFonts w:hint="eastAsia"/>
              </w:rPr>
              <w:t>支出金额</w:t>
            </w:r>
          </w:p>
        </w:tc>
        <w:tc>
          <w:tcPr>
            <w:tcW w:w="1667" w:type="pct"/>
            <w:vAlign w:val="center"/>
          </w:tcPr>
          <w:p w14:paraId="4D274AFA">
            <w:pPr>
              <w:pStyle w:val="13"/>
              <w:jc w:val="center"/>
              <w:rPr>
                <w:rFonts w:hint="eastAsia"/>
              </w:rPr>
            </w:pPr>
            <w:r>
              <w:rPr>
                <w:rFonts w:hint="eastAsia"/>
              </w:rPr>
              <w:t>比上年增长+-%</w:t>
            </w:r>
          </w:p>
        </w:tc>
      </w:tr>
      <w:tr w14:paraId="08A23B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74E4E05A">
            <w:pPr>
              <w:pStyle w:val="13"/>
              <w:jc w:val="left"/>
              <w:rPr>
                <w:rFonts w:hint="eastAsia"/>
              </w:rPr>
            </w:pPr>
            <w:r>
              <w:rPr>
                <w:rFonts w:hint="eastAsia"/>
              </w:rPr>
              <w:t>一般预算支出合计</w:t>
            </w:r>
          </w:p>
        </w:tc>
        <w:tc>
          <w:tcPr>
            <w:tcW w:w="1667" w:type="pct"/>
            <w:vAlign w:val="center"/>
          </w:tcPr>
          <w:p w14:paraId="4D2738A7">
            <w:pPr>
              <w:pStyle w:val="13"/>
              <w:jc w:val="center"/>
              <w:rPr>
                <w:rFonts w:hint="eastAsia"/>
              </w:rPr>
            </w:pPr>
            <w:r>
              <w:rPr>
                <w:rFonts w:hint="eastAsia"/>
              </w:rPr>
              <w:t>87313</w:t>
            </w:r>
          </w:p>
        </w:tc>
        <w:tc>
          <w:tcPr>
            <w:tcW w:w="1667" w:type="pct"/>
            <w:vAlign w:val="center"/>
          </w:tcPr>
          <w:p w14:paraId="7518375C">
            <w:pPr>
              <w:pStyle w:val="13"/>
              <w:jc w:val="center"/>
              <w:rPr>
                <w:rFonts w:hint="eastAsia"/>
              </w:rPr>
            </w:pPr>
            <w:r>
              <w:rPr>
                <w:rFonts w:hint="eastAsia"/>
              </w:rPr>
              <w:t>32.6</w:t>
            </w:r>
          </w:p>
        </w:tc>
      </w:tr>
      <w:tr w14:paraId="71AFCE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0ECFBF7D">
            <w:pPr>
              <w:pStyle w:val="13"/>
              <w:jc w:val="left"/>
              <w:rPr>
                <w:rFonts w:hint="eastAsia"/>
              </w:rPr>
            </w:pPr>
            <w:r>
              <w:rPr>
                <w:rFonts w:hint="eastAsia"/>
              </w:rPr>
              <w:t>其中：一般公共服务</w:t>
            </w:r>
          </w:p>
        </w:tc>
        <w:tc>
          <w:tcPr>
            <w:tcW w:w="1667" w:type="pct"/>
            <w:vAlign w:val="center"/>
          </w:tcPr>
          <w:p w14:paraId="6BD456D3">
            <w:pPr>
              <w:pStyle w:val="13"/>
              <w:jc w:val="center"/>
              <w:rPr>
                <w:rFonts w:hint="eastAsia"/>
              </w:rPr>
            </w:pPr>
            <w:r>
              <w:rPr>
                <w:rFonts w:hint="eastAsia"/>
              </w:rPr>
              <w:t>15717</w:t>
            </w:r>
          </w:p>
        </w:tc>
        <w:tc>
          <w:tcPr>
            <w:tcW w:w="1667" w:type="pct"/>
            <w:vAlign w:val="center"/>
          </w:tcPr>
          <w:p w14:paraId="7147F641">
            <w:pPr>
              <w:pStyle w:val="13"/>
              <w:jc w:val="center"/>
              <w:rPr>
                <w:rFonts w:hint="eastAsia"/>
              </w:rPr>
            </w:pPr>
            <w:r>
              <w:rPr>
                <w:rFonts w:hint="eastAsia"/>
              </w:rPr>
              <w:t>28.9</w:t>
            </w:r>
          </w:p>
        </w:tc>
      </w:tr>
      <w:tr w14:paraId="1FD65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708A6DC3">
            <w:pPr>
              <w:pStyle w:val="13"/>
              <w:jc w:val="left"/>
              <w:rPr>
                <w:rFonts w:hint="eastAsia"/>
              </w:rPr>
            </w:pPr>
            <w:r>
              <w:rPr>
                <w:rFonts w:hint="eastAsia"/>
              </w:rPr>
              <w:t>教育</w:t>
            </w:r>
          </w:p>
        </w:tc>
        <w:tc>
          <w:tcPr>
            <w:tcW w:w="1667" w:type="pct"/>
            <w:vAlign w:val="center"/>
          </w:tcPr>
          <w:p w14:paraId="277866DE">
            <w:pPr>
              <w:pStyle w:val="13"/>
              <w:jc w:val="center"/>
              <w:rPr>
                <w:rFonts w:hint="eastAsia"/>
              </w:rPr>
            </w:pPr>
            <w:r>
              <w:rPr>
                <w:rFonts w:hint="eastAsia"/>
              </w:rPr>
              <w:t>20284</w:t>
            </w:r>
          </w:p>
        </w:tc>
        <w:tc>
          <w:tcPr>
            <w:tcW w:w="1667" w:type="pct"/>
            <w:vAlign w:val="center"/>
          </w:tcPr>
          <w:p w14:paraId="2F2AA3B9">
            <w:pPr>
              <w:pStyle w:val="13"/>
              <w:jc w:val="center"/>
              <w:rPr>
                <w:rFonts w:hint="eastAsia"/>
              </w:rPr>
            </w:pPr>
            <w:r>
              <w:rPr>
                <w:rFonts w:hint="eastAsia"/>
              </w:rPr>
              <w:t>3.6</w:t>
            </w:r>
          </w:p>
        </w:tc>
      </w:tr>
      <w:tr w14:paraId="1F9CD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5BA41348">
            <w:pPr>
              <w:pStyle w:val="13"/>
              <w:jc w:val="left"/>
              <w:rPr>
                <w:rFonts w:hint="eastAsia"/>
              </w:rPr>
            </w:pPr>
            <w:r>
              <w:rPr>
                <w:rFonts w:hint="eastAsia"/>
              </w:rPr>
              <w:t>文化体育与传媒</w:t>
            </w:r>
          </w:p>
        </w:tc>
        <w:tc>
          <w:tcPr>
            <w:tcW w:w="1667" w:type="pct"/>
            <w:vAlign w:val="center"/>
          </w:tcPr>
          <w:p w14:paraId="1AB5754A">
            <w:pPr>
              <w:pStyle w:val="13"/>
              <w:jc w:val="center"/>
              <w:rPr>
                <w:rFonts w:hint="eastAsia"/>
              </w:rPr>
            </w:pPr>
            <w:r>
              <w:rPr>
                <w:rFonts w:hint="eastAsia"/>
              </w:rPr>
              <w:t>1056</w:t>
            </w:r>
          </w:p>
        </w:tc>
        <w:tc>
          <w:tcPr>
            <w:tcW w:w="1667" w:type="pct"/>
            <w:vAlign w:val="center"/>
          </w:tcPr>
          <w:p w14:paraId="77A6B878">
            <w:pPr>
              <w:pStyle w:val="13"/>
              <w:jc w:val="center"/>
              <w:rPr>
                <w:rFonts w:hint="eastAsia"/>
              </w:rPr>
            </w:pPr>
            <w:r>
              <w:rPr>
                <w:rFonts w:hint="eastAsia"/>
              </w:rPr>
              <w:t>66.3</w:t>
            </w:r>
          </w:p>
        </w:tc>
      </w:tr>
      <w:tr w14:paraId="751EB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33DFA5C3">
            <w:pPr>
              <w:pStyle w:val="13"/>
              <w:jc w:val="left"/>
              <w:rPr>
                <w:rFonts w:hint="eastAsia"/>
              </w:rPr>
            </w:pPr>
            <w:r>
              <w:rPr>
                <w:rFonts w:hint="eastAsia"/>
              </w:rPr>
              <w:t>医疗卫生</w:t>
            </w:r>
          </w:p>
        </w:tc>
        <w:tc>
          <w:tcPr>
            <w:tcW w:w="1667" w:type="pct"/>
            <w:vAlign w:val="center"/>
          </w:tcPr>
          <w:p w14:paraId="6CDF17ED">
            <w:pPr>
              <w:pStyle w:val="13"/>
              <w:jc w:val="center"/>
              <w:rPr>
                <w:rFonts w:hint="eastAsia"/>
              </w:rPr>
            </w:pPr>
            <w:r>
              <w:rPr>
                <w:rFonts w:hint="eastAsia"/>
              </w:rPr>
              <w:t>10784</w:t>
            </w:r>
          </w:p>
        </w:tc>
        <w:tc>
          <w:tcPr>
            <w:tcW w:w="1667" w:type="pct"/>
            <w:vAlign w:val="center"/>
          </w:tcPr>
          <w:p w14:paraId="6ACB9CFB">
            <w:pPr>
              <w:pStyle w:val="13"/>
              <w:jc w:val="center"/>
              <w:rPr>
                <w:rFonts w:hint="eastAsia"/>
              </w:rPr>
            </w:pPr>
            <w:r>
              <w:rPr>
                <w:rFonts w:hint="eastAsia"/>
              </w:rPr>
              <w:t>35.9</w:t>
            </w:r>
          </w:p>
        </w:tc>
      </w:tr>
      <w:tr w14:paraId="56AEB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71662EE0">
            <w:pPr>
              <w:pStyle w:val="13"/>
              <w:jc w:val="left"/>
              <w:rPr>
                <w:rFonts w:hint="eastAsia"/>
              </w:rPr>
            </w:pPr>
            <w:r>
              <w:rPr>
                <w:rFonts w:hint="eastAsia"/>
              </w:rPr>
              <w:t>环境保护</w:t>
            </w:r>
          </w:p>
        </w:tc>
        <w:tc>
          <w:tcPr>
            <w:tcW w:w="1667" w:type="pct"/>
            <w:vAlign w:val="center"/>
          </w:tcPr>
          <w:p w14:paraId="7CCC12CE">
            <w:pPr>
              <w:pStyle w:val="13"/>
              <w:jc w:val="center"/>
              <w:rPr>
                <w:rFonts w:hint="eastAsia"/>
              </w:rPr>
            </w:pPr>
            <w:r>
              <w:rPr>
                <w:rFonts w:hint="eastAsia"/>
              </w:rPr>
              <w:t>1635</w:t>
            </w:r>
          </w:p>
        </w:tc>
        <w:tc>
          <w:tcPr>
            <w:tcW w:w="1667" w:type="pct"/>
            <w:vAlign w:val="center"/>
          </w:tcPr>
          <w:p w14:paraId="1FD6BE4D">
            <w:pPr>
              <w:pStyle w:val="13"/>
              <w:jc w:val="center"/>
              <w:rPr>
                <w:rFonts w:hint="eastAsia"/>
              </w:rPr>
            </w:pPr>
            <w:r>
              <w:rPr>
                <w:rFonts w:hint="eastAsia"/>
              </w:rPr>
              <w:t>83.1</w:t>
            </w:r>
          </w:p>
        </w:tc>
      </w:tr>
      <w:tr w14:paraId="072E5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07063D59">
            <w:pPr>
              <w:pStyle w:val="13"/>
              <w:jc w:val="left"/>
              <w:rPr>
                <w:rFonts w:hint="eastAsia"/>
              </w:rPr>
            </w:pPr>
            <w:r>
              <w:rPr>
                <w:rFonts w:hint="eastAsia"/>
              </w:rPr>
              <w:t>农林水事务</w:t>
            </w:r>
          </w:p>
        </w:tc>
        <w:tc>
          <w:tcPr>
            <w:tcW w:w="1667" w:type="pct"/>
            <w:vAlign w:val="center"/>
          </w:tcPr>
          <w:p w14:paraId="62413EB6">
            <w:pPr>
              <w:pStyle w:val="13"/>
              <w:jc w:val="center"/>
              <w:rPr>
                <w:rFonts w:hint="eastAsia"/>
              </w:rPr>
            </w:pPr>
            <w:r>
              <w:rPr>
                <w:rFonts w:hint="eastAsia"/>
              </w:rPr>
              <w:t>13966</w:t>
            </w:r>
          </w:p>
        </w:tc>
        <w:tc>
          <w:tcPr>
            <w:tcW w:w="1667" w:type="pct"/>
            <w:vAlign w:val="center"/>
          </w:tcPr>
          <w:p w14:paraId="2E5F8341">
            <w:pPr>
              <w:pStyle w:val="13"/>
              <w:jc w:val="center"/>
              <w:rPr>
                <w:rFonts w:hint="eastAsia"/>
              </w:rPr>
            </w:pPr>
            <w:r>
              <w:rPr>
                <w:rFonts w:hint="eastAsia"/>
              </w:rPr>
              <w:t>58.1</w:t>
            </w:r>
          </w:p>
        </w:tc>
      </w:tr>
      <w:tr w14:paraId="021557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7EF37DB3">
            <w:pPr>
              <w:pStyle w:val="13"/>
              <w:jc w:val="left"/>
              <w:rPr>
                <w:rFonts w:hint="eastAsia"/>
              </w:rPr>
            </w:pPr>
            <w:r>
              <w:rPr>
                <w:rFonts w:hint="eastAsia"/>
              </w:rPr>
              <w:t>交通运输</w:t>
            </w:r>
          </w:p>
        </w:tc>
        <w:tc>
          <w:tcPr>
            <w:tcW w:w="1667" w:type="pct"/>
            <w:vAlign w:val="center"/>
          </w:tcPr>
          <w:p w14:paraId="6F4DA659">
            <w:pPr>
              <w:pStyle w:val="13"/>
              <w:jc w:val="center"/>
              <w:rPr>
                <w:rFonts w:hint="eastAsia"/>
              </w:rPr>
            </w:pPr>
            <w:r>
              <w:rPr>
                <w:rFonts w:hint="eastAsia"/>
              </w:rPr>
              <w:t>956</w:t>
            </w:r>
          </w:p>
        </w:tc>
        <w:tc>
          <w:tcPr>
            <w:tcW w:w="1667" w:type="pct"/>
            <w:vAlign w:val="center"/>
          </w:tcPr>
          <w:p w14:paraId="09A4B5CB">
            <w:pPr>
              <w:pStyle w:val="13"/>
              <w:jc w:val="center"/>
              <w:rPr>
                <w:rFonts w:hint="eastAsia"/>
              </w:rPr>
            </w:pPr>
            <w:r>
              <w:rPr>
                <w:rFonts w:hint="eastAsia"/>
              </w:rPr>
              <w:t>215.5</w:t>
            </w:r>
          </w:p>
        </w:tc>
      </w:tr>
    </w:tbl>
    <w:p w14:paraId="2D0B8D63">
      <w:pPr>
        <w:ind w:firstLine="422"/>
        <w:rPr>
          <w:rFonts w:ascii="宋体" w:hAnsi="宋体"/>
          <w:b/>
          <w:bCs/>
        </w:rPr>
      </w:pPr>
      <w:r>
        <w:rPr>
          <w:rFonts w:ascii="宋体" w:hAnsi="宋体"/>
          <w:b/>
          <w:bCs/>
        </w:rPr>
        <w:t>八、教育和科学技术</w:t>
      </w:r>
    </w:p>
    <w:p w14:paraId="5C1222D0">
      <w:pPr>
        <w:ind w:firstLine="420"/>
        <w:rPr>
          <w:rFonts w:ascii="宋体" w:hAnsi="宋体"/>
        </w:rPr>
      </w:pPr>
      <w:r>
        <w:rPr>
          <w:rFonts w:ascii="宋体" w:hAnsi="宋体"/>
        </w:rPr>
        <w:t>科技创新能力不断增强。2010年，南雄市围绕“国家可持续发展实验区”的标准和要求，不断加大科技推广力度，科技成果的转化、知识产权管理和信息化建设取得成效，科技队伍稳定，科学技术得到重视和应用，科技贡献率提高。全年举办科技交流会8次，交流会参加人数900人次；举办科普讲座9次，科普讲座参加人数820人次；8篇科技论文获奖，21个科技项目攻关，全年专利申请38件。逐步建立和完善特色产业的标准体系，推动技术创新和标准创新结合发展，全面提升产品产量总体水平。全市各类工业品牌16个，其中国家地理标志保护产品1个，广东省名牌产品3个，广东省著名商标1个，区域品牌11个。</w:t>
      </w:r>
    </w:p>
    <w:p w14:paraId="5774F43F">
      <w:pPr>
        <w:ind w:firstLine="420"/>
        <w:rPr>
          <w:rFonts w:ascii="宋体" w:hAnsi="宋体"/>
        </w:rPr>
      </w:pPr>
      <w:r>
        <w:rPr>
          <w:rFonts w:ascii="宋体" w:hAnsi="宋体"/>
        </w:rPr>
        <w:t>教育强市创建稳步推进。2010年，南雄市教育事业加快发展，加强优质教育工作力度，进一步整合教学资源，学校办学条件不断提高，“普九”、“普高”工作成效明显。教育强镇工作顺利推进，黄坑、主田两镇通过了省专家组验收。开展校园及周边环境整治，强化校园安全管理，学校安全工作得到有效保障。</w:t>
      </w:r>
    </w:p>
    <w:p w14:paraId="3DE085ED">
      <w:pPr>
        <w:ind w:firstLine="420"/>
        <w:rPr>
          <w:rFonts w:ascii="宋体" w:hAnsi="宋体"/>
        </w:rPr>
      </w:pPr>
      <w:r>
        <w:rPr>
          <w:rFonts w:ascii="宋体" w:hAnsi="宋体"/>
        </w:rPr>
        <w:t>教学资源不断优化。全市普通学校（含幼儿园）137所，其中小学71所，普通中学21所，幼儿园45所。坚持依法治教，加快发展普通高中和职业高中教育，中小学基础设施建设进一步加强，师资力量得到充实，办学水平不断提高。</w:t>
      </w:r>
    </w:p>
    <w:p w14:paraId="10575DC2">
      <w:pPr>
        <w:ind w:firstLine="420"/>
        <w:rPr>
          <w:rFonts w:ascii="宋体" w:hAnsi="宋体"/>
        </w:rPr>
      </w:pPr>
      <w:r>
        <w:rPr>
          <w:rFonts w:ascii="宋体" w:hAnsi="宋体"/>
        </w:rPr>
        <w:t>全市普通学校专任教师4527人，年末共有在校学生7.35万人，其中在校初中学生2.02万人，当年毕业6423人；普通高中当年招生3269人，在校高中学生0.99万人，当年毕业3234人；小学当年招生5107人，在校学生2.85万人，当年毕业5373人。幼儿园在园幼儿1.26万人。全市适龄儿童入学率、初中入学率均达到100%，高中毛入学率达到90.8%。</w:t>
      </w:r>
    </w:p>
    <w:p w14:paraId="11768BE6">
      <w:pPr>
        <w:ind w:firstLine="420"/>
        <w:rPr>
          <w:rFonts w:ascii="宋体" w:hAnsi="宋体"/>
        </w:rPr>
      </w:pPr>
      <w:r>
        <w:rPr>
          <w:rFonts w:ascii="宋体" w:hAnsi="宋体"/>
        </w:rPr>
        <w:t>教育事业取得骄人成绩。教育教学质量明显提高，高考取得了历史性突破，高考成绩名列韶关市前列。全市高中毕业考入大专院校2856人，其中：本科917人，专科1939人。成人教育在校学生718人，其中本科210人，专科508人。</w:t>
      </w:r>
    </w:p>
    <w:p w14:paraId="62C78AC9">
      <w:pPr>
        <w:ind w:firstLine="422"/>
        <w:rPr>
          <w:rFonts w:ascii="宋体" w:hAnsi="宋体"/>
          <w:b/>
          <w:bCs/>
        </w:rPr>
      </w:pPr>
      <w:r>
        <w:rPr>
          <w:rFonts w:ascii="宋体" w:hAnsi="宋体"/>
          <w:b/>
          <w:bCs/>
        </w:rPr>
        <w:t>九、文化、卫生和体育</w:t>
      </w:r>
    </w:p>
    <w:p w14:paraId="2298C227">
      <w:pPr>
        <w:ind w:firstLine="420"/>
        <w:rPr>
          <w:rFonts w:ascii="宋体" w:hAnsi="宋体"/>
        </w:rPr>
      </w:pPr>
      <w:r>
        <w:rPr>
          <w:rFonts w:ascii="宋体" w:hAnsi="宋体"/>
        </w:rPr>
        <w:t>精神文明建设不断推进。广泛深入开展“全民读书”、“孝廉”文化进农家活动，启动了全民读书和“读书漂流”活动，完成了184家农家书屋建设，增加图书26万多册；积极做好“韶关好人”评选工作、“迎亚运、创五优”活动，有力地提升了全市文明水平。</w:t>
      </w:r>
    </w:p>
    <w:p w14:paraId="1D5E88EC">
      <w:pPr>
        <w:ind w:firstLine="420"/>
        <w:rPr>
          <w:rFonts w:ascii="宋体" w:hAnsi="宋体"/>
        </w:rPr>
      </w:pPr>
      <w:r>
        <w:rPr>
          <w:rFonts w:ascii="宋体" w:hAnsi="宋体"/>
        </w:rPr>
        <w:t>行政服务和政务环境不断优化。开展了系列“一诺千金为发展”、“受了表扬，我们怎么办”大学习大讨论活动，并举办演讲比赛。电子政务建设和行政审批改革稳步推进，政府效能稳步提高，机关效能和服务水平明显提高。实施行政执法责任制和工作问责制，大力推进政府信息公开、政务公开和办事公开。文化、广电新闻出版事业不断进步。开展了广场、社区、学校、企业文化系列活动，市采茶剧团、金叶、夕阳红艺术团等演出团体为全市人民献演了众多精彩节目。组织开展了“祖国在我心中”第二届红歌大赛活动，在全市掀起一股“唱红歌、传承苏区精神，扬正气、争做道德公民”的社会热潮。全年送戏下乡85次，参与人次11万多；送书下乡134次，赠送图书4000多册；送电影下乡1380场次。开展文化活动35次，《采茶童娃舞雄州》获省第八届少儿艺术花会比赛银奖，《孟管当砸缸》获第四届中国戏剧奖小品组三等奖。创建文化强市工作稳步推进。全市有线电视新增用户2700多户，用户总数达5万户。积极推进数字电视工作。有线数字电视整体转换工程项目也已经全面启动。市图书馆藏书8.02万册。全市拥有名胜古迹和文物保护区26处。</w:t>
      </w:r>
    </w:p>
    <w:p w14:paraId="6D255A53">
      <w:pPr>
        <w:ind w:firstLine="420"/>
        <w:rPr>
          <w:rFonts w:ascii="宋体" w:hAnsi="宋体"/>
        </w:rPr>
      </w:pPr>
      <w:r>
        <w:rPr>
          <w:rFonts w:ascii="宋体" w:hAnsi="宋体"/>
        </w:rPr>
        <w:t>体育事业取得新进步。全市拥有体育场12个，250米田径场28个。竞技体育取得历史性突破，马丽芸获广州亚运会女子小轮车赛冠军。全民健身运动如火如荼，全市各单位举办各类运动会48次，参加比赛人数达3.42万人。老年体育健康发展，在市区参与体育健身运动的老年体育人口达50%。</w:t>
      </w:r>
    </w:p>
    <w:p w14:paraId="4CB6789E">
      <w:pPr>
        <w:ind w:firstLine="420"/>
        <w:rPr>
          <w:rFonts w:ascii="宋体" w:hAnsi="宋体"/>
        </w:rPr>
      </w:pPr>
      <w:r>
        <w:rPr>
          <w:rFonts w:ascii="宋体" w:hAnsi="宋体"/>
        </w:rPr>
        <w:t>医疗卫生条件进一步改善，疾病预防和控制工作进一步加强，农村合作医疗工作稳步开展，公共卫生体系不断完善，公共卫生监督进一步加强，九大基本公共卫生服务项目全面实施，预防保健工作成绩显著。切实加强了疾病的防控工作，突发公共卫生应急处理和疾病预防控制能力明显增强。在全市范围内开展了食品安全整治工作，认真开展问题奶粉清查工作，加强学校、幼儿园及周边食品安全检查，认真开展禁止使用硫磺熏制辣椒专项整治，确保了亚运残运会期间食品安全。卫生事业全面发展。全市拥有卫生机构28个，其中医院21间，医院病床位945张，医生、卫生技术人员920人，其中：医生人数293人、主治医师以上人数163人；医院、卫生院诊疗人数63.32万人次，婴儿死亡率0.63%，5岁以下儿童死亡率0.88%，，产妇住院分娩比例达到100%。参加农村合作医疗人口覆盖率达100%，发放医疗补助金5329.8万元。无偿献血工作稳步开展，全年参加无偿献血总人次为2130人次，总献血量为42.6万毫升，荣获韶关市无偿献血先进单位称号。</w:t>
      </w:r>
    </w:p>
    <w:p w14:paraId="2418AF35">
      <w:pPr>
        <w:ind w:firstLine="422"/>
        <w:rPr>
          <w:rFonts w:ascii="宋体" w:hAnsi="宋体"/>
          <w:b/>
          <w:bCs/>
        </w:rPr>
      </w:pPr>
      <w:r>
        <w:rPr>
          <w:rFonts w:ascii="宋体" w:hAnsi="宋体"/>
          <w:b/>
          <w:bCs/>
        </w:rPr>
        <w:t>十、人口、人民生活和社会保障</w:t>
      </w:r>
    </w:p>
    <w:p w14:paraId="3951DBA0">
      <w:pPr>
        <w:ind w:firstLine="420"/>
        <w:rPr>
          <w:rFonts w:ascii="宋体" w:hAnsi="宋体"/>
        </w:rPr>
      </w:pPr>
      <w:r>
        <w:rPr>
          <w:rFonts w:ascii="宋体" w:hAnsi="宋体"/>
        </w:rPr>
        <w:t>人口持续低速增长。据公安部门统计，全市年末户籍人口47.09万人，其中：农业人口38.49万人，占总人口的81.7%；非农人口8.61万人，占总人口的18.3%；年末总户数13.54万户。全市常住人口38.09万人（省下管一级数据）。</w:t>
      </w:r>
    </w:p>
    <w:p w14:paraId="10D9BBD3">
      <w:pPr>
        <w:ind w:firstLine="422"/>
        <w:jc w:val="center"/>
        <w:rPr>
          <w:rFonts w:ascii="宋体" w:hAnsi="宋体"/>
          <w:b/>
          <w:bCs/>
        </w:rPr>
      </w:pPr>
      <w:r>
        <w:rPr>
          <w:rFonts w:hint="eastAsia" w:ascii="宋体" w:hAnsi="宋体"/>
          <w:b/>
          <w:bCs/>
        </w:rPr>
        <w:t>表34-6  2010年人口数及其构成</w:t>
      </w:r>
    </w:p>
    <w:p w14:paraId="4FFC7966">
      <w:pPr>
        <w:ind w:firstLine="422"/>
        <w:jc w:val="right"/>
        <w:rPr>
          <w:rFonts w:ascii="宋体" w:hAnsi="宋体"/>
          <w:b/>
        </w:rPr>
      </w:pPr>
      <w:r>
        <w:rPr>
          <w:rFonts w:hint="eastAsia" w:ascii="宋体" w:hAnsi="宋体"/>
          <w:b/>
        </w:rPr>
        <w:t>单位：万元</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21"/>
        <w:gridCol w:w="3321"/>
        <w:gridCol w:w="3320"/>
      </w:tblGrid>
      <w:tr w14:paraId="064DF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62A3516E">
            <w:pPr>
              <w:pStyle w:val="13"/>
              <w:jc w:val="center"/>
              <w:rPr>
                <w:rFonts w:hint="eastAsia"/>
                <w:b/>
              </w:rPr>
            </w:pPr>
            <w:r>
              <w:rPr>
                <w:rFonts w:hint="eastAsia"/>
                <w:b/>
              </w:rPr>
              <w:t>指标</w:t>
            </w:r>
          </w:p>
        </w:tc>
        <w:tc>
          <w:tcPr>
            <w:tcW w:w="1667" w:type="pct"/>
            <w:vAlign w:val="center"/>
          </w:tcPr>
          <w:p w14:paraId="6683C33D">
            <w:pPr>
              <w:pStyle w:val="13"/>
              <w:jc w:val="center"/>
              <w:rPr>
                <w:rFonts w:hint="eastAsia"/>
                <w:b/>
              </w:rPr>
            </w:pPr>
            <w:r>
              <w:rPr>
                <w:rFonts w:hint="eastAsia"/>
                <w:b/>
              </w:rPr>
              <w:t>年末数</w:t>
            </w:r>
          </w:p>
        </w:tc>
        <w:tc>
          <w:tcPr>
            <w:tcW w:w="1667" w:type="pct"/>
            <w:vAlign w:val="center"/>
          </w:tcPr>
          <w:p w14:paraId="0106B4AD">
            <w:pPr>
              <w:pStyle w:val="13"/>
              <w:jc w:val="center"/>
              <w:rPr>
                <w:rFonts w:hint="eastAsia"/>
                <w:b/>
              </w:rPr>
            </w:pPr>
            <w:r>
              <w:rPr>
                <w:rFonts w:hint="eastAsia"/>
                <w:b/>
              </w:rPr>
              <w:t>比重（%）</w:t>
            </w:r>
          </w:p>
        </w:tc>
      </w:tr>
      <w:tr w14:paraId="56FB4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24136C55">
            <w:pPr>
              <w:pStyle w:val="13"/>
              <w:jc w:val="left"/>
              <w:rPr>
                <w:rFonts w:hint="eastAsia"/>
              </w:rPr>
            </w:pPr>
            <w:r>
              <w:rPr>
                <w:rFonts w:hint="eastAsia"/>
              </w:rPr>
              <w:t>全市总人口</w:t>
            </w:r>
          </w:p>
        </w:tc>
        <w:tc>
          <w:tcPr>
            <w:tcW w:w="1667" w:type="pct"/>
            <w:vAlign w:val="center"/>
          </w:tcPr>
          <w:p w14:paraId="31BF2FD4">
            <w:pPr>
              <w:pStyle w:val="13"/>
              <w:jc w:val="center"/>
              <w:rPr>
                <w:rFonts w:hint="eastAsia"/>
              </w:rPr>
            </w:pPr>
            <w:r>
              <w:rPr>
                <w:rFonts w:hint="eastAsia"/>
              </w:rPr>
              <w:t>47.09</w:t>
            </w:r>
          </w:p>
        </w:tc>
        <w:tc>
          <w:tcPr>
            <w:tcW w:w="1667" w:type="pct"/>
            <w:vAlign w:val="center"/>
          </w:tcPr>
          <w:p w14:paraId="4C85B73A">
            <w:pPr>
              <w:pStyle w:val="13"/>
              <w:jc w:val="center"/>
              <w:rPr>
                <w:rFonts w:hint="eastAsia"/>
              </w:rPr>
            </w:pPr>
            <w:r>
              <w:rPr>
                <w:rFonts w:hint="eastAsia"/>
              </w:rPr>
              <w:t>100.0</w:t>
            </w:r>
          </w:p>
        </w:tc>
      </w:tr>
      <w:tr w14:paraId="3E60C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3AE5089B">
            <w:pPr>
              <w:pStyle w:val="13"/>
              <w:jc w:val="left"/>
              <w:rPr>
                <w:rFonts w:hint="eastAsia"/>
              </w:rPr>
            </w:pPr>
            <w:r>
              <w:rPr>
                <w:rFonts w:hint="eastAsia"/>
              </w:rPr>
              <w:t>其中：城镇</w:t>
            </w:r>
          </w:p>
        </w:tc>
        <w:tc>
          <w:tcPr>
            <w:tcW w:w="1667" w:type="pct"/>
            <w:vAlign w:val="center"/>
          </w:tcPr>
          <w:p w14:paraId="6EF5FDB7">
            <w:pPr>
              <w:pStyle w:val="13"/>
              <w:jc w:val="center"/>
              <w:rPr>
                <w:rFonts w:hint="eastAsia"/>
              </w:rPr>
            </w:pPr>
            <w:r>
              <w:rPr>
                <w:rFonts w:hint="eastAsia"/>
              </w:rPr>
              <w:t>8.61</w:t>
            </w:r>
          </w:p>
        </w:tc>
        <w:tc>
          <w:tcPr>
            <w:tcW w:w="1667" w:type="pct"/>
            <w:vAlign w:val="center"/>
          </w:tcPr>
          <w:p w14:paraId="169EE990">
            <w:pPr>
              <w:pStyle w:val="13"/>
              <w:jc w:val="center"/>
              <w:rPr>
                <w:rFonts w:hint="eastAsia"/>
              </w:rPr>
            </w:pPr>
            <w:r>
              <w:rPr>
                <w:rFonts w:hint="eastAsia"/>
              </w:rPr>
              <w:t>18.3</w:t>
            </w:r>
          </w:p>
        </w:tc>
      </w:tr>
      <w:tr w14:paraId="675A43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79D39B3A">
            <w:pPr>
              <w:pStyle w:val="13"/>
              <w:jc w:val="left"/>
              <w:rPr>
                <w:rFonts w:hint="eastAsia"/>
              </w:rPr>
            </w:pPr>
            <w:r>
              <w:rPr>
                <w:rFonts w:hint="eastAsia"/>
              </w:rPr>
              <w:t>乡村</w:t>
            </w:r>
          </w:p>
        </w:tc>
        <w:tc>
          <w:tcPr>
            <w:tcW w:w="1667" w:type="pct"/>
            <w:vAlign w:val="center"/>
          </w:tcPr>
          <w:p w14:paraId="41ABC2C9">
            <w:pPr>
              <w:pStyle w:val="13"/>
              <w:jc w:val="center"/>
              <w:rPr>
                <w:rFonts w:hint="eastAsia"/>
              </w:rPr>
            </w:pPr>
            <w:r>
              <w:rPr>
                <w:rFonts w:hint="eastAsia"/>
              </w:rPr>
              <w:t>38.49</w:t>
            </w:r>
          </w:p>
        </w:tc>
        <w:tc>
          <w:tcPr>
            <w:tcW w:w="1667" w:type="pct"/>
            <w:vAlign w:val="center"/>
          </w:tcPr>
          <w:p w14:paraId="53FCC924">
            <w:pPr>
              <w:pStyle w:val="13"/>
              <w:jc w:val="center"/>
              <w:rPr>
                <w:rFonts w:hint="eastAsia"/>
              </w:rPr>
            </w:pPr>
            <w:r>
              <w:rPr>
                <w:rFonts w:hint="eastAsia"/>
              </w:rPr>
              <w:t>81.7</w:t>
            </w:r>
          </w:p>
        </w:tc>
      </w:tr>
      <w:tr w14:paraId="24F00A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5699EEA7">
            <w:pPr>
              <w:pStyle w:val="13"/>
              <w:jc w:val="left"/>
              <w:rPr>
                <w:rFonts w:hint="eastAsia"/>
              </w:rPr>
            </w:pPr>
            <w:r>
              <w:rPr>
                <w:rFonts w:hint="eastAsia"/>
              </w:rPr>
              <w:t>其中：男性</w:t>
            </w:r>
          </w:p>
        </w:tc>
        <w:tc>
          <w:tcPr>
            <w:tcW w:w="1667" w:type="pct"/>
            <w:vAlign w:val="center"/>
          </w:tcPr>
          <w:p w14:paraId="33DE09FE">
            <w:pPr>
              <w:pStyle w:val="13"/>
              <w:jc w:val="center"/>
              <w:rPr>
                <w:rFonts w:hint="eastAsia"/>
              </w:rPr>
            </w:pPr>
            <w:r>
              <w:rPr>
                <w:rFonts w:hint="eastAsia"/>
              </w:rPr>
              <w:t>24.01</w:t>
            </w:r>
          </w:p>
        </w:tc>
        <w:tc>
          <w:tcPr>
            <w:tcW w:w="1667" w:type="pct"/>
            <w:vAlign w:val="center"/>
          </w:tcPr>
          <w:p w14:paraId="5E3A0CE4">
            <w:pPr>
              <w:pStyle w:val="13"/>
              <w:jc w:val="center"/>
              <w:rPr>
                <w:rFonts w:hint="eastAsia"/>
              </w:rPr>
            </w:pPr>
            <w:r>
              <w:rPr>
                <w:rFonts w:hint="eastAsia"/>
              </w:rPr>
              <w:t>50.98</w:t>
            </w:r>
          </w:p>
        </w:tc>
      </w:tr>
      <w:tr w14:paraId="50EFE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00A80132">
            <w:pPr>
              <w:pStyle w:val="13"/>
              <w:jc w:val="left"/>
              <w:rPr>
                <w:rFonts w:hint="eastAsia"/>
              </w:rPr>
            </w:pPr>
            <w:r>
              <w:rPr>
                <w:rFonts w:hint="eastAsia"/>
              </w:rPr>
              <w:t>女性</w:t>
            </w:r>
          </w:p>
        </w:tc>
        <w:tc>
          <w:tcPr>
            <w:tcW w:w="1667" w:type="pct"/>
            <w:vAlign w:val="center"/>
          </w:tcPr>
          <w:p w14:paraId="10113984">
            <w:pPr>
              <w:pStyle w:val="13"/>
              <w:jc w:val="center"/>
              <w:rPr>
                <w:rFonts w:hint="eastAsia"/>
              </w:rPr>
            </w:pPr>
            <w:r>
              <w:rPr>
                <w:rFonts w:hint="eastAsia"/>
              </w:rPr>
              <w:t>23.08</w:t>
            </w:r>
          </w:p>
        </w:tc>
        <w:tc>
          <w:tcPr>
            <w:tcW w:w="1667" w:type="pct"/>
            <w:vAlign w:val="center"/>
          </w:tcPr>
          <w:p w14:paraId="055F9DA1">
            <w:pPr>
              <w:pStyle w:val="13"/>
              <w:jc w:val="center"/>
              <w:rPr>
                <w:rFonts w:hint="eastAsia"/>
              </w:rPr>
            </w:pPr>
            <w:r>
              <w:rPr>
                <w:rFonts w:hint="eastAsia"/>
              </w:rPr>
              <w:t>49.02</w:t>
            </w:r>
          </w:p>
        </w:tc>
      </w:tr>
    </w:tbl>
    <w:p w14:paraId="522D28F2">
      <w:pPr>
        <w:ind w:firstLine="420"/>
        <w:rPr>
          <w:rFonts w:ascii="宋体" w:hAnsi="宋体"/>
        </w:rPr>
      </w:pPr>
      <w:r>
        <w:rPr>
          <w:rFonts w:ascii="宋体" w:hAnsi="宋体"/>
        </w:rPr>
        <w:t>人口与计划生育工作扎实有效。人口与计划生育各项工作稳步推进，保持了稳定的低生育水平。深入开展创建“两无”活动，被国家人口计生委确定为全国100个免费孕前优生健康检查试点县（市、区）之一。全市落实计生“四术”6572例，现有已婚育龄夫妇落实节育措施8.69万例，节育率为86.19%。全年出生人口（计生口径）5903人，人口出生率为12.36‰，政策生育率为95.14%，死亡率5.13‰，自然增长率为7.23‰，较好地完成了2010年的人口包干计划。</w:t>
      </w:r>
    </w:p>
    <w:p w14:paraId="23E480FD">
      <w:pPr>
        <w:ind w:firstLine="420"/>
        <w:rPr>
          <w:rFonts w:ascii="宋体" w:hAnsi="宋体"/>
        </w:rPr>
      </w:pPr>
      <w:r>
        <w:rPr>
          <w:rFonts w:ascii="宋体" w:hAnsi="宋体"/>
        </w:rPr>
        <w:t>2010年，南雄市政府更加注重保障和改善民生，城乡居民收入不断提高。</w:t>
      </w:r>
    </w:p>
    <w:p w14:paraId="7B2196BE">
      <w:pPr>
        <w:ind w:firstLine="420"/>
        <w:rPr>
          <w:rFonts w:ascii="宋体" w:hAnsi="宋体"/>
        </w:rPr>
      </w:pPr>
      <w:r>
        <w:rPr>
          <w:rFonts w:ascii="宋体" w:hAnsi="宋体"/>
        </w:rPr>
        <w:t>在岗职工收入增加。继续实施机关事业单位生活补贴政策，年内城镇单位从业人员1.86万人，全年在岗职工工资总额4.94亿元，同比增长11.9%，在岗职工年人均工资26608元，同比增长6.6%。</w:t>
      </w:r>
    </w:p>
    <w:p w14:paraId="76713F95">
      <w:pPr>
        <w:ind w:firstLine="420"/>
        <w:rPr>
          <w:rFonts w:ascii="宋体" w:hAnsi="宋体"/>
        </w:rPr>
      </w:pPr>
      <w:r>
        <w:rPr>
          <w:rFonts w:ascii="宋体" w:hAnsi="宋体"/>
        </w:rPr>
        <w:t>农民收入稳步增长。全市农民人均纯收入5945元，按可比口径增长10.9%；农村居民家庭恩格尔系数（即居民家庭食品消费支出占家庭消费总支出的比重）为43.9%。</w:t>
      </w:r>
    </w:p>
    <w:p w14:paraId="68D856F3">
      <w:pPr>
        <w:ind w:firstLine="420"/>
        <w:rPr>
          <w:rFonts w:ascii="宋体" w:hAnsi="宋体"/>
        </w:rPr>
      </w:pPr>
      <w:r>
        <w:rPr>
          <w:rFonts w:ascii="宋体" w:hAnsi="宋体"/>
        </w:rPr>
        <w:t>城镇居民收入不断提高。全年城镇居民可支配收入为11886元，同比上年增长10.0%；城镇居民家庭恩格尔系数为42.16%。</w:t>
      </w:r>
    </w:p>
    <w:p w14:paraId="77CD88CC">
      <w:pPr>
        <w:ind w:firstLine="420"/>
        <w:rPr>
          <w:rFonts w:ascii="宋体" w:hAnsi="宋体"/>
        </w:rPr>
      </w:pPr>
      <w:r>
        <w:rPr>
          <w:rFonts w:ascii="宋体" w:hAnsi="宋体"/>
        </w:rPr>
        <w:t>城、乡居民居住条件和居住环境进一步改善。实施城市和农村“清洁工程”，扎实开展了城市“脏、乱、差”的整治工作，市容市貌进一步好转；乡村“清洁美”全面铺开，新农村建设、新能源示范村建设、“万村绿”示范点建设顺利完成。大力推进城市亮化工程，努力搞好城市绿化，城市品位不断提升。房屋建筑施工面积158.3万平方米，房屋建筑竣工面积83.85万平方米，分别比上年同期增长31.4%和100%。城市居民人均居住面积25.9平方米，农村居民人均居住面积26.8平方米。安置房、廉租房建设任务已经完成，经济适用房正在建设。</w:t>
      </w:r>
    </w:p>
    <w:p w14:paraId="215CCE36">
      <w:pPr>
        <w:ind w:firstLine="420"/>
        <w:rPr>
          <w:rFonts w:ascii="宋体" w:hAnsi="宋体"/>
        </w:rPr>
      </w:pPr>
      <w:r>
        <w:rPr>
          <w:rFonts w:ascii="宋体" w:hAnsi="宋体"/>
        </w:rPr>
        <w:t>社会保障体系进一步完善。南雄市在以城镇基本医疗保险和农村合作医疗为核心，由门诊大额医疗补助、大额医疗救助、公务员医疗补助和企业补充医疗保险共同构成的多层次医疗保险制度基础上，不断加大社会保障工作力度，保障体系更趋完善。全市参加城镇职工基本养老、失业、医疗、工伤、生育保险和农村合作医疗的覆盖面逐步扩大，保障能力进一步加强。医疗定点医院、定点药店满足了群众的基本需要。</w:t>
      </w:r>
    </w:p>
    <w:p w14:paraId="362D40BA">
      <w:pPr>
        <w:ind w:firstLine="420"/>
        <w:rPr>
          <w:rFonts w:ascii="宋体" w:hAnsi="宋体"/>
        </w:rPr>
      </w:pPr>
      <w:r>
        <w:rPr>
          <w:rFonts w:ascii="宋体" w:hAnsi="宋体"/>
        </w:rPr>
        <w:t>2010年，全市安置就业人数5004人，向外输出劳务人员5489人，城镇登记失业人数3493人，城镇登记失业率为2.95%。参加基本养老保险职工人数2.31万人，城镇居民医疗保险参保人数2.38万人，社保金收缴率达98%，基金运行平衡；失业保险参保人数1.89万人；新型农村合作医疗参保覆盖率达到100%，医疗金报销总额5329.8万元。逐步解决和落实下岗职工、企业离退休人员、城乡低保和优抚对象的养老医疗保障问题。</w:t>
      </w:r>
    </w:p>
    <w:p w14:paraId="1B13F4E2">
      <w:pPr>
        <w:ind w:firstLine="420"/>
        <w:rPr>
          <w:rFonts w:ascii="宋体" w:hAnsi="宋体"/>
        </w:rPr>
      </w:pPr>
      <w:r>
        <w:rPr>
          <w:rFonts w:ascii="宋体" w:hAnsi="宋体"/>
        </w:rPr>
        <w:t>社会福利事业不断加强。居民最低生活保障落实到位，社会保障相关待遇标准有所提高。继续完善城乡农村最低生活保障制度，全市实现城乡“低保”全覆盖，对符合条件的1.52万困难群众实现了应保尽保；实行低保动态管理，成功清退不符合低保条件的2000多人；扶贫开发的“规划到户、责任到人”工作强力推进，使广大农民更好地共享发展成果。年末全市拥有敬老院19间，供养人数1350人；社会福利收养性单位18个。享受城市居民最低生活保障2426人，享受农村居民最低生活保障12871人，农村传统救济人数1350人。各种捐款57.9万元。设立城镇社区服务中心24个。</w:t>
      </w:r>
    </w:p>
    <w:p w14:paraId="241B0C4C">
      <w:pPr>
        <w:ind w:firstLine="422"/>
        <w:rPr>
          <w:rFonts w:ascii="宋体" w:hAnsi="宋体"/>
          <w:b/>
          <w:bCs/>
        </w:rPr>
      </w:pPr>
      <w:r>
        <w:rPr>
          <w:rFonts w:ascii="宋体" w:hAnsi="宋体"/>
          <w:b/>
          <w:bCs/>
        </w:rPr>
        <w:t>十一、资源、环境和安全生产</w:t>
      </w:r>
    </w:p>
    <w:p w14:paraId="04A93C25">
      <w:pPr>
        <w:ind w:firstLine="420"/>
        <w:rPr>
          <w:rFonts w:ascii="宋体" w:hAnsi="宋体"/>
        </w:rPr>
      </w:pPr>
      <w:r>
        <w:rPr>
          <w:rFonts w:ascii="宋体" w:hAnsi="宋体"/>
        </w:rPr>
        <w:t>资源保护力度加大。南雄市继续严格土地管理，抓好土地市场管理，土地招拍收入近2亿元；加强地质灾害防治，加强地质灾害隐患治理，未发生地质灾害导致的人员伤亡事故；征地3100亩，用地报批1591亩，保障了企业和重点项目用地；利用园地山坡开垦耕地4532亩，确保了耕地占补平衡，为南雄市的经济社会发展提供了土地储备。</w:t>
      </w:r>
    </w:p>
    <w:p w14:paraId="20ABE8AB">
      <w:pPr>
        <w:ind w:firstLine="420"/>
        <w:rPr>
          <w:rFonts w:ascii="宋体" w:hAnsi="宋体"/>
        </w:rPr>
      </w:pPr>
      <w:r>
        <w:rPr>
          <w:rFonts w:ascii="宋体" w:hAnsi="宋体"/>
        </w:rPr>
        <w:t>生态文明建设稳步推进。严厉打击土地和矿产资源违法行为，查处违法用地127宗，实施强拆4宗，拆除面积2000多平方米；基本清除全市范围内的违法开采稀土矿点；大力推进“三旧”改造工作，规划面积1.045万亩，完成改造项目5个，改造面积26亩；“空心村”改造复耕复绿1284亩，节约了用地面积。积极稳妥推进集体林权改革，全市林改工作覆盖林业用地239万亩，林地所有权证、林地使用权证发证率分别达到95%和80%。，调处山林纠纷1015宗，较好地维护了林农利益。积极抓好林业生态市创建工作，顺利通过了省专家组的考核验收。市区的园林绿地面积为154.16公顷，公共绿地面积为108.59公顷、建成区绿化覆盖面积为162.71公顷，分别比上年同期增长3.4%、0.5%和3.4%。</w:t>
      </w:r>
    </w:p>
    <w:p w14:paraId="41E01B5C">
      <w:pPr>
        <w:ind w:firstLine="420"/>
        <w:rPr>
          <w:rFonts w:ascii="宋体" w:hAnsi="宋体"/>
        </w:rPr>
      </w:pPr>
      <w:r>
        <w:rPr>
          <w:rFonts w:ascii="宋体" w:hAnsi="宋体"/>
        </w:rPr>
        <w:t>环境保护水平进一步提高。环境治理和节能减排成效显著，环境质量得到改善。通过努力，东莞大岭山（南雄）产业转移工业园获得省环保局批准，成为粤北首个化工基地；投资900万元新建了基地污水处理厂，正进入运行调试阶段。投资1000多万元，完善城市污水处理截污管网，使城市污水处理率达到75%以上。节能降耗和治污减排措施到位，检查排污企业169家次，关闭非法小型造纸厂3家，完成了省、市下达的主要污染物总量减排任务。重点抓好珠玑纸业、水泥厂、棉土窝矿等企业的排污监察，加强水源保护区水质检查，确保饮用水安全。全年废水排放总量893.21万吨，其中：工业废水排放总量425.64万吨，生活废水排放总量467.57万吨；工业废气排放量77785万标立方米，下降11.6%；工业固体废物综合利用率76.06%，提高1.44个百分点；工业烟尘排放量达标率84.02%，提高7.96个百分点。环境污染治理投资173.8万元，污水处理厂加大资金投入，改善了环境质量，生活污水处理率达到86%，提高1.79个百分点，城市污水日处理能力达到1万吨以上，生活垃圾无害化处理得到加强。</w:t>
      </w:r>
    </w:p>
    <w:p w14:paraId="08EE041D">
      <w:pPr>
        <w:ind w:firstLine="420"/>
        <w:rPr>
          <w:rFonts w:ascii="宋体" w:hAnsi="宋体"/>
        </w:rPr>
      </w:pPr>
      <w:r>
        <w:rPr>
          <w:rFonts w:ascii="宋体" w:hAnsi="宋体"/>
        </w:rPr>
        <w:t>全年降雨量1694.4毫米，比上年增加556.5毫米，全年平均气温20.1摄氏度，比上年下降0.5摄氏度。全年总用水量440.1万立方米，比上年增长2.8%。其中，生活用水328.36万立方米，增长1.3%；工业和商业用水111.74万立方米，增长7.4%。</w:t>
      </w:r>
    </w:p>
    <w:p w14:paraId="647CE312">
      <w:pPr>
        <w:ind w:firstLine="420"/>
        <w:rPr>
          <w:rFonts w:ascii="宋体" w:hAnsi="宋体"/>
        </w:rPr>
      </w:pPr>
      <w:r>
        <w:rPr>
          <w:rFonts w:ascii="宋体" w:hAnsi="宋体"/>
        </w:rPr>
        <w:t>全市有自然保护区2个，面积121平方公里，其中省级自然保护区1个，面积42平方公里。国家级恐龙化石群自然保护区的申报工作稳步推进。</w:t>
      </w:r>
    </w:p>
    <w:p w14:paraId="79D2871B">
      <w:pPr>
        <w:ind w:firstLine="420"/>
        <w:rPr>
          <w:rFonts w:ascii="宋体" w:hAnsi="宋体"/>
        </w:rPr>
      </w:pPr>
      <w:r>
        <w:rPr>
          <w:rFonts w:ascii="宋体" w:hAnsi="宋体"/>
        </w:rPr>
        <w:t>社会和谐稳定局面不断巩固。“五五”普法和依法治市工作已经顺利通过了省和韶关市的检查验收。大力推进市委权力公开透明运行“阳光工程”试点工作，深入开展纪律教育月等活动，全市经济发展软环境进一步优化。坚持“发展是第一要务，稳定是第一责任”的指导思想，重点抓好“源头预防、事前解决、完善机制、落实责任、提升能力”等关键环节，加快镇（街）综治信访维稳中心建设步伐，建立市、镇（市直单位）、村三级联网的综治信访维稳工作平台，推进“网络问政”工作，积极有效化解社会矛盾纠纷，实现重大节日和重要政治敏感时期零进京上访、零到省集体访和重大群体性事件的“三无”目标，社会保持和谐稳定。组织开展“粤安10”、“创平安、迎亚运”行动，有效遏制了刑事案件的上升势头，刑事发案同比下降4.5%。扎实开展多项火灾隐患专项整治，优化社会消防安全环境。两年一度的粮食安全考核工作通过了韶关市政府的考核验收。</w:t>
      </w:r>
    </w:p>
    <w:p w14:paraId="3CE91181">
      <w:pPr>
        <w:ind w:firstLine="420"/>
        <w:rPr>
          <w:rFonts w:ascii="宋体" w:hAnsi="宋体"/>
        </w:rPr>
      </w:pPr>
      <w:r>
        <w:rPr>
          <w:rFonts w:ascii="宋体" w:hAnsi="宋体"/>
        </w:rPr>
        <w:t>注：1、本公报中数据均为初步统计数。</w:t>
      </w:r>
    </w:p>
    <w:p w14:paraId="3AD39720">
      <w:pPr>
        <w:ind w:firstLine="840" w:firstLineChars="400"/>
        <w:rPr>
          <w:rFonts w:ascii="宋体" w:hAnsi="宋体"/>
        </w:rPr>
      </w:pPr>
      <w:r>
        <w:rPr>
          <w:rFonts w:ascii="宋体" w:hAnsi="宋体"/>
        </w:rPr>
        <w:t>2、全市生产总值、各产业增加值和总产值绝对数按当年价格计算，增长速度按可比价格计算。</w:t>
      </w:r>
    </w:p>
    <w:p w14:paraId="6429494E">
      <w:pPr>
        <w:ind w:firstLine="840" w:firstLineChars="400"/>
        <w:rPr>
          <w:rFonts w:ascii="宋体" w:hAnsi="宋体"/>
        </w:rPr>
      </w:pPr>
      <w:r>
        <w:rPr>
          <w:rFonts w:ascii="宋体" w:hAnsi="宋体"/>
        </w:rPr>
        <w:t>3、规模以上工业企业是指年主营业务收入在500万元及以上的各类型工业企业。</w:t>
      </w:r>
    </w:p>
    <w:p w14:paraId="39A83711">
      <w:pPr>
        <w:ind w:firstLine="840" w:firstLineChars="400"/>
        <w:rPr>
          <w:rFonts w:ascii="宋体" w:hAnsi="宋体"/>
        </w:rPr>
      </w:pPr>
      <w:r>
        <w:rPr>
          <w:rFonts w:ascii="宋体" w:hAnsi="宋体"/>
        </w:rPr>
        <w:t>4、部分数据因四舍五入的原因，存在着与分项合计不等的情况。</w:t>
      </w:r>
    </w:p>
    <w:p w14:paraId="03E273D1">
      <w:pPr>
        <w:ind w:firstLine="840" w:firstLineChars="400"/>
        <w:rPr>
          <w:rFonts w:ascii="宋体" w:hAnsi="宋体"/>
        </w:rPr>
      </w:pPr>
      <w:r>
        <w:rPr>
          <w:rFonts w:ascii="宋体" w:hAnsi="宋体"/>
        </w:rPr>
        <w:t>5、城镇职工基本医疗保险人数包括参保职工和参保退休人员。城镇居民基本医疗保险的参保对象是不属于城镇职工基本医疗保险覆盖范围的城镇非从业人员。</w:t>
      </w:r>
    </w:p>
    <w:p w14:paraId="32D69D94">
      <w:pPr>
        <w:ind w:firstLine="840" w:firstLineChars="400"/>
        <w:jc w:val="right"/>
        <w:rPr>
          <w:rFonts w:ascii="宋体" w:hAnsi="宋体"/>
        </w:rPr>
      </w:pPr>
      <w:r>
        <w:rPr>
          <w:rFonts w:ascii="宋体" w:hAnsi="宋体"/>
        </w:rPr>
        <w:t>（陈晖）</w:t>
      </w:r>
    </w:p>
    <w:p w14:paraId="427ABFA1">
      <w:pPr>
        <w:pStyle w:val="3"/>
      </w:pPr>
      <w:r>
        <w:rPr>
          <w:rFonts w:hint="eastAsia"/>
        </w:rPr>
        <w:t>南雄市国民经济和社会发展主要指标</w:t>
      </w:r>
    </w:p>
    <w:p w14:paraId="479DC724">
      <w:pPr>
        <w:pStyle w:val="4"/>
        <w:rPr>
          <w:rFonts w:hint="eastAsia"/>
        </w:rPr>
      </w:pPr>
      <w:r>
        <w:t>表</w:t>
      </w:r>
      <w:r>
        <w:rPr>
          <w:rFonts w:hint="eastAsia"/>
        </w:rPr>
        <w:t>34-7  南雄市基本情况</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32"/>
        <w:gridCol w:w="1558"/>
        <w:gridCol w:w="1947"/>
        <w:gridCol w:w="2425"/>
      </w:tblGrid>
      <w:tr w14:paraId="0C2D1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01DA7722">
            <w:pPr>
              <w:pStyle w:val="13"/>
              <w:jc w:val="center"/>
              <w:rPr>
                <w:rFonts w:hint="eastAsia"/>
                <w:b/>
              </w:rPr>
            </w:pPr>
            <w:r>
              <w:rPr>
                <w:rFonts w:hint="eastAsia"/>
                <w:b/>
              </w:rPr>
              <w:t>指标名称</w:t>
            </w:r>
          </w:p>
        </w:tc>
        <w:tc>
          <w:tcPr>
            <w:tcW w:w="782" w:type="pct"/>
            <w:vAlign w:val="center"/>
          </w:tcPr>
          <w:p w14:paraId="42CBF338">
            <w:pPr>
              <w:pStyle w:val="13"/>
              <w:jc w:val="center"/>
              <w:rPr>
                <w:rFonts w:hint="eastAsia"/>
                <w:b/>
              </w:rPr>
            </w:pPr>
            <w:r>
              <w:rPr>
                <w:rFonts w:hint="eastAsia"/>
                <w:b/>
              </w:rPr>
              <w:t>计算单位</w:t>
            </w:r>
          </w:p>
        </w:tc>
        <w:tc>
          <w:tcPr>
            <w:tcW w:w="977" w:type="pct"/>
            <w:vAlign w:val="center"/>
          </w:tcPr>
          <w:p w14:paraId="716B39C1">
            <w:pPr>
              <w:pStyle w:val="13"/>
              <w:jc w:val="center"/>
              <w:rPr>
                <w:rFonts w:hint="eastAsia"/>
                <w:b/>
              </w:rPr>
            </w:pPr>
            <w:r>
              <w:rPr>
                <w:rFonts w:hint="eastAsia"/>
                <w:b/>
              </w:rPr>
              <w:t>2010年</w:t>
            </w:r>
          </w:p>
        </w:tc>
        <w:tc>
          <w:tcPr>
            <w:tcW w:w="1217" w:type="pct"/>
            <w:vAlign w:val="center"/>
          </w:tcPr>
          <w:p w14:paraId="7227FBD3">
            <w:pPr>
              <w:pStyle w:val="13"/>
              <w:jc w:val="center"/>
              <w:rPr>
                <w:rFonts w:hint="eastAsia"/>
                <w:b/>
              </w:rPr>
            </w:pPr>
            <w:r>
              <w:rPr>
                <w:rFonts w:hint="eastAsia"/>
                <w:b/>
              </w:rPr>
              <w:t>比上年±％</w:t>
            </w:r>
          </w:p>
        </w:tc>
      </w:tr>
      <w:tr w14:paraId="553954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vAlign w:val="center"/>
          </w:tcPr>
          <w:p w14:paraId="34CE09D6">
            <w:pPr>
              <w:pStyle w:val="13"/>
              <w:jc w:val="left"/>
              <w:rPr>
                <w:rFonts w:hint="eastAsia"/>
              </w:rPr>
            </w:pPr>
            <w:r>
              <w:rPr>
                <w:rFonts w:hint="eastAsia"/>
              </w:rPr>
              <w:t>一、人口</w:t>
            </w:r>
          </w:p>
        </w:tc>
      </w:tr>
      <w:tr w14:paraId="687CB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4448C494">
            <w:pPr>
              <w:pStyle w:val="13"/>
              <w:ind w:firstLine="630" w:firstLineChars="300"/>
              <w:jc w:val="left"/>
              <w:rPr>
                <w:rFonts w:hint="eastAsia"/>
              </w:rPr>
            </w:pPr>
            <w:r>
              <w:rPr>
                <w:rFonts w:hint="eastAsia"/>
              </w:rPr>
              <w:t>总人口</w:t>
            </w:r>
          </w:p>
        </w:tc>
        <w:tc>
          <w:tcPr>
            <w:tcW w:w="782" w:type="pct"/>
            <w:vAlign w:val="center"/>
          </w:tcPr>
          <w:p w14:paraId="7D6BCF9A">
            <w:pPr>
              <w:pStyle w:val="13"/>
              <w:jc w:val="center"/>
              <w:rPr>
                <w:rFonts w:hint="eastAsia"/>
              </w:rPr>
            </w:pPr>
            <w:r>
              <w:rPr>
                <w:rFonts w:hint="eastAsia"/>
              </w:rPr>
              <w:t>人</w:t>
            </w:r>
          </w:p>
        </w:tc>
        <w:tc>
          <w:tcPr>
            <w:tcW w:w="977" w:type="pct"/>
            <w:vAlign w:val="center"/>
          </w:tcPr>
          <w:p w14:paraId="5C346F29">
            <w:pPr>
              <w:pStyle w:val="13"/>
              <w:jc w:val="center"/>
              <w:rPr>
                <w:rFonts w:hint="eastAsia"/>
              </w:rPr>
            </w:pPr>
            <w:r>
              <w:rPr>
                <w:rFonts w:hint="eastAsia"/>
              </w:rPr>
              <w:t>470968</w:t>
            </w:r>
          </w:p>
        </w:tc>
        <w:tc>
          <w:tcPr>
            <w:tcW w:w="1217" w:type="pct"/>
            <w:vAlign w:val="center"/>
          </w:tcPr>
          <w:p w14:paraId="185B4F56">
            <w:pPr>
              <w:pStyle w:val="13"/>
              <w:jc w:val="center"/>
              <w:rPr>
                <w:rFonts w:hint="eastAsia"/>
              </w:rPr>
            </w:pPr>
            <w:r>
              <w:rPr>
                <w:rFonts w:hint="eastAsia"/>
              </w:rPr>
              <w:t>0.6</w:t>
            </w:r>
          </w:p>
        </w:tc>
      </w:tr>
      <w:tr w14:paraId="5D815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1354DFB8">
            <w:pPr>
              <w:pStyle w:val="13"/>
              <w:ind w:firstLine="840" w:firstLineChars="400"/>
              <w:jc w:val="left"/>
              <w:rPr>
                <w:rFonts w:hint="eastAsia"/>
              </w:rPr>
            </w:pPr>
            <w:r>
              <w:rPr>
                <w:rFonts w:hint="eastAsia"/>
              </w:rPr>
              <w:t>其中：非农业人口</w:t>
            </w:r>
          </w:p>
        </w:tc>
        <w:tc>
          <w:tcPr>
            <w:tcW w:w="782" w:type="pct"/>
            <w:vAlign w:val="center"/>
          </w:tcPr>
          <w:p w14:paraId="0A092DB3">
            <w:pPr>
              <w:pStyle w:val="13"/>
              <w:jc w:val="center"/>
              <w:rPr>
                <w:rFonts w:hint="eastAsia"/>
              </w:rPr>
            </w:pPr>
            <w:r>
              <w:rPr>
                <w:rFonts w:hint="eastAsia"/>
              </w:rPr>
              <w:t>人</w:t>
            </w:r>
          </w:p>
        </w:tc>
        <w:tc>
          <w:tcPr>
            <w:tcW w:w="977" w:type="pct"/>
            <w:vAlign w:val="center"/>
          </w:tcPr>
          <w:p w14:paraId="09D596A7">
            <w:pPr>
              <w:pStyle w:val="13"/>
              <w:jc w:val="center"/>
              <w:rPr>
                <w:rFonts w:hint="eastAsia"/>
              </w:rPr>
            </w:pPr>
            <w:r>
              <w:rPr>
                <w:rFonts w:hint="eastAsia"/>
              </w:rPr>
              <w:t>86117</w:t>
            </w:r>
          </w:p>
        </w:tc>
        <w:tc>
          <w:tcPr>
            <w:tcW w:w="1217" w:type="pct"/>
            <w:vAlign w:val="center"/>
          </w:tcPr>
          <w:p w14:paraId="1D9EF586">
            <w:pPr>
              <w:pStyle w:val="13"/>
              <w:jc w:val="center"/>
              <w:rPr>
                <w:rFonts w:hint="eastAsia"/>
              </w:rPr>
            </w:pPr>
            <w:r>
              <w:rPr>
                <w:rFonts w:hint="eastAsia"/>
              </w:rPr>
              <w:t>0.7</w:t>
            </w:r>
          </w:p>
        </w:tc>
      </w:tr>
      <w:tr w14:paraId="0FED8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65A6282A">
            <w:pPr>
              <w:pStyle w:val="13"/>
              <w:ind w:firstLine="630" w:firstLineChars="300"/>
              <w:jc w:val="left"/>
              <w:rPr>
                <w:rFonts w:hint="eastAsia"/>
              </w:rPr>
            </w:pPr>
            <w:r>
              <w:rPr>
                <w:rFonts w:hint="eastAsia"/>
              </w:rPr>
              <w:t>总户数</w:t>
            </w:r>
          </w:p>
        </w:tc>
        <w:tc>
          <w:tcPr>
            <w:tcW w:w="782" w:type="pct"/>
            <w:vAlign w:val="center"/>
          </w:tcPr>
          <w:p w14:paraId="04C96A40">
            <w:pPr>
              <w:pStyle w:val="13"/>
              <w:jc w:val="center"/>
              <w:rPr>
                <w:rFonts w:hint="eastAsia"/>
              </w:rPr>
            </w:pPr>
            <w:r>
              <w:rPr>
                <w:rFonts w:hint="eastAsia"/>
              </w:rPr>
              <w:t>户</w:t>
            </w:r>
          </w:p>
        </w:tc>
        <w:tc>
          <w:tcPr>
            <w:tcW w:w="977" w:type="pct"/>
            <w:vAlign w:val="center"/>
          </w:tcPr>
          <w:p w14:paraId="0EADAC23">
            <w:pPr>
              <w:pStyle w:val="13"/>
              <w:jc w:val="center"/>
              <w:rPr>
                <w:rFonts w:hint="eastAsia"/>
              </w:rPr>
            </w:pPr>
            <w:r>
              <w:rPr>
                <w:rFonts w:hint="eastAsia"/>
              </w:rPr>
              <w:t>135438</w:t>
            </w:r>
          </w:p>
        </w:tc>
        <w:tc>
          <w:tcPr>
            <w:tcW w:w="1217" w:type="pct"/>
            <w:vAlign w:val="center"/>
          </w:tcPr>
          <w:p w14:paraId="6339C3AD">
            <w:pPr>
              <w:pStyle w:val="13"/>
              <w:jc w:val="center"/>
              <w:rPr>
                <w:rFonts w:hint="eastAsia"/>
              </w:rPr>
            </w:pPr>
            <w:r>
              <w:rPr>
                <w:rFonts w:hint="eastAsia"/>
              </w:rPr>
              <w:t>3.5</w:t>
            </w:r>
          </w:p>
        </w:tc>
      </w:tr>
      <w:tr w14:paraId="2A84D4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vAlign w:val="center"/>
          </w:tcPr>
          <w:p w14:paraId="0F57490C">
            <w:pPr>
              <w:pStyle w:val="13"/>
              <w:jc w:val="left"/>
              <w:rPr>
                <w:rFonts w:hint="eastAsia"/>
              </w:rPr>
            </w:pPr>
            <w:r>
              <w:rPr>
                <w:rFonts w:hint="eastAsia"/>
              </w:rPr>
              <w:t>二、综合经济水平</w:t>
            </w:r>
          </w:p>
        </w:tc>
      </w:tr>
      <w:tr w14:paraId="7A833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0ACF46A1">
            <w:pPr>
              <w:pStyle w:val="13"/>
              <w:ind w:firstLine="630" w:firstLineChars="300"/>
              <w:jc w:val="left"/>
              <w:rPr>
                <w:rFonts w:hint="eastAsia"/>
              </w:rPr>
            </w:pPr>
            <w:r>
              <w:rPr>
                <w:rFonts w:hint="eastAsia"/>
              </w:rPr>
              <w:t>总产出（当年价）</w:t>
            </w:r>
          </w:p>
        </w:tc>
        <w:tc>
          <w:tcPr>
            <w:tcW w:w="782" w:type="pct"/>
            <w:vAlign w:val="center"/>
          </w:tcPr>
          <w:p w14:paraId="4824E41F">
            <w:pPr>
              <w:pStyle w:val="13"/>
              <w:jc w:val="center"/>
              <w:rPr>
                <w:rFonts w:hint="eastAsia"/>
              </w:rPr>
            </w:pPr>
            <w:r>
              <w:rPr>
                <w:rFonts w:hint="eastAsia"/>
              </w:rPr>
              <w:t>万元</w:t>
            </w:r>
          </w:p>
        </w:tc>
        <w:tc>
          <w:tcPr>
            <w:tcW w:w="977" w:type="pct"/>
            <w:vAlign w:val="center"/>
          </w:tcPr>
          <w:p w14:paraId="1013FD15">
            <w:pPr>
              <w:pStyle w:val="13"/>
              <w:jc w:val="center"/>
              <w:rPr>
                <w:rFonts w:hint="eastAsia"/>
              </w:rPr>
            </w:pPr>
            <w:r>
              <w:rPr>
                <w:rFonts w:hint="eastAsia"/>
              </w:rPr>
              <w:t>1304601</w:t>
            </w:r>
          </w:p>
        </w:tc>
        <w:tc>
          <w:tcPr>
            <w:tcW w:w="1217" w:type="pct"/>
            <w:vAlign w:val="center"/>
          </w:tcPr>
          <w:p w14:paraId="0CC33DCA">
            <w:pPr>
              <w:pStyle w:val="13"/>
              <w:jc w:val="center"/>
              <w:rPr>
                <w:rFonts w:hint="eastAsia"/>
              </w:rPr>
            </w:pPr>
          </w:p>
        </w:tc>
      </w:tr>
      <w:tr w14:paraId="7CB06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1E0C3EEF">
            <w:pPr>
              <w:pStyle w:val="13"/>
              <w:ind w:firstLine="630" w:firstLineChars="300"/>
              <w:jc w:val="left"/>
              <w:rPr>
                <w:rFonts w:hint="eastAsia"/>
              </w:rPr>
            </w:pPr>
            <w:r>
              <w:rPr>
                <w:rFonts w:hint="eastAsia"/>
              </w:rPr>
              <w:t>总产出（2005年不变价）</w:t>
            </w:r>
          </w:p>
        </w:tc>
        <w:tc>
          <w:tcPr>
            <w:tcW w:w="782" w:type="pct"/>
            <w:vAlign w:val="center"/>
          </w:tcPr>
          <w:p w14:paraId="20D32C79">
            <w:pPr>
              <w:pStyle w:val="13"/>
              <w:jc w:val="center"/>
              <w:rPr>
                <w:rFonts w:hint="eastAsia"/>
              </w:rPr>
            </w:pPr>
            <w:r>
              <w:rPr>
                <w:rFonts w:hint="eastAsia"/>
              </w:rPr>
              <w:t>万元</w:t>
            </w:r>
          </w:p>
        </w:tc>
        <w:tc>
          <w:tcPr>
            <w:tcW w:w="977" w:type="pct"/>
            <w:vAlign w:val="center"/>
          </w:tcPr>
          <w:p w14:paraId="7D237E54">
            <w:pPr>
              <w:pStyle w:val="13"/>
              <w:jc w:val="center"/>
              <w:rPr>
                <w:rFonts w:hint="eastAsia"/>
              </w:rPr>
            </w:pPr>
            <w:r>
              <w:rPr>
                <w:rFonts w:hint="eastAsia"/>
              </w:rPr>
              <w:t>1221997</w:t>
            </w:r>
          </w:p>
        </w:tc>
        <w:tc>
          <w:tcPr>
            <w:tcW w:w="1217" w:type="pct"/>
            <w:vAlign w:val="center"/>
          </w:tcPr>
          <w:p w14:paraId="0D3747EF">
            <w:pPr>
              <w:pStyle w:val="13"/>
              <w:jc w:val="center"/>
              <w:rPr>
                <w:rFonts w:hint="eastAsia"/>
              </w:rPr>
            </w:pPr>
            <w:r>
              <w:rPr>
                <w:rFonts w:hint="eastAsia"/>
              </w:rPr>
              <w:t>23.7</w:t>
            </w:r>
          </w:p>
        </w:tc>
      </w:tr>
      <w:tr w14:paraId="15818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67658FAC">
            <w:pPr>
              <w:pStyle w:val="13"/>
              <w:ind w:firstLine="630" w:firstLineChars="300"/>
              <w:jc w:val="left"/>
              <w:rPr>
                <w:rFonts w:hint="eastAsia"/>
              </w:rPr>
            </w:pPr>
            <w:r>
              <w:rPr>
                <w:rFonts w:hint="eastAsia"/>
              </w:rPr>
              <w:t>生产总值（当年价）</w:t>
            </w:r>
          </w:p>
        </w:tc>
        <w:tc>
          <w:tcPr>
            <w:tcW w:w="782" w:type="pct"/>
            <w:vAlign w:val="center"/>
          </w:tcPr>
          <w:p w14:paraId="0FE8843C">
            <w:pPr>
              <w:pStyle w:val="13"/>
              <w:jc w:val="center"/>
              <w:rPr>
                <w:rFonts w:hint="eastAsia"/>
              </w:rPr>
            </w:pPr>
            <w:r>
              <w:rPr>
                <w:rFonts w:hint="eastAsia"/>
              </w:rPr>
              <w:t>万元</w:t>
            </w:r>
          </w:p>
        </w:tc>
        <w:tc>
          <w:tcPr>
            <w:tcW w:w="977" w:type="pct"/>
            <w:vAlign w:val="center"/>
          </w:tcPr>
          <w:p w14:paraId="31EE55D5">
            <w:pPr>
              <w:pStyle w:val="13"/>
              <w:jc w:val="center"/>
              <w:rPr>
                <w:rFonts w:hint="eastAsia"/>
              </w:rPr>
            </w:pPr>
            <w:r>
              <w:rPr>
                <w:rFonts w:hint="eastAsia"/>
              </w:rPr>
              <w:t>602601</w:t>
            </w:r>
          </w:p>
        </w:tc>
        <w:tc>
          <w:tcPr>
            <w:tcW w:w="1217" w:type="pct"/>
            <w:vAlign w:val="center"/>
          </w:tcPr>
          <w:p w14:paraId="1A2E825E">
            <w:pPr>
              <w:pStyle w:val="13"/>
              <w:jc w:val="center"/>
              <w:rPr>
                <w:rFonts w:hint="eastAsia"/>
              </w:rPr>
            </w:pPr>
          </w:p>
        </w:tc>
      </w:tr>
      <w:tr w14:paraId="13595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753E4AB6">
            <w:pPr>
              <w:pStyle w:val="13"/>
              <w:ind w:firstLine="630" w:firstLineChars="300"/>
              <w:jc w:val="left"/>
              <w:rPr>
                <w:rFonts w:hint="eastAsia"/>
              </w:rPr>
            </w:pPr>
            <w:r>
              <w:rPr>
                <w:rFonts w:hint="eastAsia"/>
              </w:rPr>
              <w:t>生产总值（2005年不变价）</w:t>
            </w:r>
          </w:p>
        </w:tc>
        <w:tc>
          <w:tcPr>
            <w:tcW w:w="782" w:type="pct"/>
            <w:vAlign w:val="center"/>
          </w:tcPr>
          <w:p w14:paraId="53D34C77">
            <w:pPr>
              <w:pStyle w:val="13"/>
              <w:jc w:val="center"/>
              <w:rPr>
                <w:rFonts w:hint="eastAsia"/>
              </w:rPr>
            </w:pPr>
            <w:r>
              <w:rPr>
                <w:rFonts w:hint="eastAsia"/>
              </w:rPr>
              <w:t>万元</w:t>
            </w:r>
          </w:p>
        </w:tc>
        <w:tc>
          <w:tcPr>
            <w:tcW w:w="977" w:type="pct"/>
            <w:vAlign w:val="center"/>
          </w:tcPr>
          <w:p w14:paraId="3E10284E">
            <w:pPr>
              <w:pStyle w:val="13"/>
              <w:jc w:val="center"/>
              <w:rPr>
                <w:rFonts w:hint="eastAsia"/>
              </w:rPr>
            </w:pPr>
            <w:r>
              <w:rPr>
                <w:rFonts w:hint="eastAsia"/>
              </w:rPr>
              <w:t>541918</w:t>
            </w:r>
          </w:p>
        </w:tc>
        <w:tc>
          <w:tcPr>
            <w:tcW w:w="1217" w:type="pct"/>
            <w:vAlign w:val="center"/>
          </w:tcPr>
          <w:p w14:paraId="0A1392DB">
            <w:pPr>
              <w:pStyle w:val="13"/>
              <w:jc w:val="center"/>
              <w:rPr>
                <w:rFonts w:hint="eastAsia"/>
              </w:rPr>
            </w:pPr>
            <w:r>
              <w:rPr>
                <w:rFonts w:hint="eastAsia"/>
              </w:rPr>
              <w:t>23</w:t>
            </w:r>
          </w:p>
        </w:tc>
      </w:tr>
      <w:tr w14:paraId="00A33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vAlign w:val="center"/>
          </w:tcPr>
          <w:p w14:paraId="5722FD18">
            <w:pPr>
              <w:pStyle w:val="13"/>
              <w:jc w:val="left"/>
              <w:rPr>
                <w:rFonts w:hint="eastAsia"/>
              </w:rPr>
            </w:pPr>
            <w:r>
              <w:rPr>
                <w:rFonts w:hint="eastAsia"/>
              </w:rPr>
              <w:t>三、农业</w:t>
            </w:r>
          </w:p>
        </w:tc>
      </w:tr>
      <w:tr w14:paraId="309998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229B4611">
            <w:pPr>
              <w:pStyle w:val="13"/>
              <w:ind w:firstLine="630" w:firstLineChars="300"/>
              <w:jc w:val="left"/>
              <w:rPr>
                <w:rFonts w:hint="eastAsia"/>
              </w:rPr>
            </w:pPr>
            <w:r>
              <w:rPr>
                <w:rFonts w:hint="eastAsia"/>
              </w:rPr>
              <w:t>农业总产值（当年价）</w:t>
            </w:r>
          </w:p>
        </w:tc>
        <w:tc>
          <w:tcPr>
            <w:tcW w:w="782" w:type="pct"/>
            <w:vAlign w:val="center"/>
          </w:tcPr>
          <w:p w14:paraId="63A0C765">
            <w:pPr>
              <w:pStyle w:val="13"/>
              <w:jc w:val="center"/>
              <w:rPr>
                <w:rFonts w:hint="eastAsia"/>
              </w:rPr>
            </w:pPr>
            <w:r>
              <w:rPr>
                <w:rFonts w:hint="eastAsia"/>
              </w:rPr>
              <w:t>万元</w:t>
            </w:r>
          </w:p>
        </w:tc>
        <w:tc>
          <w:tcPr>
            <w:tcW w:w="977" w:type="pct"/>
            <w:vAlign w:val="center"/>
          </w:tcPr>
          <w:p w14:paraId="0B2D9334">
            <w:pPr>
              <w:pStyle w:val="13"/>
              <w:jc w:val="center"/>
              <w:rPr>
                <w:rFonts w:hint="eastAsia"/>
              </w:rPr>
            </w:pPr>
            <w:r>
              <w:rPr>
                <w:rFonts w:hint="eastAsia"/>
              </w:rPr>
              <w:t>272539</w:t>
            </w:r>
          </w:p>
        </w:tc>
        <w:tc>
          <w:tcPr>
            <w:tcW w:w="1217" w:type="pct"/>
            <w:vAlign w:val="center"/>
          </w:tcPr>
          <w:p w14:paraId="6BBE457A">
            <w:pPr>
              <w:pStyle w:val="13"/>
              <w:jc w:val="center"/>
              <w:rPr>
                <w:rFonts w:hint="eastAsia"/>
              </w:rPr>
            </w:pPr>
          </w:p>
        </w:tc>
      </w:tr>
      <w:tr w14:paraId="2E60D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24B549B3">
            <w:pPr>
              <w:pStyle w:val="13"/>
              <w:ind w:firstLine="630" w:firstLineChars="300"/>
              <w:jc w:val="left"/>
              <w:rPr>
                <w:rFonts w:hint="eastAsia"/>
              </w:rPr>
            </w:pPr>
            <w:r>
              <w:rPr>
                <w:rFonts w:hint="eastAsia"/>
              </w:rPr>
              <w:t>农业总产值（2005年不变价）</w:t>
            </w:r>
          </w:p>
        </w:tc>
        <w:tc>
          <w:tcPr>
            <w:tcW w:w="782" w:type="pct"/>
            <w:vAlign w:val="center"/>
          </w:tcPr>
          <w:p w14:paraId="05F30D73">
            <w:pPr>
              <w:pStyle w:val="13"/>
              <w:jc w:val="center"/>
              <w:rPr>
                <w:rFonts w:hint="eastAsia"/>
              </w:rPr>
            </w:pPr>
            <w:r>
              <w:rPr>
                <w:rFonts w:hint="eastAsia"/>
              </w:rPr>
              <w:t>万元</w:t>
            </w:r>
          </w:p>
        </w:tc>
        <w:tc>
          <w:tcPr>
            <w:tcW w:w="977" w:type="pct"/>
            <w:vAlign w:val="center"/>
          </w:tcPr>
          <w:p w14:paraId="6BB74823">
            <w:pPr>
              <w:pStyle w:val="13"/>
              <w:jc w:val="center"/>
              <w:rPr>
                <w:rFonts w:hint="eastAsia"/>
              </w:rPr>
            </w:pPr>
            <w:r>
              <w:rPr>
                <w:rFonts w:hint="eastAsia"/>
              </w:rPr>
              <w:t>254434</w:t>
            </w:r>
          </w:p>
        </w:tc>
        <w:tc>
          <w:tcPr>
            <w:tcW w:w="1217" w:type="pct"/>
            <w:vAlign w:val="center"/>
          </w:tcPr>
          <w:p w14:paraId="3C268240">
            <w:pPr>
              <w:pStyle w:val="13"/>
              <w:jc w:val="center"/>
              <w:rPr>
                <w:rFonts w:hint="eastAsia"/>
              </w:rPr>
            </w:pPr>
            <w:r>
              <w:rPr>
                <w:rFonts w:hint="eastAsia"/>
              </w:rPr>
              <w:t>5.9</w:t>
            </w:r>
          </w:p>
        </w:tc>
      </w:tr>
      <w:tr w14:paraId="5E641C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793E283E">
            <w:pPr>
              <w:pStyle w:val="13"/>
              <w:ind w:firstLine="840" w:firstLineChars="400"/>
              <w:jc w:val="left"/>
              <w:rPr>
                <w:rFonts w:hint="eastAsia"/>
              </w:rPr>
            </w:pPr>
            <w:r>
              <w:rPr>
                <w:rFonts w:hint="eastAsia"/>
              </w:rPr>
              <w:t>粮食总产量</w:t>
            </w:r>
          </w:p>
        </w:tc>
        <w:tc>
          <w:tcPr>
            <w:tcW w:w="782" w:type="pct"/>
            <w:vAlign w:val="center"/>
          </w:tcPr>
          <w:p w14:paraId="73E3FCDF">
            <w:pPr>
              <w:pStyle w:val="13"/>
              <w:jc w:val="center"/>
              <w:rPr>
                <w:rFonts w:hint="eastAsia"/>
              </w:rPr>
            </w:pPr>
            <w:r>
              <w:rPr>
                <w:rFonts w:hint="eastAsia"/>
              </w:rPr>
              <w:t>吨</w:t>
            </w:r>
          </w:p>
        </w:tc>
        <w:tc>
          <w:tcPr>
            <w:tcW w:w="977" w:type="pct"/>
            <w:vAlign w:val="center"/>
          </w:tcPr>
          <w:p w14:paraId="05D89812">
            <w:pPr>
              <w:pStyle w:val="13"/>
              <w:jc w:val="center"/>
              <w:rPr>
                <w:rFonts w:hint="eastAsia"/>
              </w:rPr>
            </w:pPr>
            <w:r>
              <w:rPr>
                <w:rFonts w:hint="eastAsia"/>
              </w:rPr>
              <w:t>215154</w:t>
            </w:r>
          </w:p>
        </w:tc>
        <w:tc>
          <w:tcPr>
            <w:tcW w:w="1217" w:type="pct"/>
            <w:vAlign w:val="center"/>
          </w:tcPr>
          <w:p w14:paraId="6D019C71">
            <w:pPr>
              <w:pStyle w:val="13"/>
              <w:jc w:val="center"/>
              <w:rPr>
                <w:rFonts w:hint="eastAsia"/>
              </w:rPr>
            </w:pPr>
            <w:r>
              <w:rPr>
                <w:rFonts w:hint="eastAsia"/>
              </w:rPr>
              <w:t>8.7</w:t>
            </w:r>
          </w:p>
        </w:tc>
      </w:tr>
      <w:tr w14:paraId="5DEA05A9">
        <w:tblPrEx>
          <w:tblCellMar>
            <w:top w:w="0" w:type="dxa"/>
            <w:left w:w="108" w:type="dxa"/>
            <w:bottom w:w="0" w:type="dxa"/>
            <w:right w:w="108" w:type="dxa"/>
          </w:tblCellMar>
        </w:tblPrEx>
        <w:tc>
          <w:tcPr>
            <w:tcW w:w="2024" w:type="pct"/>
            <w:vAlign w:val="center"/>
          </w:tcPr>
          <w:p w14:paraId="73C5A219">
            <w:pPr>
              <w:pStyle w:val="13"/>
              <w:ind w:firstLine="840" w:firstLineChars="400"/>
              <w:jc w:val="left"/>
              <w:rPr>
                <w:rFonts w:hint="eastAsia"/>
              </w:rPr>
            </w:pPr>
            <w:r>
              <w:rPr>
                <w:rFonts w:hint="eastAsia"/>
              </w:rPr>
              <w:t>水稻总产量</w:t>
            </w:r>
          </w:p>
        </w:tc>
        <w:tc>
          <w:tcPr>
            <w:tcW w:w="782" w:type="pct"/>
            <w:vAlign w:val="center"/>
          </w:tcPr>
          <w:p w14:paraId="174A6F5A">
            <w:pPr>
              <w:pStyle w:val="13"/>
              <w:jc w:val="center"/>
              <w:rPr>
                <w:rFonts w:hint="eastAsia"/>
              </w:rPr>
            </w:pPr>
            <w:r>
              <w:rPr>
                <w:rFonts w:hint="eastAsia"/>
              </w:rPr>
              <w:t>吨</w:t>
            </w:r>
          </w:p>
        </w:tc>
        <w:tc>
          <w:tcPr>
            <w:tcW w:w="977" w:type="pct"/>
            <w:vAlign w:val="center"/>
          </w:tcPr>
          <w:p w14:paraId="6381169D">
            <w:pPr>
              <w:pStyle w:val="13"/>
              <w:jc w:val="center"/>
              <w:rPr>
                <w:rFonts w:hint="eastAsia"/>
              </w:rPr>
            </w:pPr>
            <w:r>
              <w:rPr>
                <w:rFonts w:hint="eastAsia"/>
              </w:rPr>
              <w:t>193402</w:t>
            </w:r>
          </w:p>
        </w:tc>
        <w:tc>
          <w:tcPr>
            <w:tcW w:w="1217" w:type="pct"/>
            <w:vAlign w:val="center"/>
          </w:tcPr>
          <w:p w14:paraId="30F98FE1">
            <w:pPr>
              <w:pStyle w:val="13"/>
              <w:jc w:val="center"/>
              <w:rPr>
                <w:rFonts w:hint="eastAsia"/>
              </w:rPr>
            </w:pPr>
            <w:r>
              <w:rPr>
                <w:rFonts w:hint="eastAsia"/>
              </w:rPr>
              <w:t>8.8</w:t>
            </w:r>
          </w:p>
        </w:tc>
      </w:tr>
      <w:tr w14:paraId="4DEEF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7EECAC66">
            <w:pPr>
              <w:pStyle w:val="13"/>
              <w:ind w:firstLine="840" w:firstLineChars="400"/>
              <w:jc w:val="left"/>
              <w:rPr>
                <w:rFonts w:hint="eastAsia"/>
              </w:rPr>
            </w:pPr>
            <w:r>
              <w:rPr>
                <w:rFonts w:hint="eastAsia"/>
              </w:rPr>
              <w:t>烟叶总产量</w:t>
            </w:r>
          </w:p>
        </w:tc>
        <w:tc>
          <w:tcPr>
            <w:tcW w:w="782" w:type="pct"/>
            <w:vAlign w:val="center"/>
          </w:tcPr>
          <w:p w14:paraId="1D6671BB">
            <w:pPr>
              <w:pStyle w:val="13"/>
              <w:jc w:val="center"/>
              <w:rPr>
                <w:rFonts w:hint="eastAsia"/>
              </w:rPr>
            </w:pPr>
            <w:r>
              <w:rPr>
                <w:rFonts w:hint="eastAsia"/>
              </w:rPr>
              <w:t>吨</w:t>
            </w:r>
          </w:p>
        </w:tc>
        <w:tc>
          <w:tcPr>
            <w:tcW w:w="977" w:type="pct"/>
            <w:vAlign w:val="center"/>
          </w:tcPr>
          <w:p w14:paraId="3703708E">
            <w:pPr>
              <w:pStyle w:val="13"/>
              <w:jc w:val="center"/>
              <w:rPr>
                <w:rFonts w:hint="eastAsia"/>
              </w:rPr>
            </w:pPr>
            <w:r>
              <w:rPr>
                <w:rFonts w:hint="eastAsia"/>
              </w:rPr>
              <w:t>23691</w:t>
            </w:r>
          </w:p>
        </w:tc>
        <w:tc>
          <w:tcPr>
            <w:tcW w:w="1217" w:type="pct"/>
            <w:vAlign w:val="center"/>
          </w:tcPr>
          <w:p w14:paraId="6F24ED70">
            <w:pPr>
              <w:pStyle w:val="13"/>
              <w:jc w:val="center"/>
              <w:rPr>
                <w:rFonts w:hint="eastAsia"/>
              </w:rPr>
            </w:pPr>
            <w:r>
              <w:rPr>
                <w:rFonts w:hint="eastAsia"/>
              </w:rPr>
              <w:t>3.9</w:t>
            </w:r>
          </w:p>
        </w:tc>
      </w:tr>
      <w:tr w14:paraId="7F50A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1C99D824">
            <w:pPr>
              <w:pStyle w:val="13"/>
              <w:ind w:firstLine="840" w:firstLineChars="400"/>
              <w:jc w:val="left"/>
              <w:rPr>
                <w:rFonts w:hint="eastAsia"/>
              </w:rPr>
            </w:pPr>
            <w:r>
              <w:rPr>
                <w:rFonts w:hint="eastAsia"/>
              </w:rPr>
              <w:t>花生总产量</w:t>
            </w:r>
          </w:p>
        </w:tc>
        <w:tc>
          <w:tcPr>
            <w:tcW w:w="782" w:type="pct"/>
            <w:vAlign w:val="center"/>
          </w:tcPr>
          <w:p w14:paraId="241CD0CD">
            <w:pPr>
              <w:pStyle w:val="13"/>
              <w:jc w:val="center"/>
              <w:rPr>
                <w:rFonts w:hint="eastAsia"/>
              </w:rPr>
            </w:pPr>
            <w:r>
              <w:rPr>
                <w:rFonts w:hint="eastAsia"/>
              </w:rPr>
              <w:t>吨</w:t>
            </w:r>
          </w:p>
        </w:tc>
        <w:tc>
          <w:tcPr>
            <w:tcW w:w="977" w:type="pct"/>
            <w:vAlign w:val="center"/>
          </w:tcPr>
          <w:p w14:paraId="2B780F4C">
            <w:pPr>
              <w:pStyle w:val="13"/>
              <w:jc w:val="center"/>
              <w:rPr>
                <w:rFonts w:hint="eastAsia"/>
              </w:rPr>
            </w:pPr>
            <w:r>
              <w:rPr>
                <w:rFonts w:hint="eastAsia"/>
              </w:rPr>
              <w:t>21117</w:t>
            </w:r>
          </w:p>
        </w:tc>
        <w:tc>
          <w:tcPr>
            <w:tcW w:w="1217" w:type="pct"/>
            <w:vAlign w:val="center"/>
          </w:tcPr>
          <w:p w14:paraId="2D062995">
            <w:pPr>
              <w:pStyle w:val="13"/>
              <w:jc w:val="center"/>
              <w:rPr>
                <w:rFonts w:hint="eastAsia"/>
              </w:rPr>
            </w:pPr>
            <w:r>
              <w:rPr>
                <w:rFonts w:hint="eastAsia"/>
              </w:rPr>
              <w:t>3.4</w:t>
            </w:r>
          </w:p>
        </w:tc>
      </w:tr>
      <w:tr w14:paraId="235B7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101BBE71">
            <w:pPr>
              <w:pStyle w:val="13"/>
              <w:ind w:firstLine="840" w:firstLineChars="400"/>
              <w:jc w:val="left"/>
              <w:rPr>
                <w:rFonts w:hint="eastAsia"/>
              </w:rPr>
            </w:pPr>
            <w:r>
              <w:rPr>
                <w:rFonts w:hint="eastAsia"/>
              </w:rPr>
              <w:t>生猪年末存栏量</w:t>
            </w:r>
          </w:p>
        </w:tc>
        <w:tc>
          <w:tcPr>
            <w:tcW w:w="782" w:type="pct"/>
            <w:vAlign w:val="center"/>
          </w:tcPr>
          <w:p w14:paraId="6E584A20">
            <w:pPr>
              <w:pStyle w:val="13"/>
              <w:jc w:val="center"/>
              <w:rPr>
                <w:rFonts w:hint="eastAsia"/>
              </w:rPr>
            </w:pPr>
            <w:r>
              <w:rPr>
                <w:rFonts w:hint="eastAsia"/>
              </w:rPr>
              <w:t>头</w:t>
            </w:r>
          </w:p>
        </w:tc>
        <w:tc>
          <w:tcPr>
            <w:tcW w:w="977" w:type="pct"/>
            <w:vAlign w:val="center"/>
          </w:tcPr>
          <w:p w14:paraId="7DE2A738">
            <w:pPr>
              <w:pStyle w:val="13"/>
              <w:jc w:val="center"/>
              <w:rPr>
                <w:rFonts w:hint="eastAsia"/>
              </w:rPr>
            </w:pPr>
            <w:r>
              <w:rPr>
                <w:rFonts w:hint="eastAsia"/>
              </w:rPr>
              <w:t>223448</w:t>
            </w:r>
          </w:p>
        </w:tc>
        <w:tc>
          <w:tcPr>
            <w:tcW w:w="1217" w:type="pct"/>
            <w:vAlign w:val="center"/>
          </w:tcPr>
          <w:p w14:paraId="59195A86">
            <w:pPr>
              <w:pStyle w:val="13"/>
              <w:jc w:val="center"/>
              <w:rPr>
                <w:rFonts w:hint="eastAsia"/>
              </w:rPr>
            </w:pPr>
            <w:r>
              <w:rPr>
                <w:rFonts w:hint="eastAsia"/>
              </w:rPr>
              <w:t>7.9</w:t>
            </w:r>
          </w:p>
        </w:tc>
      </w:tr>
      <w:tr w14:paraId="319EA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651BDF84">
            <w:pPr>
              <w:pStyle w:val="13"/>
              <w:ind w:firstLine="840" w:firstLineChars="400"/>
              <w:jc w:val="left"/>
              <w:rPr>
                <w:rFonts w:hint="eastAsia"/>
              </w:rPr>
            </w:pPr>
            <w:r>
              <w:rPr>
                <w:rFonts w:hint="eastAsia"/>
              </w:rPr>
              <w:t>肉类产量</w:t>
            </w:r>
          </w:p>
        </w:tc>
        <w:tc>
          <w:tcPr>
            <w:tcW w:w="782" w:type="pct"/>
            <w:vAlign w:val="center"/>
          </w:tcPr>
          <w:p w14:paraId="442474CE">
            <w:pPr>
              <w:pStyle w:val="13"/>
              <w:jc w:val="center"/>
              <w:rPr>
                <w:rFonts w:hint="eastAsia"/>
              </w:rPr>
            </w:pPr>
            <w:r>
              <w:rPr>
                <w:rFonts w:hint="eastAsia"/>
              </w:rPr>
              <w:t>吨</w:t>
            </w:r>
          </w:p>
        </w:tc>
        <w:tc>
          <w:tcPr>
            <w:tcW w:w="977" w:type="pct"/>
            <w:vAlign w:val="center"/>
          </w:tcPr>
          <w:p w14:paraId="75DC0681">
            <w:pPr>
              <w:pStyle w:val="13"/>
              <w:jc w:val="center"/>
              <w:rPr>
                <w:rFonts w:hint="eastAsia"/>
              </w:rPr>
            </w:pPr>
            <w:r>
              <w:rPr>
                <w:rFonts w:hint="eastAsia"/>
              </w:rPr>
              <w:t>35513</w:t>
            </w:r>
          </w:p>
        </w:tc>
        <w:tc>
          <w:tcPr>
            <w:tcW w:w="1217" w:type="pct"/>
            <w:vAlign w:val="center"/>
          </w:tcPr>
          <w:p w14:paraId="6DFA972C">
            <w:pPr>
              <w:pStyle w:val="13"/>
              <w:jc w:val="center"/>
              <w:rPr>
                <w:rFonts w:hint="eastAsia"/>
              </w:rPr>
            </w:pPr>
            <w:r>
              <w:rPr>
                <w:rFonts w:hint="eastAsia"/>
              </w:rPr>
              <w:t>7.4</w:t>
            </w:r>
          </w:p>
        </w:tc>
      </w:tr>
      <w:tr w14:paraId="62DB5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2AFB7376">
            <w:pPr>
              <w:pStyle w:val="13"/>
              <w:ind w:firstLine="840" w:firstLineChars="400"/>
              <w:jc w:val="left"/>
              <w:rPr>
                <w:rFonts w:hint="eastAsia"/>
              </w:rPr>
            </w:pPr>
            <w:r>
              <w:rPr>
                <w:rFonts w:hint="eastAsia"/>
              </w:rPr>
              <w:t>牛肉产量</w:t>
            </w:r>
          </w:p>
        </w:tc>
        <w:tc>
          <w:tcPr>
            <w:tcW w:w="782" w:type="pct"/>
            <w:vAlign w:val="center"/>
          </w:tcPr>
          <w:p w14:paraId="5F870CE7">
            <w:pPr>
              <w:pStyle w:val="13"/>
              <w:jc w:val="center"/>
              <w:rPr>
                <w:rFonts w:hint="eastAsia"/>
              </w:rPr>
            </w:pPr>
            <w:r>
              <w:rPr>
                <w:rFonts w:hint="eastAsia"/>
              </w:rPr>
              <w:t>吨</w:t>
            </w:r>
          </w:p>
        </w:tc>
        <w:tc>
          <w:tcPr>
            <w:tcW w:w="977" w:type="pct"/>
            <w:vAlign w:val="center"/>
          </w:tcPr>
          <w:p w14:paraId="2B698F46">
            <w:pPr>
              <w:pStyle w:val="13"/>
              <w:jc w:val="center"/>
              <w:rPr>
                <w:rFonts w:hint="eastAsia"/>
              </w:rPr>
            </w:pPr>
            <w:r>
              <w:rPr>
                <w:rFonts w:hint="eastAsia"/>
              </w:rPr>
              <w:t>474</w:t>
            </w:r>
          </w:p>
        </w:tc>
        <w:tc>
          <w:tcPr>
            <w:tcW w:w="1217" w:type="pct"/>
            <w:vAlign w:val="center"/>
          </w:tcPr>
          <w:p w14:paraId="3FADD65B">
            <w:pPr>
              <w:pStyle w:val="13"/>
              <w:jc w:val="center"/>
              <w:rPr>
                <w:rFonts w:hint="eastAsia"/>
              </w:rPr>
            </w:pPr>
            <w:r>
              <w:rPr>
                <w:rFonts w:hint="eastAsia"/>
              </w:rPr>
              <w:t>8.4</w:t>
            </w:r>
          </w:p>
        </w:tc>
      </w:tr>
      <w:tr w14:paraId="4C230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7AE3787E">
            <w:pPr>
              <w:pStyle w:val="13"/>
              <w:ind w:firstLine="840" w:firstLineChars="400"/>
              <w:jc w:val="left"/>
              <w:rPr>
                <w:rFonts w:hint="eastAsia"/>
              </w:rPr>
            </w:pPr>
            <w:r>
              <w:rPr>
                <w:rFonts w:hint="eastAsia"/>
              </w:rPr>
              <w:t>水产品产量</w:t>
            </w:r>
          </w:p>
        </w:tc>
        <w:tc>
          <w:tcPr>
            <w:tcW w:w="782" w:type="pct"/>
            <w:vAlign w:val="center"/>
          </w:tcPr>
          <w:p w14:paraId="51AFBF59">
            <w:pPr>
              <w:pStyle w:val="13"/>
              <w:jc w:val="center"/>
              <w:rPr>
                <w:rFonts w:hint="eastAsia"/>
              </w:rPr>
            </w:pPr>
            <w:r>
              <w:rPr>
                <w:rFonts w:hint="eastAsia"/>
              </w:rPr>
              <w:t>吨</w:t>
            </w:r>
          </w:p>
        </w:tc>
        <w:tc>
          <w:tcPr>
            <w:tcW w:w="977" w:type="pct"/>
            <w:vAlign w:val="center"/>
          </w:tcPr>
          <w:p w14:paraId="6F39CC8B">
            <w:pPr>
              <w:pStyle w:val="13"/>
              <w:jc w:val="center"/>
              <w:rPr>
                <w:rFonts w:hint="eastAsia"/>
              </w:rPr>
            </w:pPr>
            <w:r>
              <w:rPr>
                <w:rFonts w:hint="eastAsia"/>
              </w:rPr>
              <w:t>13783</w:t>
            </w:r>
          </w:p>
        </w:tc>
        <w:tc>
          <w:tcPr>
            <w:tcW w:w="1217" w:type="pct"/>
            <w:vAlign w:val="center"/>
          </w:tcPr>
          <w:p w14:paraId="1EB93053">
            <w:pPr>
              <w:pStyle w:val="13"/>
              <w:jc w:val="center"/>
              <w:rPr>
                <w:rFonts w:hint="eastAsia"/>
              </w:rPr>
            </w:pPr>
            <w:r>
              <w:rPr>
                <w:rFonts w:hint="eastAsia"/>
              </w:rPr>
              <w:t>4.3</w:t>
            </w:r>
          </w:p>
        </w:tc>
      </w:tr>
      <w:tr w14:paraId="29B5F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0298E0F8">
            <w:pPr>
              <w:pStyle w:val="13"/>
              <w:ind w:firstLine="840" w:firstLineChars="400"/>
              <w:jc w:val="left"/>
              <w:rPr>
                <w:rFonts w:hint="eastAsia"/>
              </w:rPr>
            </w:pPr>
            <w:r>
              <w:rPr>
                <w:rFonts w:hint="eastAsia"/>
              </w:rPr>
              <w:t>化肥施用量（折纯）</w:t>
            </w:r>
          </w:p>
        </w:tc>
        <w:tc>
          <w:tcPr>
            <w:tcW w:w="782" w:type="pct"/>
            <w:vAlign w:val="center"/>
          </w:tcPr>
          <w:p w14:paraId="35252155">
            <w:pPr>
              <w:pStyle w:val="13"/>
              <w:jc w:val="center"/>
              <w:rPr>
                <w:rFonts w:hint="eastAsia"/>
              </w:rPr>
            </w:pPr>
            <w:r>
              <w:rPr>
                <w:rFonts w:hint="eastAsia"/>
              </w:rPr>
              <w:t>吨</w:t>
            </w:r>
          </w:p>
        </w:tc>
        <w:tc>
          <w:tcPr>
            <w:tcW w:w="977" w:type="pct"/>
            <w:vAlign w:val="center"/>
          </w:tcPr>
          <w:p w14:paraId="5FED6260">
            <w:pPr>
              <w:pStyle w:val="13"/>
              <w:jc w:val="center"/>
              <w:rPr>
                <w:rFonts w:hint="eastAsia"/>
              </w:rPr>
            </w:pPr>
            <w:r>
              <w:rPr>
                <w:rFonts w:hint="eastAsia"/>
              </w:rPr>
              <w:t>17809</w:t>
            </w:r>
          </w:p>
        </w:tc>
        <w:tc>
          <w:tcPr>
            <w:tcW w:w="1217" w:type="pct"/>
            <w:vAlign w:val="center"/>
          </w:tcPr>
          <w:p w14:paraId="43F6DBA5">
            <w:pPr>
              <w:pStyle w:val="13"/>
              <w:jc w:val="center"/>
              <w:rPr>
                <w:rFonts w:hint="eastAsia"/>
              </w:rPr>
            </w:pPr>
            <w:r>
              <w:rPr>
                <w:rFonts w:hint="eastAsia"/>
              </w:rPr>
              <w:t>0.3</w:t>
            </w:r>
          </w:p>
        </w:tc>
      </w:tr>
      <w:tr w14:paraId="18FE1D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525CCCB1">
            <w:pPr>
              <w:pStyle w:val="13"/>
              <w:ind w:firstLine="840" w:firstLineChars="400"/>
              <w:jc w:val="left"/>
              <w:rPr>
                <w:rFonts w:hint="eastAsia"/>
              </w:rPr>
            </w:pPr>
            <w:r>
              <w:rPr>
                <w:rFonts w:hint="eastAsia"/>
              </w:rPr>
              <w:t>化肥施用量（实物）</w:t>
            </w:r>
          </w:p>
        </w:tc>
        <w:tc>
          <w:tcPr>
            <w:tcW w:w="782" w:type="pct"/>
            <w:vAlign w:val="center"/>
          </w:tcPr>
          <w:p w14:paraId="733C739D">
            <w:pPr>
              <w:pStyle w:val="13"/>
              <w:jc w:val="center"/>
              <w:rPr>
                <w:rFonts w:hint="eastAsia"/>
              </w:rPr>
            </w:pPr>
            <w:r>
              <w:rPr>
                <w:rFonts w:hint="eastAsia"/>
              </w:rPr>
              <w:t>吨</w:t>
            </w:r>
          </w:p>
        </w:tc>
        <w:tc>
          <w:tcPr>
            <w:tcW w:w="977" w:type="pct"/>
            <w:vAlign w:val="center"/>
          </w:tcPr>
          <w:p w14:paraId="5198D6C6">
            <w:pPr>
              <w:pStyle w:val="13"/>
              <w:jc w:val="center"/>
              <w:rPr>
                <w:rFonts w:hint="eastAsia"/>
              </w:rPr>
            </w:pPr>
            <w:r>
              <w:rPr>
                <w:rFonts w:hint="eastAsia"/>
              </w:rPr>
              <w:t>66541</w:t>
            </w:r>
          </w:p>
        </w:tc>
        <w:tc>
          <w:tcPr>
            <w:tcW w:w="1217" w:type="pct"/>
            <w:vAlign w:val="center"/>
          </w:tcPr>
          <w:p w14:paraId="6DC96788">
            <w:pPr>
              <w:pStyle w:val="13"/>
              <w:jc w:val="center"/>
              <w:rPr>
                <w:rFonts w:hint="eastAsia"/>
              </w:rPr>
            </w:pPr>
            <w:r>
              <w:rPr>
                <w:rFonts w:hint="eastAsia"/>
              </w:rPr>
              <w:t>0.5</w:t>
            </w:r>
          </w:p>
        </w:tc>
      </w:tr>
      <w:tr w14:paraId="1029B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705DCA8F">
            <w:pPr>
              <w:pStyle w:val="13"/>
              <w:ind w:firstLine="840" w:firstLineChars="400"/>
              <w:jc w:val="left"/>
              <w:rPr>
                <w:rFonts w:hint="eastAsia"/>
              </w:rPr>
            </w:pPr>
            <w:r>
              <w:rPr>
                <w:rFonts w:hint="eastAsia"/>
              </w:rPr>
              <w:t>农村用电量</w:t>
            </w:r>
          </w:p>
        </w:tc>
        <w:tc>
          <w:tcPr>
            <w:tcW w:w="782" w:type="pct"/>
            <w:vAlign w:val="center"/>
          </w:tcPr>
          <w:p w14:paraId="49CD39F9">
            <w:pPr>
              <w:pStyle w:val="13"/>
              <w:jc w:val="center"/>
              <w:rPr>
                <w:rFonts w:hint="eastAsia"/>
              </w:rPr>
            </w:pPr>
            <w:r>
              <w:rPr>
                <w:rFonts w:hint="eastAsia"/>
              </w:rPr>
              <w:t>万千瓦时</w:t>
            </w:r>
          </w:p>
        </w:tc>
        <w:tc>
          <w:tcPr>
            <w:tcW w:w="977" w:type="pct"/>
            <w:vAlign w:val="center"/>
          </w:tcPr>
          <w:p w14:paraId="26E68197">
            <w:pPr>
              <w:pStyle w:val="13"/>
              <w:jc w:val="center"/>
              <w:rPr>
                <w:rFonts w:hint="eastAsia"/>
              </w:rPr>
            </w:pPr>
            <w:r>
              <w:rPr>
                <w:rFonts w:hint="eastAsia"/>
              </w:rPr>
              <w:t>3227</w:t>
            </w:r>
          </w:p>
        </w:tc>
        <w:tc>
          <w:tcPr>
            <w:tcW w:w="1217" w:type="pct"/>
            <w:vAlign w:val="center"/>
          </w:tcPr>
          <w:p w14:paraId="4B44ABBA">
            <w:pPr>
              <w:pStyle w:val="13"/>
              <w:jc w:val="center"/>
              <w:rPr>
                <w:rFonts w:hint="eastAsia"/>
              </w:rPr>
            </w:pPr>
            <w:r>
              <w:rPr>
                <w:rFonts w:hint="eastAsia"/>
              </w:rPr>
              <w:t>4.3</w:t>
            </w:r>
          </w:p>
        </w:tc>
      </w:tr>
      <w:tr w14:paraId="7BA20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43231E03">
            <w:pPr>
              <w:pStyle w:val="13"/>
              <w:ind w:firstLine="840" w:firstLineChars="400"/>
              <w:jc w:val="left"/>
              <w:rPr>
                <w:rFonts w:hint="eastAsia"/>
              </w:rPr>
            </w:pPr>
            <w:r>
              <w:rPr>
                <w:rFonts w:hint="eastAsia"/>
              </w:rPr>
              <w:t>农业机械总动力</w:t>
            </w:r>
          </w:p>
        </w:tc>
        <w:tc>
          <w:tcPr>
            <w:tcW w:w="782" w:type="pct"/>
            <w:vAlign w:val="center"/>
          </w:tcPr>
          <w:p w14:paraId="0DA0396D">
            <w:pPr>
              <w:pStyle w:val="13"/>
              <w:jc w:val="center"/>
              <w:rPr>
                <w:rFonts w:hint="eastAsia"/>
              </w:rPr>
            </w:pPr>
            <w:r>
              <w:rPr>
                <w:rFonts w:hint="eastAsia"/>
              </w:rPr>
              <w:t>万千瓦</w:t>
            </w:r>
          </w:p>
        </w:tc>
        <w:tc>
          <w:tcPr>
            <w:tcW w:w="977" w:type="pct"/>
            <w:vAlign w:val="center"/>
          </w:tcPr>
          <w:p w14:paraId="2CD7CDCE">
            <w:pPr>
              <w:pStyle w:val="13"/>
              <w:jc w:val="center"/>
              <w:rPr>
                <w:rFonts w:hint="eastAsia"/>
              </w:rPr>
            </w:pPr>
            <w:r>
              <w:rPr>
                <w:rFonts w:hint="eastAsia"/>
              </w:rPr>
              <w:t>27948</w:t>
            </w:r>
          </w:p>
        </w:tc>
        <w:tc>
          <w:tcPr>
            <w:tcW w:w="1217" w:type="pct"/>
            <w:vAlign w:val="center"/>
          </w:tcPr>
          <w:p w14:paraId="3F37C5C0">
            <w:pPr>
              <w:pStyle w:val="13"/>
              <w:jc w:val="center"/>
              <w:rPr>
                <w:rFonts w:hint="eastAsia"/>
              </w:rPr>
            </w:pPr>
            <w:r>
              <w:rPr>
                <w:rFonts w:hint="eastAsia"/>
              </w:rPr>
              <w:t>4.5</w:t>
            </w:r>
          </w:p>
        </w:tc>
      </w:tr>
      <w:tr w14:paraId="701E8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561E67D2">
            <w:pPr>
              <w:pStyle w:val="13"/>
              <w:ind w:firstLine="840" w:firstLineChars="400"/>
              <w:jc w:val="left"/>
              <w:rPr>
                <w:rFonts w:hint="eastAsia"/>
              </w:rPr>
            </w:pPr>
            <w:r>
              <w:rPr>
                <w:rFonts w:hint="eastAsia"/>
              </w:rPr>
              <w:t>农民人均纯收入</w:t>
            </w:r>
          </w:p>
        </w:tc>
        <w:tc>
          <w:tcPr>
            <w:tcW w:w="782" w:type="pct"/>
            <w:vAlign w:val="center"/>
          </w:tcPr>
          <w:p w14:paraId="659028EE">
            <w:pPr>
              <w:pStyle w:val="13"/>
              <w:jc w:val="center"/>
              <w:rPr>
                <w:rFonts w:hint="eastAsia"/>
              </w:rPr>
            </w:pPr>
            <w:r>
              <w:rPr>
                <w:rFonts w:hint="eastAsia"/>
              </w:rPr>
              <w:t>元</w:t>
            </w:r>
          </w:p>
        </w:tc>
        <w:tc>
          <w:tcPr>
            <w:tcW w:w="977" w:type="pct"/>
            <w:vAlign w:val="center"/>
          </w:tcPr>
          <w:p w14:paraId="42B31CDB">
            <w:pPr>
              <w:pStyle w:val="13"/>
              <w:jc w:val="center"/>
              <w:rPr>
                <w:rFonts w:hint="eastAsia"/>
              </w:rPr>
            </w:pPr>
            <w:r>
              <w:rPr>
                <w:rFonts w:hint="eastAsia"/>
              </w:rPr>
              <w:t>5945</w:t>
            </w:r>
          </w:p>
        </w:tc>
        <w:tc>
          <w:tcPr>
            <w:tcW w:w="1217" w:type="pct"/>
            <w:vAlign w:val="center"/>
          </w:tcPr>
          <w:p w14:paraId="1A164997">
            <w:pPr>
              <w:pStyle w:val="13"/>
              <w:jc w:val="center"/>
              <w:rPr>
                <w:rFonts w:hint="eastAsia"/>
              </w:rPr>
            </w:pPr>
            <w:r>
              <w:rPr>
                <w:rFonts w:hint="eastAsia"/>
              </w:rPr>
              <w:t>10.9</w:t>
            </w:r>
          </w:p>
        </w:tc>
      </w:tr>
      <w:tr w14:paraId="41763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vAlign w:val="center"/>
          </w:tcPr>
          <w:p w14:paraId="1A578786">
            <w:pPr>
              <w:pStyle w:val="13"/>
              <w:jc w:val="left"/>
              <w:rPr>
                <w:rFonts w:hint="eastAsia"/>
              </w:rPr>
            </w:pPr>
            <w:r>
              <w:rPr>
                <w:rFonts w:hint="eastAsia"/>
              </w:rPr>
              <w:t>四、工业</w:t>
            </w:r>
          </w:p>
        </w:tc>
      </w:tr>
      <w:tr w14:paraId="48CF2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5C7A5235">
            <w:pPr>
              <w:pStyle w:val="13"/>
              <w:ind w:firstLine="210" w:firstLineChars="100"/>
              <w:jc w:val="left"/>
              <w:rPr>
                <w:rFonts w:hint="eastAsia"/>
              </w:rPr>
            </w:pPr>
            <w:r>
              <w:rPr>
                <w:rFonts w:hint="eastAsia"/>
              </w:rPr>
              <w:t>全市工业总产值（当年价）</w:t>
            </w:r>
          </w:p>
        </w:tc>
        <w:tc>
          <w:tcPr>
            <w:tcW w:w="782" w:type="pct"/>
            <w:vAlign w:val="center"/>
          </w:tcPr>
          <w:p w14:paraId="768751FC">
            <w:pPr>
              <w:pStyle w:val="13"/>
              <w:jc w:val="center"/>
              <w:rPr>
                <w:rFonts w:hint="eastAsia"/>
              </w:rPr>
            </w:pPr>
            <w:r>
              <w:rPr>
                <w:rFonts w:hint="eastAsia"/>
              </w:rPr>
              <w:t>万元</w:t>
            </w:r>
          </w:p>
        </w:tc>
        <w:tc>
          <w:tcPr>
            <w:tcW w:w="977" w:type="pct"/>
            <w:vAlign w:val="center"/>
          </w:tcPr>
          <w:p w14:paraId="06F2F1B2">
            <w:pPr>
              <w:pStyle w:val="13"/>
              <w:jc w:val="center"/>
              <w:rPr>
                <w:rFonts w:hint="eastAsia"/>
              </w:rPr>
            </w:pPr>
            <w:r>
              <w:rPr>
                <w:rFonts w:hint="eastAsia"/>
              </w:rPr>
              <w:t>443296</w:t>
            </w:r>
          </w:p>
        </w:tc>
        <w:tc>
          <w:tcPr>
            <w:tcW w:w="1217" w:type="pct"/>
            <w:vAlign w:val="center"/>
          </w:tcPr>
          <w:p w14:paraId="41B033D8">
            <w:pPr>
              <w:pStyle w:val="13"/>
              <w:jc w:val="center"/>
              <w:rPr>
                <w:rFonts w:hint="eastAsia"/>
              </w:rPr>
            </w:pPr>
            <w:r>
              <w:rPr>
                <w:rFonts w:hint="eastAsia"/>
              </w:rPr>
              <w:t>47.1</w:t>
            </w:r>
          </w:p>
        </w:tc>
      </w:tr>
      <w:tr w14:paraId="26217F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3DE6195D">
            <w:pPr>
              <w:pStyle w:val="13"/>
              <w:ind w:firstLine="420" w:firstLineChars="200"/>
              <w:jc w:val="left"/>
              <w:rPr>
                <w:rFonts w:hint="eastAsia"/>
              </w:rPr>
            </w:pPr>
            <w:r>
              <w:rPr>
                <w:rFonts w:hint="eastAsia"/>
              </w:rPr>
              <w:t>1、规模以上工业</w:t>
            </w:r>
          </w:p>
        </w:tc>
        <w:tc>
          <w:tcPr>
            <w:tcW w:w="782" w:type="pct"/>
            <w:vAlign w:val="center"/>
          </w:tcPr>
          <w:p w14:paraId="4B2EBA96">
            <w:pPr>
              <w:pStyle w:val="13"/>
              <w:jc w:val="center"/>
              <w:rPr>
                <w:rFonts w:hint="eastAsia"/>
              </w:rPr>
            </w:pPr>
            <w:r>
              <w:rPr>
                <w:rFonts w:hint="eastAsia"/>
              </w:rPr>
              <w:t>万元</w:t>
            </w:r>
          </w:p>
        </w:tc>
        <w:tc>
          <w:tcPr>
            <w:tcW w:w="977" w:type="pct"/>
            <w:vAlign w:val="center"/>
          </w:tcPr>
          <w:p w14:paraId="69D4E203">
            <w:pPr>
              <w:pStyle w:val="13"/>
              <w:jc w:val="center"/>
              <w:rPr>
                <w:rFonts w:hint="eastAsia"/>
              </w:rPr>
            </w:pPr>
            <w:r>
              <w:rPr>
                <w:rFonts w:hint="eastAsia"/>
              </w:rPr>
              <w:t>294300</w:t>
            </w:r>
          </w:p>
        </w:tc>
        <w:tc>
          <w:tcPr>
            <w:tcW w:w="1217" w:type="pct"/>
            <w:vAlign w:val="center"/>
          </w:tcPr>
          <w:p w14:paraId="754386FE">
            <w:pPr>
              <w:pStyle w:val="13"/>
              <w:jc w:val="center"/>
              <w:rPr>
                <w:rFonts w:hint="eastAsia"/>
              </w:rPr>
            </w:pPr>
            <w:r>
              <w:rPr>
                <w:rFonts w:hint="eastAsia"/>
              </w:rPr>
              <w:t>90.6</w:t>
            </w:r>
          </w:p>
        </w:tc>
      </w:tr>
      <w:tr w14:paraId="5A819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2C35D55C">
            <w:pPr>
              <w:pStyle w:val="13"/>
              <w:ind w:firstLine="420" w:firstLineChars="200"/>
              <w:jc w:val="left"/>
              <w:rPr>
                <w:rFonts w:hint="eastAsia"/>
              </w:rPr>
            </w:pPr>
            <w:r>
              <w:rPr>
                <w:rFonts w:hint="eastAsia"/>
              </w:rPr>
              <w:t>其中：国有工业</w:t>
            </w:r>
          </w:p>
        </w:tc>
        <w:tc>
          <w:tcPr>
            <w:tcW w:w="782" w:type="pct"/>
            <w:vAlign w:val="center"/>
          </w:tcPr>
          <w:p w14:paraId="43902BFC">
            <w:pPr>
              <w:pStyle w:val="13"/>
              <w:jc w:val="center"/>
              <w:rPr>
                <w:rFonts w:hint="eastAsia"/>
              </w:rPr>
            </w:pPr>
            <w:r>
              <w:rPr>
                <w:rFonts w:hint="eastAsia"/>
              </w:rPr>
              <w:t>万元</w:t>
            </w:r>
          </w:p>
        </w:tc>
        <w:tc>
          <w:tcPr>
            <w:tcW w:w="977" w:type="pct"/>
            <w:vAlign w:val="center"/>
          </w:tcPr>
          <w:p w14:paraId="52C0C1D3">
            <w:pPr>
              <w:pStyle w:val="13"/>
              <w:jc w:val="center"/>
              <w:rPr>
                <w:rFonts w:hint="eastAsia"/>
              </w:rPr>
            </w:pPr>
            <w:r>
              <w:rPr>
                <w:rFonts w:hint="eastAsia"/>
              </w:rPr>
              <w:t>31839</w:t>
            </w:r>
          </w:p>
        </w:tc>
        <w:tc>
          <w:tcPr>
            <w:tcW w:w="1217" w:type="pct"/>
            <w:vAlign w:val="center"/>
          </w:tcPr>
          <w:p w14:paraId="3CE0FFDB">
            <w:pPr>
              <w:pStyle w:val="13"/>
              <w:jc w:val="center"/>
              <w:rPr>
                <w:rFonts w:hint="eastAsia"/>
              </w:rPr>
            </w:pPr>
            <w:r>
              <w:rPr>
                <w:rFonts w:hint="eastAsia"/>
              </w:rPr>
              <w:t>42.7</w:t>
            </w:r>
          </w:p>
        </w:tc>
      </w:tr>
      <w:tr w14:paraId="4B5A6F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6A518DC4">
            <w:pPr>
              <w:pStyle w:val="13"/>
              <w:ind w:firstLine="420" w:firstLineChars="200"/>
              <w:jc w:val="left"/>
              <w:rPr>
                <w:rFonts w:hint="eastAsia"/>
              </w:rPr>
            </w:pPr>
            <w:r>
              <w:rPr>
                <w:rFonts w:hint="eastAsia"/>
              </w:rPr>
              <w:t>2、规模以下工业</w:t>
            </w:r>
          </w:p>
        </w:tc>
        <w:tc>
          <w:tcPr>
            <w:tcW w:w="782" w:type="pct"/>
            <w:vAlign w:val="center"/>
          </w:tcPr>
          <w:p w14:paraId="13C147B3">
            <w:pPr>
              <w:pStyle w:val="13"/>
              <w:jc w:val="center"/>
              <w:rPr>
                <w:rFonts w:hint="eastAsia"/>
              </w:rPr>
            </w:pPr>
            <w:r>
              <w:rPr>
                <w:rFonts w:hint="eastAsia"/>
              </w:rPr>
              <w:t>万元</w:t>
            </w:r>
          </w:p>
        </w:tc>
        <w:tc>
          <w:tcPr>
            <w:tcW w:w="977" w:type="pct"/>
            <w:vAlign w:val="center"/>
          </w:tcPr>
          <w:p w14:paraId="69D083A8">
            <w:pPr>
              <w:pStyle w:val="13"/>
              <w:jc w:val="center"/>
              <w:rPr>
                <w:rFonts w:hint="eastAsia"/>
              </w:rPr>
            </w:pPr>
            <w:r>
              <w:rPr>
                <w:rFonts w:hint="eastAsia"/>
              </w:rPr>
              <w:t>148996</w:t>
            </w:r>
          </w:p>
        </w:tc>
        <w:tc>
          <w:tcPr>
            <w:tcW w:w="1217" w:type="pct"/>
            <w:vAlign w:val="center"/>
          </w:tcPr>
          <w:p w14:paraId="0DCF8EC0">
            <w:pPr>
              <w:pStyle w:val="13"/>
              <w:jc w:val="center"/>
              <w:rPr>
                <w:rFonts w:hint="eastAsia"/>
              </w:rPr>
            </w:pPr>
            <w:r>
              <w:rPr>
                <w:rFonts w:hint="eastAsia"/>
              </w:rPr>
              <w:t>13.2</w:t>
            </w:r>
          </w:p>
        </w:tc>
      </w:tr>
      <w:tr w14:paraId="27AC6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730CC082">
            <w:pPr>
              <w:pStyle w:val="13"/>
              <w:ind w:firstLine="210" w:firstLineChars="100"/>
              <w:jc w:val="left"/>
              <w:rPr>
                <w:rFonts w:hint="eastAsia"/>
              </w:rPr>
            </w:pPr>
            <w:r>
              <w:rPr>
                <w:rFonts w:hint="eastAsia"/>
              </w:rPr>
              <w:t>全市工业增加值（当年价）</w:t>
            </w:r>
          </w:p>
        </w:tc>
        <w:tc>
          <w:tcPr>
            <w:tcW w:w="782" w:type="pct"/>
            <w:vAlign w:val="center"/>
          </w:tcPr>
          <w:p w14:paraId="3C1ABA31">
            <w:pPr>
              <w:pStyle w:val="13"/>
              <w:jc w:val="center"/>
              <w:rPr>
                <w:rFonts w:hint="eastAsia"/>
              </w:rPr>
            </w:pPr>
            <w:r>
              <w:rPr>
                <w:rFonts w:hint="eastAsia"/>
              </w:rPr>
              <w:t>万元</w:t>
            </w:r>
          </w:p>
        </w:tc>
        <w:tc>
          <w:tcPr>
            <w:tcW w:w="977" w:type="pct"/>
            <w:vAlign w:val="center"/>
          </w:tcPr>
          <w:p w14:paraId="707A4E68">
            <w:pPr>
              <w:pStyle w:val="13"/>
              <w:jc w:val="center"/>
              <w:rPr>
                <w:rFonts w:hint="eastAsia"/>
              </w:rPr>
            </w:pPr>
            <w:r>
              <w:rPr>
                <w:rFonts w:hint="eastAsia"/>
              </w:rPr>
              <w:t>115387</w:t>
            </w:r>
          </w:p>
        </w:tc>
        <w:tc>
          <w:tcPr>
            <w:tcW w:w="1217" w:type="pct"/>
            <w:vAlign w:val="center"/>
          </w:tcPr>
          <w:p w14:paraId="1DC6A690">
            <w:pPr>
              <w:pStyle w:val="13"/>
              <w:jc w:val="center"/>
              <w:rPr>
                <w:rFonts w:hint="eastAsia"/>
              </w:rPr>
            </w:pPr>
            <w:r>
              <w:rPr>
                <w:rFonts w:hint="eastAsia"/>
              </w:rPr>
              <w:t>75.8</w:t>
            </w:r>
          </w:p>
        </w:tc>
      </w:tr>
      <w:tr w14:paraId="48DC6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56F2D3DE">
            <w:pPr>
              <w:pStyle w:val="13"/>
              <w:ind w:firstLine="420" w:firstLineChars="200"/>
              <w:jc w:val="left"/>
              <w:rPr>
                <w:rFonts w:hint="eastAsia"/>
              </w:rPr>
            </w:pPr>
            <w:r>
              <w:rPr>
                <w:rFonts w:hint="eastAsia"/>
              </w:rPr>
              <w:t>1、规模以上工业</w:t>
            </w:r>
          </w:p>
        </w:tc>
        <w:tc>
          <w:tcPr>
            <w:tcW w:w="782" w:type="pct"/>
            <w:vAlign w:val="center"/>
          </w:tcPr>
          <w:p w14:paraId="1DA516A7">
            <w:pPr>
              <w:pStyle w:val="13"/>
              <w:jc w:val="center"/>
              <w:rPr>
                <w:rFonts w:hint="eastAsia"/>
              </w:rPr>
            </w:pPr>
            <w:r>
              <w:rPr>
                <w:rFonts w:hint="eastAsia"/>
              </w:rPr>
              <w:t>万元</w:t>
            </w:r>
          </w:p>
        </w:tc>
        <w:tc>
          <w:tcPr>
            <w:tcW w:w="977" w:type="pct"/>
            <w:vAlign w:val="center"/>
          </w:tcPr>
          <w:p w14:paraId="242DAD41">
            <w:pPr>
              <w:pStyle w:val="13"/>
              <w:jc w:val="center"/>
              <w:rPr>
                <w:rFonts w:hint="eastAsia"/>
              </w:rPr>
            </w:pPr>
            <w:r>
              <w:rPr>
                <w:rFonts w:hint="eastAsia"/>
              </w:rPr>
              <w:t>81536</w:t>
            </w:r>
          </w:p>
        </w:tc>
        <w:tc>
          <w:tcPr>
            <w:tcW w:w="1217" w:type="pct"/>
            <w:vAlign w:val="center"/>
          </w:tcPr>
          <w:p w14:paraId="7676D434">
            <w:pPr>
              <w:pStyle w:val="13"/>
              <w:jc w:val="center"/>
              <w:rPr>
                <w:rFonts w:hint="eastAsia"/>
              </w:rPr>
            </w:pPr>
            <w:r>
              <w:rPr>
                <w:rFonts w:hint="eastAsia"/>
              </w:rPr>
              <w:t>124.3</w:t>
            </w:r>
          </w:p>
        </w:tc>
      </w:tr>
      <w:tr w14:paraId="7E55B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09C81553">
            <w:pPr>
              <w:pStyle w:val="13"/>
              <w:ind w:firstLine="420" w:firstLineChars="200"/>
              <w:jc w:val="left"/>
              <w:rPr>
                <w:rFonts w:hint="eastAsia"/>
              </w:rPr>
            </w:pPr>
            <w:r>
              <w:rPr>
                <w:rFonts w:hint="eastAsia"/>
              </w:rPr>
              <w:t>2、规模以下工业</w:t>
            </w:r>
          </w:p>
        </w:tc>
        <w:tc>
          <w:tcPr>
            <w:tcW w:w="782" w:type="pct"/>
            <w:vAlign w:val="center"/>
          </w:tcPr>
          <w:p w14:paraId="14A2EEED">
            <w:pPr>
              <w:pStyle w:val="13"/>
              <w:jc w:val="center"/>
              <w:rPr>
                <w:rFonts w:hint="eastAsia"/>
              </w:rPr>
            </w:pPr>
            <w:r>
              <w:rPr>
                <w:rFonts w:hint="eastAsia"/>
              </w:rPr>
              <w:t>万元</w:t>
            </w:r>
          </w:p>
        </w:tc>
        <w:tc>
          <w:tcPr>
            <w:tcW w:w="977" w:type="pct"/>
            <w:vAlign w:val="center"/>
          </w:tcPr>
          <w:p w14:paraId="0FC4B494">
            <w:pPr>
              <w:pStyle w:val="13"/>
              <w:jc w:val="center"/>
              <w:rPr>
                <w:rFonts w:hint="eastAsia"/>
              </w:rPr>
            </w:pPr>
            <w:r>
              <w:rPr>
                <w:rFonts w:hint="eastAsia"/>
              </w:rPr>
              <w:t>34031</w:t>
            </w:r>
          </w:p>
        </w:tc>
        <w:tc>
          <w:tcPr>
            <w:tcW w:w="1217" w:type="pct"/>
            <w:vAlign w:val="center"/>
          </w:tcPr>
          <w:p w14:paraId="11F034A5">
            <w:pPr>
              <w:pStyle w:val="13"/>
              <w:jc w:val="center"/>
              <w:rPr>
                <w:rFonts w:hint="eastAsia"/>
              </w:rPr>
            </w:pPr>
            <w:r>
              <w:rPr>
                <w:rFonts w:hint="eastAsia"/>
              </w:rPr>
              <w:t>13.2</w:t>
            </w:r>
          </w:p>
        </w:tc>
      </w:tr>
      <w:tr w14:paraId="189CD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6BCCFD96">
            <w:pPr>
              <w:pStyle w:val="13"/>
              <w:ind w:firstLine="210" w:firstLineChars="100"/>
              <w:jc w:val="left"/>
              <w:rPr>
                <w:rFonts w:hint="eastAsia"/>
              </w:rPr>
            </w:pPr>
            <w:r>
              <w:rPr>
                <w:rFonts w:hint="eastAsia"/>
              </w:rPr>
              <w:t>规模以上工业单位数</w:t>
            </w:r>
          </w:p>
        </w:tc>
        <w:tc>
          <w:tcPr>
            <w:tcW w:w="782" w:type="pct"/>
            <w:vAlign w:val="center"/>
          </w:tcPr>
          <w:p w14:paraId="431D6A0B">
            <w:pPr>
              <w:pStyle w:val="13"/>
              <w:jc w:val="center"/>
              <w:rPr>
                <w:rFonts w:hint="eastAsia"/>
              </w:rPr>
            </w:pPr>
            <w:r>
              <w:rPr>
                <w:rFonts w:hint="eastAsia"/>
              </w:rPr>
              <w:t>个</w:t>
            </w:r>
          </w:p>
        </w:tc>
        <w:tc>
          <w:tcPr>
            <w:tcW w:w="977" w:type="pct"/>
            <w:vAlign w:val="center"/>
          </w:tcPr>
          <w:p w14:paraId="243C8E7B">
            <w:pPr>
              <w:pStyle w:val="13"/>
              <w:jc w:val="center"/>
              <w:rPr>
                <w:rFonts w:hint="eastAsia"/>
              </w:rPr>
            </w:pPr>
            <w:r>
              <w:rPr>
                <w:rFonts w:hint="eastAsia"/>
              </w:rPr>
              <w:t>46</w:t>
            </w:r>
          </w:p>
        </w:tc>
        <w:tc>
          <w:tcPr>
            <w:tcW w:w="1217" w:type="pct"/>
            <w:vAlign w:val="center"/>
          </w:tcPr>
          <w:p w14:paraId="5E3540AD">
            <w:pPr>
              <w:pStyle w:val="13"/>
              <w:jc w:val="center"/>
              <w:rPr>
                <w:rFonts w:hint="eastAsia"/>
              </w:rPr>
            </w:pPr>
            <w:r>
              <w:rPr>
                <w:rFonts w:hint="eastAsia"/>
              </w:rPr>
              <w:t>48.4</w:t>
            </w:r>
          </w:p>
        </w:tc>
      </w:tr>
      <w:tr w14:paraId="600F8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3F35C6A6">
            <w:pPr>
              <w:pStyle w:val="13"/>
              <w:ind w:firstLine="210" w:firstLineChars="100"/>
              <w:jc w:val="left"/>
              <w:rPr>
                <w:rFonts w:hint="eastAsia"/>
              </w:rPr>
            </w:pPr>
            <w:r>
              <w:rPr>
                <w:rFonts w:hint="eastAsia"/>
              </w:rPr>
              <w:t>规模以下工业企业个数</w:t>
            </w:r>
          </w:p>
        </w:tc>
        <w:tc>
          <w:tcPr>
            <w:tcW w:w="782" w:type="pct"/>
            <w:vAlign w:val="center"/>
          </w:tcPr>
          <w:p w14:paraId="650ADFD8">
            <w:pPr>
              <w:pStyle w:val="13"/>
              <w:jc w:val="center"/>
              <w:rPr>
                <w:rFonts w:hint="eastAsia"/>
              </w:rPr>
            </w:pPr>
            <w:r>
              <w:rPr>
                <w:rFonts w:hint="eastAsia"/>
              </w:rPr>
              <w:t>个</w:t>
            </w:r>
          </w:p>
        </w:tc>
        <w:tc>
          <w:tcPr>
            <w:tcW w:w="977" w:type="pct"/>
            <w:vAlign w:val="center"/>
          </w:tcPr>
          <w:p w14:paraId="06E57F4B">
            <w:pPr>
              <w:pStyle w:val="13"/>
              <w:jc w:val="center"/>
              <w:rPr>
                <w:rFonts w:hint="eastAsia"/>
              </w:rPr>
            </w:pPr>
            <w:r>
              <w:rPr>
                <w:rFonts w:hint="eastAsia"/>
              </w:rPr>
              <w:t>415</w:t>
            </w:r>
          </w:p>
        </w:tc>
        <w:tc>
          <w:tcPr>
            <w:tcW w:w="1217" w:type="pct"/>
            <w:vAlign w:val="center"/>
          </w:tcPr>
          <w:p w14:paraId="11BCF8B4">
            <w:pPr>
              <w:pStyle w:val="13"/>
              <w:jc w:val="center"/>
              <w:rPr>
                <w:rFonts w:hint="eastAsia"/>
              </w:rPr>
            </w:pPr>
            <w:r>
              <w:rPr>
                <w:rFonts w:hint="eastAsia"/>
              </w:rPr>
              <w:t>11.9</w:t>
            </w:r>
          </w:p>
        </w:tc>
      </w:tr>
      <w:tr w14:paraId="69C6F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vAlign w:val="center"/>
          </w:tcPr>
          <w:p w14:paraId="28463A28">
            <w:pPr>
              <w:pStyle w:val="13"/>
              <w:jc w:val="left"/>
              <w:rPr>
                <w:rFonts w:hint="eastAsia"/>
              </w:rPr>
            </w:pPr>
            <w:r>
              <w:rPr>
                <w:rFonts w:hint="eastAsia"/>
              </w:rPr>
              <w:t>五、交通通信</w:t>
            </w:r>
          </w:p>
        </w:tc>
      </w:tr>
      <w:tr w14:paraId="56B92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6DAF76F5">
            <w:pPr>
              <w:pStyle w:val="13"/>
              <w:ind w:firstLine="630" w:firstLineChars="300"/>
              <w:jc w:val="left"/>
              <w:rPr>
                <w:rFonts w:hint="eastAsia"/>
              </w:rPr>
            </w:pPr>
            <w:r>
              <w:rPr>
                <w:rFonts w:hint="eastAsia"/>
              </w:rPr>
              <w:t>公路通车里程</w:t>
            </w:r>
          </w:p>
        </w:tc>
        <w:tc>
          <w:tcPr>
            <w:tcW w:w="782" w:type="pct"/>
            <w:vAlign w:val="center"/>
          </w:tcPr>
          <w:p w14:paraId="1767FF72">
            <w:pPr>
              <w:pStyle w:val="13"/>
              <w:jc w:val="center"/>
              <w:rPr>
                <w:rFonts w:hint="eastAsia"/>
              </w:rPr>
            </w:pPr>
            <w:r>
              <w:rPr>
                <w:rFonts w:hint="eastAsia"/>
              </w:rPr>
              <w:t>公里</w:t>
            </w:r>
          </w:p>
        </w:tc>
        <w:tc>
          <w:tcPr>
            <w:tcW w:w="977" w:type="pct"/>
            <w:vAlign w:val="center"/>
          </w:tcPr>
          <w:p w14:paraId="61B1C885">
            <w:pPr>
              <w:pStyle w:val="13"/>
              <w:jc w:val="center"/>
              <w:rPr>
                <w:rFonts w:hint="eastAsia"/>
              </w:rPr>
            </w:pPr>
            <w:r>
              <w:rPr>
                <w:rFonts w:hint="eastAsia"/>
              </w:rPr>
              <w:t>2122</w:t>
            </w:r>
          </w:p>
        </w:tc>
        <w:tc>
          <w:tcPr>
            <w:tcW w:w="1217" w:type="pct"/>
            <w:vAlign w:val="center"/>
          </w:tcPr>
          <w:p w14:paraId="32F26BA5">
            <w:pPr>
              <w:pStyle w:val="13"/>
              <w:jc w:val="center"/>
              <w:rPr>
                <w:rFonts w:hint="eastAsia"/>
              </w:rPr>
            </w:pPr>
            <w:r>
              <w:rPr>
                <w:rFonts w:hint="eastAsia"/>
              </w:rPr>
              <w:t>10.6</w:t>
            </w:r>
          </w:p>
        </w:tc>
      </w:tr>
      <w:tr w14:paraId="3C4A15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5C6DEC94">
            <w:pPr>
              <w:pStyle w:val="13"/>
              <w:ind w:firstLine="630" w:firstLineChars="300"/>
              <w:jc w:val="left"/>
              <w:rPr>
                <w:rFonts w:hint="eastAsia"/>
              </w:rPr>
            </w:pPr>
            <w:r>
              <w:rPr>
                <w:rFonts w:hint="eastAsia"/>
              </w:rPr>
              <w:t>客运量</w:t>
            </w:r>
          </w:p>
        </w:tc>
        <w:tc>
          <w:tcPr>
            <w:tcW w:w="782" w:type="pct"/>
            <w:vAlign w:val="center"/>
          </w:tcPr>
          <w:p w14:paraId="6C8BB754">
            <w:pPr>
              <w:pStyle w:val="13"/>
              <w:jc w:val="center"/>
              <w:rPr>
                <w:rFonts w:hint="eastAsia"/>
              </w:rPr>
            </w:pPr>
            <w:r>
              <w:rPr>
                <w:rFonts w:hint="eastAsia"/>
              </w:rPr>
              <w:t>万人</w:t>
            </w:r>
          </w:p>
        </w:tc>
        <w:tc>
          <w:tcPr>
            <w:tcW w:w="977" w:type="pct"/>
            <w:vAlign w:val="center"/>
          </w:tcPr>
          <w:p w14:paraId="2C481E3D">
            <w:pPr>
              <w:pStyle w:val="13"/>
              <w:jc w:val="center"/>
              <w:rPr>
                <w:rFonts w:hint="eastAsia"/>
              </w:rPr>
            </w:pPr>
            <w:r>
              <w:rPr>
                <w:rFonts w:hint="eastAsia"/>
              </w:rPr>
              <w:t>284</w:t>
            </w:r>
          </w:p>
        </w:tc>
        <w:tc>
          <w:tcPr>
            <w:tcW w:w="1217" w:type="pct"/>
            <w:vAlign w:val="center"/>
          </w:tcPr>
          <w:p w14:paraId="57C32873">
            <w:pPr>
              <w:pStyle w:val="13"/>
              <w:jc w:val="center"/>
              <w:rPr>
                <w:rFonts w:hint="eastAsia"/>
              </w:rPr>
            </w:pPr>
            <w:r>
              <w:rPr>
                <w:rFonts w:hint="eastAsia"/>
              </w:rPr>
              <w:t>10.2</w:t>
            </w:r>
          </w:p>
        </w:tc>
      </w:tr>
      <w:tr w14:paraId="402E6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60001B8A">
            <w:pPr>
              <w:pStyle w:val="13"/>
              <w:ind w:firstLine="630" w:firstLineChars="300"/>
              <w:jc w:val="left"/>
              <w:rPr>
                <w:rFonts w:hint="eastAsia"/>
              </w:rPr>
            </w:pPr>
            <w:r>
              <w:rPr>
                <w:rFonts w:hint="eastAsia"/>
              </w:rPr>
              <w:t>旅客周转量</w:t>
            </w:r>
          </w:p>
        </w:tc>
        <w:tc>
          <w:tcPr>
            <w:tcW w:w="782" w:type="pct"/>
            <w:vAlign w:val="center"/>
          </w:tcPr>
          <w:p w14:paraId="0E1EC361">
            <w:pPr>
              <w:pStyle w:val="13"/>
              <w:jc w:val="center"/>
              <w:rPr>
                <w:rFonts w:hint="eastAsia"/>
              </w:rPr>
            </w:pPr>
            <w:r>
              <w:rPr>
                <w:rFonts w:hint="eastAsia"/>
              </w:rPr>
              <w:t>万人公里</w:t>
            </w:r>
          </w:p>
        </w:tc>
        <w:tc>
          <w:tcPr>
            <w:tcW w:w="977" w:type="pct"/>
            <w:vAlign w:val="center"/>
          </w:tcPr>
          <w:p w14:paraId="76742A11">
            <w:pPr>
              <w:pStyle w:val="13"/>
              <w:jc w:val="center"/>
              <w:rPr>
                <w:rFonts w:hint="eastAsia"/>
              </w:rPr>
            </w:pPr>
            <w:r>
              <w:rPr>
                <w:rFonts w:hint="eastAsia"/>
              </w:rPr>
              <w:t>19327</w:t>
            </w:r>
          </w:p>
        </w:tc>
        <w:tc>
          <w:tcPr>
            <w:tcW w:w="1217" w:type="pct"/>
            <w:vAlign w:val="center"/>
          </w:tcPr>
          <w:p w14:paraId="656397FC">
            <w:pPr>
              <w:pStyle w:val="13"/>
              <w:jc w:val="center"/>
              <w:rPr>
                <w:rFonts w:hint="eastAsia"/>
              </w:rPr>
            </w:pPr>
            <w:r>
              <w:rPr>
                <w:rFonts w:hint="eastAsia"/>
              </w:rPr>
              <w:t>9.6</w:t>
            </w:r>
          </w:p>
        </w:tc>
      </w:tr>
      <w:tr w14:paraId="48328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2EA0F887">
            <w:pPr>
              <w:pStyle w:val="13"/>
              <w:ind w:firstLine="630" w:firstLineChars="300"/>
              <w:jc w:val="left"/>
              <w:rPr>
                <w:rFonts w:hint="eastAsia"/>
              </w:rPr>
            </w:pPr>
            <w:r>
              <w:rPr>
                <w:rFonts w:hint="eastAsia"/>
              </w:rPr>
              <w:t>货物周转量</w:t>
            </w:r>
          </w:p>
        </w:tc>
        <w:tc>
          <w:tcPr>
            <w:tcW w:w="782" w:type="pct"/>
            <w:vAlign w:val="center"/>
          </w:tcPr>
          <w:p w14:paraId="1EB3362D">
            <w:pPr>
              <w:pStyle w:val="13"/>
              <w:jc w:val="center"/>
              <w:rPr>
                <w:rFonts w:hint="eastAsia"/>
              </w:rPr>
            </w:pPr>
            <w:r>
              <w:rPr>
                <w:rFonts w:hint="eastAsia"/>
              </w:rPr>
              <w:t>万吨公里</w:t>
            </w:r>
          </w:p>
        </w:tc>
        <w:tc>
          <w:tcPr>
            <w:tcW w:w="977" w:type="pct"/>
            <w:vAlign w:val="center"/>
          </w:tcPr>
          <w:p w14:paraId="6C1769BD">
            <w:pPr>
              <w:pStyle w:val="13"/>
              <w:jc w:val="center"/>
              <w:rPr>
                <w:rFonts w:hint="eastAsia"/>
              </w:rPr>
            </w:pPr>
            <w:r>
              <w:rPr>
                <w:rFonts w:hint="eastAsia"/>
              </w:rPr>
              <w:t>14433</w:t>
            </w:r>
          </w:p>
        </w:tc>
        <w:tc>
          <w:tcPr>
            <w:tcW w:w="1217" w:type="pct"/>
            <w:vAlign w:val="center"/>
          </w:tcPr>
          <w:p w14:paraId="7D1BFF35">
            <w:pPr>
              <w:pStyle w:val="13"/>
              <w:jc w:val="center"/>
              <w:rPr>
                <w:rFonts w:hint="eastAsia"/>
              </w:rPr>
            </w:pPr>
            <w:r>
              <w:rPr>
                <w:rFonts w:hint="eastAsia"/>
              </w:rPr>
              <w:t>13.2</w:t>
            </w:r>
          </w:p>
        </w:tc>
      </w:tr>
      <w:tr w14:paraId="2F715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7436BBFD">
            <w:pPr>
              <w:pStyle w:val="13"/>
              <w:ind w:firstLine="630" w:firstLineChars="300"/>
              <w:jc w:val="left"/>
              <w:rPr>
                <w:rFonts w:hint="eastAsia"/>
              </w:rPr>
            </w:pPr>
            <w:r>
              <w:rPr>
                <w:rFonts w:hint="eastAsia"/>
              </w:rPr>
              <w:t>邮政业务总收入</w:t>
            </w:r>
          </w:p>
        </w:tc>
        <w:tc>
          <w:tcPr>
            <w:tcW w:w="782" w:type="pct"/>
            <w:vAlign w:val="center"/>
          </w:tcPr>
          <w:p w14:paraId="1C998059">
            <w:pPr>
              <w:pStyle w:val="13"/>
              <w:jc w:val="center"/>
              <w:rPr>
                <w:rFonts w:hint="eastAsia"/>
              </w:rPr>
            </w:pPr>
            <w:r>
              <w:rPr>
                <w:rFonts w:hint="eastAsia"/>
              </w:rPr>
              <w:t>万元</w:t>
            </w:r>
          </w:p>
        </w:tc>
        <w:tc>
          <w:tcPr>
            <w:tcW w:w="977" w:type="pct"/>
            <w:vAlign w:val="center"/>
          </w:tcPr>
          <w:p w14:paraId="18DB7589">
            <w:pPr>
              <w:pStyle w:val="13"/>
              <w:jc w:val="center"/>
              <w:rPr>
                <w:rFonts w:hint="eastAsia"/>
              </w:rPr>
            </w:pPr>
            <w:r>
              <w:rPr>
                <w:rFonts w:hint="eastAsia"/>
              </w:rPr>
              <w:t>1984</w:t>
            </w:r>
          </w:p>
        </w:tc>
        <w:tc>
          <w:tcPr>
            <w:tcW w:w="1217" w:type="pct"/>
            <w:vAlign w:val="center"/>
          </w:tcPr>
          <w:p w14:paraId="532CF0F1">
            <w:pPr>
              <w:pStyle w:val="13"/>
              <w:jc w:val="center"/>
              <w:rPr>
                <w:rFonts w:hint="eastAsia"/>
              </w:rPr>
            </w:pPr>
            <w:r>
              <w:rPr>
                <w:rFonts w:hint="eastAsia"/>
              </w:rPr>
              <w:t>17.4</w:t>
            </w:r>
          </w:p>
        </w:tc>
      </w:tr>
      <w:tr w14:paraId="08C4B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0F6B03A5">
            <w:pPr>
              <w:pStyle w:val="13"/>
              <w:ind w:firstLine="630" w:firstLineChars="300"/>
              <w:jc w:val="left"/>
              <w:rPr>
                <w:rFonts w:hint="eastAsia"/>
              </w:rPr>
            </w:pPr>
            <w:r>
              <w:rPr>
                <w:rFonts w:hint="eastAsia"/>
              </w:rPr>
              <w:t>电信企业营业收入</w:t>
            </w:r>
          </w:p>
        </w:tc>
        <w:tc>
          <w:tcPr>
            <w:tcW w:w="782" w:type="pct"/>
            <w:vAlign w:val="center"/>
          </w:tcPr>
          <w:p w14:paraId="6159ECD1">
            <w:pPr>
              <w:pStyle w:val="13"/>
              <w:jc w:val="center"/>
              <w:rPr>
                <w:rFonts w:hint="eastAsia"/>
              </w:rPr>
            </w:pPr>
            <w:r>
              <w:rPr>
                <w:rFonts w:hint="eastAsia"/>
              </w:rPr>
              <w:t>万元</w:t>
            </w:r>
          </w:p>
        </w:tc>
        <w:tc>
          <w:tcPr>
            <w:tcW w:w="977" w:type="pct"/>
            <w:vAlign w:val="center"/>
          </w:tcPr>
          <w:p w14:paraId="671F802E">
            <w:pPr>
              <w:pStyle w:val="13"/>
              <w:jc w:val="center"/>
              <w:rPr>
                <w:rFonts w:hint="eastAsia"/>
              </w:rPr>
            </w:pPr>
            <w:r>
              <w:rPr>
                <w:rFonts w:hint="eastAsia"/>
              </w:rPr>
              <w:t>11840</w:t>
            </w:r>
          </w:p>
        </w:tc>
        <w:tc>
          <w:tcPr>
            <w:tcW w:w="1217" w:type="pct"/>
            <w:vAlign w:val="center"/>
          </w:tcPr>
          <w:p w14:paraId="6A844916">
            <w:pPr>
              <w:pStyle w:val="13"/>
              <w:jc w:val="center"/>
              <w:rPr>
                <w:rFonts w:hint="eastAsia"/>
              </w:rPr>
            </w:pPr>
            <w:r>
              <w:rPr>
                <w:rFonts w:hint="eastAsia"/>
              </w:rPr>
              <w:t>6.4</w:t>
            </w:r>
          </w:p>
        </w:tc>
      </w:tr>
      <w:tr w14:paraId="484E1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5698A2B0">
            <w:pPr>
              <w:pStyle w:val="13"/>
              <w:ind w:firstLine="630" w:firstLineChars="300"/>
              <w:jc w:val="left"/>
              <w:rPr>
                <w:rFonts w:hint="eastAsia"/>
              </w:rPr>
            </w:pPr>
            <w:r>
              <w:rPr>
                <w:rFonts w:hint="eastAsia"/>
              </w:rPr>
              <w:t>移动电话户数</w:t>
            </w:r>
          </w:p>
        </w:tc>
        <w:tc>
          <w:tcPr>
            <w:tcW w:w="782" w:type="pct"/>
            <w:vAlign w:val="center"/>
          </w:tcPr>
          <w:p w14:paraId="4443E48E">
            <w:pPr>
              <w:pStyle w:val="13"/>
              <w:jc w:val="center"/>
              <w:rPr>
                <w:rFonts w:hint="eastAsia"/>
              </w:rPr>
            </w:pPr>
            <w:r>
              <w:rPr>
                <w:rFonts w:hint="eastAsia"/>
              </w:rPr>
              <w:t>万户</w:t>
            </w:r>
          </w:p>
        </w:tc>
        <w:tc>
          <w:tcPr>
            <w:tcW w:w="977" w:type="pct"/>
            <w:vAlign w:val="center"/>
          </w:tcPr>
          <w:p w14:paraId="2863F022">
            <w:pPr>
              <w:pStyle w:val="13"/>
              <w:jc w:val="center"/>
              <w:rPr>
                <w:rFonts w:hint="eastAsia"/>
              </w:rPr>
            </w:pPr>
            <w:r>
              <w:rPr>
                <w:rFonts w:hint="eastAsia"/>
              </w:rPr>
              <w:t>18.83</w:t>
            </w:r>
          </w:p>
        </w:tc>
        <w:tc>
          <w:tcPr>
            <w:tcW w:w="1217" w:type="pct"/>
            <w:vAlign w:val="center"/>
          </w:tcPr>
          <w:p w14:paraId="568316EA">
            <w:pPr>
              <w:pStyle w:val="13"/>
              <w:jc w:val="center"/>
              <w:rPr>
                <w:rFonts w:hint="eastAsia"/>
              </w:rPr>
            </w:pPr>
            <w:r>
              <w:rPr>
                <w:rFonts w:hint="eastAsia"/>
              </w:rPr>
              <w:t>11.2</w:t>
            </w:r>
          </w:p>
        </w:tc>
      </w:tr>
      <w:tr w14:paraId="5A951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0D66C853">
            <w:pPr>
              <w:pStyle w:val="13"/>
              <w:ind w:firstLine="630" w:firstLineChars="300"/>
              <w:jc w:val="left"/>
              <w:rPr>
                <w:rFonts w:hint="eastAsia"/>
              </w:rPr>
            </w:pPr>
            <w:r>
              <w:rPr>
                <w:rFonts w:hint="eastAsia"/>
              </w:rPr>
              <w:t>互联网用户</w:t>
            </w:r>
          </w:p>
        </w:tc>
        <w:tc>
          <w:tcPr>
            <w:tcW w:w="782" w:type="pct"/>
            <w:vAlign w:val="center"/>
          </w:tcPr>
          <w:p w14:paraId="60D67566">
            <w:pPr>
              <w:pStyle w:val="13"/>
              <w:jc w:val="center"/>
              <w:rPr>
                <w:rFonts w:hint="eastAsia"/>
              </w:rPr>
            </w:pPr>
            <w:r>
              <w:rPr>
                <w:rFonts w:hint="eastAsia"/>
              </w:rPr>
              <w:t>万户</w:t>
            </w:r>
          </w:p>
        </w:tc>
        <w:tc>
          <w:tcPr>
            <w:tcW w:w="977" w:type="pct"/>
            <w:vAlign w:val="center"/>
          </w:tcPr>
          <w:p w14:paraId="3961A66E">
            <w:pPr>
              <w:pStyle w:val="13"/>
              <w:jc w:val="center"/>
              <w:rPr>
                <w:rFonts w:hint="eastAsia"/>
              </w:rPr>
            </w:pPr>
            <w:r>
              <w:rPr>
                <w:rFonts w:hint="eastAsia"/>
              </w:rPr>
              <w:t>1.63</w:t>
            </w:r>
          </w:p>
        </w:tc>
        <w:tc>
          <w:tcPr>
            <w:tcW w:w="1217" w:type="pct"/>
            <w:vAlign w:val="center"/>
          </w:tcPr>
          <w:p w14:paraId="0C6CA683">
            <w:pPr>
              <w:pStyle w:val="13"/>
              <w:jc w:val="center"/>
              <w:rPr>
                <w:rFonts w:hint="eastAsia"/>
              </w:rPr>
            </w:pPr>
            <w:r>
              <w:rPr>
                <w:rFonts w:hint="eastAsia"/>
              </w:rPr>
              <w:t>15.6</w:t>
            </w:r>
          </w:p>
        </w:tc>
      </w:tr>
      <w:tr w14:paraId="595C3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vAlign w:val="center"/>
          </w:tcPr>
          <w:p w14:paraId="658657FC">
            <w:pPr>
              <w:pStyle w:val="13"/>
              <w:jc w:val="left"/>
              <w:rPr>
                <w:rFonts w:hint="eastAsia"/>
              </w:rPr>
            </w:pPr>
            <w:r>
              <w:rPr>
                <w:rFonts w:hint="eastAsia"/>
              </w:rPr>
              <w:t>六、投资</w:t>
            </w:r>
          </w:p>
        </w:tc>
      </w:tr>
      <w:tr w14:paraId="42365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44A1EC87">
            <w:pPr>
              <w:pStyle w:val="13"/>
              <w:ind w:firstLine="210" w:firstLineChars="100"/>
              <w:jc w:val="left"/>
              <w:rPr>
                <w:rFonts w:hint="eastAsia"/>
              </w:rPr>
            </w:pPr>
            <w:r>
              <w:rPr>
                <w:rFonts w:hint="eastAsia"/>
              </w:rPr>
              <w:t>全社会固定资产投资完成额</w:t>
            </w:r>
          </w:p>
        </w:tc>
        <w:tc>
          <w:tcPr>
            <w:tcW w:w="782" w:type="pct"/>
            <w:vAlign w:val="center"/>
          </w:tcPr>
          <w:p w14:paraId="71E89701">
            <w:pPr>
              <w:pStyle w:val="13"/>
              <w:jc w:val="center"/>
              <w:rPr>
                <w:rFonts w:hint="eastAsia"/>
              </w:rPr>
            </w:pPr>
            <w:r>
              <w:rPr>
                <w:rFonts w:hint="eastAsia"/>
              </w:rPr>
              <w:t>万元</w:t>
            </w:r>
          </w:p>
        </w:tc>
        <w:tc>
          <w:tcPr>
            <w:tcW w:w="977" w:type="pct"/>
            <w:vAlign w:val="center"/>
          </w:tcPr>
          <w:p w14:paraId="2F62FCC6">
            <w:pPr>
              <w:pStyle w:val="13"/>
              <w:jc w:val="center"/>
              <w:rPr>
                <w:rFonts w:hint="eastAsia"/>
              </w:rPr>
            </w:pPr>
            <w:r>
              <w:rPr>
                <w:rFonts w:hint="eastAsia"/>
              </w:rPr>
              <w:t>580336</w:t>
            </w:r>
          </w:p>
        </w:tc>
        <w:tc>
          <w:tcPr>
            <w:tcW w:w="1217" w:type="pct"/>
            <w:vAlign w:val="center"/>
          </w:tcPr>
          <w:p w14:paraId="26AC61C5">
            <w:pPr>
              <w:pStyle w:val="13"/>
              <w:jc w:val="center"/>
              <w:rPr>
                <w:rFonts w:hint="eastAsia"/>
              </w:rPr>
            </w:pPr>
            <w:r>
              <w:rPr>
                <w:rFonts w:hint="eastAsia"/>
              </w:rPr>
              <w:t>35.1</w:t>
            </w:r>
          </w:p>
        </w:tc>
      </w:tr>
      <w:tr w14:paraId="03E4F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73D82161">
            <w:pPr>
              <w:pStyle w:val="13"/>
              <w:ind w:firstLine="420" w:firstLineChars="200"/>
              <w:jc w:val="left"/>
              <w:rPr>
                <w:rFonts w:hint="eastAsia"/>
              </w:rPr>
            </w:pPr>
            <w:r>
              <w:rPr>
                <w:rFonts w:hint="eastAsia"/>
              </w:rPr>
              <w:t>1、国有及国有控股经济</w:t>
            </w:r>
          </w:p>
        </w:tc>
        <w:tc>
          <w:tcPr>
            <w:tcW w:w="782" w:type="pct"/>
            <w:vAlign w:val="center"/>
          </w:tcPr>
          <w:p w14:paraId="2DFFDD38">
            <w:pPr>
              <w:pStyle w:val="13"/>
              <w:jc w:val="center"/>
              <w:rPr>
                <w:rFonts w:hint="eastAsia"/>
              </w:rPr>
            </w:pPr>
            <w:r>
              <w:rPr>
                <w:rFonts w:hint="eastAsia"/>
              </w:rPr>
              <w:t>万元</w:t>
            </w:r>
          </w:p>
        </w:tc>
        <w:tc>
          <w:tcPr>
            <w:tcW w:w="977" w:type="pct"/>
            <w:vAlign w:val="center"/>
          </w:tcPr>
          <w:p w14:paraId="63CC0584">
            <w:pPr>
              <w:pStyle w:val="13"/>
              <w:jc w:val="center"/>
              <w:rPr>
                <w:rFonts w:hint="eastAsia"/>
              </w:rPr>
            </w:pPr>
            <w:r>
              <w:rPr>
                <w:rFonts w:hint="eastAsia"/>
              </w:rPr>
              <w:t>279028</w:t>
            </w:r>
          </w:p>
        </w:tc>
        <w:tc>
          <w:tcPr>
            <w:tcW w:w="1217" w:type="pct"/>
            <w:vAlign w:val="center"/>
          </w:tcPr>
          <w:p w14:paraId="30A6E6A7">
            <w:pPr>
              <w:pStyle w:val="13"/>
              <w:jc w:val="center"/>
              <w:rPr>
                <w:rFonts w:hint="eastAsia"/>
              </w:rPr>
            </w:pPr>
            <w:r>
              <w:rPr>
                <w:rFonts w:hint="eastAsia"/>
              </w:rPr>
              <w:t>40.5</w:t>
            </w:r>
          </w:p>
        </w:tc>
      </w:tr>
      <w:tr w14:paraId="48337F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264541CA">
            <w:pPr>
              <w:pStyle w:val="13"/>
              <w:ind w:firstLine="420" w:firstLineChars="200"/>
              <w:jc w:val="left"/>
              <w:rPr>
                <w:rFonts w:hint="eastAsia"/>
              </w:rPr>
            </w:pPr>
            <w:r>
              <w:rPr>
                <w:rFonts w:hint="eastAsia"/>
              </w:rPr>
              <w:t>2、民营经济</w:t>
            </w:r>
          </w:p>
        </w:tc>
        <w:tc>
          <w:tcPr>
            <w:tcW w:w="782" w:type="pct"/>
            <w:vAlign w:val="center"/>
          </w:tcPr>
          <w:p w14:paraId="2E26A32F">
            <w:pPr>
              <w:pStyle w:val="13"/>
              <w:jc w:val="center"/>
              <w:rPr>
                <w:rFonts w:hint="eastAsia"/>
              </w:rPr>
            </w:pPr>
            <w:r>
              <w:rPr>
                <w:rFonts w:hint="eastAsia"/>
              </w:rPr>
              <w:t>万元</w:t>
            </w:r>
          </w:p>
        </w:tc>
        <w:tc>
          <w:tcPr>
            <w:tcW w:w="977" w:type="pct"/>
            <w:vAlign w:val="center"/>
          </w:tcPr>
          <w:p w14:paraId="1B2C32F1">
            <w:pPr>
              <w:pStyle w:val="13"/>
              <w:jc w:val="center"/>
              <w:rPr>
                <w:rFonts w:hint="eastAsia"/>
              </w:rPr>
            </w:pPr>
            <w:r>
              <w:rPr>
                <w:rFonts w:hint="eastAsia"/>
              </w:rPr>
              <w:t>301308</w:t>
            </w:r>
          </w:p>
        </w:tc>
        <w:tc>
          <w:tcPr>
            <w:tcW w:w="1217" w:type="pct"/>
            <w:vAlign w:val="center"/>
          </w:tcPr>
          <w:p w14:paraId="2F296BE2">
            <w:pPr>
              <w:pStyle w:val="13"/>
              <w:jc w:val="center"/>
              <w:rPr>
                <w:rFonts w:hint="eastAsia"/>
              </w:rPr>
            </w:pPr>
            <w:r>
              <w:rPr>
                <w:rFonts w:hint="eastAsia"/>
              </w:rPr>
              <w:t>30.9</w:t>
            </w:r>
          </w:p>
        </w:tc>
      </w:tr>
      <w:tr w14:paraId="6CAF3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1C15C4A6">
            <w:pPr>
              <w:pStyle w:val="13"/>
              <w:ind w:firstLine="420" w:firstLineChars="200"/>
              <w:jc w:val="left"/>
              <w:rPr>
                <w:rFonts w:hint="eastAsia"/>
              </w:rPr>
            </w:pPr>
            <w:r>
              <w:rPr>
                <w:rFonts w:hint="eastAsia"/>
              </w:rPr>
              <w:t>3、外商及港澳台投资经济</w:t>
            </w:r>
          </w:p>
        </w:tc>
        <w:tc>
          <w:tcPr>
            <w:tcW w:w="782" w:type="pct"/>
            <w:vAlign w:val="center"/>
          </w:tcPr>
          <w:p w14:paraId="106EA3E6">
            <w:pPr>
              <w:pStyle w:val="13"/>
              <w:jc w:val="center"/>
              <w:rPr>
                <w:rFonts w:hint="eastAsia"/>
              </w:rPr>
            </w:pPr>
            <w:r>
              <w:rPr>
                <w:rFonts w:hint="eastAsia"/>
              </w:rPr>
              <w:t>万元</w:t>
            </w:r>
          </w:p>
        </w:tc>
        <w:tc>
          <w:tcPr>
            <w:tcW w:w="977" w:type="pct"/>
            <w:vAlign w:val="center"/>
          </w:tcPr>
          <w:p w14:paraId="3A453BD2">
            <w:pPr>
              <w:pStyle w:val="13"/>
              <w:jc w:val="center"/>
              <w:rPr>
                <w:rFonts w:hint="eastAsia"/>
              </w:rPr>
            </w:pPr>
            <w:r>
              <w:rPr>
                <w:rFonts w:hint="eastAsia"/>
              </w:rPr>
              <w:t>0</w:t>
            </w:r>
          </w:p>
        </w:tc>
        <w:tc>
          <w:tcPr>
            <w:tcW w:w="1217" w:type="pct"/>
            <w:vAlign w:val="center"/>
          </w:tcPr>
          <w:p w14:paraId="1969CAE4">
            <w:pPr>
              <w:pStyle w:val="13"/>
              <w:jc w:val="center"/>
              <w:rPr>
                <w:rFonts w:hint="eastAsia"/>
              </w:rPr>
            </w:pPr>
          </w:p>
        </w:tc>
      </w:tr>
      <w:tr w14:paraId="56572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64DC0F21">
            <w:pPr>
              <w:pStyle w:val="13"/>
              <w:ind w:firstLine="420" w:firstLineChars="200"/>
              <w:jc w:val="left"/>
              <w:rPr>
                <w:rFonts w:hint="eastAsia"/>
              </w:rPr>
            </w:pPr>
            <w:r>
              <w:rPr>
                <w:rFonts w:hint="eastAsia"/>
              </w:rPr>
              <w:t>4、房地产投资</w:t>
            </w:r>
          </w:p>
        </w:tc>
        <w:tc>
          <w:tcPr>
            <w:tcW w:w="782" w:type="pct"/>
            <w:vAlign w:val="center"/>
          </w:tcPr>
          <w:p w14:paraId="52D960C2">
            <w:pPr>
              <w:pStyle w:val="13"/>
              <w:jc w:val="center"/>
              <w:rPr>
                <w:rFonts w:hint="eastAsia"/>
              </w:rPr>
            </w:pPr>
            <w:r>
              <w:rPr>
                <w:rFonts w:hint="eastAsia"/>
              </w:rPr>
              <w:t>万元</w:t>
            </w:r>
          </w:p>
        </w:tc>
        <w:tc>
          <w:tcPr>
            <w:tcW w:w="977" w:type="pct"/>
            <w:vAlign w:val="center"/>
          </w:tcPr>
          <w:p w14:paraId="67791D91">
            <w:pPr>
              <w:pStyle w:val="13"/>
              <w:jc w:val="center"/>
              <w:rPr>
                <w:rFonts w:hint="eastAsia"/>
              </w:rPr>
            </w:pPr>
            <w:r>
              <w:rPr>
                <w:rFonts w:hint="eastAsia"/>
              </w:rPr>
              <w:t>33155</w:t>
            </w:r>
          </w:p>
        </w:tc>
        <w:tc>
          <w:tcPr>
            <w:tcW w:w="1217" w:type="pct"/>
            <w:vAlign w:val="center"/>
          </w:tcPr>
          <w:p w14:paraId="72D28BCF">
            <w:pPr>
              <w:pStyle w:val="13"/>
              <w:jc w:val="center"/>
              <w:rPr>
                <w:rFonts w:hint="eastAsia"/>
              </w:rPr>
            </w:pPr>
            <w:r>
              <w:rPr>
                <w:rFonts w:hint="eastAsia"/>
              </w:rPr>
              <w:t>16.1</w:t>
            </w:r>
          </w:p>
        </w:tc>
      </w:tr>
      <w:tr w14:paraId="75A90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vAlign w:val="center"/>
          </w:tcPr>
          <w:p w14:paraId="519349DA">
            <w:pPr>
              <w:pStyle w:val="13"/>
              <w:jc w:val="left"/>
              <w:rPr>
                <w:rFonts w:hint="eastAsia"/>
              </w:rPr>
            </w:pPr>
            <w:r>
              <w:rPr>
                <w:rFonts w:hint="eastAsia"/>
              </w:rPr>
              <w:t>七、贸易</w:t>
            </w:r>
          </w:p>
        </w:tc>
      </w:tr>
      <w:tr w14:paraId="5AD0E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52F24464">
            <w:pPr>
              <w:pStyle w:val="13"/>
              <w:ind w:firstLine="420" w:firstLineChars="200"/>
              <w:jc w:val="left"/>
              <w:rPr>
                <w:rFonts w:hint="eastAsia"/>
              </w:rPr>
            </w:pPr>
            <w:r>
              <w:rPr>
                <w:rFonts w:hint="eastAsia"/>
              </w:rPr>
              <w:t>社会消费品零售总额</w:t>
            </w:r>
          </w:p>
        </w:tc>
        <w:tc>
          <w:tcPr>
            <w:tcW w:w="782" w:type="pct"/>
            <w:vAlign w:val="center"/>
          </w:tcPr>
          <w:p w14:paraId="3E05752C">
            <w:pPr>
              <w:pStyle w:val="13"/>
              <w:jc w:val="center"/>
              <w:rPr>
                <w:rFonts w:hint="eastAsia"/>
              </w:rPr>
            </w:pPr>
            <w:r>
              <w:rPr>
                <w:rFonts w:hint="eastAsia"/>
              </w:rPr>
              <w:t>万元</w:t>
            </w:r>
          </w:p>
        </w:tc>
        <w:tc>
          <w:tcPr>
            <w:tcW w:w="977" w:type="pct"/>
            <w:vAlign w:val="center"/>
          </w:tcPr>
          <w:p w14:paraId="2AC53A76">
            <w:pPr>
              <w:pStyle w:val="13"/>
              <w:jc w:val="center"/>
              <w:rPr>
                <w:rFonts w:hint="eastAsia"/>
              </w:rPr>
            </w:pPr>
            <w:r>
              <w:rPr>
                <w:rFonts w:hint="eastAsia"/>
              </w:rPr>
              <w:t>245345</w:t>
            </w:r>
          </w:p>
        </w:tc>
        <w:tc>
          <w:tcPr>
            <w:tcW w:w="1217" w:type="pct"/>
            <w:vAlign w:val="center"/>
          </w:tcPr>
          <w:p w14:paraId="7E805545">
            <w:pPr>
              <w:pStyle w:val="13"/>
              <w:jc w:val="center"/>
              <w:rPr>
                <w:rFonts w:hint="eastAsia"/>
              </w:rPr>
            </w:pPr>
            <w:r>
              <w:rPr>
                <w:rFonts w:hint="eastAsia"/>
              </w:rPr>
              <w:t>18.2</w:t>
            </w:r>
          </w:p>
        </w:tc>
      </w:tr>
      <w:tr w14:paraId="776E3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42FFA0CD">
            <w:pPr>
              <w:pStyle w:val="13"/>
              <w:ind w:firstLine="420" w:firstLineChars="200"/>
              <w:jc w:val="left"/>
              <w:rPr>
                <w:rFonts w:hint="eastAsia"/>
              </w:rPr>
            </w:pPr>
            <w:r>
              <w:rPr>
                <w:rFonts w:hint="eastAsia"/>
              </w:rPr>
              <w:t>外贸出口总额</w:t>
            </w:r>
          </w:p>
        </w:tc>
        <w:tc>
          <w:tcPr>
            <w:tcW w:w="782" w:type="pct"/>
            <w:vAlign w:val="center"/>
          </w:tcPr>
          <w:p w14:paraId="6E9D152C">
            <w:pPr>
              <w:pStyle w:val="13"/>
              <w:jc w:val="center"/>
              <w:rPr>
                <w:rFonts w:hint="eastAsia"/>
              </w:rPr>
            </w:pPr>
            <w:r>
              <w:rPr>
                <w:rFonts w:hint="eastAsia"/>
              </w:rPr>
              <w:t>万美元</w:t>
            </w:r>
          </w:p>
        </w:tc>
        <w:tc>
          <w:tcPr>
            <w:tcW w:w="977" w:type="pct"/>
            <w:vAlign w:val="center"/>
          </w:tcPr>
          <w:p w14:paraId="55AEEFF0">
            <w:pPr>
              <w:pStyle w:val="13"/>
              <w:jc w:val="center"/>
              <w:rPr>
                <w:rFonts w:hint="eastAsia"/>
              </w:rPr>
            </w:pPr>
            <w:r>
              <w:rPr>
                <w:rFonts w:hint="eastAsia"/>
              </w:rPr>
              <w:t>2003</w:t>
            </w:r>
          </w:p>
        </w:tc>
        <w:tc>
          <w:tcPr>
            <w:tcW w:w="1217" w:type="pct"/>
            <w:vAlign w:val="center"/>
          </w:tcPr>
          <w:p w14:paraId="3F662E74">
            <w:pPr>
              <w:pStyle w:val="13"/>
              <w:jc w:val="center"/>
              <w:rPr>
                <w:rFonts w:hint="eastAsia"/>
              </w:rPr>
            </w:pPr>
            <w:r>
              <w:rPr>
                <w:rFonts w:hint="eastAsia"/>
              </w:rPr>
              <w:t>16.8</w:t>
            </w:r>
          </w:p>
        </w:tc>
      </w:tr>
      <w:tr w14:paraId="0990E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63963860">
            <w:pPr>
              <w:pStyle w:val="13"/>
              <w:ind w:firstLine="420" w:firstLineChars="200"/>
              <w:jc w:val="left"/>
              <w:rPr>
                <w:rFonts w:hint="eastAsia"/>
              </w:rPr>
            </w:pPr>
            <w:r>
              <w:rPr>
                <w:rFonts w:hint="eastAsia"/>
              </w:rPr>
              <w:t>当年签订合同数</w:t>
            </w:r>
          </w:p>
        </w:tc>
        <w:tc>
          <w:tcPr>
            <w:tcW w:w="782" w:type="pct"/>
            <w:vAlign w:val="center"/>
          </w:tcPr>
          <w:p w14:paraId="2F227194">
            <w:pPr>
              <w:pStyle w:val="13"/>
              <w:jc w:val="center"/>
              <w:rPr>
                <w:rFonts w:hint="eastAsia"/>
              </w:rPr>
            </w:pPr>
            <w:r>
              <w:rPr>
                <w:rFonts w:hint="eastAsia"/>
              </w:rPr>
              <w:t>宗</w:t>
            </w:r>
          </w:p>
        </w:tc>
        <w:tc>
          <w:tcPr>
            <w:tcW w:w="977" w:type="pct"/>
            <w:vAlign w:val="center"/>
          </w:tcPr>
          <w:p w14:paraId="607814C3">
            <w:pPr>
              <w:pStyle w:val="13"/>
              <w:jc w:val="center"/>
              <w:rPr>
                <w:rFonts w:hint="eastAsia"/>
              </w:rPr>
            </w:pPr>
            <w:r>
              <w:rPr>
                <w:rFonts w:hint="eastAsia"/>
              </w:rPr>
              <w:t>39</w:t>
            </w:r>
          </w:p>
        </w:tc>
        <w:tc>
          <w:tcPr>
            <w:tcW w:w="1217" w:type="pct"/>
            <w:vAlign w:val="center"/>
          </w:tcPr>
          <w:p w14:paraId="0BB54EF7">
            <w:pPr>
              <w:pStyle w:val="13"/>
              <w:jc w:val="center"/>
              <w:rPr>
                <w:rFonts w:hint="eastAsia"/>
              </w:rPr>
            </w:pPr>
            <w:r>
              <w:rPr>
                <w:rFonts w:hint="eastAsia"/>
              </w:rPr>
              <w:t>6.8倍</w:t>
            </w:r>
          </w:p>
        </w:tc>
      </w:tr>
      <w:tr w14:paraId="42DBA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5FCBCC33">
            <w:pPr>
              <w:pStyle w:val="13"/>
              <w:ind w:firstLine="420" w:firstLineChars="200"/>
              <w:jc w:val="left"/>
              <w:rPr>
                <w:rFonts w:hint="eastAsia"/>
              </w:rPr>
            </w:pPr>
            <w:r>
              <w:rPr>
                <w:rFonts w:hint="eastAsia"/>
              </w:rPr>
              <w:t>实际利用外来资金</w:t>
            </w:r>
          </w:p>
        </w:tc>
        <w:tc>
          <w:tcPr>
            <w:tcW w:w="782" w:type="pct"/>
            <w:vAlign w:val="center"/>
          </w:tcPr>
          <w:p w14:paraId="74ECA108">
            <w:pPr>
              <w:pStyle w:val="13"/>
              <w:jc w:val="center"/>
              <w:rPr>
                <w:rFonts w:hint="eastAsia"/>
              </w:rPr>
            </w:pPr>
            <w:r>
              <w:rPr>
                <w:rFonts w:hint="eastAsia"/>
              </w:rPr>
              <w:t>万美元</w:t>
            </w:r>
          </w:p>
        </w:tc>
        <w:tc>
          <w:tcPr>
            <w:tcW w:w="977" w:type="pct"/>
            <w:vAlign w:val="center"/>
          </w:tcPr>
          <w:p w14:paraId="55031567">
            <w:pPr>
              <w:pStyle w:val="13"/>
              <w:jc w:val="center"/>
              <w:rPr>
                <w:rFonts w:hint="eastAsia"/>
              </w:rPr>
            </w:pPr>
            <w:r>
              <w:rPr>
                <w:rFonts w:hint="eastAsia"/>
              </w:rPr>
              <w:t>1800</w:t>
            </w:r>
          </w:p>
        </w:tc>
        <w:tc>
          <w:tcPr>
            <w:tcW w:w="1217" w:type="pct"/>
            <w:vAlign w:val="center"/>
          </w:tcPr>
          <w:p w14:paraId="4DC14A4B">
            <w:pPr>
              <w:pStyle w:val="13"/>
              <w:jc w:val="center"/>
              <w:rPr>
                <w:rFonts w:hint="eastAsia"/>
              </w:rPr>
            </w:pPr>
            <w:r>
              <w:rPr>
                <w:rFonts w:hint="eastAsia"/>
              </w:rPr>
              <w:t>10</w:t>
            </w:r>
          </w:p>
        </w:tc>
      </w:tr>
      <w:tr w14:paraId="2843E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vAlign w:val="center"/>
          </w:tcPr>
          <w:p w14:paraId="45ECFD1E">
            <w:pPr>
              <w:pStyle w:val="13"/>
              <w:jc w:val="left"/>
              <w:rPr>
                <w:rFonts w:hint="eastAsia"/>
              </w:rPr>
            </w:pPr>
            <w:r>
              <w:rPr>
                <w:rFonts w:hint="eastAsia"/>
              </w:rPr>
              <w:t>八、教育</w:t>
            </w:r>
          </w:p>
        </w:tc>
      </w:tr>
      <w:tr w14:paraId="76AF1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45535974">
            <w:pPr>
              <w:pStyle w:val="13"/>
              <w:ind w:firstLine="420" w:firstLineChars="200"/>
              <w:jc w:val="left"/>
              <w:rPr>
                <w:rFonts w:hint="eastAsia"/>
              </w:rPr>
            </w:pPr>
            <w:r>
              <w:rPr>
                <w:rFonts w:hint="eastAsia"/>
              </w:rPr>
              <w:t>学校间数</w:t>
            </w:r>
          </w:p>
        </w:tc>
        <w:tc>
          <w:tcPr>
            <w:tcW w:w="782" w:type="pct"/>
            <w:vAlign w:val="center"/>
          </w:tcPr>
          <w:p w14:paraId="28BC8AC3">
            <w:pPr>
              <w:pStyle w:val="13"/>
              <w:jc w:val="center"/>
              <w:rPr>
                <w:rFonts w:hint="eastAsia"/>
              </w:rPr>
            </w:pPr>
            <w:r>
              <w:rPr>
                <w:rFonts w:hint="eastAsia"/>
              </w:rPr>
              <w:t>间</w:t>
            </w:r>
          </w:p>
        </w:tc>
        <w:tc>
          <w:tcPr>
            <w:tcW w:w="977" w:type="pct"/>
            <w:vAlign w:val="center"/>
          </w:tcPr>
          <w:p w14:paraId="736CB37A">
            <w:pPr>
              <w:pStyle w:val="13"/>
              <w:jc w:val="center"/>
              <w:rPr>
                <w:rFonts w:hint="eastAsia"/>
              </w:rPr>
            </w:pPr>
            <w:r>
              <w:rPr>
                <w:rFonts w:hint="eastAsia"/>
              </w:rPr>
              <w:t>137</w:t>
            </w:r>
          </w:p>
        </w:tc>
        <w:tc>
          <w:tcPr>
            <w:tcW w:w="1217" w:type="pct"/>
            <w:vAlign w:val="center"/>
          </w:tcPr>
          <w:p w14:paraId="531BFECE">
            <w:pPr>
              <w:pStyle w:val="13"/>
              <w:jc w:val="center"/>
              <w:rPr>
                <w:rFonts w:hint="eastAsia"/>
              </w:rPr>
            </w:pPr>
            <w:r>
              <w:rPr>
                <w:rFonts w:hint="eastAsia"/>
              </w:rPr>
              <w:t>-3.5</w:t>
            </w:r>
          </w:p>
        </w:tc>
      </w:tr>
      <w:tr w14:paraId="6553C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0A7F2219">
            <w:pPr>
              <w:pStyle w:val="13"/>
              <w:ind w:firstLine="420" w:firstLineChars="200"/>
              <w:jc w:val="left"/>
              <w:rPr>
                <w:rFonts w:hint="eastAsia"/>
              </w:rPr>
            </w:pPr>
            <w:r>
              <w:rPr>
                <w:rFonts w:hint="eastAsia"/>
              </w:rPr>
              <w:t>专任教师</w:t>
            </w:r>
          </w:p>
        </w:tc>
        <w:tc>
          <w:tcPr>
            <w:tcW w:w="782" w:type="pct"/>
            <w:vAlign w:val="center"/>
          </w:tcPr>
          <w:p w14:paraId="57033B2B">
            <w:pPr>
              <w:pStyle w:val="13"/>
              <w:jc w:val="center"/>
              <w:rPr>
                <w:rFonts w:hint="eastAsia"/>
              </w:rPr>
            </w:pPr>
            <w:r>
              <w:rPr>
                <w:rFonts w:hint="eastAsia"/>
              </w:rPr>
              <w:t>人</w:t>
            </w:r>
          </w:p>
        </w:tc>
        <w:tc>
          <w:tcPr>
            <w:tcW w:w="977" w:type="pct"/>
            <w:vAlign w:val="center"/>
          </w:tcPr>
          <w:p w14:paraId="2D2ACE0E">
            <w:pPr>
              <w:pStyle w:val="13"/>
              <w:jc w:val="center"/>
              <w:rPr>
                <w:rFonts w:hint="eastAsia"/>
              </w:rPr>
            </w:pPr>
            <w:r>
              <w:rPr>
                <w:rFonts w:hint="eastAsia"/>
              </w:rPr>
              <w:t>4527</w:t>
            </w:r>
          </w:p>
        </w:tc>
        <w:tc>
          <w:tcPr>
            <w:tcW w:w="1217" w:type="pct"/>
            <w:vAlign w:val="center"/>
          </w:tcPr>
          <w:p w14:paraId="3527D39D">
            <w:pPr>
              <w:pStyle w:val="13"/>
              <w:jc w:val="center"/>
              <w:rPr>
                <w:rFonts w:hint="eastAsia"/>
              </w:rPr>
            </w:pPr>
            <w:r>
              <w:rPr>
                <w:rFonts w:hint="eastAsia"/>
              </w:rPr>
              <w:t>1.9</w:t>
            </w:r>
          </w:p>
        </w:tc>
      </w:tr>
      <w:tr w14:paraId="1E1985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5E8A3468">
            <w:pPr>
              <w:pStyle w:val="13"/>
              <w:ind w:firstLine="420" w:firstLineChars="200"/>
              <w:jc w:val="left"/>
              <w:rPr>
                <w:rFonts w:hint="eastAsia"/>
              </w:rPr>
            </w:pPr>
            <w:r>
              <w:rPr>
                <w:rFonts w:hint="eastAsia"/>
              </w:rPr>
              <w:t>在校学生</w:t>
            </w:r>
          </w:p>
        </w:tc>
        <w:tc>
          <w:tcPr>
            <w:tcW w:w="782" w:type="pct"/>
            <w:vAlign w:val="center"/>
          </w:tcPr>
          <w:p w14:paraId="2A2AF9F6">
            <w:pPr>
              <w:pStyle w:val="13"/>
              <w:jc w:val="center"/>
              <w:rPr>
                <w:rFonts w:hint="eastAsia"/>
              </w:rPr>
            </w:pPr>
            <w:r>
              <w:rPr>
                <w:rFonts w:hint="eastAsia"/>
              </w:rPr>
              <w:t>万人</w:t>
            </w:r>
          </w:p>
        </w:tc>
        <w:tc>
          <w:tcPr>
            <w:tcW w:w="977" w:type="pct"/>
            <w:vAlign w:val="center"/>
          </w:tcPr>
          <w:p w14:paraId="2E4B7DD7">
            <w:pPr>
              <w:pStyle w:val="13"/>
              <w:jc w:val="center"/>
              <w:rPr>
                <w:rFonts w:hint="eastAsia"/>
              </w:rPr>
            </w:pPr>
            <w:r>
              <w:rPr>
                <w:rFonts w:hint="eastAsia"/>
              </w:rPr>
              <w:t>7.35</w:t>
            </w:r>
          </w:p>
        </w:tc>
        <w:tc>
          <w:tcPr>
            <w:tcW w:w="1217" w:type="pct"/>
            <w:vAlign w:val="center"/>
          </w:tcPr>
          <w:p w14:paraId="7FF4D890">
            <w:pPr>
              <w:pStyle w:val="13"/>
              <w:jc w:val="center"/>
              <w:rPr>
                <w:rFonts w:hint="eastAsia"/>
              </w:rPr>
            </w:pPr>
            <w:r>
              <w:rPr>
                <w:rFonts w:hint="eastAsia"/>
              </w:rPr>
              <w:t>0.1</w:t>
            </w:r>
          </w:p>
        </w:tc>
      </w:tr>
      <w:tr w14:paraId="55E6A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5CE443FF">
            <w:pPr>
              <w:pStyle w:val="13"/>
              <w:ind w:firstLine="420" w:firstLineChars="200"/>
              <w:jc w:val="left"/>
              <w:rPr>
                <w:rFonts w:hint="eastAsia"/>
              </w:rPr>
            </w:pPr>
            <w:r>
              <w:rPr>
                <w:rFonts w:hint="eastAsia"/>
              </w:rPr>
              <w:t>学龄儿童入学率</w:t>
            </w:r>
          </w:p>
        </w:tc>
        <w:tc>
          <w:tcPr>
            <w:tcW w:w="782" w:type="pct"/>
            <w:vAlign w:val="center"/>
          </w:tcPr>
          <w:p w14:paraId="31CCBBB0">
            <w:pPr>
              <w:pStyle w:val="13"/>
              <w:jc w:val="center"/>
              <w:rPr>
                <w:rFonts w:hint="eastAsia"/>
              </w:rPr>
            </w:pPr>
            <w:r>
              <w:rPr>
                <w:rFonts w:hint="eastAsia"/>
              </w:rPr>
              <w:t>%</w:t>
            </w:r>
          </w:p>
        </w:tc>
        <w:tc>
          <w:tcPr>
            <w:tcW w:w="977" w:type="pct"/>
            <w:vAlign w:val="center"/>
          </w:tcPr>
          <w:p w14:paraId="7FBFA6F6">
            <w:pPr>
              <w:pStyle w:val="13"/>
              <w:jc w:val="center"/>
              <w:rPr>
                <w:rFonts w:hint="eastAsia"/>
              </w:rPr>
            </w:pPr>
            <w:r>
              <w:rPr>
                <w:rFonts w:hint="eastAsia"/>
              </w:rPr>
              <w:t>100</w:t>
            </w:r>
          </w:p>
        </w:tc>
        <w:tc>
          <w:tcPr>
            <w:tcW w:w="1217" w:type="pct"/>
            <w:vAlign w:val="center"/>
          </w:tcPr>
          <w:p w14:paraId="17296551">
            <w:pPr>
              <w:pStyle w:val="13"/>
              <w:jc w:val="center"/>
              <w:rPr>
                <w:rFonts w:hint="eastAsia"/>
              </w:rPr>
            </w:pPr>
            <w:r>
              <w:rPr>
                <w:rFonts w:hint="eastAsia"/>
              </w:rPr>
              <w:t>——</w:t>
            </w:r>
          </w:p>
        </w:tc>
      </w:tr>
      <w:tr w14:paraId="1C79D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6B31724C">
            <w:pPr>
              <w:pStyle w:val="13"/>
              <w:ind w:firstLine="420" w:firstLineChars="200"/>
              <w:jc w:val="left"/>
              <w:rPr>
                <w:rFonts w:hint="eastAsia"/>
              </w:rPr>
            </w:pPr>
            <w:r>
              <w:rPr>
                <w:rFonts w:hint="eastAsia"/>
              </w:rPr>
              <w:t>小学升学率</w:t>
            </w:r>
          </w:p>
        </w:tc>
        <w:tc>
          <w:tcPr>
            <w:tcW w:w="782" w:type="pct"/>
            <w:vAlign w:val="center"/>
          </w:tcPr>
          <w:p w14:paraId="6AE20208">
            <w:pPr>
              <w:pStyle w:val="13"/>
              <w:jc w:val="center"/>
              <w:rPr>
                <w:rFonts w:hint="eastAsia"/>
              </w:rPr>
            </w:pPr>
            <w:r>
              <w:rPr>
                <w:rFonts w:hint="eastAsia"/>
              </w:rPr>
              <w:t>%</w:t>
            </w:r>
          </w:p>
        </w:tc>
        <w:tc>
          <w:tcPr>
            <w:tcW w:w="977" w:type="pct"/>
            <w:vAlign w:val="center"/>
          </w:tcPr>
          <w:p w14:paraId="4080F869">
            <w:pPr>
              <w:pStyle w:val="13"/>
              <w:jc w:val="center"/>
              <w:rPr>
                <w:rFonts w:hint="eastAsia"/>
              </w:rPr>
            </w:pPr>
            <w:r>
              <w:rPr>
                <w:rFonts w:hint="eastAsia"/>
              </w:rPr>
              <w:t>100</w:t>
            </w:r>
          </w:p>
        </w:tc>
        <w:tc>
          <w:tcPr>
            <w:tcW w:w="1217" w:type="pct"/>
            <w:vAlign w:val="center"/>
          </w:tcPr>
          <w:p w14:paraId="3FD330F7">
            <w:pPr>
              <w:pStyle w:val="13"/>
              <w:jc w:val="center"/>
              <w:rPr>
                <w:rFonts w:hint="eastAsia"/>
              </w:rPr>
            </w:pPr>
            <w:r>
              <w:rPr>
                <w:rFonts w:hint="eastAsia"/>
              </w:rPr>
              <w:t>——</w:t>
            </w:r>
          </w:p>
        </w:tc>
      </w:tr>
      <w:tr w14:paraId="21030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vAlign w:val="center"/>
          </w:tcPr>
          <w:p w14:paraId="501FED6E">
            <w:pPr>
              <w:pStyle w:val="13"/>
              <w:jc w:val="left"/>
              <w:rPr>
                <w:rFonts w:hint="eastAsia"/>
              </w:rPr>
            </w:pPr>
            <w:r>
              <w:rPr>
                <w:rFonts w:hint="eastAsia"/>
              </w:rPr>
              <w:t>九、卫生</w:t>
            </w:r>
          </w:p>
        </w:tc>
      </w:tr>
      <w:tr w14:paraId="587128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641C1738">
            <w:pPr>
              <w:pStyle w:val="13"/>
              <w:ind w:firstLine="420" w:firstLineChars="200"/>
              <w:jc w:val="left"/>
              <w:rPr>
                <w:rFonts w:hint="eastAsia"/>
              </w:rPr>
            </w:pPr>
            <w:r>
              <w:rPr>
                <w:rFonts w:hint="eastAsia"/>
              </w:rPr>
              <w:t>医院床位数</w:t>
            </w:r>
          </w:p>
        </w:tc>
        <w:tc>
          <w:tcPr>
            <w:tcW w:w="782" w:type="pct"/>
            <w:vAlign w:val="center"/>
          </w:tcPr>
          <w:p w14:paraId="7D9FCC3C">
            <w:pPr>
              <w:pStyle w:val="13"/>
              <w:jc w:val="center"/>
              <w:rPr>
                <w:rFonts w:hint="eastAsia"/>
              </w:rPr>
            </w:pPr>
            <w:r>
              <w:rPr>
                <w:rFonts w:hint="eastAsia"/>
              </w:rPr>
              <w:t>床</w:t>
            </w:r>
          </w:p>
        </w:tc>
        <w:tc>
          <w:tcPr>
            <w:tcW w:w="977" w:type="pct"/>
            <w:vAlign w:val="center"/>
          </w:tcPr>
          <w:p w14:paraId="1DDEE8FB">
            <w:pPr>
              <w:pStyle w:val="13"/>
              <w:jc w:val="center"/>
              <w:rPr>
                <w:rFonts w:hint="eastAsia"/>
              </w:rPr>
            </w:pPr>
            <w:r>
              <w:rPr>
                <w:rFonts w:hint="eastAsia"/>
              </w:rPr>
              <w:t>945</w:t>
            </w:r>
          </w:p>
        </w:tc>
        <w:tc>
          <w:tcPr>
            <w:tcW w:w="1217" w:type="pct"/>
            <w:vAlign w:val="center"/>
          </w:tcPr>
          <w:p w14:paraId="289E0EB7">
            <w:pPr>
              <w:pStyle w:val="13"/>
              <w:jc w:val="center"/>
              <w:rPr>
                <w:rFonts w:hint="eastAsia"/>
              </w:rPr>
            </w:pPr>
            <w:r>
              <w:rPr>
                <w:rFonts w:hint="eastAsia"/>
              </w:rPr>
              <w:t>25.2</w:t>
            </w:r>
          </w:p>
        </w:tc>
      </w:tr>
      <w:tr w14:paraId="3CD21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7D9FA036">
            <w:pPr>
              <w:pStyle w:val="13"/>
              <w:ind w:firstLine="420" w:firstLineChars="200"/>
              <w:jc w:val="left"/>
              <w:rPr>
                <w:rFonts w:hint="eastAsia"/>
              </w:rPr>
            </w:pPr>
            <w:r>
              <w:rPr>
                <w:rFonts w:hint="eastAsia"/>
              </w:rPr>
              <w:t>卫生技术人员</w:t>
            </w:r>
          </w:p>
        </w:tc>
        <w:tc>
          <w:tcPr>
            <w:tcW w:w="782" w:type="pct"/>
            <w:vAlign w:val="center"/>
          </w:tcPr>
          <w:p w14:paraId="76FE55CF">
            <w:pPr>
              <w:pStyle w:val="13"/>
              <w:jc w:val="center"/>
              <w:rPr>
                <w:rFonts w:hint="eastAsia"/>
              </w:rPr>
            </w:pPr>
            <w:r>
              <w:rPr>
                <w:rFonts w:hint="eastAsia"/>
              </w:rPr>
              <w:t>人</w:t>
            </w:r>
          </w:p>
        </w:tc>
        <w:tc>
          <w:tcPr>
            <w:tcW w:w="977" w:type="pct"/>
            <w:vAlign w:val="center"/>
          </w:tcPr>
          <w:p w14:paraId="5B2E56B0">
            <w:pPr>
              <w:pStyle w:val="13"/>
              <w:jc w:val="center"/>
              <w:rPr>
                <w:rFonts w:hint="eastAsia"/>
              </w:rPr>
            </w:pPr>
            <w:r>
              <w:rPr>
                <w:rFonts w:hint="eastAsia"/>
              </w:rPr>
              <w:t>920</w:t>
            </w:r>
          </w:p>
        </w:tc>
        <w:tc>
          <w:tcPr>
            <w:tcW w:w="1217" w:type="pct"/>
            <w:vAlign w:val="center"/>
          </w:tcPr>
          <w:p w14:paraId="1E60B5E6">
            <w:pPr>
              <w:pStyle w:val="13"/>
              <w:jc w:val="center"/>
              <w:rPr>
                <w:rFonts w:hint="eastAsia"/>
              </w:rPr>
            </w:pPr>
            <w:r>
              <w:rPr>
                <w:rFonts w:hint="eastAsia"/>
              </w:rPr>
              <w:t>-1.7</w:t>
            </w:r>
          </w:p>
        </w:tc>
      </w:tr>
      <w:tr w14:paraId="14A88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vAlign w:val="center"/>
          </w:tcPr>
          <w:p w14:paraId="38BB7887">
            <w:pPr>
              <w:pStyle w:val="13"/>
              <w:jc w:val="left"/>
              <w:rPr>
                <w:rFonts w:hint="eastAsia"/>
              </w:rPr>
            </w:pPr>
            <w:r>
              <w:rPr>
                <w:rFonts w:hint="eastAsia"/>
              </w:rPr>
              <w:t>十、财政</w:t>
            </w:r>
          </w:p>
        </w:tc>
      </w:tr>
      <w:tr w14:paraId="436B4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4D74D700">
            <w:pPr>
              <w:pStyle w:val="13"/>
              <w:ind w:firstLine="420" w:firstLineChars="200"/>
              <w:jc w:val="left"/>
              <w:rPr>
                <w:rFonts w:hint="eastAsia"/>
              </w:rPr>
            </w:pPr>
            <w:r>
              <w:rPr>
                <w:rFonts w:hint="eastAsia"/>
              </w:rPr>
              <w:t>财政总收入</w:t>
            </w:r>
          </w:p>
        </w:tc>
        <w:tc>
          <w:tcPr>
            <w:tcW w:w="782" w:type="pct"/>
            <w:vAlign w:val="center"/>
          </w:tcPr>
          <w:p w14:paraId="4B62922A">
            <w:pPr>
              <w:pStyle w:val="13"/>
              <w:jc w:val="center"/>
              <w:rPr>
                <w:rFonts w:hint="eastAsia"/>
              </w:rPr>
            </w:pPr>
            <w:r>
              <w:rPr>
                <w:rFonts w:hint="eastAsia"/>
              </w:rPr>
              <w:t>万元</w:t>
            </w:r>
          </w:p>
        </w:tc>
        <w:tc>
          <w:tcPr>
            <w:tcW w:w="977" w:type="pct"/>
            <w:vAlign w:val="center"/>
          </w:tcPr>
          <w:p w14:paraId="531EBF73">
            <w:pPr>
              <w:pStyle w:val="13"/>
              <w:jc w:val="center"/>
              <w:rPr>
                <w:rFonts w:hint="eastAsia"/>
              </w:rPr>
            </w:pPr>
            <w:r>
              <w:rPr>
                <w:rFonts w:hint="eastAsia"/>
              </w:rPr>
              <w:t>93515</w:t>
            </w:r>
          </w:p>
        </w:tc>
        <w:tc>
          <w:tcPr>
            <w:tcW w:w="1217" w:type="pct"/>
            <w:vAlign w:val="center"/>
          </w:tcPr>
          <w:p w14:paraId="1B0EE662">
            <w:pPr>
              <w:pStyle w:val="13"/>
              <w:jc w:val="center"/>
              <w:rPr>
                <w:rFonts w:hint="eastAsia"/>
              </w:rPr>
            </w:pPr>
            <w:r>
              <w:rPr>
                <w:rFonts w:hint="eastAsia"/>
              </w:rPr>
              <w:t>40.1</w:t>
            </w:r>
          </w:p>
        </w:tc>
      </w:tr>
      <w:tr w14:paraId="0DC8E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082483D0">
            <w:pPr>
              <w:pStyle w:val="13"/>
              <w:ind w:firstLine="420" w:firstLineChars="200"/>
              <w:jc w:val="left"/>
              <w:rPr>
                <w:rFonts w:hint="eastAsia"/>
              </w:rPr>
            </w:pPr>
            <w:r>
              <w:rPr>
                <w:rFonts w:hint="eastAsia"/>
              </w:rPr>
              <w:t>财政总支出</w:t>
            </w:r>
          </w:p>
        </w:tc>
        <w:tc>
          <w:tcPr>
            <w:tcW w:w="782" w:type="pct"/>
            <w:vAlign w:val="center"/>
          </w:tcPr>
          <w:p w14:paraId="69B99409">
            <w:pPr>
              <w:pStyle w:val="13"/>
              <w:jc w:val="center"/>
              <w:rPr>
                <w:rFonts w:hint="eastAsia"/>
              </w:rPr>
            </w:pPr>
            <w:r>
              <w:rPr>
                <w:rFonts w:hint="eastAsia"/>
              </w:rPr>
              <w:t>万元</w:t>
            </w:r>
          </w:p>
        </w:tc>
        <w:tc>
          <w:tcPr>
            <w:tcW w:w="977" w:type="pct"/>
            <w:vAlign w:val="center"/>
          </w:tcPr>
          <w:p w14:paraId="4B6335E2">
            <w:pPr>
              <w:pStyle w:val="13"/>
              <w:jc w:val="center"/>
              <w:rPr>
                <w:rFonts w:hint="eastAsia"/>
              </w:rPr>
            </w:pPr>
            <w:r>
              <w:rPr>
                <w:rFonts w:hint="eastAsia"/>
              </w:rPr>
              <w:t>87313</w:t>
            </w:r>
          </w:p>
        </w:tc>
        <w:tc>
          <w:tcPr>
            <w:tcW w:w="1217" w:type="pct"/>
            <w:vAlign w:val="center"/>
          </w:tcPr>
          <w:p w14:paraId="28C8752D">
            <w:pPr>
              <w:pStyle w:val="13"/>
              <w:jc w:val="center"/>
              <w:rPr>
                <w:rFonts w:hint="eastAsia"/>
              </w:rPr>
            </w:pPr>
            <w:r>
              <w:rPr>
                <w:rFonts w:hint="eastAsia"/>
              </w:rPr>
              <w:t>35.3</w:t>
            </w:r>
          </w:p>
        </w:tc>
      </w:tr>
      <w:tr w14:paraId="5B879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vAlign w:val="center"/>
          </w:tcPr>
          <w:p w14:paraId="0CBB0176">
            <w:pPr>
              <w:pStyle w:val="13"/>
              <w:jc w:val="left"/>
              <w:rPr>
                <w:rFonts w:hint="eastAsia"/>
              </w:rPr>
            </w:pPr>
            <w:r>
              <w:rPr>
                <w:rFonts w:hint="eastAsia"/>
              </w:rPr>
              <w:t>十一、金融保险</w:t>
            </w:r>
          </w:p>
        </w:tc>
      </w:tr>
      <w:tr w14:paraId="4ABE6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1E4BF691">
            <w:pPr>
              <w:pStyle w:val="13"/>
              <w:ind w:firstLine="420" w:firstLineChars="200"/>
              <w:jc w:val="left"/>
              <w:rPr>
                <w:rFonts w:hint="eastAsia"/>
              </w:rPr>
            </w:pPr>
            <w:r>
              <w:rPr>
                <w:rFonts w:hint="eastAsia"/>
              </w:rPr>
              <w:t>城乡居民储蓄存款余额</w:t>
            </w:r>
          </w:p>
        </w:tc>
        <w:tc>
          <w:tcPr>
            <w:tcW w:w="782" w:type="pct"/>
            <w:vAlign w:val="center"/>
          </w:tcPr>
          <w:p w14:paraId="4C84B168">
            <w:pPr>
              <w:pStyle w:val="13"/>
              <w:jc w:val="center"/>
              <w:rPr>
                <w:rFonts w:hint="eastAsia"/>
              </w:rPr>
            </w:pPr>
            <w:r>
              <w:rPr>
                <w:rFonts w:hint="eastAsia"/>
              </w:rPr>
              <w:t>万元</w:t>
            </w:r>
          </w:p>
        </w:tc>
        <w:tc>
          <w:tcPr>
            <w:tcW w:w="977" w:type="pct"/>
            <w:vAlign w:val="center"/>
          </w:tcPr>
          <w:p w14:paraId="1856ABCC">
            <w:pPr>
              <w:pStyle w:val="13"/>
              <w:jc w:val="center"/>
              <w:rPr>
                <w:rFonts w:hint="eastAsia"/>
              </w:rPr>
            </w:pPr>
            <w:r>
              <w:rPr>
                <w:rFonts w:hint="eastAsia"/>
              </w:rPr>
              <w:t>449689</w:t>
            </w:r>
          </w:p>
        </w:tc>
        <w:tc>
          <w:tcPr>
            <w:tcW w:w="1217" w:type="pct"/>
            <w:vAlign w:val="center"/>
          </w:tcPr>
          <w:p w14:paraId="29105E88">
            <w:pPr>
              <w:pStyle w:val="13"/>
              <w:jc w:val="center"/>
              <w:rPr>
                <w:rFonts w:hint="eastAsia"/>
              </w:rPr>
            </w:pPr>
            <w:r>
              <w:rPr>
                <w:rFonts w:hint="eastAsia"/>
              </w:rPr>
              <w:t>15.2</w:t>
            </w:r>
          </w:p>
        </w:tc>
      </w:tr>
      <w:tr w14:paraId="736C6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2C86696F">
            <w:pPr>
              <w:pStyle w:val="13"/>
              <w:ind w:firstLine="630" w:firstLineChars="300"/>
              <w:jc w:val="left"/>
              <w:rPr>
                <w:rFonts w:hint="eastAsia"/>
              </w:rPr>
            </w:pPr>
            <w:r>
              <w:rPr>
                <w:rFonts w:hint="eastAsia"/>
              </w:rPr>
              <w:t>各项贷款余额</w:t>
            </w:r>
          </w:p>
        </w:tc>
        <w:tc>
          <w:tcPr>
            <w:tcW w:w="782" w:type="pct"/>
            <w:vAlign w:val="center"/>
          </w:tcPr>
          <w:p w14:paraId="1A1842AF">
            <w:pPr>
              <w:pStyle w:val="13"/>
              <w:jc w:val="center"/>
              <w:rPr>
                <w:rFonts w:hint="eastAsia"/>
              </w:rPr>
            </w:pPr>
            <w:r>
              <w:rPr>
                <w:rFonts w:hint="eastAsia"/>
              </w:rPr>
              <w:t>万元</w:t>
            </w:r>
          </w:p>
        </w:tc>
        <w:tc>
          <w:tcPr>
            <w:tcW w:w="977" w:type="pct"/>
            <w:vAlign w:val="center"/>
          </w:tcPr>
          <w:p w14:paraId="1C562BDC">
            <w:pPr>
              <w:pStyle w:val="13"/>
              <w:jc w:val="center"/>
              <w:rPr>
                <w:rFonts w:hint="eastAsia"/>
              </w:rPr>
            </w:pPr>
            <w:r>
              <w:rPr>
                <w:rFonts w:hint="eastAsia"/>
              </w:rPr>
              <w:t>149442</w:t>
            </w:r>
          </w:p>
        </w:tc>
        <w:tc>
          <w:tcPr>
            <w:tcW w:w="1217" w:type="pct"/>
            <w:vAlign w:val="center"/>
          </w:tcPr>
          <w:p w14:paraId="36F02897">
            <w:pPr>
              <w:pStyle w:val="13"/>
              <w:jc w:val="center"/>
              <w:rPr>
                <w:rFonts w:hint="eastAsia"/>
              </w:rPr>
            </w:pPr>
            <w:r>
              <w:rPr>
                <w:rFonts w:hint="eastAsia"/>
              </w:rPr>
              <w:t>28.4</w:t>
            </w:r>
          </w:p>
        </w:tc>
      </w:tr>
      <w:tr w14:paraId="513185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192258F2">
            <w:pPr>
              <w:pStyle w:val="13"/>
              <w:ind w:firstLine="840" w:firstLineChars="400"/>
              <w:jc w:val="left"/>
              <w:rPr>
                <w:rFonts w:hint="eastAsia"/>
              </w:rPr>
            </w:pPr>
            <w:r>
              <w:rPr>
                <w:rFonts w:hint="eastAsia"/>
              </w:rPr>
              <w:t>其中：中长期贷款</w:t>
            </w:r>
          </w:p>
        </w:tc>
        <w:tc>
          <w:tcPr>
            <w:tcW w:w="782" w:type="pct"/>
            <w:vAlign w:val="center"/>
          </w:tcPr>
          <w:p w14:paraId="49A5C8C1">
            <w:pPr>
              <w:pStyle w:val="13"/>
              <w:jc w:val="center"/>
              <w:rPr>
                <w:rFonts w:hint="eastAsia"/>
              </w:rPr>
            </w:pPr>
            <w:r>
              <w:rPr>
                <w:rFonts w:hint="eastAsia"/>
              </w:rPr>
              <w:t>万元</w:t>
            </w:r>
          </w:p>
        </w:tc>
        <w:tc>
          <w:tcPr>
            <w:tcW w:w="977" w:type="pct"/>
            <w:vAlign w:val="center"/>
          </w:tcPr>
          <w:p w14:paraId="088899F8">
            <w:pPr>
              <w:pStyle w:val="13"/>
              <w:jc w:val="center"/>
              <w:rPr>
                <w:rFonts w:hint="eastAsia"/>
              </w:rPr>
            </w:pPr>
            <w:r>
              <w:rPr>
                <w:rFonts w:hint="eastAsia"/>
              </w:rPr>
              <w:t>116479</w:t>
            </w:r>
          </w:p>
        </w:tc>
        <w:tc>
          <w:tcPr>
            <w:tcW w:w="1217" w:type="pct"/>
            <w:vAlign w:val="center"/>
          </w:tcPr>
          <w:p w14:paraId="43DFA94A">
            <w:pPr>
              <w:pStyle w:val="13"/>
              <w:jc w:val="center"/>
              <w:rPr>
                <w:rFonts w:hint="eastAsia"/>
              </w:rPr>
            </w:pPr>
            <w:r>
              <w:rPr>
                <w:rFonts w:hint="eastAsia"/>
              </w:rPr>
              <w:t>56.4</w:t>
            </w:r>
          </w:p>
        </w:tc>
      </w:tr>
      <w:tr w14:paraId="5629E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44BAE6FB">
            <w:pPr>
              <w:pStyle w:val="13"/>
              <w:ind w:firstLine="420" w:firstLineChars="200"/>
              <w:jc w:val="left"/>
              <w:rPr>
                <w:rFonts w:hint="eastAsia"/>
              </w:rPr>
            </w:pPr>
            <w:r>
              <w:rPr>
                <w:rFonts w:hint="eastAsia"/>
              </w:rPr>
              <w:t>财产保险业务收入</w:t>
            </w:r>
          </w:p>
        </w:tc>
        <w:tc>
          <w:tcPr>
            <w:tcW w:w="782" w:type="pct"/>
            <w:vAlign w:val="center"/>
          </w:tcPr>
          <w:p w14:paraId="66338170">
            <w:pPr>
              <w:pStyle w:val="13"/>
              <w:jc w:val="center"/>
              <w:rPr>
                <w:rFonts w:hint="eastAsia"/>
              </w:rPr>
            </w:pPr>
            <w:r>
              <w:rPr>
                <w:rFonts w:hint="eastAsia"/>
              </w:rPr>
              <w:t>万元</w:t>
            </w:r>
          </w:p>
        </w:tc>
        <w:tc>
          <w:tcPr>
            <w:tcW w:w="977" w:type="pct"/>
            <w:vAlign w:val="center"/>
          </w:tcPr>
          <w:p w14:paraId="5E258252">
            <w:pPr>
              <w:pStyle w:val="13"/>
              <w:jc w:val="center"/>
              <w:rPr>
                <w:rFonts w:hint="eastAsia"/>
              </w:rPr>
            </w:pPr>
            <w:r>
              <w:rPr>
                <w:rFonts w:hint="eastAsia"/>
              </w:rPr>
              <w:t>1631</w:t>
            </w:r>
          </w:p>
        </w:tc>
        <w:tc>
          <w:tcPr>
            <w:tcW w:w="1217" w:type="pct"/>
            <w:vAlign w:val="center"/>
          </w:tcPr>
          <w:p w14:paraId="288ED0CE">
            <w:pPr>
              <w:pStyle w:val="13"/>
              <w:jc w:val="center"/>
              <w:rPr>
                <w:rFonts w:hint="eastAsia"/>
              </w:rPr>
            </w:pPr>
            <w:r>
              <w:rPr>
                <w:rFonts w:hint="eastAsia"/>
              </w:rPr>
              <w:t>7.7</w:t>
            </w:r>
          </w:p>
        </w:tc>
      </w:tr>
      <w:tr w14:paraId="513D5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5173F713">
            <w:pPr>
              <w:pStyle w:val="13"/>
              <w:ind w:firstLine="420" w:firstLineChars="200"/>
              <w:jc w:val="left"/>
              <w:rPr>
                <w:rFonts w:hint="eastAsia"/>
              </w:rPr>
            </w:pPr>
            <w:r>
              <w:rPr>
                <w:rFonts w:hint="eastAsia"/>
              </w:rPr>
              <w:t>人寿保险业务收入</w:t>
            </w:r>
          </w:p>
        </w:tc>
        <w:tc>
          <w:tcPr>
            <w:tcW w:w="782" w:type="pct"/>
            <w:vAlign w:val="center"/>
          </w:tcPr>
          <w:p w14:paraId="496CE073">
            <w:pPr>
              <w:pStyle w:val="13"/>
              <w:jc w:val="center"/>
              <w:rPr>
                <w:rFonts w:hint="eastAsia"/>
              </w:rPr>
            </w:pPr>
            <w:r>
              <w:rPr>
                <w:rFonts w:hint="eastAsia"/>
              </w:rPr>
              <w:t>万元</w:t>
            </w:r>
          </w:p>
        </w:tc>
        <w:tc>
          <w:tcPr>
            <w:tcW w:w="977" w:type="pct"/>
            <w:vAlign w:val="center"/>
          </w:tcPr>
          <w:p w14:paraId="711BC55C">
            <w:pPr>
              <w:pStyle w:val="13"/>
              <w:jc w:val="center"/>
              <w:rPr>
                <w:rFonts w:hint="eastAsia"/>
              </w:rPr>
            </w:pPr>
            <w:r>
              <w:rPr>
                <w:rFonts w:hint="eastAsia"/>
              </w:rPr>
              <w:t>6103</w:t>
            </w:r>
          </w:p>
        </w:tc>
        <w:tc>
          <w:tcPr>
            <w:tcW w:w="1217" w:type="pct"/>
            <w:vAlign w:val="center"/>
          </w:tcPr>
          <w:p w14:paraId="112AD675">
            <w:pPr>
              <w:pStyle w:val="13"/>
              <w:jc w:val="center"/>
              <w:rPr>
                <w:rFonts w:hint="eastAsia"/>
              </w:rPr>
            </w:pPr>
            <w:r>
              <w:rPr>
                <w:rFonts w:hint="eastAsia"/>
              </w:rPr>
              <w:t>-5.4</w:t>
            </w:r>
          </w:p>
        </w:tc>
      </w:tr>
      <w:tr w14:paraId="4C878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vAlign w:val="center"/>
          </w:tcPr>
          <w:p w14:paraId="758E0D91">
            <w:pPr>
              <w:pStyle w:val="13"/>
              <w:jc w:val="left"/>
              <w:rPr>
                <w:rFonts w:hint="eastAsia"/>
              </w:rPr>
            </w:pPr>
            <w:r>
              <w:rPr>
                <w:rFonts w:hint="eastAsia"/>
              </w:rPr>
              <w:t>十二、工资水平</w:t>
            </w:r>
          </w:p>
        </w:tc>
      </w:tr>
      <w:tr w14:paraId="69EF4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4D222C39">
            <w:pPr>
              <w:pStyle w:val="13"/>
              <w:ind w:firstLine="420" w:firstLineChars="200"/>
              <w:jc w:val="left"/>
              <w:rPr>
                <w:rFonts w:hint="eastAsia"/>
              </w:rPr>
            </w:pPr>
            <w:r>
              <w:rPr>
                <w:rFonts w:hint="eastAsia"/>
              </w:rPr>
              <w:t>在岗职工工资总额</w:t>
            </w:r>
          </w:p>
        </w:tc>
        <w:tc>
          <w:tcPr>
            <w:tcW w:w="782" w:type="pct"/>
            <w:vAlign w:val="center"/>
          </w:tcPr>
          <w:p w14:paraId="30480BBF">
            <w:pPr>
              <w:pStyle w:val="13"/>
              <w:jc w:val="center"/>
              <w:rPr>
                <w:rFonts w:hint="eastAsia"/>
              </w:rPr>
            </w:pPr>
            <w:r>
              <w:rPr>
                <w:rFonts w:hint="eastAsia"/>
              </w:rPr>
              <w:t>万元</w:t>
            </w:r>
          </w:p>
        </w:tc>
        <w:tc>
          <w:tcPr>
            <w:tcW w:w="977" w:type="pct"/>
            <w:vAlign w:val="center"/>
          </w:tcPr>
          <w:p w14:paraId="71DCE311">
            <w:pPr>
              <w:pStyle w:val="13"/>
              <w:jc w:val="center"/>
              <w:rPr>
                <w:rFonts w:hint="eastAsia"/>
              </w:rPr>
            </w:pPr>
            <w:r>
              <w:rPr>
                <w:rFonts w:hint="eastAsia"/>
              </w:rPr>
              <w:t>49421</w:t>
            </w:r>
          </w:p>
        </w:tc>
        <w:tc>
          <w:tcPr>
            <w:tcW w:w="1217" w:type="pct"/>
            <w:vAlign w:val="center"/>
          </w:tcPr>
          <w:p w14:paraId="13846921">
            <w:pPr>
              <w:pStyle w:val="13"/>
              <w:jc w:val="center"/>
              <w:rPr>
                <w:rFonts w:hint="eastAsia"/>
              </w:rPr>
            </w:pPr>
            <w:r>
              <w:rPr>
                <w:rFonts w:hint="eastAsia"/>
              </w:rPr>
              <w:t>11.9</w:t>
            </w:r>
          </w:p>
        </w:tc>
      </w:tr>
      <w:tr w14:paraId="003A5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591A4B9F">
            <w:pPr>
              <w:pStyle w:val="13"/>
              <w:ind w:firstLine="420" w:firstLineChars="200"/>
              <w:jc w:val="left"/>
              <w:rPr>
                <w:rFonts w:hint="eastAsia"/>
              </w:rPr>
            </w:pPr>
            <w:r>
              <w:rPr>
                <w:rFonts w:hint="eastAsia"/>
              </w:rPr>
              <w:t>在岗职工年平均工资</w:t>
            </w:r>
          </w:p>
        </w:tc>
        <w:tc>
          <w:tcPr>
            <w:tcW w:w="782" w:type="pct"/>
            <w:vAlign w:val="center"/>
          </w:tcPr>
          <w:p w14:paraId="7F8EF739">
            <w:pPr>
              <w:pStyle w:val="13"/>
              <w:jc w:val="center"/>
              <w:rPr>
                <w:rFonts w:hint="eastAsia"/>
              </w:rPr>
            </w:pPr>
            <w:r>
              <w:rPr>
                <w:rFonts w:hint="eastAsia"/>
              </w:rPr>
              <w:t>元/人</w:t>
            </w:r>
          </w:p>
        </w:tc>
        <w:tc>
          <w:tcPr>
            <w:tcW w:w="977" w:type="pct"/>
            <w:vAlign w:val="center"/>
          </w:tcPr>
          <w:p w14:paraId="0FB0CA74">
            <w:pPr>
              <w:pStyle w:val="13"/>
              <w:jc w:val="center"/>
              <w:rPr>
                <w:rFonts w:hint="eastAsia"/>
              </w:rPr>
            </w:pPr>
            <w:r>
              <w:rPr>
                <w:rFonts w:hint="eastAsia"/>
              </w:rPr>
              <w:t>26608</w:t>
            </w:r>
          </w:p>
        </w:tc>
        <w:tc>
          <w:tcPr>
            <w:tcW w:w="1217" w:type="pct"/>
            <w:vAlign w:val="center"/>
          </w:tcPr>
          <w:p w14:paraId="5DDEF924">
            <w:pPr>
              <w:pStyle w:val="13"/>
              <w:jc w:val="center"/>
              <w:rPr>
                <w:rFonts w:hint="eastAsia"/>
              </w:rPr>
            </w:pPr>
            <w:r>
              <w:rPr>
                <w:rFonts w:hint="eastAsia"/>
              </w:rPr>
              <w:t>6.6</w:t>
            </w:r>
          </w:p>
        </w:tc>
      </w:tr>
      <w:tr w14:paraId="21B39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4" w:type="pct"/>
            <w:vAlign w:val="center"/>
          </w:tcPr>
          <w:p w14:paraId="56BE955D">
            <w:pPr>
              <w:pStyle w:val="13"/>
              <w:jc w:val="left"/>
              <w:rPr>
                <w:rFonts w:hint="eastAsia"/>
              </w:rPr>
            </w:pPr>
            <w:r>
              <w:rPr>
                <w:rFonts w:hint="eastAsia"/>
              </w:rPr>
              <w:t>十三、黄烟收购平均价格</w:t>
            </w:r>
          </w:p>
        </w:tc>
        <w:tc>
          <w:tcPr>
            <w:tcW w:w="782" w:type="pct"/>
            <w:vAlign w:val="center"/>
          </w:tcPr>
          <w:p w14:paraId="30F19CDE">
            <w:pPr>
              <w:pStyle w:val="13"/>
              <w:jc w:val="center"/>
              <w:rPr>
                <w:rFonts w:hint="eastAsia"/>
              </w:rPr>
            </w:pPr>
            <w:r>
              <w:rPr>
                <w:rFonts w:hint="eastAsia"/>
              </w:rPr>
              <w:t>元/公斤</w:t>
            </w:r>
          </w:p>
        </w:tc>
        <w:tc>
          <w:tcPr>
            <w:tcW w:w="977" w:type="pct"/>
            <w:vAlign w:val="center"/>
          </w:tcPr>
          <w:p w14:paraId="2105C9E3">
            <w:pPr>
              <w:pStyle w:val="13"/>
              <w:jc w:val="center"/>
              <w:rPr>
                <w:rFonts w:hint="eastAsia"/>
              </w:rPr>
            </w:pPr>
            <w:r>
              <w:rPr>
                <w:rFonts w:hint="eastAsia"/>
              </w:rPr>
              <w:t>15.3</w:t>
            </w:r>
          </w:p>
        </w:tc>
        <w:tc>
          <w:tcPr>
            <w:tcW w:w="1217" w:type="pct"/>
            <w:vAlign w:val="center"/>
          </w:tcPr>
          <w:p w14:paraId="2D3755ED">
            <w:pPr>
              <w:pStyle w:val="13"/>
              <w:jc w:val="center"/>
              <w:rPr>
                <w:rFonts w:hint="eastAsia"/>
              </w:rPr>
            </w:pPr>
            <w:r>
              <w:rPr>
                <w:rFonts w:hint="eastAsia"/>
              </w:rPr>
              <w:t>2.2</w:t>
            </w:r>
          </w:p>
        </w:tc>
      </w:tr>
    </w:tbl>
    <w:p w14:paraId="44D51C63">
      <w:pPr>
        <w:pStyle w:val="4"/>
        <w:rPr>
          <w:rFonts w:hint="eastAsia"/>
        </w:rPr>
      </w:pPr>
      <w:r>
        <w:t>表</w:t>
      </w:r>
      <w:r>
        <w:rPr>
          <w:rFonts w:hint="eastAsia"/>
        </w:rPr>
        <w:t>34-8  总产出</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94"/>
        <w:gridCol w:w="1984"/>
        <w:gridCol w:w="2552"/>
        <w:gridCol w:w="1632"/>
      </w:tblGrid>
      <w:tr w14:paraId="24508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pct"/>
            <w:vAlign w:val="center"/>
          </w:tcPr>
          <w:p w14:paraId="4E472337">
            <w:pPr>
              <w:pStyle w:val="13"/>
              <w:jc w:val="center"/>
              <w:rPr>
                <w:rFonts w:hint="eastAsia"/>
                <w:b/>
              </w:rPr>
            </w:pPr>
            <w:r>
              <w:rPr>
                <w:rFonts w:hint="eastAsia"/>
                <w:b/>
              </w:rPr>
              <w:t>指标名称</w:t>
            </w:r>
          </w:p>
        </w:tc>
        <w:tc>
          <w:tcPr>
            <w:tcW w:w="996" w:type="pct"/>
            <w:vAlign w:val="center"/>
          </w:tcPr>
          <w:p w14:paraId="488E77B3">
            <w:pPr>
              <w:pStyle w:val="13"/>
              <w:jc w:val="center"/>
              <w:rPr>
                <w:rFonts w:hint="eastAsia"/>
                <w:b/>
              </w:rPr>
            </w:pPr>
            <w:r>
              <w:rPr>
                <w:rFonts w:hint="eastAsia"/>
                <w:b/>
              </w:rPr>
              <w:t>当年价（万元）</w:t>
            </w:r>
          </w:p>
        </w:tc>
        <w:tc>
          <w:tcPr>
            <w:tcW w:w="1281" w:type="pct"/>
            <w:vAlign w:val="center"/>
          </w:tcPr>
          <w:p w14:paraId="0FFCD2DB">
            <w:pPr>
              <w:pStyle w:val="13"/>
              <w:jc w:val="center"/>
              <w:rPr>
                <w:rFonts w:hint="eastAsia"/>
                <w:b/>
              </w:rPr>
            </w:pPr>
            <w:r>
              <w:rPr>
                <w:rFonts w:hint="eastAsia"/>
                <w:b/>
              </w:rPr>
              <w:t>2005年不变价（万元）</w:t>
            </w:r>
          </w:p>
        </w:tc>
        <w:tc>
          <w:tcPr>
            <w:tcW w:w="819" w:type="pct"/>
            <w:vAlign w:val="center"/>
          </w:tcPr>
          <w:p w14:paraId="2E28A832">
            <w:pPr>
              <w:pStyle w:val="13"/>
              <w:jc w:val="center"/>
              <w:rPr>
                <w:rFonts w:hint="eastAsia"/>
                <w:b/>
              </w:rPr>
            </w:pPr>
            <w:r>
              <w:rPr>
                <w:rFonts w:hint="eastAsia"/>
                <w:b/>
              </w:rPr>
              <w:t>比上年±％</w:t>
            </w:r>
          </w:p>
        </w:tc>
      </w:tr>
      <w:tr w14:paraId="096D9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pct"/>
            <w:vAlign w:val="center"/>
          </w:tcPr>
          <w:p w14:paraId="4F3AFA35">
            <w:pPr>
              <w:pStyle w:val="13"/>
              <w:jc w:val="left"/>
              <w:rPr>
                <w:rFonts w:hint="eastAsia"/>
              </w:rPr>
            </w:pPr>
            <w:r>
              <w:rPr>
                <w:rFonts w:hint="eastAsia"/>
              </w:rPr>
              <w:t>合计</w:t>
            </w:r>
          </w:p>
        </w:tc>
        <w:tc>
          <w:tcPr>
            <w:tcW w:w="996" w:type="pct"/>
            <w:vAlign w:val="center"/>
          </w:tcPr>
          <w:p w14:paraId="0264C64D">
            <w:pPr>
              <w:pStyle w:val="13"/>
              <w:jc w:val="center"/>
              <w:rPr>
                <w:rFonts w:hint="eastAsia"/>
              </w:rPr>
            </w:pPr>
            <w:r>
              <w:rPr>
                <w:rFonts w:hint="eastAsia"/>
              </w:rPr>
              <w:t>1304601</w:t>
            </w:r>
          </w:p>
        </w:tc>
        <w:tc>
          <w:tcPr>
            <w:tcW w:w="1281" w:type="pct"/>
            <w:vAlign w:val="center"/>
          </w:tcPr>
          <w:p w14:paraId="09BC85D3">
            <w:pPr>
              <w:pStyle w:val="13"/>
              <w:jc w:val="center"/>
              <w:rPr>
                <w:rFonts w:hint="eastAsia"/>
              </w:rPr>
            </w:pPr>
            <w:r>
              <w:rPr>
                <w:rFonts w:hint="eastAsia"/>
              </w:rPr>
              <w:t>1221997</w:t>
            </w:r>
          </w:p>
        </w:tc>
        <w:tc>
          <w:tcPr>
            <w:tcW w:w="819" w:type="pct"/>
            <w:vAlign w:val="center"/>
          </w:tcPr>
          <w:p w14:paraId="36D88237">
            <w:pPr>
              <w:pStyle w:val="13"/>
              <w:jc w:val="center"/>
              <w:rPr>
                <w:rFonts w:hint="eastAsia"/>
              </w:rPr>
            </w:pPr>
            <w:r>
              <w:rPr>
                <w:rFonts w:hint="eastAsia"/>
              </w:rPr>
              <w:t>23.7</w:t>
            </w:r>
          </w:p>
        </w:tc>
      </w:tr>
      <w:tr w14:paraId="3C933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pct"/>
            <w:vAlign w:val="center"/>
          </w:tcPr>
          <w:p w14:paraId="3455E399">
            <w:pPr>
              <w:pStyle w:val="13"/>
              <w:ind w:firstLine="420" w:firstLineChars="200"/>
              <w:jc w:val="left"/>
              <w:rPr>
                <w:rFonts w:hint="eastAsia"/>
              </w:rPr>
            </w:pPr>
            <w:r>
              <w:rPr>
                <w:rFonts w:hint="eastAsia"/>
              </w:rPr>
              <w:t>第一产业</w:t>
            </w:r>
          </w:p>
        </w:tc>
        <w:tc>
          <w:tcPr>
            <w:tcW w:w="996" w:type="pct"/>
            <w:vAlign w:val="center"/>
          </w:tcPr>
          <w:p w14:paraId="1733ACA3">
            <w:pPr>
              <w:pStyle w:val="13"/>
              <w:jc w:val="center"/>
              <w:rPr>
                <w:rFonts w:hint="eastAsia"/>
              </w:rPr>
            </w:pPr>
            <w:r>
              <w:rPr>
                <w:rFonts w:hint="eastAsia"/>
              </w:rPr>
              <w:t>272537</w:t>
            </w:r>
          </w:p>
        </w:tc>
        <w:tc>
          <w:tcPr>
            <w:tcW w:w="1281" w:type="pct"/>
            <w:vAlign w:val="center"/>
          </w:tcPr>
          <w:p w14:paraId="1693F128">
            <w:pPr>
              <w:pStyle w:val="13"/>
              <w:jc w:val="center"/>
              <w:rPr>
                <w:rFonts w:hint="eastAsia"/>
              </w:rPr>
            </w:pPr>
            <w:r>
              <w:rPr>
                <w:rFonts w:hint="eastAsia"/>
              </w:rPr>
              <w:t>263033</w:t>
            </w:r>
          </w:p>
        </w:tc>
        <w:tc>
          <w:tcPr>
            <w:tcW w:w="819" w:type="pct"/>
            <w:vAlign w:val="center"/>
          </w:tcPr>
          <w:p w14:paraId="3529CDCC">
            <w:pPr>
              <w:pStyle w:val="13"/>
              <w:jc w:val="center"/>
              <w:rPr>
                <w:rFonts w:hint="eastAsia"/>
              </w:rPr>
            </w:pPr>
            <w:r>
              <w:rPr>
                <w:rFonts w:hint="eastAsia"/>
              </w:rPr>
              <w:t>5.2</w:t>
            </w:r>
          </w:p>
        </w:tc>
      </w:tr>
      <w:tr w14:paraId="656CD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pct"/>
            <w:vAlign w:val="center"/>
          </w:tcPr>
          <w:p w14:paraId="0324D8D0">
            <w:pPr>
              <w:pStyle w:val="13"/>
              <w:ind w:firstLine="420" w:firstLineChars="200"/>
              <w:jc w:val="left"/>
              <w:rPr>
                <w:rFonts w:hint="eastAsia"/>
              </w:rPr>
            </w:pPr>
            <w:r>
              <w:rPr>
                <w:rFonts w:hint="eastAsia"/>
              </w:rPr>
              <w:t>第二产业</w:t>
            </w:r>
          </w:p>
        </w:tc>
        <w:tc>
          <w:tcPr>
            <w:tcW w:w="996" w:type="pct"/>
            <w:vAlign w:val="center"/>
          </w:tcPr>
          <w:p w14:paraId="42037988">
            <w:pPr>
              <w:pStyle w:val="13"/>
              <w:jc w:val="center"/>
              <w:rPr>
                <w:rFonts w:hint="eastAsia"/>
              </w:rPr>
            </w:pPr>
            <w:r>
              <w:rPr>
                <w:rFonts w:hint="eastAsia"/>
              </w:rPr>
              <w:t>643482</w:t>
            </w:r>
          </w:p>
        </w:tc>
        <w:tc>
          <w:tcPr>
            <w:tcW w:w="1281" w:type="pct"/>
            <w:vAlign w:val="center"/>
          </w:tcPr>
          <w:p w14:paraId="05805818">
            <w:pPr>
              <w:pStyle w:val="13"/>
              <w:jc w:val="center"/>
              <w:rPr>
                <w:rFonts w:hint="eastAsia"/>
              </w:rPr>
            </w:pPr>
            <w:r>
              <w:rPr>
                <w:rFonts w:hint="eastAsia"/>
              </w:rPr>
              <w:t>603861</w:t>
            </w:r>
          </w:p>
        </w:tc>
        <w:tc>
          <w:tcPr>
            <w:tcW w:w="819" w:type="pct"/>
            <w:vAlign w:val="center"/>
          </w:tcPr>
          <w:p w14:paraId="5E6292F7">
            <w:pPr>
              <w:pStyle w:val="13"/>
              <w:jc w:val="center"/>
              <w:rPr>
                <w:rFonts w:hint="eastAsia"/>
              </w:rPr>
            </w:pPr>
            <w:r>
              <w:rPr>
                <w:rFonts w:hint="eastAsia"/>
              </w:rPr>
              <w:t>38.6</w:t>
            </w:r>
          </w:p>
        </w:tc>
      </w:tr>
      <w:tr w14:paraId="502A2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pct"/>
            <w:vAlign w:val="center"/>
          </w:tcPr>
          <w:p w14:paraId="1759F1C3">
            <w:pPr>
              <w:pStyle w:val="13"/>
              <w:ind w:firstLine="630" w:firstLineChars="300"/>
              <w:jc w:val="left"/>
              <w:rPr>
                <w:rFonts w:hint="eastAsia"/>
              </w:rPr>
            </w:pPr>
            <w:r>
              <w:rPr>
                <w:rFonts w:hint="eastAsia"/>
              </w:rPr>
              <w:t>其中：工业</w:t>
            </w:r>
          </w:p>
        </w:tc>
        <w:tc>
          <w:tcPr>
            <w:tcW w:w="996" w:type="pct"/>
            <w:vAlign w:val="center"/>
          </w:tcPr>
          <w:p w14:paraId="4D7B6E66">
            <w:pPr>
              <w:pStyle w:val="13"/>
              <w:jc w:val="center"/>
              <w:rPr>
                <w:rFonts w:hint="eastAsia"/>
              </w:rPr>
            </w:pPr>
            <w:r>
              <w:rPr>
                <w:rFonts w:hint="eastAsia"/>
              </w:rPr>
              <w:t>468400</w:t>
            </w:r>
          </w:p>
        </w:tc>
        <w:tc>
          <w:tcPr>
            <w:tcW w:w="1281" w:type="pct"/>
            <w:vAlign w:val="center"/>
          </w:tcPr>
          <w:p w14:paraId="4686B74A">
            <w:pPr>
              <w:pStyle w:val="13"/>
              <w:jc w:val="center"/>
              <w:rPr>
                <w:rFonts w:hint="eastAsia"/>
              </w:rPr>
            </w:pPr>
            <w:r>
              <w:rPr>
                <w:rFonts w:hint="eastAsia"/>
              </w:rPr>
              <w:t>445531</w:t>
            </w:r>
          </w:p>
        </w:tc>
        <w:tc>
          <w:tcPr>
            <w:tcW w:w="819" w:type="pct"/>
            <w:vAlign w:val="center"/>
          </w:tcPr>
          <w:p w14:paraId="2FE56A80">
            <w:pPr>
              <w:pStyle w:val="13"/>
              <w:jc w:val="center"/>
              <w:rPr>
                <w:rFonts w:hint="eastAsia"/>
              </w:rPr>
            </w:pPr>
            <w:r>
              <w:rPr>
                <w:rFonts w:hint="eastAsia"/>
              </w:rPr>
              <w:t>47.1</w:t>
            </w:r>
          </w:p>
        </w:tc>
      </w:tr>
      <w:tr w14:paraId="2E7590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pct"/>
            <w:vAlign w:val="center"/>
          </w:tcPr>
          <w:p w14:paraId="0DA3D462">
            <w:pPr>
              <w:pStyle w:val="13"/>
              <w:ind w:firstLine="1260" w:firstLineChars="600"/>
              <w:jc w:val="left"/>
              <w:rPr>
                <w:rFonts w:hint="eastAsia"/>
              </w:rPr>
            </w:pPr>
            <w:r>
              <w:rPr>
                <w:rFonts w:hint="eastAsia"/>
              </w:rPr>
              <w:t>建筑业</w:t>
            </w:r>
          </w:p>
        </w:tc>
        <w:tc>
          <w:tcPr>
            <w:tcW w:w="996" w:type="pct"/>
            <w:vAlign w:val="center"/>
          </w:tcPr>
          <w:p w14:paraId="3BCE8CC1">
            <w:pPr>
              <w:pStyle w:val="13"/>
              <w:jc w:val="center"/>
              <w:rPr>
                <w:rFonts w:hint="eastAsia"/>
              </w:rPr>
            </w:pPr>
            <w:r>
              <w:rPr>
                <w:rFonts w:hint="eastAsia"/>
              </w:rPr>
              <w:t>175082</w:t>
            </w:r>
          </w:p>
        </w:tc>
        <w:tc>
          <w:tcPr>
            <w:tcW w:w="1281" w:type="pct"/>
            <w:vAlign w:val="center"/>
          </w:tcPr>
          <w:p w14:paraId="3A429947">
            <w:pPr>
              <w:pStyle w:val="13"/>
              <w:jc w:val="center"/>
              <w:rPr>
                <w:rFonts w:hint="eastAsia"/>
              </w:rPr>
            </w:pPr>
            <w:r>
              <w:rPr>
                <w:rFonts w:hint="eastAsia"/>
              </w:rPr>
              <w:t>158330</w:t>
            </w:r>
          </w:p>
        </w:tc>
        <w:tc>
          <w:tcPr>
            <w:tcW w:w="819" w:type="pct"/>
            <w:vAlign w:val="center"/>
          </w:tcPr>
          <w:p w14:paraId="34575427">
            <w:pPr>
              <w:pStyle w:val="13"/>
              <w:jc w:val="center"/>
              <w:rPr>
                <w:rFonts w:hint="eastAsia"/>
              </w:rPr>
            </w:pPr>
            <w:r>
              <w:rPr>
                <w:rFonts w:hint="eastAsia"/>
              </w:rPr>
              <w:t>19.3</w:t>
            </w:r>
          </w:p>
        </w:tc>
      </w:tr>
      <w:tr w14:paraId="3A30C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pct"/>
            <w:vAlign w:val="center"/>
          </w:tcPr>
          <w:p w14:paraId="77335BC1">
            <w:pPr>
              <w:pStyle w:val="13"/>
              <w:ind w:firstLine="420" w:firstLineChars="200"/>
              <w:jc w:val="left"/>
              <w:rPr>
                <w:rFonts w:hint="eastAsia"/>
              </w:rPr>
            </w:pPr>
            <w:r>
              <w:rPr>
                <w:rFonts w:hint="eastAsia"/>
              </w:rPr>
              <w:t>第三产业</w:t>
            </w:r>
          </w:p>
        </w:tc>
        <w:tc>
          <w:tcPr>
            <w:tcW w:w="996" w:type="pct"/>
            <w:vAlign w:val="center"/>
          </w:tcPr>
          <w:p w14:paraId="01D6D696">
            <w:pPr>
              <w:pStyle w:val="13"/>
              <w:jc w:val="center"/>
              <w:rPr>
                <w:rFonts w:hint="eastAsia"/>
              </w:rPr>
            </w:pPr>
            <w:r>
              <w:rPr>
                <w:rFonts w:hint="eastAsia"/>
              </w:rPr>
              <w:t>388582</w:t>
            </w:r>
          </w:p>
        </w:tc>
        <w:tc>
          <w:tcPr>
            <w:tcW w:w="1281" w:type="pct"/>
            <w:vAlign w:val="center"/>
          </w:tcPr>
          <w:p w14:paraId="69DCAF93">
            <w:pPr>
              <w:pStyle w:val="13"/>
              <w:jc w:val="center"/>
              <w:rPr>
                <w:rFonts w:hint="eastAsia"/>
              </w:rPr>
            </w:pPr>
            <w:r>
              <w:rPr>
                <w:rFonts w:hint="eastAsia"/>
              </w:rPr>
              <w:t>355103</w:t>
            </w:r>
          </w:p>
        </w:tc>
        <w:tc>
          <w:tcPr>
            <w:tcW w:w="819" w:type="pct"/>
            <w:vAlign w:val="center"/>
          </w:tcPr>
          <w:p w14:paraId="1B3FAC99">
            <w:pPr>
              <w:pStyle w:val="13"/>
              <w:jc w:val="center"/>
              <w:rPr>
                <w:rFonts w:hint="eastAsia"/>
              </w:rPr>
            </w:pPr>
            <w:r>
              <w:rPr>
                <w:rFonts w:hint="eastAsia"/>
              </w:rPr>
              <w:t>17.4</w:t>
            </w:r>
          </w:p>
        </w:tc>
      </w:tr>
      <w:tr w14:paraId="7A9920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pct"/>
            <w:vAlign w:val="center"/>
          </w:tcPr>
          <w:p w14:paraId="775E595A">
            <w:pPr>
              <w:pStyle w:val="13"/>
              <w:ind w:firstLine="840" w:firstLineChars="400"/>
              <w:jc w:val="left"/>
              <w:rPr>
                <w:rFonts w:hint="eastAsia"/>
              </w:rPr>
            </w:pPr>
            <w:r>
              <w:rPr>
                <w:rFonts w:hint="eastAsia"/>
              </w:rPr>
              <w:t>其中：交通运输、邮政业</w:t>
            </w:r>
          </w:p>
        </w:tc>
        <w:tc>
          <w:tcPr>
            <w:tcW w:w="996" w:type="pct"/>
            <w:vAlign w:val="center"/>
          </w:tcPr>
          <w:p w14:paraId="3AEAFB3B">
            <w:pPr>
              <w:pStyle w:val="13"/>
              <w:jc w:val="center"/>
              <w:rPr>
                <w:rFonts w:hint="eastAsia"/>
              </w:rPr>
            </w:pPr>
            <w:r>
              <w:rPr>
                <w:rFonts w:hint="eastAsia"/>
              </w:rPr>
              <w:t>62999</w:t>
            </w:r>
          </w:p>
        </w:tc>
        <w:tc>
          <w:tcPr>
            <w:tcW w:w="1281" w:type="pct"/>
            <w:vAlign w:val="center"/>
          </w:tcPr>
          <w:p w14:paraId="7F3C9234">
            <w:pPr>
              <w:pStyle w:val="13"/>
              <w:jc w:val="center"/>
              <w:rPr>
                <w:rFonts w:hint="eastAsia"/>
              </w:rPr>
            </w:pPr>
            <w:r>
              <w:rPr>
                <w:rFonts w:hint="eastAsia"/>
              </w:rPr>
              <w:t>58030</w:t>
            </w:r>
          </w:p>
        </w:tc>
        <w:tc>
          <w:tcPr>
            <w:tcW w:w="819" w:type="pct"/>
            <w:vAlign w:val="center"/>
          </w:tcPr>
          <w:p w14:paraId="693EC3FA">
            <w:pPr>
              <w:pStyle w:val="13"/>
              <w:jc w:val="center"/>
              <w:rPr>
                <w:rFonts w:hint="eastAsia"/>
              </w:rPr>
            </w:pPr>
            <w:r>
              <w:rPr>
                <w:rFonts w:hint="eastAsia"/>
              </w:rPr>
              <w:t>25.3</w:t>
            </w:r>
          </w:p>
        </w:tc>
      </w:tr>
      <w:tr w14:paraId="02020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pct"/>
            <w:vAlign w:val="center"/>
          </w:tcPr>
          <w:p w14:paraId="4FFE339B">
            <w:pPr>
              <w:pStyle w:val="13"/>
              <w:ind w:firstLine="1470" w:firstLineChars="700"/>
              <w:jc w:val="left"/>
              <w:rPr>
                <w:rFonts w:hint="eastAsia"/>
              </w:rPr>
            </w:pPr>
            <w:r>
              <w:rPr>
                <w:rFonts w:hint="eastAsia"/>
              </w:rPr>
              <w:t>批发和零售业</w:t>
            </w:r>
          </w:p>
        </w:tc>
        <w:tc>
          <w:tcPr>
            <w:tcW w:w="996" w:type="pct"/>
            <w:vAlign w:val="center"/>
          </w:tcPr>
          <w:p w14:paraId="4688C574">
            <w:pPr>
              <w:pStyle w:val="13"/>
              <w:jc w:val="center"/>
              <w:rPr>
                <w:rFonts w:hint="eastAsia"/>
              </w:rPr>
            </w:pPr>
            <w:r>
              <w:rPr>
                <w:rFonts w:hint="eastAsia"/>
              </w:rPr>
              <w:t>57004</w:t>
            </w:r>
          </w:p>
        </w:tc>
        <w:tc>
          <w:tcPr>
            <w:tcW w:w="1281" w:type="pct"/>
            <w:vAlign w:val="center"/>
          </w:tcPr>
          <w:p w14:paraId="0D3B7467">
            <w:pPr>
              <w:pStyle w:val="13"/>
              <w:jc w:val="center"/>
              <w:rPr>
                <w:rFonts w:hint="eastAsia"/>
              </w:rPr>
            </w:pPr>
            <w:r>
              <w:rPr>
                <w:rFonts w:hint="eastAsia"/>
              </w:rPr>
              <w:t>51367</w:t>
            </w:r>
          </w:p>
        </w:tc>
        <w:tc>
          <w:tcPr>
            <w:tcW w:w="819" w:type="pct"/>
            <w:vAlign w:val="center"/>
          </w:tcPr>
          <w:p w14:paraId="746E6555">
            <w:pPr>
              <w:pStyle w:val="13"/>
              <w:jc w:val="center"/>
              <w:rPr>
                <w:rFonts w:hint="eastAsia"/>
              </w:rPr>
            </w:pPr>
            <w:r>
              <w:rPr>
                <w:rFonts w:hint="eastAsia"/>
              </w:rPr>
              <w:t>6.8</w:t>
            </w:r>
          </w:p>
        </w:tc>
      </w:tr>
      <w:tr w14:paraId="34A46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pct"/>
            <w:vAlign w:val="center"/>
          </w:tcPr>
          <w:p w14:paraId="0B0A548F">
            <w:pPr>
              <w:pStyle w:val="13"/>
              <w:ind w:firstLine="1470" w:firstLineChars="700"/>
              <w:jc w:val="left"/>
              <w:rPr>
                <w:rFonts w:hint="eastAsia"/>
              </w:rPr>
            </w:pPr>
            <w:r>
              <w:rPr>
                <w:rFonts w:hint="eastAsia"/>
              </w:rPr>
              <w:t>住宿和餐饮业</w:t>
            </w:r>
          </w:p>
        </w:tc>
        <w:tc>
          <w:tcPr>
            <w:tcW w:w="996" w:type="pct"/>
            <w:vAlign w:val="center"/>
          </w:tcPr>
          <w:p w14:paraId="6F3227DC">
            <w:pPr>
              <w:pStyle w:val="13"/>
              <w:jc w:val="center"/>
              <w:rPr>
                <w:rFonts w:hint="eastAsia"/>
              </w:rPr>
            </w:pPr>
            <w:r>
              <w:rPr>
                <w:rFonts w:hint="eastAsia"/>
              </w:rPr>
              <w:t>31029</w:t>
            </w:r>
          </w:p>
        </w:tc>
        <w:tc>
          <w:tcPr>
            <w:tcW w:w="1281" w:type="pct"/>
            <w:vAlign w:val="center"/>
          </w:tcPr>
          <w:p w14:paraId="014FBEEC">
            <w:pPr>
              <w:pStyle w:val="13"/>
              <w:jc w:val="center"/>
              <w:rPr>
                <w:rFonts w:hint="eastAsia"/>
              </w:rPr>
            </w:pPr>
            <w:r>
              <w:rPr>
                <w:rFonts w:hint="eastAsia"/>
              </w:rPr>
              <w:t>26255</w:t>
            </w:r>
          </w:p>
        </w:tc>
        <w:tc>
          <w:tcPr>
            <w:tcW w:w="819" w:type="pct"/>
            <w:vAlign w:val="center"/>
          </w:tcPr>
          <w:p w14:paraId="456DA7FD">
            <w:pPr>
              <w:pStyle w:val="13"/>
              <w:jc w:val="center"/>
              <w:rPr>
                <w:rFonts w:hint="eastAsia"/>
              </w:rPr>
            </w:pPr>
            <w:r>
              <w:rPr>
                <w:rFonts w:hint="eastAsia"/>
              </w:rPr>
              <w:t>20.9</w:t>
            </w:r>
          </w:p>
        </w:tc>
      </w:tr>
      <w:tr w14:paraId="0A950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pct"/>
            <w:vAlign w:val="center"/>
          </w:tcPr>
          <w:p w14:paraId="7D4E4EB3">
            <w:pPr>
              <w:pStyle w:val="13"/>
              <w:ind w:firstLine="1470" w:firstLineChars="700"/>
              <w:jc w:val="left"/>
              <w:rPr>
                <w:rFonts w:hint="eastAsia"/>
              </w:rPr>
            </w:pPr>
            <w:r>
              <w:rPr>
                <w:rFonts w:hint="eastAsia"/>
              </w:rPr>
              <w:t>金融业</w:t>
            </w:r>
          </w:p>
        </w:tc>
        <w:tc>
          <w:tcPr>
            <w:tcW w:w="996" w:type="pct"/>
            <w:vAlign w:val="center"/>
          </w:tcPr>
          <w:p w14:paraId="0B3A6AAD">
            <w:pPr>
              <w:pStyle w:val="13"/>
              <w:jc w:val="center"/>
              <w:rPr>
                <w:rFonts w:hint="eastAsia"/>
              </w:rPr>
            </w:pPr>
            <w:r>
              <w:rPr>
                <w:rFonts w:hint="eastAsia"/>
              </w:rPr>
              <w:t>13510</w:t>
            </w:r>
          </w:p>
        </w:tc>
        <w:tc>
          <w:tcPr>
            <w:tcW w:w="1281" w:type="pct"/>
            <w:vAlign w:val="center"/>
          </w:tcPr>
          <w:p w14:paraId="76D20471">
            <w:pPr>
              <w:pStyle w:val="13"/>
              <w:jc w:val="center"/>
              <w:rPr>
                <w:rFonts w:hint="eastAsia"/>
              </w:rPr>
            </w:pPr>
            <w:r>
              <w:rPr>
                <w:rFonts w:hint="eastAsia"/>
              </w:rPr>
              <w:t>12433</w:t>
            </w:r>
          </w:p>
        </w:tc>
        <w:tc>
          <w:tcPr>
            <w:tcW w:w="819" w:type="pct"/>
            <w:vAlign w:val="center"/>
          </w:tcPr>
          <w:p w14:paraId="5985275B">
            <w:pPr>
              <w:pStyle w:val="13"/>
              <w:jc w:val="center"/>
              <w:rPr>
                <w:rFonts w:hint="eastAsia"/>
              </w:rPr>
            </w:pPr>
            <w:r>
              <w:rPr>
                <w:rFonts w:hint="eastAsia"/>
              </w:rPr>
              <w:t>1.1</w:t>
            </w:r>
          </w:p>
        </w:tc>
      </w:tr>
      <w:tr w14:paraId="42D19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pct"/>
            <w:vAlign w:val="center"/>
          </w:tcPr>
          <w:p w14:paraId="561C9597">
            <w:pPr>
              <w:pStyle w:val="13"/>
              <w:ind w:firstLine="1470" w:firstLineChars="700"/>
              <w:jc w:val="left"/>
              <w:rPr>
                <w:rFonts w:hint="eastAsia"/>
              </w:rPr>
            </w:pPr>
            <w:r>
              <w:rPr>
                <w:rFonts w:hint="eastAsia"/>
              </w:rPr>
              <w:t>房地产业</w:t>
            </w:r>
          </w:p>
        </w:tc>
        <w:tc>
          <w:tcPr>
            <w:tcW w:w="996" w:type="pct"/>
            <w:vAlign w:val="center"/>
          </w:tcPr>
          <w:p w14:paraId="603960DD">
            <w:pPr>
              <w:pStyle w:val="13"/>
              <w:jc w:val="center"/>
              <w:rPr>
                <w:rFonts w:hint="eastAsia"/>
              </w:rPr>
            </w:pPr>
            <w:r>
              <w:rPr>
                <w:rFonts w:hint="eastAsia"/>
              </w:rPr>
              <w:t>23094</w:t>
            </w:r>
          </w:p>
        </w:tc>
        <w:tc>
          <w:tcPr>
            <w:tcW w:w="1281" w:type="pct"/>
            <w:vAlign w:val="center"/>
          </w:tcPr>
          <w:p w14:paraId="0605760B">
            <w:pPr>
              <w:pStyle w:val="13"/>
              <w:jc w:val="center"/>
              <w:rPr>
                <w:rFonts w:hint="eastAsia"/>
              </w:rPr>
            </w:pPr>
            <w:r>
              <w:rPr>
                <w:rFonts w:hint="eastAsia"/>
              </w:rPr>
              <w:t>20209</w:t>
            </w:r>
          </w:p>
        </w:tc>
        <w:tc>
          <w:tcPr>
            <w:tcW w:w="819" w:type="pct"/>
            <w:vAlign w:val="center"/>
          </w:tcPr>
          <w:p w14:paraId="482B2314">
            <w:pPr>
              <w:pStyle w:val="13"/>
              <w:jc w:val="center"/>
              <w:rPr>
                <w:rFonts w:hint="eastAsia"/>
              </w:rPr>
            </w:pPr>
            <w:r>
              <w:rPr>
                <w:rFonts w:hint="eastAsia"/>
              </w:rPr>
              <w:t>17</w:t>
            </w:r>
          </w:p>
        </w:tc>
      </w:tr>
      <w:tr w14:paraId="6DCA09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pct"/>
            <w:vAlign w:val="center"/>
          </w:tcPr>
          <w:p w14:paraId="041CB550">
            <w:pPr>
              <w:pStyle w:val="13"/>
              <w:ind w:firstLine="1470" w:firstLineChars="700"/>
              <w:jc w:val="left"/>
              <w:rPr>
                <w:rFonts w:hint="eastAsia"/>
              </w:rPr>
            </w:pPr>
            <w:r>
              <w:rPr>
                <w:rFonts w:hint="eastAsia"/>
              </w:rPr>
              <w:t>其他服务业</w:t>
            </w:r>
          </w:p>
        </w:tc>
        <w:tc>
          <w:tcPr>
            <w:tcW w:w="996" w:type="pct"/>
            <w:vAlign w:val="center"/>
          </w:tcPr>
          <w:p w14:paraId="69E90569">
            <w:pPr>
              <w:pStyle w:val="13"/>
              <w:jc w:val="center"/>
              <w:rPr>
                <w:rFonts w:hint="eastAsia"/>
              </w:rPr>
            </w:pPr>
            <w:r>
              <w:rPr>
                <w:rFonts w:hint="eastAsia"/>
              </w:rPr>
              <w:t>200946</w:t>
            </w:r>
          </w:p>
        </w:tc>
        <w:tc>
          <w:tcPr>
            <w:tcW w:w="1281" w:type="pct"/>
            <w:vAlign w:val="center"/>
          </w:tcPr>
          <w:p w14:paraId="641A0772">
            <w:pPr>
              <w:pStyle w:val="13"/>
              <w:jc w:val="center"/>
              <w:rPr>
                <w:rFonts w:hint="eastAsia"/>
              </w:rPr>
            </w:pPr>
            <w:r>
              <w:rPr>
                <w:rFonts w:hint="eastAsia"/>
              </w:rPr>
              <w:t>186809</w:t>
            </w:r>
          </w:p>
        </w:tc>
        <w:tc>
          <w:tcPr>
            <w:tcW w:w="819" w:type="pct"/>
            <w:vAlign w:val="center"/>
          </w:tcPr>
          <w:p w14:paraId="65FCC52A">
            <w:pPr>
              <w:pStyle w:val="13"/>
              <w:jc w:val="center"/>
            </w:pPr>
            <w:r>
              <w:rPr>
                <w:rFonts w:hint="eastAsia"/>
              </w:rPr>
              <w:t>28.2</w:t>
            </w:r>
          </w:p>
        </w:tc>
      </w:tr>
    </w:tbl>
    <w:p w14:paraId="3A8DBDBF">
      <w:pPr>
        <w:pStyle w:val="4"/>
        <w:rPr>
          <w:rFonts w:hint="eastAsia"/>
        </w:rPr>
      </w:pPr>
      <w:r>
        <w:t>表</w:t>
      </w:r>
      <w:r>
        <w:rPr>
          <w:rFonts w:hint="eastAsia"/>
        </w:rPr>
        <w:t>34-9  生产总值</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71"/>
        <w:gridCol w:w="2030"/>
        <w:gridCol w:w="2429"/>
        <w:gridCol w:w="1632"/>
      </w:tblGrid>
      <w:tr w14:paraId="11C89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688046EB">
            <w:pPr>
              <w:pStyle w:val="13"/>
              <w:jc w:val="center"/>
              <w:rPr>
                <w:rFonts w:hint="eastAsia"/>
                <w:b/>
              </w:rPr>
            </w:pPr>
            <w:r>
              <w:rPr>
                <w:rFonts w:hint="eastAsia"/>
                <w:b/>
              </w:rPr>
              <w:t>指标名称</w:t>
            </w:r>
          </w:p>
        </w:tc>
        <w:tc>
          <w:tcPr>
            <w:tcW w:w="1019" w:type="pct"/>
            <w:vAlign w:val="center"/>
          </w:tcPr>
          <w:p w14:paraId="126B0382">
            <w:pPr>
              <w:pStyle w:val="13"/>
              <w:jc w:val="center"/>
              <w:rPr>
                <w:rFonts w:hint="eastAsia"/>
                <w:b/>
              </w:rPr>
            </w:pPr>
            <w:r>
              <w:rPr>
                <w:rFonts w:hint="eastAsia"/>
                <w:b/>
              </w:rPr>
              <w:t>当年价（万元）</w:t>
            </w:r>
          </w:p>
        </w:tc>
        <w:tc>
          <w:tcPr>
            <w:tcW w:w="1219" w:type="pct"/>
            <w:vAlign w:val="center"/>
          </w:tcPr>
          <w:p w14:paraId="0FD51735">
            <w:pPr>
              <w:pStyle w:val="13"/>
              <w:jc w:val="center"/>
              <w:rPr>
                <w:rFonts w:hint="eastAsia"/>
                <w:b/>
              </w:rPr>
            </w:pPr>
            <w:r>
              <w:rPr>
                <w:rFonts w:hint="eastAsia"/>
                <w:b/>
              </w:rPr>
              <w:t>2005年不变价（万元）</w:t>
            </w:r>
          </w:p>
        </w:tc>
        <w:tc>
          <w:tcPr>
            <w:tcW w:w="819" w:type="pct"/>
            <w:vAlign w:val="center"/>
          </w:tcPr>
          <w:p w14:paraId="717FC217">
            <w:pPr>
              <w:pStyle w:val="13"/>
              <w:jc w:val="center"/>
              <w:rPr>
                <w:rFonts w:hint="eastAsia"/>
                <w:b/>
              </w:rPr>
            </w:pPr>
            <w:r>
              <w:rPr>
                <w:rFonts w:hint="eastAsia"/>
                <w:b/>
              </w:rPr>
              <w:t>比上年±％</w:t>
            </w:r>
          </w:p>
        </w:tc>
      </w:tr>
      <w:tr w14:paraId="1C5F6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7ABF58A0">
            <w:pPr>
              <w:pStyle w:val="13"/>
              <w:jc w:val="left"/>
              <w:rPr>
                <w:rFonts w:hint="eastAsia"/>
              </w:rPr>
            </w:pPr>
            <w:r>
              <w:rPr>
                <w:rFonts w:hint="eastAsia"/>
              </w:rPr>
              <w:t>生产总值</w:t>
            </w:r>
          </w:p>
        </w:tc>
        <w:tc>
          <w:tcPr>
            <w:tcW w:w="1019" w:type="pct"/>
            <w:vAlign w:val="center"/>
          </w:tcPr>
          <w:p w14:paraId="0BC1C13B">
            <w:pPr>
              <w:pStyle w:val="13"/>
              <w:jc w:val="center"/>
              <w:rPr>
                <w:rFonts w:hint="eastAsia"/>
              </w:rPr>
            </w:pPr>
            <w:r>
              <w:rPr>
                <w:rFonts w:hint="eastAsia"/>
              </w:rPr>
              <w:t>602601</w:t>
            </w:r>
          </w:p>
        </w:tc>
        <w:tc>
          <w:tcPr>
            <w:tcW w:w="1219" w:type="pct"/>
            <w:vAlign w:val="center"/>
          </w:tcPr>
          <w:p w14:paraId="42C05FBC">
            <w:pPr>
              <w:pStyle w:val="13"/>
              <w:jc w:val="center"/>
              <w:rPr>
                <w:rFonts w:hint="eastAsia"/>
              </w:rPr>
            </w:pPr>
            <w:r>
              <w:rPr>
                <w:rFonts w:hint="eastAsia"/>
              </w:rPr>
              <w:t>541918</w:t>
            </w:r>
          </w:p>
        </w:tc>
        <w:tc>
          <w:tcPr>
            <w:tcW w:w="819" w:type="pct"/>
            <w:vAlign w:val="center"/>
          </w:tcPr>
          <w:p w14:paraId="5E45929D">
            <w:pPr>
              <w:pStyle w:val="13"/>
              <w:jc w:val="center"/>
              <w:rPr>
                <w:rFonts w:hint="eastAsia"/>
              </w:rPr>
            </w:pPr>
            <w:r>
              <w:rPr>
                <w:rFonts w:hint="eastAsia"/>
              </w:rPr>
              <w:t>23</w:t>
            </w:r>
          </w:p>
        </w:tc>
      </w:tr>
      <w:tr w14:paraId="2087D1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64827571">
            <w:pPr>
              <w:pStyle w:val="13"/>
              <w:ind w:firstLine="420" w:firstLineChars="200"/>
              <w:jc w:val="left"/>
              <w:rPr>
                <w:rFonts w:hint="eastAsia"/>
              </w:rPr>
            </w:pPr>
            <w:r>
              <w:rPr>
                <w:rFonts w:hint="eastAsia"/>
              </w:rPr>
              <w:t>第一产业</w:t>
            </w:r>
          </w:p>
        </w:tc>
        <w:tc>
          <w:tcPr>
            <w:tcW w:w="1019" w:type="pct"/>
            <w:vAlign w:val="center"/>
          </w:tcPr>
          <w:p w14:paraId="6A06322B">
            <w:pPr>
              <w:pStyle w:val="13"/>
              <w:jc w:val="center"/>
              <w:rPr>
                <w:rFonts w:hint="eastAsia"/>
              </w:rPr>
            </w:pPr>
            <w:r>
              <w:rPr>
                <w:rFonts w:hint="eastAsia"/>
              </w:rPr>
              <w:t>163631</w:t>
            </w:r>
          </w:p>
        </w:tc>
        <w:tc>
          <w:tcPr>
            <w:tcW w:w="1219" w:type="pct"/>
            <w:vAlign w:val="center"/>
          </w:tcPr>
          <w:p w14:paraId="285B5395">
            <w:pPr>
              <w:pStyle w:val="13"/>
              <w:jc w:val="center"/>
              <w:rPr>
                <w:rFonts w:hint="eastAsia"/>
              </w:rPr>
            </w:pPr>
            <w:r>
              <w:rPr>
                <w:rFonts w:hint="eastAsia"/>
              </w:rPr>
              <w:t>135553</w:t>
            </w:r>
          </w:p>
        </w:tc>
        <w:tc>
          <w:tcPr>
            <w:tcW w:w="819" w:type="pct"/>
            <w:vAlign w:val="center"/>
          </w:tcPr>
          <w:p w14:paraId="6DAF5BF8">
            <w:pPr>
              <w:pStyle w:val="13"/>
              <w:jc w:val="center"/>
              <w:rPr>
                <w:rFonts w:hint="eastAsia"/>
              </w:rPr>
            </w:pPr>
            <w:r>
              <w:rPr>
                <w:rFonts w:hint="eastAsia"/>
              </w:rPr>
              <w:t>5</w:t>
            </w:r>
          </w:p>
        </w:tc>
      </w:tr>
      <w:tr w14:paraId="50C20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504B8703">
            <w:pPr>
              <w:pStyle w:val="13"/>
              <w:ind w:firstLine="420" w:firstLineChars="200"/>
              <w:jc w:val="left"/>
              <w:rPr>
                <w:rFonts w:hint="eastAsia"/>
              </w:rPr>
            </w:pPr>
            <w:r>
              <w:rPr>
                <w:rFonts w:hint="eastAsia"/>
              </w:rPr>
              <w:t>第二产业</w:t>
            </w:r>
          </w:p>
        </w:tc>
        <w:tc>
          <w:tcPr>
            <w:tcW w:w="1019" w:type="pct"/>
            <w:vAlign w:val="center"/>
          </w:tcPr>
          <w:p w14:paraId="2F240D95">
            <w:pPr>
              <w:pStyle w:val="13"/>
              <w:jc w:val="center"/>
              <w:rPr>
                <w:rFonts w:hint="eastAsia"/>
              </w:rPr>
            </w:pPr>
            <w:r>
              <w:rPr>
                <w:rFonts w:hint="eastAsia"/>
              </w:rPr>
              <w:t>171203</w:t>
            </w:r>
          </w:p>
        </w:tc>
        <w:tc>
          <w:tcPr>
            <w:tcW w:w="1219" w:type="pct"/>
            <w:vAlign w:val="center"/>
          </w:tcPr>
          <w:p w14:paraId="264C9881">
            <w:pPr>
              <w:pStyle w:val="13"/>
              <w:jc w:val="center"/>
              <w:rPr>
                <w:rFonts w:hint="eastAsia"/>
              </w:rPr>
            </w:pPr>
            <w:r>
              <w:rPr>
                <w:rFonts w:hint="eastAsia"/>
              </w:rPr>
              <w:t>162395</w:t>
            </w:r>
          </w:p>
        </w:tc>
        <w:tc>
          <w:tcPr>
            <w:tcW w:w="819" w:type="pct"/>
            <w:vAlign w:val="center"/>
          </w:tcPr>
          <w:p w14:paraId="6544C290">
            <w:pPr>
              <w:pStyle w:val="13"/>
              <w:jc w:val="center"/>
              <w:rPr>
                <w:rFonts w:hint="eastAsia"/>
              </w:rPr>
            </w:pPr>
            <w:r>
              <w:rPr>
                <w:rFonts w:hint="eastAsia"/>
              </w:rPr>
              <w:t>56</w:t>
            </w:r>
          </w:p>
        </w:tc>
      </w:tr>
      <w:tr w14:paraId="4706E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62AB1595">
            <w:pPr>
              <w:pStyle w:val="13"/>
              <w:ind w:firstLine="840" w:firstLineChars="400"/>
              <w:jc w:val="left"/>
              <w:rPr>
                <w:rFonts w:hint="eastAsia"/>
              </w:rPr>
            </w:pPr>
            <w:r>
              <w:rPr>
                <w:rFonts w:hint="eastAsia"/>
              </w:rPr>
              <w:t>其中：工业</w:t>
            </w:r>
          </w:p>
        </w:tc>
        <w:tc>
          <w:tcPr>
            <w:tcW w:w="1019" w:type="pct"/>
            <w:vAlign w:val="center"/>
          </w:tcPr>
          <w:p w14:paraId="3AE6CED2">
            <w:pPr>
              <w:pStyle w:val="13"/>
              <w:jc w:val="center"/>
              <w:rPr>
                <w:rFonts w:hint="eastAsia"/>
              </w:rPr>
            </w:pPr>
            <w:r>
              <w:rPr>
                <w:rFonts w:hint="eastAsia"/>
              </w:rPr>
              <w:t>115387</w:t>
            </w:r>
          </w:p>
        </w:tc>
        <w:tc>
          <w:tcPr>
            <w:tcW w:w="1219" w:type="pct"/>
            <w:vAlign w:val="center"/>
          </w:tcPr>
          <w:p w14:paraId="0FAA82D6">
            <w:pPr>
              <w:pStyle w:val="13"/>
              <w:jc w:val="center"/>
              <w:rPr>
                <w:rFonts w:hint="eastAsia"/>
              </w:rPr>
            </w:pPr>
            <w:r>
              <w:rPr>
                <w:rFonts w:hint="eastAsia"/>
              </w:rPr>
              <w:t>114402</w:t>
            </w:r>
          </w:p>
        </w:tc>
        <w:tc>
          <w:tcPr>
            <w:tcW w:w="819" w:type="pct"/>
            <w:vAlign w:val="center"/>
          </w:tcPr>
          <w:p w14:paraId="59736ED6">
            <w:pPr>
              <w:pStyle w:val="13"/>
              <w:jc w:val="center"/>
              <w:rPr>
                <w:rFonts w:hint="eastAsia"/>
              </w:rPr>
            </w:pPr>
            <w:r>
              <w:rPr>
                <w:rFonts w:hint="eastAsia"/>
              </w:rPr>
              <w:t>75.8</w:t>
            </w:r>
          </w:p>
        </w:tc>
      </w:tr>
      <w:tr w14:paraId="3BF0A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433F1AB5">
            <w:pPr>
              <w:pStyle w:val="13"/>
              <w:ind w:firstLine="1470" w:firstLineChars="700"/>
              <w:jc w:val="left"/>
              <w:rPr>
                <w:rFonts w:hint="eastAsia"/>
              </w:rPr>
            </w:pPr>
            <w:r>
              <w:rPr>
                <w:rFonts w:hint="eastAsia"/>
              </w:rPr>
              <w:t>建筑业</w:t>
            </w:r>
          </w:p>
        </w:tc>
        <w:tc>
          <w:tcPr>
            <w:tcW w:w="1019" w:type="pct"/>
            <w:vAlign w:val="center"/>
          </w:tcPr>
          <w:p w14:paraId="4E54F545">
            <w:pPr>
              <w:pStyle w:val="13"/>
              <w:jc w:val="center"/>
              <w:rPr>
                <w:rFonts w:hint="eastAsia"/>
              </w:rPr>
            </w:pPr>
            <w:r>
              <w:rPr>
                <w:rFonts w:hint="eastAsia"/>
              </w:rPr>
              <w:t>55816</w:t>
            </w:r>
          </w:p>
        </w:tc>
        <w:tc>
          <w:tcPr>
            <w:tcW w:w="1219" w:type="pct"/>
            <w:vAlign w:val="center"/>
          </w:tcPr>
          <w:p w14:paraId="21F329BC">
            <w:pPr>
              <w:pStyle w:val="13"/>
              <w:jc w:val="center"/>
              <w:rPr>
                <w:rFonts w:hint="eastAsia"/>
              </w:rPr>
            </w:pPr>
            <w:r>
              <w:rPr>
                <w:rFonts w:hint="eastAsia"/>
              </w:rPr>
              <w:t>47993</w:t>
            </w:r>
          </w:p>
        </w:tc>
        <w:tc>
          <w:tcPr>
            <w:tcW w:w="819" w:type="pct"/>
            <w:vAlign w:val="center"/>
          </w:tcPr>
          <w:p w14:paraId="1BABCF50">
            <w:pPr>
              <w:pStyle w:val="13"/>
              <w:jc w:val="center"/>
              <w:rPr>
                <w:rFonts w:hint="eastAsia"/>
              </w:rPr>
            </w:pPr>
            <w:r>
              <w:rPr>
                <w:rFonts w:hint="eastAsia"/>
              </w:rPr>
              <w:t>23</w:t>
            </w:r>
          </w:p>
        </w:tc>
      </w:tr>
      <w:tr w14:paraId="14288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719041C6">
            <w:pPr>
              <w:pStyle w:val="13"/>
              <w:ind w:firstLine="420" w:firstLineChars="200"/>
              <w:jc w:val="left"/>
              <w:rPr>
                <w:rFonts w:hint="eastAsia"/>
              </w:rPr>
            </w:pPr>
            <w:r>
              <w:rPr>
                <w:rFonts w:hint="eastAsia"/>
              </w:rPr>
              <w:t>第三产业</w:t>
            </w:r>
          </w:p>
        </w:tc>
        <w:tc>
          <w:tcPr>
            <w:tcW w:w="1019" w:type="pct"/>
            <w:vAlign w:val="center"/>
          </w:tcPr>
          <w:p w14:paraId="14B76E24">
            <w:pPr>
              <w:pStyle w:val="13"/>
              <w:jc w:val="center"/>
              <w:rPr>
                <w:rFonts w:hint="eastAsia"/>
              </w:rPr>
            </w:pPr>
            <w:r>
              <w:rPr>
                <w:rFonts w:hint="eastAsia"/>
              </w:rPr>
              <w:t>267767</w:t>
            </w:r>
          </w:p>
        </w:tc>
        <w:tc>
          <w:tcPr>
            <w:tcW w:w="1219" w:type="pct"/>
            <w:vAlign w:val="center"/>
          </w:tcPr>
          <w:p w14:paraId="7837E974">
            <w:pPr>
              <w:pStyle w:val="13"/>
              <w:jc w:val="center"/>
              <w:rPr>
                <w:rFonts w:hint="eastAsia"/>
              </w:rPr>
            </w:pPr>
            <w:r>
              <w:rPr>
                <w:rFonts w:hint="eastAsia"/>
              </w:rPr>
              <w:t>243970</w:t>
            </w:r>
          </w:p>
        </w:tc>
        <w:tc>
          <w:tcPr>
            <w:tcW w:w="819" w:type="pct"/>
            <w:vAlign w:val="center"/>
          </w:tcPr>
          <w:p w14:paraId="5EBD8A6B">
            <w:pPr>
              <w:pStyle w:val="13"/>
              <w:jc w:val="center"/>
              <w:rPr>
                <w:rFonts w:hint="eastAsia"/>
              </w:rPr>
            </w:pPr>
            <w:r>
              <w:rPr>
                <w:rFonts w:hint="eastAsia"/>
              </w:rPr>
              <w:t>17.5</w:t>
            </w:r>
          </w:p>
        </w:tc>
      </w:tr>
      <w:tr w14:paraId="33FC9E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7BDD03C0">
            <w:pPr>
              <w:pStyle w:val="13"/>
              <w:ind w:firstLine="840" w:firstLineChars="400"/>
              <w:jc w:val="left"/>
              <w:rPr>
                <w:rFonts w:hint="eastAsia"/>
              </w:rPr>
            </w:pPr>
            <w:r>
              <w:rPr>
                <w:rFonts w:hint="eastAsia"/>
              </w:rPr>
              <w:t>其中：交通运输、邮政业</w:t>
            </w:r>
          </w:p>
        </w:tc>
        <w:tc>
          <w:tcPr>
            <w:tcW w:w="1019" w:type="pct"/>
            <w:vAlign w:val="center"/>
          </w:tcPr>
          <w:p w14:paraId="69349566">
            <w:pPr>
              <w:pStyle w:val="13"/>
              <w:jc w:val="center"/>
              <w:rPr>
                <w:rFonts w:hint="eastAsia"/>
              </w:rPr>
            </w:pPr>
            <w:r>
              <w:rPr>
                <w:rFonts w:hint="eastAsia"/>
              </w:rPr>
              <w:t>32645</w:t>
            </w:r>
          </w:p>
        </w:tc>
        <w:tc>
          <w:tcPr>
            <w:tcW w:w="1219" w:type="pct"/>
            <w:vAlign w:val="center"/>
          </w:tcPr>
          <w:p w14:paraId="4D4F23C0">
            <w:pPr>
              <w:pStyle w:val="13"/>
              <w:jc w:val="center"/>
              <w:rPr>
                <w:rFonts w:hint="eastAsia"/>
              </w:rPr>
            </w:pPr>
            <w:r>
              <w:rPr>
                <w:rFonts w:hint="eastAsia"/>
              </w:rPr>
              <w:t>30070</w:t>
            </w:r>
          </w:p>
        </w:tc>
        <w:tc>
          <w:tcPr>
            <w:tcW w:w="819" w:type="pct"/>
            <w:vAlign w:val="center"/>
          </w:tcPr>
          <w:p w14:paraId="4DD20CD9">
            <w:pPr>
              <w:pStyle w:val="13"/>
              <w:jc w:val="center"/>
              <w:rPr>
                <w:rFonts w:hint="eastAsia"/>
              </w:rPr>
            </w:pPr>
            <w:r>
              <w:rPr>
                <w:rFonts w:hint="eastAsia"/>
              </w:rPr>
              <w:t>25.3</w:t>
            </w:r>
          </w:p>
        </w:tc>
      </w:tr>
      <w:tr w14:paraId="1B00E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5A6FDFDB">
            <w:pPr>
              <w:pStyle w:val="13"/>
              <w:ind w:firstLine="1470" w:firstLineChars="700"/>
              <w:jc w:val="left"/>
              <w:rPr>
                <w:rFonts w:hint="eastAsia"/>
              </w:rPr>
            </w:pPr>
            <w:r>
              <w:rPr>
                <w:rFonts w:hint="eastAsia"/>
              </w:rPr>
              <w:t>批发和零售业</w:t>
            </w:r>
          </w:p>
        </w:tc>
        <w:tc>
          <w:tcPr>
            <w:tcW w:w="1019" w:type="pct"/>
            <w:vAlign w:val="center"/>
          </w:tcPr>
          <w:p w14:paraId="6072CEDD">
            <w:pPr>
              <w:pStyle w:val="13"/>
              <w:jc w:val="center"/>
              <w:rPr>
                <w:rFonts w:hint="eastAsia"/>
              </w:rPr>
            </w:pPr>
            <w:r>
              <w:rPr>
                <w:rFonts w:hint="eastAsia"/>
              </w:rPr>
              <w:t>49042</w:t>
            </w:r>
          </w:p>
        </w:tc>
        <w:tc>
          <w:tcPr>
            <w:tcW w:w="1219" w:type="pct"/>
            <w:vAlign w:val="center"/>
          </w:tcPr>
          <w:p w14:paraId="706D19C5">
            <w:pPr>
              <w:pStyle w:val="13"/>
              <w:jc w:val="center"/>
              <w:rPr>
                <w:rFonts w:hint="eastAsia"/>
              </w:rPr>
            </w:pPr>
            <w:r>
              <w:rPr>
                <w:rFonts w:hint="eastAsia"/>
              </w:rPr>
              <w:t>44193</w:t>
            </w:r>
          </w:p>
        </w:tc>
        <w:tc>
          <w:tcPr>
            <w:tcW w:w="819" w:type="pct"/>
            <w:vAlign w:val="center"/>
          </w:tcPr>
          <w:p w14:paraId="062AA55B">
            <w:pPr>
              <w:pStyle w:val="13"/>
              <w:jc w:val="center"/>
              <w:rPr>
                <w:rFonts w:hint="eastAsia"/>
              </w:rPr>
            </w:pPr>
            <w:r>
              <w:rPr>
                <w:rFonts w:hint="eastAsia"/>
              </w:rPr>
              <w:t>1.8</w:t>
            </w:r>
          </w:p>
        </w:tc>
      </w:tr>
      <w:tr w14:paraId="68C9E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701E8827">
            <w:pPr>
              <w:pStyle w:val="13"/>
              <w:ind w:firstLine="1470" w:firstLineChars="700"/>
              <w:jc w:val="left"/>
              <w:rPr>
                <w:rFonts w:hint="eastAsia"/>
              </w:rPr>
            </w:pPr>
            <w:r>
              <w:rPr>
                <w:rFonts w:hint="eastAsia"/>
              </w:rPr>
              <w:t>住宿和餐饮业</w:t>
            </w:r>
          </w:p>
        </w:tc>
        <w:tc>
          <w:tcPr>
            <w:tcW w:w="1019" w:type="pct"/>
            <w:vAlign w:val="center"/>
          </w:tcPr>
          <w:p w14:paraId="5A186F06">
            <w:pPr>
              <w:pStyle w:val="13"/>
              <w:jc w:val="center"/>
              <w:rPr>
                <w:rFonts w:hint="eastAsia"/>
              </w:rPr>
            </w:pPr>
            <w:r>
              <w:rPr>
                <w:rFonts w:hint="eastAsia"/>
              </w:rPr>
              <w:t>13253</w:t>
            </w:r>
          </w:p>
        </w:tc>
        <w:tc>
          <w:tcPr>
            <w:tcW w:w="1219" w:type="pct"/>
            <w:vAlign w:val="center"/>
          </w:tcPr>
          <w:p w14:paraId="2AF3240A">
            <w:pPr>
              <w:pStyle w:val="13"/>
              <w:jc w:val="center"/>
              <w:rPr>
                <w:rFonts w:hint="eastAsia"/>
              </w:rPr>
            </w:pPr>
            <w:r>
              <w:rPr>
                <w:rFonts w:hint="eastAsia"/>
              </w:rPr>
              <w:t>11330</w:t>
            </w:r>
          </w:p>
        </w:tc>
        <w:tc>
          <w:tcPr>
            <w:tcW w:w="819" w:type="pct"/>
            <w:vAlign w:val="center"/>
          </w:tcPr>
          <w:p w14:paraId="645521CC">
            <w:pPr>
              <w:pStyle w:val="13"/>
              <w:jc w:val="center"/>
              <w:rPr>
                <w:rFonts w:hint="eastAsia"/>
              </w:rPr>
            </w:pPr>
            <w:r>
              <w:rPr>
                <w:rFonts w:hint="eastAsia"/>
              </w:rPr>
              <w:t>29</w:t>
            </w:r>
          </w:p>
        </w:tc>
      </w:tr>
      <w:tr w14:paraId="694DC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54F011B7">
            <w:pPr>
              <w:pStyle w:val="13"/>
              <w:ind w:firstLine="1470" w:firstLineChars="700"/>
              <w:jc w:val="left"/>
              <w:rPr>
                <w:rFonts w:hint="eastAsia"/>
              </w:rPr>
            </w:pPr>
            <w:r>
              <w:rPr>
                <w:rFonts w:hint="eastAsia"/>
              </w:rPr>
              <w:t>金融业</w:t>
            </w:r>
          </w:p>
        </w:tc>
        <w:tc>
          <w:tcPr>
            <w:tcW w:w="1019" w:type="pct"/>
            <w:vAlign w:val="center"/>
          </w:tcPr>
          <w:p w14:paraId="18BC2284">
            <w:pPr>
              <w:pStyle w:val="13"/>
              <w:jc w:val="center"/>
              <w:rPr>
                <w:rFonts w:hint="eastAsia"/>
              </w:rPr>
            </w:pPr>
            <w:r>
              <w:rPr>
                <w:rFonts w:hint="eastAsia"/>
              </w:rPr>
              <w:t>7682</w:t>
            </w:r>
          </w:p>
        </w:tc>
        <w:tc>
          <w:tcPr>
            <w:tcW w:w="1219" w:type="pct"/>
            <w:vAlign w:val="center"/>
          </w:tcPr>
          <w:p w14:paraId="2107C3A6">
            <w:pPr>
              <w:pStyle w:val="13"/>
              <w:jc w:val="center"/>
              <w:rPr>
                <w:rFonts w:hint="eastAsia"/>
              </w:rPr>
            </w:pPr>
            <w:r>
              <w:rPr>
                <w:rFonts w:hint="eastAsia"/>
              </w:rPr>
              <w:t>7149</w:t>
            </w:r>
          </w:p>
        </w:tc>
        <w:tc>
          <w:tcPr>
            <w:tcW w:w="819" w:type="pct"/>
            <w:vAlign w:val="center"/>
          </w:tcPr>
          <w:p w14:paraId="13E54F47">
            <w:pPr>
              <w:pStyle w:val="13"/>
              <w:jc w:val="center"/>
              <w:rPr>
                <w:rFonts w:hint="eastAsia"/>
              </w:rPr>
            </w:pPr>
            <w:r>
              <w:rPr>
                <w:rFonts w:hint="eastAsia"/>
              </w:rPr>
              <w:t>-0.1</w:t>
            </w:r>
          </w:p>
        </w:tc>
      </w:tr>
      <w:tr w14:paraId="5757C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7F3DFCC4">
            <w:pPr>
              <w:pStyle w:val="13"/>
              <w:ind w:firstLine="1470" w:firstLineChars="700"/>
              <w:jc w:val="left"/>
              <w:rPr>
                <w:rFonts w:hint="eastAsia"/>
              </w:rPr>
            </w:pPr>
            <w:r>
              <w:rPr>
                <w:rFonts w:hint="eastAsia"/>
              </w:rPr>
              <w:t>房地产业</w:t>
            </w:r>
          </w:p>
        </w:tc>
        <w:tc>
          <w:tcPr>
            <w:tcW w:w="1019" w:type="pct"/>
            <w:vAlign w:val="center"/>
          </w:tcPr>
          <w:p w14:paraId="55019BDB">
            <w:pPr>
              <w:pStyle w:val="13"/>
              <w:jc w:val="center"/>
              <w:rPr>
                <w:rFonts w:hint="eastAsia"/>
              </w:rPr>
            </w:pPr>
            <w:r>
              <w:rPr>
                <w:rFonts w:hint="eastAsia"/>
              </w:rPr>
              <w:t>19473</w:t>
            </w:r>
          </w:p>
        </w:tc>
        <w:tc>
          <w:tcPr>
            <w:tcW w:w="1219" w:type="pct"/>
            <w:vAlign w:val="center"/>
          </w:tcPr>
          <w:p w14:paraId="18BC5157">
            <w:pPr>
              <w:pStyle w:val="13"/>
              <w:jc w:val="center"/>
              <w:rPr>
                <w:rFonts w:hint="eastAsia"/>
              </w:rPr>
            </w:pPr>
            <w:r>
              <w:rPr>
                <w:rFonts w:hint="eastAsia"/>
              </w:rPr>
              <w:t>16914</w:t>
            </w:r>
          </w:p>
        </w:tc>
        <w:tc>
          <w:tcPr>
            <w:tcW w:w="819" w:type="pct"/>
            <w:vAlign w:val="center"/>
          </w:tcPr>
          <w:p w14:paraId="4D8737AF">
            <w:pPr>
              <w:pStyle w:val="13"/>
              <w:jc w:val="center"/>
              <w:rPr>
                <w:rFonts w:hint="eastAsia"/>
              </w:rPr>
            </w:pPr>
            <w:r>
              <w:rPr>
                <w:rFonts w:hint="eastAsia"/>
              </w:rPr>
              <w:t>20.8</w:t>
            </w:r>
          </w:p>
        </w:tc>
      </w:tr>
      <w:tr w14:paraId="7CCBB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4FFE9A73">
            <w:pPr>
              <w:pStyle w:val="13"/>
              <w:ind w:firstLine="1470" w:firstLineChars="700"/>
              <w:jc w:val="left"/>
              <w:rPr>
                <w:rFonts w:hint="eastAsia"/>
              </w:rPr>
            </w:pPr>
            <w:r>
              <w:rPr>
                <w:rFonts w:hint="eastAsia"/>
              </w:rPr>
              <w:t>其他服务业</w:t>
            </w:r>
          </w:p>
        </w:tc>
        <w:tc>
          <w:tcPr>
            <w:tcW w:w="1019" w:type="pct"/>
            <w:vAlign w:val="center"/>
          </w:tcPr>
          <w:p w14:paraId="664C3605">
            <w:pPr>
              <w:pStyle w:val="13"/>
              <w:jc w:val="center"/>
              <w:rPr>
                <w:rFonts w:hint="eastAsia"/>
              </w:rPr>
            </w:pPr>
            <w:r>
              <w:rPr>
                <w:rFonts w:hint="eastAsia"/>
              </w:rPr>
              <w:t>145672</w:t>
            </w:r>
          </w:p>
        </w:tc>
        <w:tc>
          <w:tcPr>
            <w:tcW w:w="1219" w:type="pct"/>
            <w:vAlign w:val="center"/>
          </w:tcPr>
          <w:p w14:paraId="2716A03E">
            <w:pPr>
              <w:pStyle w:val="13"/>
              <w:jc w:val="center"/>
              <w:rPr>
                <w:rFonts w:hint="eastAsia"/>
              </w:rPr>
            </w:pPr>
            <w:r>
              <w:rPr>
                <w:rFonts w:hint="eastAsia"/>
              </w:rPr>
              <w:t>134314</w:t>
            </w:r>
          </w:p>
        </w:tc>
        <w:tc>
          <w:tcPr>
            <w:tcW w:w="819" w:type="pct"/>
            <w:vAlign w:val="center"/>
          </w:tcPr>
          <w:p w14:paraId="1962EB40">
            <w:pPr>
              <w:pStyle w:val="13"/>
              <w:jc w:val="center"/>
              <w:rPr>
                <w:rFonts w:hint="eastAsia"/>
              </w:rPr>
            </w:pPr>
            <w:r>
              <w:rPr>
                <w:rFonts w:hint="eastAsia"/>
              </w:rPr>
              <w:t>21.9</w:t>
            </w:r>
          </w:p>
        </w:tc>
      </w:tr>
    </w:tbl>
    <w:p w14:paraId="215D55D2">
      <w:pPr>
        <w:pStyle w:val="4"/>
        <w:rPr>
          <w:rFonts w:hint="eastAsia"/>
        </w:rPr>
      </w:pPr>
      <w:r>
        <w:t>表</w:t>
      </w:r>
      <w:r>
        <w:rPr>
          <w:rFonts w:hint="eastAsia"/>
        </w:rPr>
        <w:t>34-10  农业总产值、增加值</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71"/>
        <w:gridCol w:w="2030"/>
        <w:gridCol w:w="2429"/>
        <w:gridCol w:w="1632"/>
      </w:tblGrid>
      <w:tr w14:paraId="57BF7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5F26DD0A">
            <w:pPr>
              <w:pStyle w:val="13"/>
              <w:jc w:val="center"/>
              <w:rPr>
                <w:rFonts w:hint="eastAsia"/>
                <w:b/>
              </w:rPr>
            </w:pPr>
            <w:r>
              <w:rPr>
                <w:rFonts w:hint="eastAsia"/>
                <w:b/>
              </w:rPr>
              <w:t>指标名称</w:t>
            </w:r>
          </w:p>
        </w:tc>
        <w:tc>
          <w:tcPr>
            <w:tcW w:w="1019" w:type="pct"/>
            <w:vAlign w:val="center"/>
          </w:tcPr>
          <w:p w14:paraId="679A5824">
            <w:pPr>
              <w:pStyle w:val="13"/>
              <w:jc w:val="center"/>
              <w:rPr>
                <w:rFonts w:hint="eastAsia"/>
                <w:b/>
              </w:rPr>
            </w:pPr>
            <w:r>
              <w:rPr>
                <w:rFonts w:hint="eastAsia"/>
                <w:b/>
              </w:rPr>
              <w:t>当年价（万元）</w:t>
            </w:r>
          </w:p>
        </w:tc>
        <w:tc>
          <w:tcPr>
            <w:tcW w:w="1219" w:type="pct"/>
            <w:vAlign w:val="center"/>
          </w:tcPr>
          <w:p w14:paraId="47C493AF">
            <w:pPr>
              <w:pStyle w:val="13"/>
              <w:jc w:val="center"/>
              <w:rPr>
                <w:rFonts w:hint="eastAsia"/>
                <w:b/>
              </w:rPr>
            </w:pPr>
            <w:r>
              <w:rPr>
                <w:rFonts w:hint="eastAsia"/>
                <w:b/>
              </w:rPr>
              <w:t>2005年不变价（万元）</w:t>
            </w:r>
          </w:p>
        </w:tc>
        <w:tc>
          <w:tcPr>
            <w:tcW w:w="819" w:type="pct"/>
            <w:vAlign w:val="center"/>
          </w:tcPr>
          <w:p w14:paraId="03AFEFE2">
            <w:pPr>
              <w:pStyle w:val="13"/>
              <w:jc w:val="center"/>
              <w:rPr>
                <w:rFonts w:hint="eastAsia"/>
                <w:b/>
              </w:rPr>
            </w:pPr>
            <w:r>
              <w:rPr>
                <w:rFonts w:hint="eastAsia"/>
                <w:b/>
              </w:rPr>
              <w:t>比上年±％</w:t>
            </w:r>
          </w:p>
        </w:tc>
      </w:tr>
      <w:tr w14:paraId="305C3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15C45208">
            <w:pPr>
              <w:pStyle w:val="13"/>
              <w:jc w:val="left"/>
              <w:rPr>
                <w:rFonts w:hint="eastAsia"/>
              </w:rPr>
            </w:pPr>
            <w:r>
              <w:rPr>
                <w:rFonts w:hint="eastAsia"/>
              </w:rPr>
              <w:t>一、农业总产值</w:t>
            </w:r>
          </w:p>
        </w:tc>
        <w:tc>
          <w:tcPr>
            <w:tcW w:w="1019" w:type="pct"/>
            <w:vAlign w:val="center"/>
          </w:tcPr>
          <w:p w14:paraId="153D60C6">
            <w:pPr>
              <w:pStyle w:val="13"/>
              <w:jc w:val="center"/>
              <w:rPr>
                <w:rFonts w:hint="eastAsia"/>
              </w:rPr>
            </w:pPr>
            <w:r>
              <w:rPr>
                <w:rFonts w:hint="eastAsia"/>
              </w:rPr>
              <w:t>272539</w:t>
            </w:r>
          </w:p>
        </w:tc>
        <w:tc>
          <w:tcPr>
            <w:tcW w:w="1219" w:type="pct"/>
            <w:vAlign w:val="center"/>
          </w:tcPr>
          <w:p w14:paraId="48F873BD">
            <w:pPr>
              <w:pStyle w:val="13"/>
              <w:jc w:val="center"/>
              <w:rPr>
                <w:rFonts w:hint="eastAsia"/>
              </w:rPr>
            </w:pPr>
            <w:r>
              <w:rPr>
                <w:rFonts w:hint="eastAsia"/>
              </w:rPr>
              <w:t>254434</w:t>
            </w:r>
          </w:p>
        </w:tc>
        <w:tc>
          <w:tcPr>
            <w:tcW w:w="819" w:type="pct"/>
            <w:vAlign w:val="center"/>
          </w:tcPr>
          <w:p w14:paraId="0E6CB318">
            <w:pPr>
              <w:pStyle w:val="13"/>
              <w:jc w:val="center"/>
              <w:rPr>
                <w:rFonts w:hint="eastAsia"/>
              </w:rPr>
            </w:pPr>
            <w:r>
              <w:rPr>
                <w:rFonts w:hint="eastAsia"/>
              </w:rPr>
              <w:t>5.9</w:t>
            </w:r>
          </w:p>
        </w:tc>
      </w:tr>
      <w:tr w14:paraId="1163F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759F1370">
            <w:pPr>
              <w:pStyle w:val="13"/>
              <w:ind w:firstLine="420" w:firstLineChars="200"/>
              <w:jc w:val="left"/>
              <w:rPr>
                <w:rFonts w:hint="eastAsia"/>
              </w:rPr>
            </w:pPr>
            <w:r>
              <w:rPr>
                <w:rFonts w:hint="eastAsia"/>
              </w:rPr>
              <w:t>1、种植业</w:t>
            </w:r>
          </w:p>
        </w:tc>
        <w:tc>
          <w:tcPr>
            <w:tcW w:w="1019" w:type="pct"/>
            <w:vAlign w:val="center"/>
          </w:tcPr>
          <w:p w14:paraId="1986E8DB">
            <w:pPr>
              <w:pStyle w:val="13"/>
              <w:jc w:val="center"/>
              <w:rPr>
                <w:rFonts w:hint="eastAsia"/>
              </w:rPr>
            </w:pPr>
            <w:r>
              <w:rPr>
                <w:rFonts w:hint="eastAsia"/>
              </w:rPr>
              <w:t>168706</w:t>
            </w:r>
          </w:p>
        </w:tc>
        <w:tc>
          <w:tcPr>
            <w:tcW w:w="1219" w:type="pct"/>
            <w:vAlign w:val="center"/>
          </w:tcPr>
          <w:p w14:paraId="5BF09188">
            <w:pPr>
              <w:pStyle w:val="13"/>
              <w:jc w:val="center"/>
              <w:rPr>
                <w:rFonts w:hint="eastAsia"/>
              </w:rPr>
            </w:pPr>
            <w:r>
              <w:rPr>
                <w:rFonts w:hint="eastAsia"/>
              </w:rPr>
              <w:t>152551</w:t>
            </w:r>
          </w:p>
        </w:tc>
        <w:tc>
          <w:tcPr>
            <w:tcW w:w="819" w:type="pct"/>
            <w:vAlign w:val="center"/>
          </w:tcPr>
          <w:p w14:paraId="79587157">
            <w:pPr>
              <w:pStyle w:val="13"/>
              <w:jc w:val="center"/>
              <w:rPr>
                <w:rFonts w:hint="eastAsia"/>
              </w:rPr>
            </w:pPr>
            <w:r>
              <w:rPr>
                <w:rFonts w:hint="eastAsia"/>
              </w:rPr>
              <w:t>7.9</w:t>
            </w:r>
          </w:p>
        </w:tc>
      </w:tr>
      <w:tr w14:paraId="6C684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5992C179">
            <w:pPr>
              <w:pStyle w:val="13"/>
              <w:ind w:firstLine="420" w:firstLineChars="200"/>
              <w:jc w:val="left"/>
              <w:rPr>
                <w:rFonts w:hint="eastAsia"/>
              </w:rPr>
            </w:pPr>
            <w:r>
              <w:rPr>
                <w:rFonts w:hint="eastAsia"/>
              </w:rPr>
              <w:t>2、林业</w:t>
            </w:r>
          </w:p>
        </w:tc>
        <w:tc>
          <w:tcPr>
            <w:tcW w:w="1019" w:type="pct"/>
            <w:vAlign w:val="center"/>
          </w:tcPr>
          <w:p w14:paraId="0FAD5A2D">
            <w:pPr>
              <w:pStyle w:val="13"/>
              <w:jc w:val="center"/>
              <w:rPr>
                <w:rFonts w:hint="eastAsia"/>
              </w:rPr>
            </w:pPr>
            <w:r>
              <w:rPr>
                <w:rFonts w:hint="eastAsia"/>
              </w:rPr>
              <w:t>19203</w:t>
            </w:r>
          </w:p>
        </w:tc>
        <w:tc>
          <w:tcPr>
            <w:tcW w:w="1219" w:type="pct"/>
            <w:vAlign w:val="center"/>
          </w:tcPr>
          <w:p w14:paraId="4E1542B4">
            <w:pPr>
              <w:pStyle w:val="13"/>
              <w:jc w:val="center"/>
              <w:rPr>
                <w:rFonts w:hint="eastAsia"/>
              </w:rPr>
            </w:pPr>
            <w:r>
              <w:rPr>
                <w:rFonts w:hint="eastAsia"/>
              </w:rPr>
              <w:t>16597</w:t>
            </w:r>
          </w:p>
        </w:tc>
        <w:tc>
          <w:tcPr>
            <w:tcW w:w="819" w:type="pct"/>
            <w:vAlign w:val="center"/>
          </w:tcPr>
          <w:p w14:paraId="7E81F306">
            <w:pPr>
              <w:pStyle w:val="13"/>
              <w:jc w:val="center"/>
              <w:rPr>
                <w:rFonts w:hint="eastAsia"/>
              </w:rPr>
            </w:pPr>
            <w:r>
              <w:rPr>
                <w:rFonts w:hint="eastAsia"/>
              </w:rPr>
              <w:t>-5.6</w:t>
            </w:r>
          </w:p>
        </w:tc>
      </w:tr>
      <w:tr w14:paraId="3B651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00351274">
            <w:pPr>
              <w:pStyle w:val="13"/>
              <w:ind w:firstLine="420" w:firstLineChars="200"/>
              <w:jc w:val="left"/>
              <w:rPr>
                <w:rFonts w:hint="eastAsia"/>
              </w:rPr>
            </w:pPr>
            <w:r>
              <w:rPr>
                <w:rFonts w:hint="eastAsia"/>
              </w:rPr>
              <w:t>3、牧业</w:t>
            </w:r>
          </w:p>
        </w:tc>
        <w:tc>
          <w:tcPr>
            <w:tcW w:w="1019" w:type="pct"/>
            <w:vAlign w:val="center"/>
          </w:tcPr>
          <w:p w14:paraId="68175981">
            <w:pPr>
              <w:pStyle w:val="13"/>
              <w:jc w:val="center"/>
              <w:rPr>
                <w:rFonts w:hint="eastAsia"/>
              </w:rPr>
            </w:pPr>
            <w:r>
              <w:rPr>
                <w:rFonts w:hint="eastAsia"/>
              </w:rPr>
              <w:t>69799</w:t>
            </w:r>
          </w:p>
        </w:tc>
        <w:tc>
          <w:tcPr>
            <w:tcW w:w="1219" w:type="pct"/>
            <w:vAlign w:val="center"/>
          </w:tcPr>
          <w:p w14:paraId="657B03B4">
            <w:pPr>
              <w:pStyle w:val="13"/>
              <w:jc w:val="center"/>
              <w:rPr>
                <w:rFonts w:hint="eastAsia"/>
              </w:rPr>
            </w:pPr>
            <w:r>
              <w:rPr>
                <w:rFonts w:hint="eastAsia"/>
              </w:rPr>
              <w:t>70935</w:t>
            </w:r>
          </w:p>
        </w:tc>
        <w:tc>
          <w:tcPr>
            <w:tcW w:w="819" w:type="pct"/>
            <w:vAlign w:val="center"/>
          </w:tcPr>
          <w:p w14:paraId="0EA9618E">
            <w:pPr>
              <w:pStyle w:val="13"/>
              <w:jc w:val="center"/>
              <w:rPr>
                <w:rFonts w:hint="eastAsia"/>
              </w:rPr>
            </w:pPr>
            <w:r>
              <w:rPr>
                <w:rFonts w:hint="eastAsia"/>
              </w:rPr>
              <w:t>5.4</w:t>
            </w:r>
          </w:p>
        </w:tc>
      </w:tr>
      <w:tr w14:paraId="0EFF3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064427C9">
            <w:pPr>
              <w:pStyle w:val="13"/>
              <w:ind w:firstLine="420" w:firstLineChars="200"/>
              <w:jc w:val="left"/>
              <w:rPr>
                <w:rFonts w:hint="eastAsia"/>
              </w:rPr>
            </w:pPr>
            <w:r>
              <w:rPr>
                <w:rFonts w:hint="eastAsia"/>
              </w:rPr>
              <w:t>4、渔业</w:t>
            </w:r>
          </w:p>
        </w:tc>
        <w:tc>
          <w:tcPr>
            <w:tcW w:w="1019" w:type="pct"/>
            <w:vAlign w:val="center"/>
          </w:tcPr>
          <w:p w14:paraId="6E73FD1E">
            <w:pPr>
              <w:pStyle w:val="13"/>
              <w:jc w:val="center"/>
              <w:rPr>
                <w:rFonts w:hint="eastAsia"/>
              </w:rPr>
            </w:pPr>
            <w:r>
              <w:rPr>
                <w:rFonts w:hint="eastAsia"/>
              </w:rPr>
              <w:t>10571</w:t>
            </w:r>
          </w:p>
        </w:tc>
        <w:tc>
          <w:tcPr>
            <w:tcW w:w="1219" w:type="pct"/>
            <w:vAlign w:val="center"/>
          </w:tcPr>
          <w:p w14:paraId="18C3CC2A">
            <w:pPr>
              <w:pStyle w:val="13"/>
              <w:jc w:val="center"/>
              <w:rPr>
                <w:rFonts w:hint="eastAsia"/>
              </w:rPr>
            </w:pPr>
            <w:r>
              <w:rPr>
                <w:rFonts w:hint="eastAsia"/>
              </w:rPr>
              <w:t>10217</w:t>
            </w:r>
          </w:p>
        </w:tc>
        <w:tc>
          <w:tcPr>
            <w:tcW w:w="819" w:type="pct"/>
            <w:vAlign w:val="center"/>
          </w:tcPr>
          <w:p w14:paraId="004270D4">
            <w:pPr>
              <w:pStyle w:val="13"/>
              <w:jc w:val="center"/>
              <w:rPr>
                <w:rFonts w:hint="eastAsia"/>
              </w:rPr>
            </w:pPr>
            <w:r>
              <w:rPr>
                <w:rFonts w:hint="eastAsia"/>
              </w:rPr>
              <w:t>4.5</w:t>
            </w:r>
          </w:p>
        </w:tc>
      </w:tr>
      <w:tr w14:paraId="51538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39432F48">
            <w:pPr>
              <w:pStyle w:val="13"/>
              <w:ind w:firstLine="420" w:firstLineChars="200"/>
              <w:jc w:val="left"/>
              <w:rPr>
                <w:rFonts w:hint="eastAsia"/>
              </w:rPr>
            </w:pPr>
            <w:r>
              <w:rPr>
                <w:rFonts w:hint="eastAsia"/>
              </w:rPr>
              <w:t>5、农、林、牧、渔服务业</w:t>
            </w:r>
          </w:p>
        </w:tc>
        <w:tc>
          <w:tcPr>
            <w:tcW w:w="1019" w:type="pct"/>
            <w:vAlign w:val="center"/>
          </w:tcPr>
          <w:p w14:paraId="00C4414B">
            <w:pPr>
              <w:pStyle w:val="13"/>
              <w:jc w:val="center"/>
              <w:rPr>
                <w:rFonts w:hint="eastAsia"/>
              </w:rPr>
            </w:pPr>
            <w:r>
              <w:rPr>
                <w:rFonts w:hint="eastAsia"/>
              </w:rPr>
              <w:t>4259</w:t>
            </w:r>
          </w:p>
        </w:tc>
        <w:tc>
          <w:tcPr>
            <w:tcW w:w="1219" w:type="pct"/>
            <w:vAlign w:val="center"/>
          </w:tcPr>
          <w:p w14:paraId="3400B284">
            <w:pPr>
              <w:pStyle w:val="13"/>
              <w:jc w:val="center"/>
              <w:rPr>
                <w:rFonts w:hint="eastAsia"/>
              </w:rPr>
            </w:pPr>
            <w:r>
              <w:rPr>
                <w:rFonts w:hint="eastAsia"/>
              </w:rPr>
              <w:t>4135</w:t>
            </w:r>
          </w:p>
        </w:tc>
        <w:tc>
          <w:tcPr>
            <w:tcW w:w="819" w:type="pct"/>
            <w:vAlign w:val="center"/>
          </w:tcPr>
          <w:p w14:paraId="56DBC1C3">
            <w:pPr>
              <w:pStyle w:val="13"/>
              <w:jc w:val="center"/>
              <w:rPr>
                <w:rFonts w:hint="eastAsia"/>
              </w:rPr>
            </w:pPr>
            <w:r>
              <w:rPr>
                <w:rFonts w:hint="eastAsia"/>
              </w:rPr>
              <w:t>3.2</w:t>
            </w:r>
          </w:p>
        </w:tc>
      </w:tr>
      <w:tr w14:paraId="22E77A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03930D99">
            <w:pPr>
              <w:pStyle w:val="13"/>
              <w:jc w:val="left"/>
              <w:rPr>
                <w:rFonts w:hint="eastAsia"/>
              </w:rPr>
            </w:pPr>
            <w:r>
              <w:rPr>
                <w:rFonts w:hint="eastAsia"/>
              </w:rPr>
              <w:t>二、农业增加值</w:t>
            </w:r>
          </w:p>
        </w:tc>
        <w:tc>
          <w:tcPr>
            <w:tcW w:w="1019" w:type="pct"/>
            <w:vAlign w:val="center"/>
          </w:tcPr>
          <w:p w14:paraId="487C9643">
            <w:pPr>
              <w:pStyle w:val="13"/>
              <w:jc w:val="center"/>
              <w:rPr>
                <w:rFonts w:hint="eastAsia"/>
              </w:rPr>
            </w:pPr>
            <w:r>
              <w:rPr>
                <w:rFonts w:hint="eastAsia"/>
              </w:rPr>
              <w:t>163634</w:t>
            </w:r>
          </w:p>
        </w:tc>
        <w:tc>
          <w:tcPr>
            <w:tcW w:w="1219" w:type="pct"/>
            <w:vAlign w:val="center"/>
          </w:tcPr>
          <w:p w14:paraId="5BB0D226">
            <w:pPr>
              <w:pStyle w:val="13"/>
              <w:jc w:val="center"/>
              <w:rPr>
                <w:rFonts w:hint="eastAsia"/>
              </w:rPr>
            </w:pPr>
            <w:r>
              <w:rPr>
                <w:rFonts w:hint="eastAsia"/>
              </w:rPr>
              <w:t>151069</w:t>
            </w:r>
          </w:p>
        </w:tc>
        <w:tc>
          <w:tcPr>
            <w:tcW w:w="819" w:type="pct"/>
            <w:vAlign w:val="center"/>
          </w:tcPr>
          <w:p w14:paraId="06A0AC4C">
            <w:pPr>
              <w:pStyle w:val="13"/>
              <w:jc w:val="center"/>
              <w:rPr>
                <w:rFonts w:hint="eastAsia"/>
              </w:rPr>
            </w:pPr>
            <w:r>
              <w:rPr>
                <w:rFonts w:hint="eastAsia"/>
              </w:rPr>
              <w:t>5.8</w:t>
            </w:r>
          </w:p>
        </w:tc>
      </w:tr>
      <w:tr w14:paraId="62446F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2A10A41F">
            <w:pPr>
              <w:pStyle w:val="13"/>
              <w:ind w:firstLine="420" w:firstLineChars="200"/>
              <w:jc w:val="left"/>
              <w:rPr>
                <w:rFonts w:hint="eastAsia"/>
              </w:rPr>
            </w:pPr>
            <w:r>
              <w:rPr>
                <w:rFonts w:hint="eastAsia"/>
              </w:rPr>
              <w:t>1、农业</w:t>
            </w:r>
          </w:p>
        </w:tc>
        <w:tc>
          <w:tcPr>
            <w:tcW w:w="1019" w:type="pct"/>
            <w:vAlign w:val="center"/>
          </w:tcPr>
          <w:p w14:paraId="60E21344">
            <w:pPr>
              <w:pStyle w:val="13"/>
              <w:jc w:val="center"/>
              <w:rPr>
                <w:rFonts w:hint="eastAsia"/>
              </w:rPr>
            </w:pPr>
            <w:r>
              <w:rPr>
                <w:rFonts w:hint="eastAsia"/>
              </w:rPr>
              <w:t>115279</w:t>
            </w:r>
          </w:p>
        </w:tc>
        <w:tc>
          <w:tcPr>
            <w:tcW w:w="1219" w:type="pct"/>
            <w:vAlign w:val="center"/>
          </w:tcPr>
          <w:p w14:paraId="65D0F938">
            <w:pPr>
              <w:pStyle w:val="13"/>
              <w:jc w:val="center"/>
              <w:rPr>
                <w:rFonts w:hint="eastAsia"/>
              </w:rPr>
            </w:pPr>
            <w:r>
              <w:rPr>
                <w:rFonts w:hint="eastAsia"/>
              </w:rPr>
              <w:t>104240</w:t>
            </w:r>
          </w:p>
        </w:tc>
        <w:tc>
          <w:tcPr>
            <w:tcW w:w="819" w:type="pct"/>
            <w:vAlign w:val="center"/>
          </w:tcPr>
          <w:p w14:paraId="5D29AC5C">
            <w:pPr>
              <w:pStyle w:val="13"/>
              <w:jc w:val="center"/>
              <w:rPr>
                <w:rFonts w:hint="eastAsia"/>
              </w:rPr>
            </w:pPr>
            <w:r>
              <w:rPr>
                <w:rFonts w:hint="eastAsia"/>
              </w:rPr>
              <w:t>7.9</w:t>
            </w:r>
          </w:p>
        </w:tc>
      </w:tr>
      <w:tr w14:paraId="2CDCF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2B32DC49">
            <w:pPr>
              <w:pStyle w:val="13"/>
              <w:ind w:firstLine="420" w:firstLineChars="200"/>
              <w:jc w:val="left"/>
              <w:rPr>
                <w:rFonts w:hint="eastAsia"/>
              </w:rPr>
            </w:pPr>
            <w:r>
              <w:rPr>
                <w:rFonts w:hint="eastAsia"/>
              </w:rPr>
              <w:t>2、林业</w:t>
            </w:r>
          </w:p>
        </w:tc>
        <w:tc>
          <w:tcPr>
            <w:tcW w:w="1019" w:type="pct"/>
            <w:vAlign w:val="center"/>
          </w:tcPr>
          <w:p w14:paraId="2030268B">
            <w:pPr>
              <w:pStyle w:val="13"/>
              <w:jc w:val="center"/>
              <w:rPr>
                <w:rFonts w:hint="eastAsia"/>
              </w:rPr>
            </w:pPr>
            <w:r>
              <w:rPr>
                <w:rFonts w:hint="eastAsia"/>
              </w:rPr>
              <w:t>12801</w:t>
            </w:r>
          </w:p>
        </w:tc>
        <w:tc>
          <w:tcPr>
            <w:tcW w:w="1219" w:type="pct"/>
            <w:vAlign w:val="center"/>
          </w:tcPr>
          <w:p w14:paraId="2EF4EA05">
            <w:pPr>
              <w:pStyle w:val="13"/>
              <w:jc w:val="center"/>
              <w:rPr>
                <w:rFonts w:hint="eastAsia"/>
              </w:rPr>
            </w:pPr>
            <w:r>
              <w:rPr>
                <w:rFonts w:hint="eastAsia"/>
              </w:rPr>
              <w:t>11065</w:t>
            </w:r>
          </w:p>
        </w:tc>
        <w:tc>
          <w:tcPr>
            <w:tcW w:w="819" w:type="pct"/>
            <w:vAlign w:val="center"/>
          </w:tcPr>
          <w:p w14:paraId="13462881">
            <w:pPr>
              <w:pStyle w:val="13"/>
              <w:jc w:val="center"/>
              <w:rPr>
                <w:rFonts w:hint="eastAsia"/>
              </w:rPr>
            </w:pPr>
            <w:r>
              <w:rPr>
                <w:rFonts w:hint="eastAsia"/>
              </w:rPr>
              <w:t>-7.7</w:t>
            </w:r>
          </w:p>
        </w:tc>
      </w:tr>
      <w:tr w14:paraId="630D2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04F5246A">
            <w:pPr>
              <w:pStyle w:val="13"/>
              <w:ind w:firstLine="420" w:firstLineChars="200"/>
              <w:jc w:val="left"/>
              <w:rPr>
                <w:rFonts w:hint="eastAsia"/>
              </w:rPr>
            </w:pPr>
            <w:r>
              <w:rPr>
                <w:rFonts w:hint="eastAsia"/>
              </w:rPr>
              <w:t>3、牧业</w:t>
            </w:r>
          </w:p>
        </w:tc>
        <w:tc>
          <w:tcPr>
            <w:tcW w:w="1019" w:type="pct"/>
            <w:vAlign w:val="center"/>
          </w:tcPr>
          <w:p w14:paraId="561D8E4E">
            <w:pPr>
              <w:pStyle w:val="13"/>
              <w:jc w:val="center"/>
              <w:rPr>
                <w:rFonts w:hint="eastAsia"/>
              </w:rPr>
            </w:pPr>
            <w:r>
              <w:rPr>
                <w:rFonts w:hint="eastAsia"/>
              </w:rPr>
              <w:t>28044</w:t>
            </w:r>
          </w:p>
        </w:tc>
        <w:tc>
          <w:tcPr>
            <w:tcW w:w="1219" w:type="pct"/>
            <w:vAlign w:val="center"/>
          </w:tcPr>
          <w:p w14:paraId="238388D9">
            <w:pPr>
              <w:pStyle w:val="13"/>
              <w:jc w:val="center"/>
              <w:rPr>
                <w:rFonts w:hint="eastAsia"/>
              </w:rPr>
            </w:pPr>
            <w:r>
              <w:rPr>
                <w:rFonts w:hint="eastAsia"/>
              </w:rPr>
              <w:t>28501</w:t>
            </w:r>
          </w:p>
        </w:tc>
        <w:tc>
          <w:tcPr>
            <w:tcW w:w="819" w:type="pct"/>
            <w:vAlign w:val="center"/>
          </w:tcPr>
          <w:p w14:paraId="00421DBE">
            <w:pPr>
              <w:pStyle w:val="13"/>
              <w:jc w:val="center"/>
              <w:rPr>
                <w:rFonts w:hint="eastAsia"/>
              </w:rPr>
            </w:pPr>
            <w:r>
              <w:rPr>
                <w:rFonts w:hint="eastAsia"/>
              </w:rPr>
              <w:t>5.3</w:t>
            </w:r>
          </w:p>
        </w:tc>
      </w:tr>
      <w:tr w14:paraId="55A73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73374F74">
            <w:pPr>
              <w:pStyle w:val="13"/>
              <w:ind w:firstLine="420" w:firstLineChars="200"/>
              <w:jc w:val="left"/>
              <w:rPr>
                <w:rFonts w:hint="eastAsia"/>
              </w:rPr>
            </w:pPr>
            <w:r>
              <w:rPr>
                <w:rFonts w:hint="eastAsia"/>
              </w:rPr>
              <w:t>4、渔业</w:t>
            </w:r>
          </w:p>
        </w:tc>
        <w:tc>
          <w:tcPr>
            <w:tcW w:w="1019" w:type="pct"/>
            <w:vAlign w:val="center"/>
          </w:tcPr>
          <w:p w14:paraId="265965B7">
            <w:pPr>
              <w:pStyle w:val="13"/>
              <w:jc w:val="center"/>
              <w:rPr>
                <w:rFonts w:hint="eastAsia"/>
              </w:rPr>
            </w:pPr>
            <w:r>
              <w:rPr>
                <w:rFonts w:hint="eastAsia"/>
              </w:rPr>
              <w:t>5766</w:t>
            </w:r>
          </w:p>
        </w:tc>
        <w:tc>
          <w:tcPr>
            <w:tcW w:w="1219" w:type="pct"/>
            <w:vAlign w:val="center"/>
          </w:tcPr>
          <w:p w14:paraId="08EF218B">
            <w:pPr>
              <w:pStyle w:val="13"/>
              <w:jc w:val="center"/>
              <w:rPr>
                <w:rFonts w:hint="eastAsia"/>
              </w:rPr>
            </w:pPr>
            <w:r>
              <w:rPr>
                <w:rFonts w:hint="eastAsia"/>
              </w:rPr>
              <w:t>5572</w:t>
            </w:r>
          </w:p>
        </w:tc>
        <w:tc>
          <w:tcPr>
            <w:tcW w:w="819" w:type="pct"/>
            <w:vAlign w:val="center"/>
          </w:tcPr>
          <w:p w14:paraId="0AB06C2F">
            <w:pPr>
              <w:pStyle w:val="13"/>
              <w:jc w:val="center"/>
              <w:rPr>
                <w:rFonts w:hint="eastAsia"/>
              </w:rPr>
            </w:pPr>
            <w:r>
              <w:rPr>
                <w:rFonts w:hint="eastAsia"/>
              </w:rPr>
              <w:t>3</w:t>
            </w:r>
          </w:p>
        </w:tc>
      </w:tr>
      <w:tr w14:paraId="7ACF7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015E48DA">
            <w:pPr>
              <w:pStyle w:val="13"/>
              <w:ind w:firstLine="420" w:firstLineChars="200"/>
              <w:jc w:val="left"/>
              <w:rPr>
                <w:rFonts w:hint="eastAsia"/>
              </w:rPr>
            </w:pPr>
            <w:r>
              <w:rPr>
                <w:rFonts w:hint="eastAsia"/>
              </w:rPr>
              <w:t>5、农、林、牧、渔服务业</w:t>
            </w:r>
          </w:p>
        </w:tc>
        <w:tc>
          <w:tcPr>
            <w:tcW w:w="1019" w:type="pct"/>
            <w:vAlign w:val="center"/>
          </w:tcPr>
          <w:p w14:paraId="0AAAD493">
            <w:pPr>
              <w:pStyle w:val="13"/>
              <w:jc w:val="center"/>
              <w:rPr>
                <w:rFonts w:hint="eastAsia"/>
              </w:rPr>
            </w:pPr>
            <w:r>
              <w:rPr>
                <w:rFonts w:hint="eastAsia"/>
              </w:rPr>
              <w:t>1742</w:t>
            </w:r>
          </w:p>
        </w:tc>
        <w:tc>
          <w:tcPr>
            <w:tcW w:w="1219" w:type="pct"/>
            <w:vAlign w:val="center"/>
          </w:tcPr>
          <w:p w14:paraId="7DE517B9">
            <w:pPr>
              <w:pStyle w:val="13"/>
              <w:jc w:val="center"/>
              <w:rPr>
                <w:rFonts w:hint="eastAsia"/>
              </w:rPr>
            </w:pPr>
            <w:r>
              <w:rPr>
                <w:rFonts w:hint="eastAsia"/>
              </w:rPr>
              <w:t>1691</w:t>
            </w:r>
          </w:p>
        </w:tc>
        <w:tc>
          <w:tcPr>
            <w:tcW w:w="819" w:type="pct"/>
            <w:vAlign w:val="center"/>
          </w:tcPr>
          <w:p w14:paraId="4CF99D13">
            <w:pPr>
              <w:pStyle w:val="13"/>
              <w:jc w:val="center"/>
              <w:rPr>
                <w:rFonts w:hint="eastAsia"/>
              </w:rPr>
            </w:pPr>
            <w:r>
              <w:rPr>
                <w:rFonts w:hint="eastAsia"/>
              </w:rPr>
              <w:t>2.2</w:t>
            </w:r>
          </w:p>
        </w:tc>
      </w:tr>
    </w:tbl>
    <w:p w14:paraId="60D021B7">
      <w:pPr>
        <w:pStyle w:val="4"/>
        <w:rPr>
          <w:rFonts w:hint="eastAsia"/>
        </w:rPr>
      </w:pPr>
      <w:r>
        <w:t>表</w:t>
      </w:r>
      <w:r>
        <w:rPr>
          <w:rFonts w:hint="eastAsia"/>
        </w:rPr>
        <w:t>34-11  农作物播种面积和产量</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71"/>
        <w:gridCol w:w="2030"/>
        <w:gridCol w:w="2030"/>
        <w:gridCol w:w="2031"/>
      </w:tblGrid>
      <w:tr w14:paraId="24C3A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7E2900E8">
            <w:pPr>
              <w:pStyle w:val="13"/>
              <w:jc w:val="center"/>
              <w:rPr>
                <w:rFonts w:hint="eastAsia"/>
                <w:b/>
              </w:rPr>
            </w:pPr>
            <w:r>
              <w:rPr>
                <w:rFonts w:hint="eastAsia"/>
                <w:b/>
              </w:rPr>
              <w:t>指标名称</w:t>
            </w:r>
          </w:p>
        </w:tc>
        <w:tc>
          <w:tcPr>
            <w:tcW w:w="1019" w:type="pct"/>
            <w:vAlign w:val="center"/>
          </w:tcPr>
          <w:p w14:paraId="7D61E10E">
            <w:pPr>
              <w:pStyle w:val="13"/>
              <w:jc w:val="center"/>
              <w:rPr>
                <w:rFonts w:hint="eastAsia"/>
                <w:b/>
              </w:rPr>
            </w:pPr>
            <w:r>
              <w:rPr>
                <w:rFonts w:hint="eastAsia"/>
                <w:b/>
              </w:rPr>
              <w:t>播种面积（亩）</w:t>
            </w:r>
          </w:p>
        </w:tc>
        <w:tc>
          <w:tcPr>
            <w:tcW w:w="1019" w:type="pct"/>
            <w:vAlign w:val="center"/>
          </w:tcPr>
          <w:p w14:paraId="27BBE8EF">
            <w:pPr>
              <w:pStyle w:val="13"/>
              <w:jc w:val="center"/>
              <w:rPr>
                <w:rFonts w:hint="eastAsia"/>
                <w:b/>
              </w:rPr>
            </w:pPr>
            <w:r>
              <w:rPr>
                <w:rFonts w:hint="eastAsia"/>
                <w:b/>
              </w:rPr>
              <w:t>亩产（公斤）</w:t>
            </w:r>
          </w:p>
        </w:tc>
        <w:tc>
          <w:tcPr>
            <w:tcW w:w="1019" w:type="pct"/>
            <w:vAlign w:val="center"/>
          </w:tcPr>
          <w:p w14:paraId="45B3E8F3">
            <w:pPr>
              <w:pStyle w:val="13"/>
              <w:jc w:val="center"/>
              <w:rPr>
                <w:rFonts w:hint="eastAsia"/>
                <w:b/>
              </w:rPr>
            </w:pPr>
            <w:r>
              <w:rPr>
                <w:rFonts w:hint="eastAsia"/>
                <w:b/>
              </w:rPr>
              <w:t>总产量（吨）</w:t>
            </w:r>
          </w:p>
        </w:tc>
      </w:tr>
      <w:tr w14:paraId="746B6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77A1C6E6">
            <w:pPr>
              <w:pStyle w:val="13"/>
              <w:jc w:val="left"/>
              <w:rPr>
                <w:rFonts w:hint="eastAsia"/>
              </w:rPr>
            </w:pPr>
            <w:r>
              <w:rPr>
                <w:rFonts w:hint="eastAsia"/>
              </w:rPr>
              <w:t>农作物总播种面积</w:t>
            </w:r>
          </w:p>
        </w:tc>
        <w:tc>
          <w:tcPr>
            <w:tcW w:w="1019" w:type="pct"/>
            <w:vAlign w:val="center"/>
          </w:tcPr>
          <w:p w14:paraId="33AA7C30">
            <w:pPr>
              <w:pStyle w:val="13"/>
              <w:jc w:val="center"/>
              <w:rPr>
                <w:rFonts w:hint="eastAsia"/>
              </w:rPr>
            </w:pPr>
            <w:r>
              <w:rPr>
                <w:rFonts w:hint="eastAsia"/>
              </w:rPr>
              <w:t>912807</w:t>
            </w:r>
          </w:p>
        </w:tc>
        <w:tc>
          <w:tcPr>
            <w:tcW w:w="1019" w:type="pct"/>
            <w:vAlign w:val="center"/>
          </w:tcPr>
          <w:p w14:paraId="28DA1713">
            <w:pPr>
              <w:pStyle w:val="13"/>
              <w:jc w:val="center"/>
              <w:rPr>
                <w:rFonts w:hint="eastAsia"/>
              </w:rPr>
            </w:pPr>
          </w:p>
        </w:tc>
        <w:tc>
          <w:tcPr>
            <w:tcW w:w="1019" w:type="pct"/>
            <w:vAlign w:val="center"/>
          </w:tcPr>
          <w:p w14:paraId="557161C8">
            <w:pPr>
              <w:pStyle w:val="13"/>
              <w:jc w:val="center"/>
              <w:rPr>
                <w:rFonts w:hint="eastAsia"/>
              </w:rPr>
            </w:pPr>
          </w:p>
        </w:tc>
      </w:tr>
      <w:tr w14:paraId="21C8D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7ECDDAD7">
            <w:pPr>
              <w:pStyle w:val="13"/>
              <w:jc w:val="left"/>
              <w:rPr>
                <w:rFonts w:hint="eastAsia"/>
              </w:rPr>
            </w:pPr>
            <w:r>
              <w:rPr>
                <w:rFonts w:hint="eastAsia"/>
              </w:rPr>
              <w:t>一、粮食作物合计</w:t>
            </w:r>
          </w:p>
        </w:tc>
        <w:tc>
          <w:tcPr>
            <w:tcW w:w="1019" w:type="pct"/>
            <w:vAlign w:val="center"/>
          </w:tcPr>
          <w:p w14:paraId="3B2ED365">
            <w:pPr>
              <w:pStyle w:val="13"/>
              <w:jc w:val="center"/>
              <w:rPr>
                <w:rFonts w:hint="eastAsia"/>
              </w:rPr>
            </w:pPr>
            <w:r>
              <w:rPr>
                <w:rFonts w:hint="eastAsia"/>
              </w:rPr>
              <w:t>546101</w:t>
            </w:r>
          </w:p>
        </w:tc>
        <w:tc>
          <w:tcPr>
            <w:tcW w:w="1019" w:type="pct"/>
            <w:vAlign w:val="center"/>
          </w:tcPr>
          <w:p w14:paraId="7D34940F">
            <w:pPr>
              <w:pStyle w:val="13"/>
              <w:jc w:val="center"/>
              <w:rPr>
                <w:rFonts w:hint="eastAsia"/>
              </w:rPr>
            </w:pPr>
            <w:r>
              <w:rPr>
                <w:rFonts w:hint="eastAsia"/>
              </w:rPr>
              <w:t>394</w:t>
            </w:r>
          </w:p>
        </w:tc>
        <w:tc>
          <w:tcPr>
            <w:tcW w:w="1019" w:type="pct"/>
            <w:vAlign w:val="center"/>
          </w:tcPr>
          <w:p w14:paraId="4CA789FE">
            <w:pPr>
              <w:pStyle w:val="13"/>
              <w:jc w:val="center"/>
              <w:rPr>
                <w:rFonts w:hint="eastAsia"/>
              </w:rPr>
            </w:pPr>
            <w:r>
              <w:rPr>
                <w:rFonts w:hint="eastAsia"/>
              </w:rPr>
              <w:t>215154</w:t>
            </w:r>
          </w:p>
        </w:tc>
      </w:tr>
      <w:tr w14:paraId="48D62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659F5BAA">
            <w:pPr>
              <w:pStyle w:val="13"/>
              <w:ind w:firstLine="420" w:firstLineChars="200"/>
              <w:jc w:val="left"/>
              <w:rPr>
                <w:rFonts w:hint="eastAsia"/>
              </w:rPr>
            </w:pPr>
            <w:r>
              <w:rPr>
                <w:rFonts w:hint="eastAsia"/>
              </w:rPr>
              <w:t>1、稻谷</w:t>
            </w:r>
          </w:p>
        </w:tc>
        <w:tc>
          <w:tcPr>
            <w:tcW w:w="1019" w:type="pct"/>
            <w:vAlign w:val="center"/>
          </w:tcPr>
          <w:p w14:paraId="13E5E975">
            <w:pPr>
              <w:pStyle w:val="13"/>
              <w:jc w:val="center"/>
              <w:rPr>
                <w:rFonts w:hint="eastAsia"/>
              </w:rPr>
            </w:pPr>
            <w:r>
              <w:rPr>
                <w:rFonts w:hint="eastAsia"/>
              </w:rPr>
              <w:t>454824</w:t>
            </w:r>
          </w:p>
        </w:tc>
        <w:tc>
          <w:tcPr>
            <w:tcW w:w="1019" w:type="pct"/>
            <w:vAlign w:val="center"/>
          </w:tcPr>
          <w:p w14:paraId="64D508FE">
            <w:pPr>
              <w:pStyle w:val="13"/>
              <w:jc w:val="center"/>
              <w:rPr>
                <w:rFonts w:hint="eastAsia"/>
              </w:rPr>
            </w:pPr>
            <w:r>
              <w:rPr>
                <w:rFonts w:hint="eastAsia"/>
              </w:rPr>
              <w:t>425</w:t>
            </w:r>
          </w:p>
        </w:tc>
        <w:tc>
          <w:tcPr>
            <w:tcW w:w="1019" w:type="pct"/>
            <w:vAlign w:val="center"/>
          </w:tcPr>
          <w:p w14:paraId="68451616">
            <w:pPr>
              <w:pStyle w:val="13"/>
              <w:jc w:val="center"/>
              <w:rPr>
                <w:rFonts w:hint="eastAsia"/>
              </w:rPr>
            </w:pPr>
            <w:r>
              <w:rPr>
                <w:rFonts w:hint="eastAsia"/>
              </w:rPr>
              <w:t>193402</w:t>
            </w:r>
          </w:p>
        </w:tc>
      </w:tr>
      <w:tr w14:paraId="24062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69A0819A">
            <w:pPr>
              <w:pStyle w:val="13"/>
              <w:ind w:firstLine="630" w:firstLineChars="300"/>
              <w:jc w:val="left"/>
              <w:rPr>
                <w:rFonts w:hint="eastAsia"/>
              </w:rPr>
            </w:pPr>
            <w:r>
              <w:rPr>
                <w:rFonts w:hint="eastAsia"/>
              </w:rPr>
              <w:t>（1）早稻</w:t>
            </w:r>
          </w:p>
        </w:tc>
        <w:tc>
          <w:tcPr>
            <w:tcW w:w="1019" w:type="pct"/>
            <w:vAlign w:val="center"/>
          </w:tcPr>
          <w:p w14:paraId="43FA7F0F">
            <w:pPr>
              <w:pStyle w:val="13"/>
              <w:jc w:val="center"/>
              <w:rPr>
                <w:rFonts w:hint="eastAsia"/>
              </w:rPr>
            </w:pPr>
            <w:r>
              <w:rPr>
                <w:rFonts w:hint="eastAsia"/>
              </w:rPr>
              <w:t>146741</w:t>
            </w:r>
          </w:p>
        </w:tc>
        <w:tc>
          <w:tcPr>
            <w:tcW w:w="1019" w:type="pct"/>
            <w:vAlign w:val="center"/>
          </w:tcPr>
          <w:p w14:paraId="1D5B8235">
            <w:pPr>
              <w:pStyle w:val="13"/>
              <w:jc w:val="center"/>
              <w:rPr>
                <w:rFonts w:hint="eastAsia"/>
              </w:rPr>
            </w:pPr>
            <w:r>
              <w:rPr>
                <w:rFonts w:hint="eastAsia"/>
              </w:rPr>
              <w:t>403</w:t>
            </w:r>
          </w:p>
        </w:tc>
        <w:tc>
          <w:tcPr>
            <w:tcW w:w="1019" w:type="pct"/>
            <w:vAlign w:val="center"/>
          </w:tcPr>
          <w:p w14:paraId="4D344899">
            <w:pPr>
              <w:pStyle w:val="13"/>
              <w:jc w:val="center"/>
              <w:rPr>
                <w:rFonts w:hint="eastAsia"/>
              </w:rPr>
            </w:pPr>
            <w:r>
              <w:rPr>
                <w:rFonts w:hint="eastAsia"/>
              </w:rPr>
              <w:t>59088</w:t>
            </w:r>
          </w:p>
        </w:tc>
      </w:tr>
      <w:tr w14:paraId="1147A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359FFE52">
            <w:pPr>
              <w:pStyle w:val="13"/>
              <w:ind w:firstLine="840" w:firstLineChars="400"/>
              <w:jc w:val="left"/>
              <w:rPr>
                <w:rFonts w:hint="eastAsia"/>
              </w:rPr>
            </w:pPr>
            <w:r>
              <w:rPr>
                <w:rFonts w:hint="eastAsia"/>
              </w:rPr>
              <w:t>其中：优质稻</w:t>
            </w:r>
          </w:p>
        </w:tc>
        <w:tc>
          <w:tcPr>
            <w:tcW w:w="1019" w:type="pct"/>
            <w:vAlign w:val="center"/>
          </w:tcPr>
          <w:p w14:paraId="279625C9">
            <w:pPr>
              <w:pStyle w:val="13"/>
              <w:jc w:val="center"/>
              <w:rPr>
                <w:rFonts w:hint="eastAsia"/>
              </w:rPr>
            </w:pPr>
            <w:r>
              <w:rPr>
                <w:rFonts w:hint="eastAsia"/>
              </w:rPr>
              <w:t>97639</w:t>
            </w:r>
          </w:p>
        </w:tc>
        <w:tc>
          <w:tcPr>
            <w:tcW w:w="1019" w:type="pct"/>
            <w:vAlign w:val="center"/>
          </w:tcPr>
          <w:p w14:paraId="77A81C53">
            <w:pPr>
              <w:pStyle w:val="13"/>
              <w:jc w:val="center"/>
              <w:rPr>
                <w:rFonts w:hint="eastAsia"/>
              </w:rPr>
            </w:pPr>
            <w:r>
              <w:rPr>
                <w:rFonts w:hint="eastAsia"/>
              </w:rPr>
              <w:t>403</w:t>
            </w:r>
          </w:p>
        </w:tc>
        <w:tc>
          <w:tcPr>
            <w:tcW w:w="1019" w:type="pct"/>
            <w:vAlign w:val="center"/>
          </w:tcPr>
          <w:p w14:paraId="31EBA36A">
            <w:pPr>
              <w:pStyle w:val="13"/>
              <w:jc w:val="center"/>
              <w:rPr>
                <w:rFonts w:hint="eastAsia"/>
              </w:rPr>
            </w:pPr>
            <w:r>
              <w:rPr>
                <w:rFonts w:hint="eastAsia"/>
              </w:rPr>
              <w:t>39377</w:t>
            </w:r>
          </w:p>
        </w:tc>
      </w:tr>
      <w:tr w14:paraId="0E6CF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275D9A9D">
            <w:pPr>
              <w:pStyle w:val="13"/>
              <w:ind w:firstLine="630" w:firstLineChars="300"/>
              <w:jc w:val="left"/>
              <w:rPr>
                <w:rFonts w:hint="eastAsia"/>
              </w:rPr>
            </w:pPr>
            <w:r>
              <w:rPr>
                <w:rFonts w:hint="eastAsia"/>
              </w:rPr>
              <w:t>（2）中、晚稻</w:t>
            </w:r>
          </w:p>
        </w:tc>
        <w:tc>
          <w:tcPr>
            <w:tcW w:w="1019" w:type="pct"/>
            <w:vAlign w:val="center"/>
          </w:tcPr>
          <w:p w14:paraId="775979D4">
            <w:pPr>
              <w:pStyle w:val="13"/>
              <w:jc w:val="center"/>
              <w:rPr>
                <w:rFonts w:hint="eastAsia"/>
              </w:rPr>
            </w:pPr>
            <w:r>
              <w:rPr>
                <w:rFonts w:hint="eastAsia"/>
              </w:rPr>
              <w:t>308083</w:t>
            </w:r>
          </w:p>
        </w:tc>
        <w:tc>
          <w:tcPr>
            <w:tcW w:w="1019" w:type="pct"/>
            <w:vAlign w:val="center"/>
          </w:tcPr>
          <w:p w14:paraId="77F5E923">
            <w:pPr>
              <w:pStyle w:val="13"/>
              <w:jc w:val="center"/>
              <w:rPr>
                <w:rFonts w:hint="eastAsia"/>
              </w:rPr>
            </w:pPr>
            <w:r>
              <w:rPr>
                <w:rFonts w:hint="eastAsia"/>
              </w:rPr>
              <w:t>436</w:t>
            </w:r>
          </w:p>
        </w:tc>
        <w:tc>
          <w:tcPr>
            <w:tcW w:w="1019" w:type="pct"/>
            <w:vAlign w:val="center"/>
          </w:tcPr>
          <w:p w14:paraId="3816F729">
            <w:pPr>
              <w:pStyle w:val="13"/>
              <w:jc w:val="center"/>
              <w:rPr>
                <w:rFonts w:hint="eastAsia"/>
              </w:rPr>
            </w:pPr>
            <w:r>
              <w:rPr>
                <w:rFonts w:hint="eastAsia"/>
              </w:rPr>
              <w:t>134314</w:t>
            </w:r>
          </w:p>
        </w:tc>
      </w:tr>
      <w:tr w14:paraId="7E845D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042992F9">
            <w:pPr>
              <w:pStyle w:val="13"/>
              <w:ind w:firstLine="840" w:firstLineChars="400"/>
              <w:jc w:val="left"/>
              <w:rPr>
                <w:rFonts w:hint="eastAsia"/>
              </w:rPr>
            </w:pPr>
            <w:r>
              <w:rPr>
                <w:rFonts w:hint="eastAsia"/>
              </w:rPr>
              <w:t>其中：优质稻</w:t>
            </w:r>
          </w:p>
        </w:tc>
        <w:tc>
          <w:tcPr>
            <w:tcW w:w="1019" w:type="pct"/>
            <w:vAlign w:val="center"/>
          </w:tcPr>
          <w:p w14:paraId="5EC3D849">
            <w:pPr>
              <w:pStyle w:val="13"/>
              <w:jc w:val="center"/>
              <w:rPr>
                <w:rFonts w:hint="eastAsia"/>
              </w:rPr>
            </w:pPr>
            <w:r>
              <w:rPr>
                <w:rFonts w:hint="eastAsia"/>
              </w:rPr>
              <w:t>225379</w:t>
            </w:r>
          </w:p>
        </w:tc>
        <w:tc>
          <w:tcPr>
            <w:tcW w:w="1019" w:type="pct"/>
            <w:vAlign w:val="center"/>
          </w:tcPr>
          <w:p w14:paraId="10C39D6D">
            <w:pPr>
              <w:pStyle w:val="13"/>
              <w:jc w:val="center"/>
              <w:rPr>
                <w:rFonts w:hint="eastAsia"/>
              </w:rPr>
            </w:pPr>
            <w:r>
              <w:rPr>
                <w:rFonts w:hint="eastAsia"/>
              </w:rPr>
              <w:t>431</w:t>
            </w:r>
          </w:p>
        </w:tc>
        <w:tc>
          <w:tcPr>
            <w:tcW w:w="1019" w:type="pct"/>
            <w:vAlign w:val="center"/>
          </w:tcPr>
          <w:p w14:paraId="08EF13D3">
            <w:pPr>
              <w:pStyle w:val="13"/>
              <w:jc w:val="center"/>
              <w:rPr>
                <w:rFonts w:hint="eastAsia"/>
              </w:rPr>
            </w:pPr>
            <w:r>
              <w:rPr>
                <w:rFonts w:hint="eastAsia"/>
              </w:rPr>
              <w:t>97144</w:t>
            </w:r>
          </w:p>
        </w:tc>
      </w:tr>
      <w:tr w14:paraId="02903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0C9DF420">
            <w:pPr>
              <w:pStyle w:val="13"/>
              <w:ind w:firstLine="420" w:firstLineChars="200"/>
              <w:jc w:val="left"/>
              <w:rPr>
                <w:rFonts w:hint="eastAsia"/>
              </w:rPr>
            </w:pPr>
            <w:r>
              <w:rPr>
                <w:rFonts w:hint="eastAsia"/>
              </w:rPr>
              <w:t>2、旱粮</w:t>
            </w:r>
          </w:p>
        </w:tc>
        <w:tc>
          <w:tcPr>
            <w:tcW w:w="1019" w:type="pct"/>
            <w:vAlign w:val="center"/>
          </w:tcPr>
          <w:p w14:paraId="76224CE6">
            <w:pPr>
              <w:pStyle w:val="13"/>
              <w:jc w:val="center"/>
              <w:rPr>
                <w:rFonts w:hint="eastAsia"/>
              </w:rPr>
            </w:pPr>
            <w:r>
              <w:rPr>
                <w:rFonts w:hint="eastAsia"/>
              </w:rPr>
              <w:t>21553</w:t>
            </w:r>
          </w:p>
        </w:tc>
        <w:tc>
          <w:tcPr>
            <w:tcW w:w="1019" w:type="pct"/>
            <w:vAlign w:val="center"/>
          </w:tcPr>
          <w:p w14:paraId="16EB6703">
            <w:pPr>
              <w:pStyle w:val="13"/>
              <w:jc w:val="center"/>
              <w:rPr>
                <w:rFonts w:hint="eastAsia"/>
              </w:rPr>
            </w:pPr>
            <w:r>
              <w:rPr>
                <w:rFonts w:hint="eastAsia"/>
              </w:rPr>
              <w:t>214</w:t>
            </w:r>
          </w:p>
        </w:tc>
        <w:tc>
          <w:tcPr>
            <w:tcW w:w="1019" w:type="pct"/>
            <w:vAlign w:val="center"/>
          </w:tcPr>
          <w:p w14:paraId="0E69F630">
            <w:pPr>
              <w:pStyle w:val="13"/>
              <w:jc w:val="center"/>
              <w:rPr>
                <w:rFonts w:hint="eastAsia"/>
              </w:rPr>
            </w:pPr>
            <w:r>
              <w:rPr>
                <w:rFonts w:hint="eastAsia"/>
              </w:rPr>
              <w:t>4621</w:t>
            </w:r>
          </w:p>
        </w:tc>
      </w:tr>
      <w:tr w14:paraId="6BBC6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178A8847">
            <w:pPr>
              <w:pStyle w:val="13"/>
              <w:ind w:firstLine="630" w:firstLineChars="300"/>
              <w:jc w:val="left"/>
              <w:rPr>
                <w:rFonts w:hint="eastAsia"/>
              </w:rPr>
            </w:pPr>
            <w:r>
              <w:rPr>
                <w:rFonts w:hint="eastAsia"/>
              </w:rPr>
              <w:t>（1）玉米</w:t>
            </w:r>
          </w:p>
        </w:tc>
        <w:tc>
          <w:tcPr>
            <w:tcW w:w="1019" w:type="pct"/>
            <w:vAlign w:val="center"/>
          </w:tcPr>
          <w:p w14:paraId="45408FB0">
            <w:pPr>
              <w:pStyle w:val="13"/>
              <w:jc w:val="center"/>
              <w:rPr>
                <w:rFonts w:hint="eastAsia"/>
              </w:rPr>
            </w:pPr>
            <w:r>
              <w:rPr>
                <w:rFonts w:hint="eastAsia"/>
              </w:rPr>
              <w:t>15072</w:t>
            </w:r>
          </w:p>
        </w:tc>
        <w:tc>
          <w:tcPr>
            <w:tcW w:w="1019" w:type="pct"/>
            <w:vAlign w:val="center"/>
          </w:tcPr>
          <w:p w14:paraId="18A051D5">
            <w:pPr>
              <w:pStyle w:val="13"/>
              <w:jc w:val="center"/>
              <w:rPr>
                <w:rFonts w:hint="eastAsia"/>
              </w:rPr>
            </w:pPr>
            <w:r>
              <w:rPr>
                <w:rFonts w:hint="eastAsia"/>
              </w:rPr>
              <w:t>236</w:t>
            </w:r>
          </w:p>
        </w:tc>
        <w:tc>
          <w:tcPr>
            <w:tcW w:w="1019" w:type="pct"/>
            <w:vAlign w:val="center"/>
          </w:tcPr>
          <w:p w14:paraId="6158B77F">
            <w:pPr>
              <w:pStyle w:val="13"/>
              <w:jc w:val="center"/>
              <w:rPr>
                <w:rFonts w:hint="eastAsia"/>
              </w:rPr>
            </w:pPr>
            <w:r>
              <w:rPr>
                <w:rFonts w:hint="eastAsia"/>
              </w:rPr>
              <w:t>3959</w:t>
            </w:r>
          </w:p>
        </w:tc>
      </w:tr>
      <w:tr w14:paraId="0C7398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70AC3D80">
            <w:pPr>
              <w:pStyle w:val="13"/>
              <w:ind w:firstLine="630" w:firstLineChars="300"/>
              <w:jc w:val="left"/>
              <w:rPr>
                <w:rFonts w:hint="eastAsia"/>
              </w:rPr>
            </w:pPr>
            <w:r>
              <w:rPr>
                <w:rFonts w:hint="eastAsia"/>
              </w:rPr>
              <w:t>（2）蚕豌豆</w:t>
            </w:r>
          </w:p>
        </w:tc>
        <w:tc>
          <w:tcPr>
            <w:tcW w:w="1019" w:type="pct"/>
            <w:vAlign w:val="center"/>
          </w:tcPr>
          <w:p w14:paraId="59547424">
            <w:pPr>
              <w:pStyle w:val="13"/>
              <w:jc w:val="center"/>
              <w:rPr>
                <w:rFonts w:hint="eastAsia"/>
              </w:rPr>
            </w:pPr>
            <w:r>
              <w:rPr>
                <w:rFonts w:hint="eastAsia"/>
              </w:rPr>
              <w:t>4669</w:t>
            </w:r>
          </w:p>
        </w:tc>
        <w:tc>
          <w:tcPr>
            <w:tcW w:w="1019" w:type="pct"/>
            <w:vAlign w:val="center"/>
          </w:tcPr>
          <w:p w14:paraId="70450E1C">
            <w:pPr>
              <w:pStyle w:val="13"/>
              <w:jc w:val="center"/>
              <w:rPr>
                <w:rFonts w:hint="eastAsia"/>
              </w:rPr>
            </w:pPr>
            <w:r>
              <w:rPr>
                <w:rFonts w:hint="eastAsia"/>
              </w:rPr>
              <w:t>105</w:t>
            </w:r>
          </w:p>
        </w:tc>
        <w:tc>
          <w:tcPr>
            <w:tcW w:w="1019" w:type="pct"/>
            <w:vAlign w:val="center"/>
          </w:tcPr>
          <w:p w14:paraId="23B84A79">
            <w:pPr>
              <w:pStyle w:val="13"/>
              <w:jc w:val="center"/>
              <w:rPr>
                <w:rFonts w:hint="eastAsia"/>
              </w:rPr>
            </w:pPr>
            <w:r>
              <w:rPr>
                <w:rFonts w:hint="eastAsia"/>
              </w:rPr>
              <w:t>488</w:t>
            </w:r>
          </w:p>
        </w:tc>
      </w:tr>
      <w:tr w14:paraId="00CBE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4B7852B7">
            <w:pPr>
              <w:pStyle w:val="13"/>
              <w:ind w:firstLine="630" w:firstLineChars="300"/>
              <w:jc w:val="left"/>
              <w:rPr>
                <w:rFonts w:hint="eastAsia"/>
              </w:rPr>
            </w:pPr>
            <w:r>
              <w:rPr>
                <w:rFonts w:hint="eastAsia"/>
              </w:rPr>
              <w:t>（3）其他旱粮</w:t>
            </w:r>
          </w:p>
        </w:tc>
        <w:tc>
          <w:tcPr>
            <w:tcW w:w="1019" w:type="pct"/>
            <w:vAlign w:val="center"/>
          </w:tcPr>
          <w:p w14:paraId="65594492">
            <w:pPr>
              <w:pStyle w:val="13"/>
              <w:jc w:val="center"/>
              <w:rPr>
                <w:rFonts w:hint="eastAsia"/>
              </w:rPr>
            </w:pPr>
            <w:r>
              <w:rPr>
                <w:rFonts w:hint="eastAsia"/>
              </w:rPr>
              <w:t>1005</w:t>
            </w:r>
          </w:p>
        </w:tc>
        <w:tc>
          <w:tcPr>
            <w:tcW w:w="1019" w:type="pct"/>
            <w:vAlign w:val="center"/>
          </w:tcPr>
          <w:p w14:paraId="19AF3D66">
            <w:pPr>
              <w:pStyle w:val="13"/>
              <w:jc w:val="center"/>
              <w:rPr>
                <w:rFonts w:hint="eastAsia"/>
              </w:rPr>
            </w:pPr>
            <w:r>
              <w:rPr>
                <w:rFonts w:hint="eastAsia"/>
              </w:rPr>
              <w:t>75</w:t>
            </w:r>
          </w:p>
        </w:tc>
        <w:tc>
          <w:tcPr>
            <w:tcW w:w="1019" w:type="pct"/>
            <w:vAlign w:val="center"/>
          </w:tcPr>
          <w:p w14:paraId="4584A033">
            <w:pPr>
              <w:pStyle w:val="13"/>
              <w:jc w:val="center"/>
              <w:rPr>
                <w:rFonts w:hint="eastAsia"/>
              </w:rPr>
            </w:pPr>
            <w:r>
              <w:rPr>
                <w:rFonts w:hint="eastAsia"/>
              </w:rPr>
              <w:t>75</w:t>
            </w:r>
          </w:p>
        </w:tc>
      </w:tr>
      <w:tr w14:paraId="4F097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2F566056">
            <w:pPr>
              <w:pStyle w:val="13"/>
              <w:ind w:firstLine="420" w:firstLineChars="200"/>
              <w:jc w:val="left"/>
              <w:rPr>
                <w:rFonts w:hint="eastAsia"/>
              </w:rPr>
            </w:pPr>
            <w:r>
              <w:rPr>
                <w:rFonts w:hint="eastAsia"/>
              </w:rPr>
              <w:t>3、番薯（5∶1）</w:t>
            </w:r>
          </w:p>
        </w:tc>
        <w:tc>
          <w:tcPr>
            <w:tcW w:w="1019" w:type="pct"/>
            <w:vAlign w:val="center"/>
          </w:tcPr>
          <w:p w14:paraId="0633E90E">
            <w:pPr>
              <w:pStyle w:val="13"/>
              <w:jc w:val="center"/>
              <w:rPr>
                <w:rFonts w:hint="eastAsia"/>
              </w:rPr>
            </w:pPr>
            <w:r>
              <w:rPr>
                <w:rFonts w:hint="eastAsia"/>
              </w:rPr>
              <w:t>39664</w:t>
            </w:r>
          </w:p>
        </w:tc>
        <w:tc>
          <w:tcPr>
            <w:tcW w:w="1019" w:type="pct"/>
            <w:vAlign w:val="center"/>
          </w:tcPr>
          <w:p w14:paraId="7CD6A838">
            <w:pPr>
              <w:pStyle w:val="13"/>
              <w:jc w:val="center"/>
              <w:rPr>
                <w:rFonts w:hint="eastAsia"/>
              </w:rPr>
            </w:pPr>
            <w:r>
              <w:rPr>
                <w:rFonts w:hint="eastAsia"/>
              </w:rPr>
              <w:t>279</w:t>
            </w:r>
          </w:p>
        </w:tc>
        <w:tc>
          <w:tcPr>
            <w:tcW w:w="1019" w:type="pct"/>
            <w:vAlign w:val="center"/>
          </w:tcPr>
          <w:p w14:paraId="7C438F0B">
            <w:pPr>
              <w:pStyle w:val="13"/>
              <w:jc w:val="center"/>
              <w:rPr>
                <w:rFonts w:hint="eastAsia"/>
              </w:rPr>
            </w:pPr>
            <w:r>
              <w:rPr>
                <w:rFonts w:hint="eastAsia"/>
              </w:rPr>
              <w:t>11061</w:t>
            </w:r>
          </w:p>
        </w:tc>
      </w:tr>
      <w:tr w14:paraId="1A191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7E997161">
            <w:pPr>
              <w:pStyle w:val="13"/>
              <w:ind w:firstLine="420" w:firstLineChars="200"/>
              <w:jc w:val="left"/>
              <w:rPr>
                <w:rFonts w:hint="eastAsia"/>
              </w:rPr>
            </w:pPr>
            <w:r>
              <w:rPr>
                <w:rFonts w:hint="eastAsia"/>
              </w:rPr>
              <w:t>4、大豆</w:t>
            </w:r>
          </w:p>
        </w:tc>
        <w:tc>
          <w:tcPr>
            <w:tcW w:w="1019" w:type="pct"/>
            <w:vAlign w:val="center"/>
          </w:tcPr>
          <w:p w14:paraId="31ECAD1D">
            <w:pPr>
              <w:pStyle w:val="13"/>
              <w:jc w:val="center"/>
              <w:rPr>
                <w:rFonts w:hint="eastAsia"/>
              </w:rPr>
            </w:pPr>
            <w:r>
              <w:rPr>
                <w:rFonts w:hint="eastAsia"/>
              </w:rPr>
              <w:t>30030</w:t>
            </w:r>
          </w:p>
        </w:tc>
        <w:tc>
          <w:tcPr>
            <w:tcW w:w="1019" w:type="pct"/>
            <w:vAlign w:val="center"/>
          </w:tcPr>
          <w:p w14:paraId="32F6DB1C">
            <w:pPr>
              <w:pStyle w:val="13"/>
              <w:jc w:val="center"/>
              <w:rPr>
                <w:rFonts w:hint="eastAsia"/>
              </w:rPr>
            </w:pPr>
            <w:r>
              <w:rPr>
                <w:rFonts w:hint="eastAsia"/>
              </w:rPr>
              <w:t>202</w:t>
            </w:r>
          </w:p>
        </w:tc>
        <w:tc>
          <w:tcPr>
            <w:tcW w:w="1019" w:type="pct"/>
            <w:vAlign w:val="center"/>
          </w:tcPr>
          <w:p w14:paraId="451F806F">
            <w:pPr>
              <w:pStyle w:val="13"/>
              <w:jc w:val="center"/>
              <w:rPr>
                <w:rFonts w:hint="eastAsia"/>
              </w:rPr>
            </w:pPr>
            <w:r>
              <w:rPr>
                <w:rFonts w:hint="eastAsia"/>
              </w:rPr>
              <w:t>6070</w:t>
            </w:r>
          </w:p>
        </w:tc>
      </w:tr>
      <w:tr w14:paraId="259363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088A9291">
            <w:pPr>
              <w:pStyle w:val="13"/>
              <w:jc w:val="left"/>
              <w:rPr>
                <w:rFonts w:hint="eastAsia"/>
              </w:rPr>
            </w:pPr>
            <w:r>
              <w:rPr>
                <w:rFonts w:hint="eastAsia"/>
              </w:rPr>
              <w:t>二、经济作物合计</w:t>
            </w:r>
          </w:p>
        </w:tc>
        <w:tc>
          <w:tcPr>
            <w:tcW w:w="1019" w:type="pct"/>
            <w:vAlign w:val="center"/>
          </w:tcPr>
          <w:p w14:paraId="1769F3E0">
            <w:pPr>
              <w:pStyle w:val="13"/>
              <w:jc w:val="center"/>
              <w:rPr>
                <w:rFonts w:hint="eastAsia"/>
              </w:rPr>
            </w:pPr>
            <w:r>
              <w:rPr>
                <w:rFonts w:hint="eastAsia"/>
              </w:rPr>
              <w:t>255344</w:t>
            </w:r>
          </w:p>
        </w:tc>
        <w:tc>
          <w:tcPr>
            <w:tcW w:w="1019" w:type="pct"/>
            <w:vAlign w:val="center"/>
          </w:tcPr>
          <w:p w14:paraId="23A17451">
            <w:pPr>
              <w:pStyle w:val="13"/>
              <w:jc w:val="center"/>
              <w:rPr>
                <w:rFonts w:hint="eastAsia"/>
              </w:rPr>
            </w:pPr>
          </w:p>
        </w:tc>
        <w:tc>
          <w:tcPr>
            <w:tcW w:w="1019" w:type="pct"/>
            <w:vAlign w:val="center"/>
          </w:tcPr>
          <w:p w14:paraId="5D9F7985">
            <w:pPr>
              <w:pStyle w:val="13"/>
              <w:jc w:val="center"/>
              <w:rPr>
                <w:rFonts w:hint="eastAsia"/>
              </w:rPr>
            </w:pPr>
          </w:p>
        </w:tc>
      </w:tr>
      <w:tr w14:paraId="3B2A1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43562B99">
            <w:pPr>
              <w:pStyle w:val="13"/>
              <w:ind w:firstLine="420" w:firstLineChars="200"/>
              <w:jc w:val="left"/>
              <w:rPr>
                <w:rFonts w:hint="eastAsia"/>
              </w:rPr>
            </w:pPr>
            <w:r>
              <w:rPr>
                <w:rFonts w:hint="eastAsia"/>
              </w:rPr>
              <w:t>1、甘蔗（果蔗）</w:t>
            </w:r>
          </w:p>
        </w:tc>
        <w:tc>
          <w:tcPr>
            <w:tcW w:w="1019" w:type="pct"/>
            <w:vAlign w:val="center"/>
          </w:tcPr>
          <w:p w14:paraId="688D16A3">
            <w:pPr>
              <w:pStyle w:val="13"/>
              <w:jc w:val="center"/>
              <w:rPr>
                <w:rFonts w:hint="eastAsia"/>
              </w:rPr>
            </w:pPr>
            <w:r>
              <w:rPr>
                <w:rFonts w:hint="eastAsia"/>
              </w:rPr>
              <w:t>22</w:t>
            </w:r>
          </w:p>
        </w:tc>
        <w:tc>
          <w:tcPr>
            <w:tcW w:w="1019" w:type="pct"/>
            <w:vAlign w:val="center"/>
          </w:tcPr>
          <w:p w14:paraId="40412AFB">
            <w:pPr>
              <w:pStyle w:val="13"/>
              <w:jc w:val="center"/>
              <w:rPr>
                <w:rFonts w:hint="eastAsia"/>
              </w:rPr>
            </w:pPr>
            <w:r>
              <w:rPr>
                <w:rFonts w:hint="eastAsia"/>
              </w:rPr>
              <w:t>2727</w:t>
            </w:r>
          </w:p>
        </w:tc>
        <w:tc>
          <w:tcPr>
            <w:tcW w:w="1019" w:type="pct"/>
            <w:vAlign w:val="center"/>
          </w:tcPr>
          <w:p w14:paraId="5A4E4A06">
            <w:pPr>
              <w:pStyle w:val="13"/>
              <w:jc w:val="center"/>
              <w:rPr>
                <w:rFonts w:hint="eastAsia"/>
              </w:rPr>
            </w:pPr>
            <w:r>
              <w:rPr>
                <w:rFonts w:hint="eastAsia"/>
              </w:rPr>
              <w:t>60</w:t>
            </w:r>
          </w:p>
        </w:tc>
      </w:tr>
      <w:tr w14:paraId="098740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7F44F8F1">
            <w:pPr>
              <w:pStyle w:val="13"/>
              <w:ind w:firstLine="420" w:firstLineChars="200"/>
              <w:jc w:val="left"/>
              <w:rPr>
                <w:rFonts w:hint="eastAsia"/>
              </w:rPr>
            </w:pPr>
            <w:r>
              <w:rPr>
                <w:rFonts w:hint="eastAsia"/>
              </w:rPr>
              <w:t>2、花生</w:t>
            </w:r>
          </w:p>
        </w:tc>
        <w:tc>
          <w:tcPr>
            <w:tcW w:w="1019" w:type="pct"/>
            <w:vAlign w:val="center"/>
          </w:tcPr>
          <w:p w14:paraId="7DA63089">
            <w:pPr>
              <w:pStyle w:val="13"/>
              <w:jc w:val="center"/>
              <w:rPr>
                <w:rFonts w:hint="eastAsia"/>
              </w:rPr>
            </w:pPr>
            <w:r>
              <w:rPr>
                <w:rFonts w:hint="eastAsia"/>
              </w:rPr>
              <w:t>100379</w:t>
            </w:r>
          </w:p>
        </w:tc>
        <w:tc>
          <w:tcPr>
            <w:tcW w:w="1019" w:type="pct"/>
            <w:vAlign w:val="center"/>
          </w:tcPr>
          <w:p w14:paraId="5200A409">
            <w:pPr>
              <w:pStyle w:val="13"/>
              <w:jc w:val="center"/>
              <w:rPr>
                <w:rFonts w:hint="eastAsia"/>
              </w:rPr>
            </w:pPr>
            <w:r>
              <w:rPr>
                <w:rFonts w:hint="eastAsia"/>
              </w:rPr>
              <w:t>210</w:t>
            </w:r>
          </w:p>
        </w:tc>
        <w:tc>
          <w:tcPr>
            <w:tcW w:w="1019" w:type="pct"/>
            <w:vAlign w:val="center"/>
          </w:tcPr>
          <w:p w14:paraId="51A4BE37">
            <w:pPr>
              <w:pStyle w:val="13"/>
              <w:jc w:val="center"/>
              <w:rPr>
                <w:rFonts w:hint="eastAsia"/>
              </w:rPr>
            </w:pPr>
            <w:r>
              <w:rPr>
                <w:rFonts w:hint="eastAsia"/>
              </w:rPr>
              <w:t>21117</w:t>
            </w:r>
          </w:p>
        </w:tc>
      </w:tr>
      <w:tr w14:paraId="4DB8F6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1400AA00">
            <w:pPr>
              <w:pStyle w:val="13"/>
              <w:ind w:firstLine="420" w:firstLineChars="200"/>
              <w:jc w:val="left"/>
              <w:rPr>
                <w:rFonts w:hint="eastAsia"/>
              </w:rPr>
            </w:pPr>
            <w:r>
              <w:rPr>
                <w:rFonts w:hint="eastAsia"/>
              </w:rPr>
              <w:t>3、油菜籽</w:t>
            </w:r>
          </w:p>
        </w:tc>
        <w:tc>
          <w:tcPr>
            <w:tcW w:w="1019" w:type="pct"/>
            <w:vAlign w:val="center"/>
          </w:tcPr>
          <w:p w14:paraId="05326C1E">
            <w:pPr>
              <w:pStyle w:val="13"/>
              <w:jc w:val="center"/>
              <w:rPr>
                <w:rFonts w:hint="eastAsia"/>
              </w:rPr>
            </w:pPr>
            <w:r>
              <w:rPr>
                <w:rFonts w:hint="eastAsia"/>
              </w:rPr>
              <w:t>4651</w:t>
            </w:r>
          </w:p>
        </w:tc>
        <w:tc>
          <w:tcPr>
            <w:tcW w:w="1019" w:type="pct"/>
            <w:vAlign w:val="center"/>
          </w:tcPr>
          <w:p w14:paraId="3A333B5C">
            <w:pPr>
              <w:pStyle w:val="13"/>
              <w:jc w:val="center"/>
              <w:rPr>
                <w:rFonts w:hint="eastAsia"/>
              </w:rPr>
            </w:pPr>
            <w:r>
              <w:rPr>
                <w:rFonts w:hint="eastAsia"/>
              </w:rPr>
              <w:t>41</w:t>
            </w:r>
          </w:p>
        </w:tc>
        <w:tc>
          <w:tcPr>
            <w:tcW w:w="1019" w:type="pct"/>
            <w:vAlign w:val="center"/>
          </w:tcPr>
          <w:p w14:paraId="5D7CA44F">
            <w:pPr>
              <w:pStyle w:val="13"/>
              <w:jc w:val="center"/>
              <w:rPr>
                <w:rFonts w:hint="eastAsia"/>
              </w:rPr>
            </w:pPr>
            <w:r>
              <w:rPr>
                <w:rFonts w:hint="eastAsia"/>
              </w:rPr>
              <w:t>193</w:t>
            </w:r>
          </w:p>
        </w:tc>
      </w:tr>
      <w:tr w14:paraId="7DD50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29843099">
            <w:pPr>
              <w:pStyle w:val="13"/>
              <w:ind w:firstLine="420" w:firstLineChars="200"/>
              <w:jc w:val="left"/>
              <w:rPr>
                <w:rFonts w:hint="eastAsia"/>
              </w:rPr>
            </w:pPr>
            <w:r>
              <w:rPr>
                <w:rFonts w:hint="eastAsia"/>
              </w:rPr>
              <w:t>4、烟叶（黄烟）</w:t>
            </w:r>
          </w:p>
        </w:tc>
        <w:tc>
          <w:tcPr>
            <w:tcW w:w="1019" w:type="pct"/>
            <w:vAlign w:val="center"/>
          </w:tcPr>
          <w:p w14:paraId="05193C6C">
            <w:pPr>
              <w:pStyle w:val="13"/>
              <w:jc w:val="center"/>
              <w:rPr>
                <w:rFonts w:hint="eastAsia"/>
              </w:rPr>
            </w:pPr>
            <w:r>
              <w:rPr>
                <w:rFonts w:hint="eastAsia"/>
              </w:rPr>
              <w:t>148088</w:t>
            </w:r>
          </w:p>
        </w:tc>
        <w:tc>
          <w:tcPr>
            <w:tcW w:w="1019" w:type="pct"/>
            <w:vAlign w:val="center"/>
          </w:tcPr>
          <w:p w14:paraId="5BEC45CA">
            <w:pPr>
              <w:pStyle w:val="13"/>
              <w:jc w:val="center"/>
              <w:rPr>
                <w:rFonts w:hint="eastAsia"/>
              </w:rPr>
            </w:pPr>
            <w:r>
              <w:rPr>
                <w:rFonts w:hint="eastAsia"/>
              </w:rPr>
              <w:t>160</w:t>
            </w:r>
          </w:p>
        </w:tc>
        <w:tc>
          <w:tcPr>
            <w:tcW w:w="1019" w:type="pct"/>
            <w:vAlign w:val="center"/>
          </w:tcPr>
          <w:p w14:paraId="35E6C56D">
            <w:pPr>
              <w:pStyle w:val="13"/>
              <w:jc w:val="center"/>
              <w:rPr>
                <w:rFonts w:hint="eastAsia"/>
              </w:rPr>
            </w:pPr>
            <w:r>
              <w:rPr>
                <w:rFonts w:hint="eastAsia"/>
              </w:rPr>
              <w:t>23694</w:t>
            </w:r>
          </w:p>
        </w:tc>
      </w:tr>
      <w:tr w14:paraId="2DF2F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6BB3BEB1">
            <w:pPr>
              <w:pStyle w:val="13"/>
              <w:ind w:firstLine="420" w:firstLineChars="200"/>
              <w:jc w:val="left"/>
              <w:rPr>
                <w:rFonts w:hint="eastAsia"/>
              </w:rPr>
            </w:pPr>
            <w:r>
              <w:rPr>
                <w:rFonts w:hint="eastAsia"/>
              </w:rPr>
              <w:t>5、药材（新种）</w:t>
            </w:r>
          </w:p>
        </w:tc>
        <w:tc>
          <w:tcPr>
            <w:tcW w:w="1019" w:type="pct"/>
            <w:vAlign w:val="center"/>
          </w:tcPr>
          <w:p w14:paraId="29571C2A">
            <w:pPr>
              <w:pStyle w:val="13"/>
              <w:jc w:val="center"/>
              <w:rPr>
                <w:rFonts w:hint="eastAsia"/>
              </w:rPr>
            </w:pPr>
          </w:p>
        </w:tc>
        <w:tc>
          <w:tcPr>
            <w:tcW w:w="1019" w:type="pct"/>
            <w:vAlign w:val="center"/>
          </w:tcPr>
          <w:p w14:paraId="2B6DBE32">
            <w:pPr>
              <w:pStyle w:val="13"/>
              <w:jc w:val="center"/>
              <w:rPr>
                <w:rFonts w:hint="eastAsia"/>
              </w:rPr>
            </w:pPr>
          </w:p>
        </w:tc>
        <w:tc>
          <w:tcPr>
            <w:tcW w:w="1019" w:type="pct"/>
            <w:vAlign w:val="center"/>
          </w:tcPr>
          <w:p w14:paraId="4553F8A4">
            <w:pPr>
              <w:pStyle w:val="13"/>
              <w:jc w:val="center"/>
              <w:rPr>
                <w:rFonts w:hint="eastAsia"/>
              </w:rPr>
            </w:pPr>
          </w:p>
        </w:tc>
      </w:tr>
      <w:tr w14:paraId="2AABC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638C445C">
            <w:pPr>
              <w:pStyle w:val="13"/>
              <w:ind w:firstLine="420" w:firstLineChars="200"/>
              <w:jc w:val="left"/>
              <w:rPr>
                <w:rFonts w:hint="eastAsia"/>
              </w:rPr>
            </w:pPr>
            <w:r>
              <w:rPr>
                <w:rFonts w:hint="eastAsia"/>
              </w:rPr>
              <w:t>6、其它经济作物</w:t>
            </w:r>
          </w:p>
        </w:tc>
        <w:tc>
          <w:tcPr>
            <w:tcW w:w="1019" w:type="pct"/>
            <w:vAlign w:val="center"/>
          </w:tcPr>
          <w:p w14:paraId="5372E3FE">
            <w:pPr>
              <w:pStyle w:val="13"/>
              <w:jc w:val="center"/>
              <w:rPr>
                <w:rFonts w:hint="eastAsia"/>
              </w:rPr>
            </w:pPr>
            <w:r>
              <w:rPr>
                <w:rFonts w:hint="eastAsia"/>
              </w:rPr>
              <w:t>2178</w:t>
            </w:r>
          </w:p>
        </w:tc>
        <w:tc>
          <w:tcPr>
            <w:tcW w:w="1019" w:type="pct"/>
            <w:vAlign w:val="center"/>
          </w:tcPr>
          <w:p w14:paraId="0F30B17E">
            <w:pPr>
              <w:pStyle w:val="13"/>
              <w:jc w:val="center"/>
              <w:rPr>
                <w:rFonts w:hint="eastAsia"/>
              </w:rPr>
            </w:pPr>
          </w:p>
        </w:tc>
        <w:tc>
          <w:tcPr>
            <w:tcW w:w="1019" w:type="pct"/>
            <w:vAlign w:val="center"/>
          </w:tcPr>
          <w:p w14:paraId="7E04264D">
            <w:pPr>
              <w:pStyle w:val="13"/>
              <w:jc w:val="center"/>
              <w:rPr>
                <w:rFonts w:hint="eastAsia"/>
              </w:rPr>
            </w:pPr>
          </w:p>
        </w:tc>
      </w:tr>
      <w:tr w14:paraId="4ECFA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391722AA">
            <w:pPr>
              <w:pStyle w:val="13"/>
              <w:jc w:val="left"/>
              <w:rPr>
                <w:rFonts w:hint="eastAsia"/>
              </w:rPr>
            </w:pPr>
            <w:r>
              <w:rPr>
                <w:rFonts w:hint="eastAsia"/>
              </w:rPr>
              <w:t>三、其它作物合计</w:t>
            </w:r>
          </w:p>
        </w:tc>
        <w:tc>
          <w:tcPr>
            <w:tcW w:w="1019" w:type="pct"/>
            <w:vAlign w:val="center"/>
          </w:tcPr>
          <w:p w14:paraId="5AA9B4D7">
            <w:pPr>
              <w:pStyle w:val="13"/>
              <w:jc w:val="center"/>
              <w:rPr>
                <w:rFonts w:hint="eastAsia"/>
              </w:rPr>
            </w:pPr>
            <w:r>
              <w:rPr>
                <w:rFonts w:hint="eastAsia"/>
              </w:rPr>
              <w:t>111362</w:t>
            </w:r>
          </w:p>
        </w:tc>
        <w:tc>
          <w:tcPr>
            <w:tcW w:w="1019" w:type="pct"/>
            <w:vAlign w:val="center"/>
          </w:tcPr>
          <w:p w14:paraId="302F88B5">
            <w:pPr>
              <w:pStyle w:val="13"/>
              <w:jc w:val="center"/>
              <w:rPr>
                <w:rFonts w:hint="eastAsia"/>
              </w:rPr>
            </w:pPr>
          </w:p>
        </w:tc>
        <w:tc>
          <w:tcPr>
            <w:tcW w:w="1019" w:type="pct"/>
            <w:vAlign w:val="center"/>
          </w:tcPr>
          <w:p w14:paraId="6D7B57A0">
            <w:pPr>
              <w:pStyle w:val="13"/>
              <w:jc w:val="center"/>
              <w:rPr>
                <w:rFonts w:hint="eastAsia"/>
              </w:rPr>
            </w:pPr>
          </w:p>
        </w:tc>
      </w:tr>
      <w:tr w14:paraId="38B07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61C6B14C">
            <w:pPr>
              <w:pStyle w:val="13"/>
              <w:ind w:firstLine="420" w:firstLineChars="200"/>
              <w:jc w:val="left"/>
              <w:rPr>
                <w:rFonts w:hint="eastAsia"/>
              </w:rPr>
            </w:pPr>
            <w:r>
              <w:rPr>
                <w:rFonts w:hint="eastAsia"/>
              </w:rPr>
              <w:t>其中：蔬菜</w:t>
            </w:r>
          </w:p>
        </w:tc>
        <w:tc>
          <w:tcPr>
            <w:tcW w:w="1019" w:type="pct"/>
            <w:vAlign w:val="center"/>
          </w:tcPr>
          <w:p w14:paraId="1BDC5925">
            <w:pPr>
              <w:pStyle w:val="13"/>
              <w:jc w:val="center"/>
              <w:rPr>
                <w:rFonts w:hint="eastAsia"/>
              </w:rPr>
            </w:pPr>
            <w:r>
              <w:rPr>
                <w:rFonts w:hint="eastAsia"/>
              </w:rPr>
              <w:t>95318</w:t>
            </w:r>
          </w:p>
        </w:tc>
        <w:tc>
          <w:tcPr>
            <w:tcW w:w="1019" w:type="pct"/>
            <w:vAlign w:val="center"/>
          </w:tcPr>
          <w:p w14:paraId="56BD5909">
            <w:pPr>
              <w:pStyle w:val="13"/>
              <w:jc w:val="center"/>
              <w:rPr>
                <w:rFonts w:hint="eastAsia"/>
              </w:rPr>
            </w:pPr>
            <w:r>
              <w:rPr>
                <w:rFonts w:hint="eastAsia"/>
              </w:rPr>
              <w:t>1589</w:t>
            </w:r>
          </w:p>
        </w:tc>
        <w:tc>
          <w:tcPr>
            <w:tcW w:w="1019" w:type="pct"/>
            <w:vAlign w:val="center"/>
          </w:tcPr>
          <w:p w14:paraId="138C876C">
            <w:pPr>
              <w:pStyle w:val="13"/>
              <w:jc w:val="center"/>
              <w:rPr>
                <w:rFonts w:hint="eastAsia"/>
              </w:rPr>
            </w:pPr>
            <w:r>
              <w:rPr>
                <w:rFonts w:hint="eastAsia"/>
              </w:rPr>
              <w:t>151468</w:t>
            </w:r>
          </w:p>
        </w:tc>
      </w:tr>
      <w:tr w14:paraId="5FBCA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672927C6">
            <w:pPr>
              <w:pStyle w:val="13"/>
              <w:ind w:firstLine="1050" w:firstLineChars="500"/>
              <w:jc w:val="left"/>
              <w:rPr>
                <w:rFonts w:hint="eastAsia"/>
              </w:rPr>
            </w:pPr>
            <w:r>
              <w:rPr>
                <w:rFonts w:hint="eastAsia"/>
              </w:rPr>
              <w:t>瓜类（果用瓜）</w:t>
            </w:r>
          </w:p>
        </w:tc>
        <w:tc>
          <w:tcPr>
            <w:tcW w:w="1019" w:type="pct"/>
            <w:vAlign w:val="center"/>
          </w:tcPr>
          <w:p w14:paraId="6CA29C0C">
            <w:pPr>
              <w:pStyle w:val="13"/>
              <w:jc w:val="center"/>
              <w:rPr>
                <w:rFonts w:hint="eastAsia"/>
              </w:rPr>
            </w:pPr>
            <w:r>
              <w:rPr>
                <w:rFonts w:hint="eastAsia"/>
              </w:rPr>
              <w:t>4878</w:t>
            </w:r>
          </w:p>
        </w:tc>
        <w:tc>
          <w:tcPr>
            <w:tcW w:w="1019" w:type="pct"/>
            <w:vAlign w:val="center"/>
          </w:tcPr>
          <w:p w14:paraId="14F172C2">
            <w:pPr>
              <w:pStyle w:val="13"/>
              <w:jc w:val="center"/>
              <w:rPr>
                <w:rFonts w:hint="eastAsia"/>
              </w:rPr>
            </w:pPr>
            <w:r>
              <w:rPr>
                <w:rFonts w:hint="eastAsia"/>
              </w:rPr>
              <w:t>1593</w:t>
            </w:r>
          </w:p>
        </w:tc>
        <w:tc>
          <w:tcPr>
            <w:tcW w:w="1019" w:type="pct"/>
            <w:vAlign w:val="center"/>
          </w:tcPr>
          <w:p w14:paraId="2E5CD875">
            <w:pPr>
              <w:pStyle w:val="13"/>
              <w:jc w:val="center"/>
              <w:rPr>
                <w:rFonts w:hint="eastAsia"/>
              </w:rPr>
            </w:pPr>
            <w:r>
              <w:rPr>
                <w:rFonts w:hint="eastAsia"/>
              </w:rPr>
              <w:t>7771</w:t>
            </w:r>
          </w:p>
        </w:tc>
      </w:tr>
      <w:tr w14:paraId="7C247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51B044C2">
            <w:pPr>
              <w:pStyle w:val="13"/>
              <w:ind w:firstLine="1050" w:firstLineChars="500"/>
              <w:jc w:val="left"/>
              <w:rPr>
                <w:rFonts w:hint="eastAsia"/>
              </w:rPr>
            </w:pPr>
            <w:r>
              <w:rPr>
                <w:rFonts w:hint="eastAsia"/>
              </w:rPr>
              <w:t>绿肥</w:t>
            </w:r>
          </w:p>
        </w:tc>
        <w:tc>
          <w:tcPr>
            <w:tcW w:w="1019" w:type="pct"/>
            <w:vAlign w:val="center"/>
          </w:tcPr>
          <w:p w14:paraId="0C6A1166">
            <w:pPr>
              <w:pStyle w:val="13"/>
              <w:jc w:val="center"/>
              <w:rPr>
                <w:rFonts w:hint="eastAsia"/>
              </w:rPr>
            </w:pPr>
            <w:r>
              <w:rPr>
                <w:rFonts w:hint="eastAsia"/>
              </w:rPr>
              <w:t>3482</w:t>
            </w:r>
          </w:p>
        </w:tc>
        <w:tc>
          <w:tcPr>
            <w:tcW w:w="1019" w:type="pct"/>
            <w:vAlign w:val="center"/>
          </w:tcPr>
          <w:p w14:paraId="45F73950">
            <w:pPr>
              <w:pStyle w:val="13"/>
              <w:jc w:val="center"/>
              <w:rPr>
                <w:rFonts w:hint="eastAsia"/>
              </w:rPr>
            </w:pPr>
          </w:p>
        </w:tc>
        <w:tc>
          <w:tcPr>
            <w:tcW w:w="1019" w:type="pct"/>
            <w:vAlign w:val="center"/>
          </w:tcPr>
          <w:p w14:paraId="390FBE0E">
            <w:pPr>
              <w:pStyle w:val="13"/>
              <w:jc w:val="center"/>
              <w:rPr>
                <w:rFonts w:hint="eastAsia"/>
              </w:rPr>
            </w:pPr>
          </w:p>
        </w:tc>
      </w:tr>
    </w:tbl>
    <w:p w14:paraId="7BB0130D">
      <w:pPr>
        <w:pStyle w:val="4"/>
        <w:rPr>
          <w:rFonts w:hint="eastAsia"/>
        </w:rPr>
      </w:pPr>
      <w:r>
        <w:t>表</w:t>
      </w:r>
      <w:r>
        <w:rPr>
          <w:rFonts w:hint="eastAsia"/>
        </w:rPr>
        <w:t>34-12  水果、茶叶和蚕茧生产情况</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21"/>
        <w:gridCol w:w="3321"/>
        <w:gridCol w:w="3320"/>
      </w:tblGrid>
      <w:tr w14:paraId="02DD7D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262C578E">
            <w:pPr>
              <w:pStyle w:val="13"/>
              <w:jc w:val="center"/>
              <w:rPr>
                <w:rFonts w:hint="eastAsia"/>
                <w:b/>
              </w:rPr>
            </w:pPr>
            <w:r>
              <w:rPr>
                <w:rFonts w:hint="eastAsia"/>
                <w:b/>
              </w:rPr>
              <w:t>指标名称</w:t>
            </w:r>
          </w:p>
        </w:tc>
        <w:tc>
          <w:tcPr>
            <w:tcW w:w="1667" w:type="pct"/>
            <w:vAlign w:val="center"/>
          </w:tcPr>
          <w:p w14:paraId="0F5F09BD">
            <w:pPr>
              <w:pStyle w:val="13"/>
              <w:jc w:val="center"/>
              <w:rPr>
                <w:rFonts w:hint="eastAsia"/>
                <w:b/>
              </w:rPr>
            </w:pPr>
            <w:r>
              <w:rPr>
                <w:rFonts w:hint="eastAsia"/>
                <w:b/>
              </w:rPr>
              <w:t>年末实有面积（亩）</w:t>
            </w:r>
          </w:p>
        </w:tc>
        <w:tc>
          <w:tcPr>
            <w:tcW w:w="1667" w:type="pct"/>
            <w:vAlign w:val="center"/>
          </w:tcPr>
          <w:p w14:paraId="16638071">
            <w:pPr>
              <w:pStyle w:val="13"/>
              <w:jc w:val="center"/>
              <w:rPr>
                <w:rFonts w:hint="eastAsia"/>
                <w:b/>
              </w:rPr>
            </w:pPr>
            <w:r>
              <w:rPr>
                <w:rFonts w:hint="eastAsia"/>
                <w:b/>
              </w:rPr>
              <w:t>总产量（吨）</w:t>
            </w:r>
          </w:p>
        </w:tc>
      </w:tr>
      <w:tr w14:paraId="244112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27EFCD0B">
            <w:pPr>
              <w:pStyle w:val="13"/>
              <w:jc w:val="left"/>
              <w:rPr>
                <w:rFonts w:hint="eastAsia"/>
              </w:rPr>
            </w:pPr>
            <w:r>
              <w:rPr>
                <w:rFonts w:hint="eastAsia"/>
              </w:rPr>
              <w:t>一、水果合计</w:t>
            </w:r>
          </w:p>
        </w:tc>
        <w:tc>
          <w:tcPr>
            <w:tcW w:w="1667" w:type="pct"/>
            <w:vAlign w:val="center"/>
          </w:tcPr>
          <w:p w14:paraId="7CE6D10F">
            <w:pPr>
              <w:pStyle w:val="13"/>
              <w:jc w:val="center"/>
              <w:rPr>
                <w:rFonts w:hint="eastAsia"/>
              </w:rPr>
            </w:pPr>
            <w:r>
              <w:rPr>
                <w:rFonts w:hint="eastAsia"/>
              </w:rPr>
              <w:t>39367</w:t>
            </w:r>
          </w:p>
        </w:tc>
        <w:tc>
          <w:tcPr>
            <w:tcW w:w="1667" w:type="pct"/>
            <w:vAlign w:val="center"/>
          </w:tcPr>
          <w:p w14:paraId="24DEE3D0">
            <w:pPr>
              <w:pStyle w:val="13"/>
              <w:jc w:val="center"/>
              <w:rPr>
                <w:rFonts w:hint="eastAsia"/>
              </w:rPr>
            </w:pPr>
            <w:r>
              <w:rPr>
                <w:rFonts w:hint="eastAsia"/>
              </w:rPr>
              <w:t>17247</w:t>
            </w:r>
          </w:p>
        </w:tc>
      </w:tr>
      <w:tr w14:paraId="6D0F7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604DE22C">
            <w:pPr>
              <w:pStyle w:val="13"/>
              <w:ind w:firstLine="420" w:firstLineChars="200"/>
              <w:jc w:val="left"/>
              <w:rPr>
                <w:rFonts w:hint="eastAsia"/>
              </w:rPr>
            </w:pPr>
            <w:r>
              <w:rPr>
                <w:rFonts w:hint="eastAsia"/>
              </w:rPr>
              <w:t>1、柑、桔、橙</w:t>
            </w:r>
          </w:p>
        </w:tc>
        <w:tc>
          <w:tcPr>
            <w:tcW w:w="1667" w:type="pct"/>
            <w:vAlign w:val="center"/>
          </w:tcPr>
          <w:p w14:paraId="2FB22EBC">
            <w:pPr>
              <w:pStyle w:val="13"/>
              <w:jc w:val="center"/>
              <w:rPr>
                <w:rFonts w:hint="eastAsia"/>
              </w:rPr>
            </w:pPr>
            <w:r>
              <w:rPr>
                <w:rFonts w:hint="eastAsia"/>
              </w:rPr>
              <w:t>27209</w:t>
            </w:r>
          </w:p>
        </w:tc>
        <w:tc>
          <w:tcPr>
            <w:tcW w:w="1667" w:type="pct"/>
            <w:vAlign w:val="center"/>
          </w:tcPr>
          <w:p w14:paraId="34E20797">
            <w:pPr>
              <w:pStyle w:val="13"/>
              <w:jc w:val="center"/>
              <w:rPr>
                <w:rFonts w:hint="eastAsia"/>
              </w:rPr>
            </w:pPr>
            <w:r>
              <w:rPr>
                <w:rFonts w:hint="eastAsia"/>
              </w:rPr>
              <w:t>9957</w:t>
            </w:r>
          </w:p>
        </w:tc>
      </w:tr>
      <w:tr w14:paraId="39E724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30B3F855">
            <w:pPr>
              <w:pStyle w:val="13"/>
              <w:ind w:firstLine="420" w:firstLineChars="200"/>
              <w:jc w:val="left"/>
              <w:rPr>
                <w:rFonts w:hint="eastAsia"/>
              </w:rPr>
            </w:pPr>
            <w:r>
              <w:rPr>
                <w:rFonts w:hint="eastAsia"/>
              </w:rPr>
              <w:t>2、梨</w:t>
            </w:r>
          </w:p>
        </w:tc>
        <w:tc>
          <w:tcPr>
            <w:tcW w:w="1667" w:type="pct"/>
            <w:vAlign w:val="center"/>
          </w:tcPr>
          <w:p w14:paraId="1CC860DC">
            <w:pPr>
              <w:pStyle w:val="13"/>
              <w:jc w:val="center"/>
              <w:rPr>
                <w:rFonts w:hint="eastAsia"/>
              </w:rPr>
            </w:pPr>
            <w:r>
              <w:rPr>
                <w:rFonts w:hint="eastAsia"/>
              </w:rPr>
              <w:t>1278</w:t>
            </w:r>
          </w:p>
        </w:tc>
        <w:tc>
          <w:tcPr>
            <w:tcW w:w="1667" w:type="pct"/>
            <w:vAlign w:val="center"/>
          </w:tcPr>
          <w:p w14:paraId="2F3A99B5">
            <w:pPr>
              <w:pStyle w:val="13"/>
              <w:jc w:val="center"/>
              <w:rPr>
                <w:rFonts w:hint="eastAsia"/>
              </w:rPr>
            </w:pPr>
            <w:r>
              <w:rPr>
                <w:rFonts w:hint="eastAsia"/>
              </w:rPr>
              <w:t>863</w:t>
            </w:r>
          </w:p>
        </w:tc>
      </w:tr>
      <w:tr w14:paraId="53203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0A04B5CA">
            <w:pPr>
              <w:pStyle w:val="13"/>
              <w:ind w:firstLine="420" w:firstLineChars="200"/>
              <w:jc w:val="left"/>
              <w:rPr>
                <w:rFonts w:hint="eastAsia"/>
              </w:rPr>
            </w:pPr>
            <w:r>
              <w:rPr>
                <w:rFonts w:hint="eastAsia"/>
              </w:rPr>
              <w:t>3、柿子</w:t>
            </w:r>
          </w:p>
        </w:tc>
        <w:tc>
          <w:tcPr>
            <w:tcW w:w="1667" w:type="pct"/>
            <w:vAlign w:val="center"/>
          </w:tcPr>
          <w:p w14:paraId="73EF59C4">
            <w:pPr>
              <w:pStyle w:val="13"/>
              <w:jc w:val="center"/>
              <w:rPr>
                <w:rFonts w:hint="eastAsia"/>
              </w:rPr>
            </w:pPr>
            <w:r>
              <w:rPr>
                <w:rFonts w:hint="eastAsia"/>
              </w:rPr>
              <w:t>24</w:t>
            </w:r>
          </w:p>
        </w:tc>
        <w:tc>
          <w:tcPr>
            <w:tcW w:w="1667" w:type="pct"/>
            <w:vAlign w:val="center"/>
          </w:tcPr>
          <w:p w14:paraId="305A512F">
            <w:pPr>
              <w:pStyle w:val="13"/>
              <w:jc w:val="center"/>
              <w:rPr>
                <w:rFonts w:hint="eastAsia"/>
              </w:rPr>
            </w:pPr>
            <w:r>
              <w:rPr>
                <w:rFonts w:hint="eastAsia"/>
              </w:rPr>
              <w:t>27</w:t>
            </w:r>
          </w:p>
        </w:tc>
      </w:tr>
      <w:tr w14:paraId="5E64E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3A1E17D6">
            <w:pPr>
              <w:pStyle w:val="13"/>
              <w:ind w:firstLine="420" w:firstLineChars="200"/>
              <w:jc w:val="left"/>
              <w:rPr>
                <w:rFonts w:hint="eastAsia"/>
              </w:rPr>
            </w:pPr>
            <w:r>
              <w:rPr>
                <w:rFonts w:hint="eastAsia"/>
              </w:rPr>
              <w:t>4、李子</w:t>
            </w:r>
          </w:p>
        </w:tc>
        <w:tc>
          <w:tcPr>
            <w:tcW w:w="1667" w:type="pct"/>
            <w:vAlign w:val="center"/>
          </w:tcPr>
          <w:p w14:paraId="2491A2DE">
            <w:pPr>
              <w:pStyle w:val="13"/>
              <w:jc w:val="center"/>
              <w:rPr>
                <w:rFonts w:hint="eastAsia"/>
              </w:rPr>
            </w:pPr>
            <w:r>
              <w:rPr>
                <w:rFonts w:hint="eastAsia"/>
              </w:rPr>
              <w:t>10047</w:t>
            </w:r>
          </w:p>
        </w:tc>
        <w:tc>
          <w:tcPr>
            <w:tcW w:w="1667" w:type="pct"/>
            <w:vAlign w:val="center"/>
          </w:tcPr>
          <w:p w14:paraId="75ECAFB6">
            <w:pPr>
              <w:pStyle w:val="13"/>
              <w:jc w:val="center"/>
              <w:rPr>
                <w:rFonts w:hint="eastAsia"/>
              </w:rPr>
            </w:pPr>
            <w:r>
              <w:rPr>
                <w:rFonts w:hint="eastAsia"/>
              </w:rPr>
              <w:t>6065</w:t>
            </w:r>
          </w:p>
        </w:tc>
      </w:tr>
      <w:tr w14:paraId="47F3D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18125A0D">
            <w:pPr>
              <w:pStyle w:val="13"/>
              <w:ind w:firstLine="420" w:firstLineChars="200"/>
              <w:jc w:val="left"/>
              <w:rPr>
                <w:rFonts w:hint="eastAsia"/>
              </w:rPr>
            </w:pPr>
            <w:r>
              <w:rPr>
                <w:rFonts w:hint="eastAsia"/>
              </w:rPr>
              <w:t>5、柚子</w:t>
            </w:r>
          </w:p>
        </w:tc>
        <w:tc>
          <w:tcPr>
            <w:tcW w:w="1667" w:type="pct"/>
            <w:vAlign w:val="center"/>
          </w:tcPr>
          <w:p w14:paraId="4F587EB1">
            <w:pPr>
              <w:pStyle w:val="13"/>
              <w:jc w:val="center"/>
              <w:rPr>
                <w:rFonts w:hint="eastAsia"/>
              </w:rPr>
            </w:pPr>
            <w:r>
              <w:rPr>
                <w:rFonts w:hint="eastAsia"/>
              </w:rPr>
              <w:t>611</w:t>
            </w:r>
          </w:p>
        </w:tc>
        <w:tc>
          <w:tcPr>
            <w:tcW w:w="1667" w:type="pct"/>
            <w:vAlign w:val="center"/>
          </w:tcPr>
          <w:p w14:paraId="1B3A588B">
            <w:pPr>
              <w:pStyle w:val="13"/>
              <w:jc w:val="center"/>
              <w:rPr>
                <w:rFonts w:hint="eastAsia"/>
              </w:rPr>
            </w:pPr>
            <w:r>
              <w:rPr>
                <w:rFonts w:hint="eastAsia"/>
              </w:rPr>
              <w:t>256</w:t>
            </w:r>
          </w:p>
        </w:tc>
      </w:tr>
      <w:tr w14:paraId="6401F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121EE128">
            <w:pPr>
              <w:pStyle w:val="13"/>
              <w:ind w:firstLine="420" w:firstLineChars="200"/>
              <w:jc w:val="left"/>
              <w:rPr>
                <w:rFonts w:hint="eastAsia"/>
              </w:rPr>
            </w:pPr>
            <w:r>
              <w:rPr>
                <w:rFonts w:hint="eastAsia"/>
              </w:rPr>
              <w:t>6、其它杂果</w:t>
            </w:r>
          </w:p>
        </w:tc>
        <w:tc>
          <w:tcPr>
            <w:tcW w:w="1667" w:type="pct"/>
            <w:vAlign w:val="center"/>
          </w:tcPr>
          <w:p w14:paraId="2B4136D2">
            <w:pPr>
              <w:pStyle w:val="13"/>
              <w:jc w:val="center"/>
              <w:rPr>
                <w:rFonts w:hint="eastAsia"/>
              </w:rPr>
            </w:pPr>
            <w:r>
              <w:rPr>
                <w:rFonts w:hint="eastAsia"/>
              </w:rPr>
              <w:t>183</w:t>
            </w:r>
          </w:p>
        </w:tc>
        <w:tc>
          <w:tcPr>
            <w:tcW w:w="1667" w:type="pct"/>
            <w:vAlign w:val="center"/>
          </w:tcPr>
          <w:p w14:paraId="35E64954">
            <w:pPr>
              <w:pStyle w:val="13"/>
              <w:jc w:val="center"/>
              <w:rPr>
                <w:rFonts w:hint="eastAsia"/>
              </w:rPr>
            </w:pPr>
            <w:r>
              <w:rPr>
                <w:rFonts w:hint="eastAsia"/>
              </w:rPr>
              <w:t>75</w:t>
            </w:r>
          </w:p>
        </w:tc>
      </w:tr>
      <w:tr w14:paraId="042BB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24504018">
            <w:pPr>
              <w:pStyle w:val="13"/>
              <w:jc w:val="left"/>
              <w:rPr>
                <w:rFonts w:hint="eastAsia"/>
              </w:rPr>
            </w:pPr>
            <w:r>
              <w:rPr>
                <w:rFonts w:hint="eastAsia"/>
              </w:rPr>
              <w:t>二、种桑面积</w:t>
            </w:r>
          </w:p>
        </w:tc>
        <w:tc>
          <w:tcPr>
            <w:tcW w:w="1667" w:type="pct"/>
            <w:vAlign w:val="center"/>
          </w:tcPr>
          <w:p w14:paraId="0C990FB6">
            <w:pPr>
              <w:pStyle w:val="13"/>
              <w:jc w:val="center"/>
              <w:rPr>
                <w:rFonts w:hint="eastAsia"/>
              </w:rPr>
            </w:pPr>
            <w:r>
              <w:rPr>
                <w:rFonts w:hint="eastAsia"/>
              </w:rPr>
              <w:t>1051</w:t>
            </w:r>
          </w:p>
        </w:tc>
        <w:tc>
          <w:tcPr>
            <w:tcW w:w="1667" w:type="pct"/>
            <w:vAlign w:val="center"/>
          </w:tcPr>
          <w:p w14:paraId="3369D8D4">
            <w:pPr>
              <w:pStyle w:val="13"/>
              <w:jc w:val="center"/>
              <w:rPr>
                <w:rFonts w:hint="eastAsia"/>
              </w:rPr>
            </w:pPr>
            <w:r>
              <w:rPr>
                <w:rFonts w:hint="eastAsia"/>
              </w:rPr>
              <w:t>340</w:t>
            </w:r>
          </w:p>
        </w:tc>
      </w:tr>
      <w:tr w14:paraId="42B872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0E293BE2">
            <w:pPr>
              <w:pStyle w:val="13"/>
              <w:jc w:val="left"/>
              <w:rPr>
                <w:rFonts w:hint="eastAsia"/>
              </w:rPr>
            </w:pPr>
            <w:r>
              <w:rPr>
                <w:rFonts w:hint="eastAsia"/>
              </w:rPr>
              <w:t>三、茶叶合计</w:t>
            </w:r>
          </w:p>
        </w:tc>
        <w:tc>
          <w:tcPr>
            <w:tcW w:w="1667" w:type="pct"/>
            <w:vAlign w:val="center"/>
          </w:tcPr>
          <w:p w14:paraId="7BDE7C3B">
            <w:pPr>
              <w:pStyle w:val="13"/>
              <w:jc w:val="center"/>
              <w:rPr>
                <w:rFonts w:hint="eastAsia"/>
              </w:rPr>
            </w:pPr>
            <w:r>
              <w:rPr>
                <w:rFonts w:hint="eastAsia"/>
              </w:rPr>
              <w:t>402</w:t>
            </w:r>
          </w:p>
        </w:tc>
        <w:tc>
          <w:tcPr>
            <w:tcW w:w="1667" w:type="pct"/>
            <w:vAlign w:val="center"/>
          </w:tcPr>
          <w:p w14:paraId="68F183A9">
            <w:pPr>
              <w:pStyle w:val="13"/>
              <w:jc w:val="center"/>
              <w:rPr>
                <w:rFonts w:hint="eastAsia"/>
              </w:rPr>
            </w:pPr>
            <w:r>
              <w:rPr>
                <w:rFonts w:hint="eastAsia"/>
              </w:rPr>
              <w:t>72</w:t>
            </w:r>
          </w:p>
        </w:tc>
      </w:tr>
      <w:tr w14:paraId="2E2AA8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2CED9754">
            <w:pPr>
              <w:pStyle w:val="13"/>
              <w:ind w:firstLine="630" w:firstLineChars="300"/>
              <w:jc w:val="left"/>
              <w:rPr>
                <w:rFonts w:hint="eastAsia"/>
              </w:rPr>
            </w:pPr>
            <w:r>
              <w:rPr>
                <w:rFonts w:hint="eastAsia"/>
              </w:rPr>
              <w:t>其中：绿茶</w:t>
            </w:r>
          </w:p>
        </w:tc>
        <w:tc>
          <w:tcPr>
            <w:tcW w:w="1667" w:type="pct"/>
            <w:vAlign w:val="center"/>
          </w:tcPr>
          <w:p w14:paraId="197C26AB">
            <w:pPr>
              <w:pStyle w:val="13"/>
              <w:jc w:val="center"/>
              <w:rPr>
                <w:rFonts w:hint="eastAsia"/>
              </w:rPr>
            </w:pPr>
            <w:r>
              <w:rPr>
                <w:rFonts w:hint="eastAsia"/>
              </w:rPr>
              <w:t>402</w:t>
            </w:r>
          </w:p>
        </w:tc>
        <w:tc>
          <w:tcPr>
            <w:tcW w:w="1667" w:type="pct"/>
            <w:vAlign w:val="center"/>
          </w:tcPr>
          <w:p w14:paraId="17896C29">
            <w:pPr>
              <w:pStyle w:val="13"/>
              <w:jc w:val="center"/>
              <w:rPr>
                <w:rFonts w:hint="eastAsia"/>
              </w:rPr>
            </w:pPr>
            <w:r>
              <w:rPr>
                <w:rFonts w:hint="eastAsia"/>
              </w:rPr>
              <w:t>72</w:t>
            </w:r>
          </w:p>
        </w:tc>
      </w:tr>
    </w:tbl>
    <w:p w14:paraId="1BEA8C80">
      <w:pPr>
        <w:pStyle w:val="4"/>
        <w:rPr>
          <w:rFonts w:hint="eastAsia"/>
        </w:rPr>
      </w:pPr>
      <w:r>
        <w:t>表</w:t>
      </w:r>
      <w:r>
        <w:rPr>
          <w:rFonts w:hint="eastAsia"/>
        </w:rPr>
        <w:t>34-13  畜牧业生产情况</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71"/>
        <w:gridCol w:w="2030"/>
        <w:gridCol w:w="2030"/>
        <w:gridCol w:w="2031"/>
      </w:tblGrid>
      <w:tr w14:paraId="6E32B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65CA3FCD">
            <w:pPr>
              <w:pStyle w:val="13"/>
              <w:jc w:val="center"/>
              <w:rPr>
                <w:rFonts w:hint="eastAsia"/>
                <w:b/>
              </w:rPr>
            </w:pPr>
            <w:r>
              <w:rPr>
                <w:rFonts w:hint="eastAsia"/>
                <w:b/>
              </w:rPr>
              <w:t>指标名称</w:t>
            </w:r>
          </w:p>
        </w:tc>
        <w:tc>
          <w:tcPr>
            <w:tcW w:w="1019" w:type="pct"/>
            <w:vAlign w:val="center"/>
          </w:tcPr>
          <w:p w14:paraId="174668B1">
            <w:pPr>
              <w:pStyle w:val="13"/>
              <w:jc w:val="center"/>
              <w:rPr>
                <w:rFonts w:hint="eastAsia"/>
                <w:b/>
              </w:rPr>
            </w:pPr>
            <w:r>
              <w:rPr>
                <w:rFonts w:hint="eastAsia"/>
                <w:b/>
              </w:rPr>
              <w:t>计算单位</w:t>
            </w:r>
          </w:p>
        </w:tc>
        <w:tc>
          <w:tcPr>
            <w:tcW w:w="1019" w:type="pct"/>
            <w:vAlign w:val="center"/>
          </w:tcPr>
          <w:p w14:paraId="5092E45B">
            <w:pPr>
              <w:pStyle w:val="13"/>
              <w:jc w:val="center"/>
              <w:rPr>
                <w:rFonts w:hint="eastAsia"/>
                <w:b/>
              </w:rPr>
            </w:pPr>
            <w:r>
              <w:rPr>
                <w:rFonts w:hint="eastAsia"/>
                <w:b/>
              </w:rPr>
              <w:t>2010年</w:t>
            </w:r>
          </w:p>
        </w:tc>
        <w:tc>
          <w:tcPr>
            <w:tcW w:w="1019" w:type="pct"/>
            <w:vAlign w:val="center"/>
          </w:tcPr>
          <w:p w14:paraId="5530A119">
            <w:pPr>
              <w:pStyle w:val="13"/>
              <w:jc w:val="center"/>
              <w:rPr>
                <w:rFonts w:hint="eastAsia"/>
                <w:b/>
              </w:rPr>
            </w:pPr>
            <w:r>
              <w:rPr>
                <w:rFonts w:hint="eastAsia"/>
                <w:b/>
              </w:rPr>
              <w:t>比上年±％</w:t>
            </w:r>
          </w:p>
        </w:tc>
      </w:tr>
      <w:tr w14:paraId="4363AF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2B0747C6">
            <w:pPr>
              <w:pStyle w:val="13"/>
              <w:jc w:val="left"/>
              <w:rPr>
                <w:rFonts w:hint="eastAsia"/>
              </w:rPr>
            </w:pPr>
            <w:r>
              <w:rPr>
                <w:rFonts w:hint="eastAsia"/>
              </w:rPr>
              <w:t>一、大牲畜年末存栏头数</w:t>
            </w:r>
          </w:p>
        </w:tc>
        <w:tc>
          <w:tcPr>
            <w:tcW w:w="1019" w:type="pct"/>
            <w:vAlign w:val="center"/>
          </w:tcPr>
          <w:p w14:paraId="1340B623">
            <w:pPr>
              <w:pStyle w:val="13"/>
              <w:jc w:val="center"/>
              <w:rPr>
                <w:rFonts w:hint="eastAsia"/>
              </w:rPr>
            </w:pPr>
            <w:r>
              <w:rPr>
                <w:rFonts w:hint="eastAsia"/>
              </w:rPr>
              <w:t>头</w:t>
            </w:r>
          </w:p>
        </w:tc>
        <w:tc>
          <w:tcPr>
            <w:tcW w:w="1019" w:type="pct"/>
            <w:vAlign w:val="center"/>
          </w:tcPr>
          <w:p w14:paraId="5C8AFDCD">
            <w:pPr>
              <w:pStyle w:val="13"/>
              <w:jc w:val="center"/>
              <w:rPr>
                <w:rFonts w:hint="eastAsia"/>
              </w:rPr>
            </w:pPr>
            <w:r>
              <w:rPr>
                <w:rFonts w:hint="eastAsia"/>
              </w:rPr>
              <w:t>27501</w:t>
            </w:r>
          </w:p>
        </w:tc>
        <w:tc>
          <w:tcPr>
            <w:tcW w:w="1019" w:type="pct"/>
            <w:vAlign w:val="center"/>
          </w:tcPr>
          <w:p w14:paraId="27B95E0E">
            <w:pPr>
              <w:pStyle w:val="13"/>
              <w:jc w:val="center"/>
              <w:rPr>
                <w:rFonts w:hint="eastAsia"/>
              </w:rPr>
            </w:pPr>
            <w:r>
              <w:rPr>
                <w:rFonts w:hint="eastAsia"/>
              </w:rPr>
              <w:t>-8.8</w:t>
            </w:r>
          </w:p>
        </w:tc>
      </w:tr>
      <w:tr w14:paraId="38F91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1C2E69B0">
            <w:pPr>
              <w:pStyle w:val="13"/>
              <w:ind w:firstLine="420" w:firstLineChars="200"/>
              <w:jc w:val="left"/>
              <w:rPr>
                <w:rFonts w:hint="eastAsia"/>
              </w:rPr>
            </w:pPr>
            <w:r>
              <w:rPr>
                <w:rFonts w:hint="eastAsia"/>
              </w:rPr>
              <w:t>1、役用牛</w:t>
            </w:r>
          </w:p>
        </w:tc>
        <w:tc>
          <w:tcPr>
            <w:tcW w:w="1019" w:type="pct"/>
            <w:vAlign w:val="center"/>
          </w:tcPr>
          <w:p w14:paraId="14E6E202">
            <w:pPr>
              <w:pStyle w:val="13"/>
              <w:jc w:val="center"/>
              <w:rPr>
                <w:rFonts w:hint="eastAsia"/>
              </w:rPr>
            </w:pPr>
            <w:r>
              <w:rPr>
                <w:rFonts w:hint="eastAsia"/>
              </w:rPr>
              <w:t>头</w:t>
            </w:r>
          </w:p>
        </w:tc>
        <w:tc>
          <w:tcPr>
            <w:tcW w:w="1019" w:type="pct"/>
            <w:vAlign w:val="center"/>
          </w:tcPr>
          <w:p w14:paraId="4E521EC8">
            <w:pPr>
              <w:pStyle w:val="13"/>
              <w:jc w:val="center"/>
              <w:rPr>
                <w:rFonts w:hint="eastAsia"/>
              </w:rPr>
            </w:pPr>
            <w:r>
              <w:rPr>
                <w:rFonts w:hint="eastAsia"/>
              </w:rPr>
              <w:t>22136</w:t>
            </w:r>
          </w:p>
        </w:tc>
        <w:tc>
          <w:tcPr>
            <w:tcW w:w="1019" w:type="pct"/>
            <w:vAlign w:val="center"/>
          </w:tcPr>
          <w:p w14:paraId="0B8C0A3D">
            <w:pPr>
              <w:pStyle w:val="13"/>
              <w:jc w:val="center"/>
              <w:rPr>
                <w:rFonts w:hint="eastAsia"/>
              </w:rPr>
            </w:pPr>
            <w:r>
              <w:rPr>
                <w:rFonts w:hint="eastAsia"/>
              </w:rPr>
              <w:t>-20.7</w:t>
            </w:r>
          </w:p>
        </w:tc>
      </w:tr>
      <w:tr w14:paraId="59D8A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3045286C">
            <w:pPr>
              <w:pStyle w:val="13"/>
              <w:ind w:firstLine="840" w:firstLineChars="400"/>
              <w:jc w:val="left"/>
              <w:rPr>
                <w:rFonts w:hint="eastAsia"/>
              </w:rPr>
            </w:pPr>
            <w:r>
              <w:rPr>
                <w:rFonts w:hint="eastAsia"/>
              </w:rPr>
              <w:t>其中：能繁殖母牛</w:t>
            </w:r>
          </w:p>
        </w:tc>
        <w:tc>
          <w:tcPr>
            <w:tcW w:w="1019" w:type="pct"/>
            <w:vAlign w:val="center"/>
          </w:tcPr>
          <w:p w14:paraId="63E09DD6">
            <w:pPr>
              <w:pStyle w:val="13"/>
              <w:jc w:val="center"/>
              <w:rPr>
                <w:rFonts w:hint="eastAsia"/>
              </w:rPr>
            </w:pPr>
            <w:r>
              <w:rPr>
                <w:rFonts w:hint="eastAsia"/>
              </w:rPr>
              <w:t>头</w:t>
            </w:r>
          </w:p>
        </w:tc>
        <w:tc>
          <w:tcPr>
            <w:tcW w:w="1019" w:type="pct"/>
            <w:vAlign w:val="center"/>
          </w:tcPr>
          <w:p w14:paraId="048433C4">
            <w:pPr>
              <w:pStyle w:val="13"/>
              <w:jc w:val="center"/>
              <w:rPr>
                <w:rFonts w:hint="eastAsia"/>
              </w:rPr>
            </w:pPr>
            <w:r>
              <w:rPr>
                <w:rFonts w:hint="eastAsia"/>
              </w:rPr>
              <w:t>10734</w:t>
            </w:r>
          </w:p>
        </w:tc>
        <w:tc>
          <w:tcPr>
            <w:tcW w:w="1019" w:type="pct"/>
            <w:vAlign w:val="center"/>
          </w:tcPr>
          <w:p w14:paraId="1EEE43B5">
            <w:pPr>
              <w:pStyle w:val="13"/>
              <w:jc w:val="center"/>
              <w:rPr>
                <w:rFonts w:hint="eastAsia"/>
              </w:rPr>
            </w:pPr>
            <w:r>
              <w:rPr>
                <w:rFonts w:hint="eastAsia"/>
              </w:rPr>
              <w:t>0.9</w:t>
            </w:r>
          </w:p>
        </w:tc>
      </w:tr>
      <w:tr w14:paraId="49335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5FB274CF">
            <w:pPr>
              <w:pStyle w:val="13"/>
              <w:ind w:firstLine="1470" w:firstLineChars="700"/>
              <w:jc w:val="left"/>
              <w:rPr>
                <w:rFonts w:hint="eastAsia"/>
              </w:rPr>
            </w:pPr>
            <w:r>
              <w:rPr>
                <w:rFonts w:hint="eastAsia"/>
              </w:rPr>
              <w:t>当年生仔畜</w:t>
            </w:r>
          </w:p>
        </w:tc>
        <w:tc>
          <w:tcPr>
            <w:tcW w:w="1019" w:type="pct"/>
            <w:vAlign w:val="center"/>
          </w:tcPr>
          <w:p w14:paraId="2E249806">
            <w:pPr>
              <w:pStyle w:val="13"/>
              <w:jc w:val="center"/>
              <w:rPr>
                <w:rFonts w:hint="eastAsia"/>
              </w:rPr>
            </w:pPr>
            <w:r>
              <w:rPr>
                <w:rFonts w:hint="eastAsia"/>
              </w:rPr>
              <w:t>头</w:t>
            </w:r>
          </w:p>
        </w:tc>
        <w:tc>
          <w:tcPr>
            <w:tcW w:w="1019" w:type="pct"/>
            <w:vAlign w:val="center"/>
          </w:tcPr>
          <w:p w14:paraId="3541FD04">
            <w:pPr>
              <w:pStyle w:val="13"/>
              <w:jc w:val="center"/>
              <w:rPr>
                <w:rFonts w:hint="eastAsia"/>
              </w:rPr>
            </w:pPr>
            <w:r>
              <w:rPr>
                <w:rFonts w:hint="eastAsia"/>
              </w:rPr>
              <w:t>4184</w:t>
            </w:r>
          </w:p>
        </w:tc>
        <w:tc>
          <w:tcPr>
            <w:tcW w:w="1019" w:type="pct"/>
            <w:vAlign w:val="center"/>
          </w:tcPr>
          <w:p w14:paraId="08763097">
            <w:pPr>
              <w:pStyle w:val="13"/>
              <w:jc w:val="center"/>
              <w:rPr>
                <w:rFonts w:hint="eastAsia"/>
              </w:rPr>
            </w:pPr>
            <w:r>
              <w:rPr>
                <w:rFonts w:hint="eastAsia"/>
              </w:rPr>
              <w:t>0.9</w:t>
            </w:r>
          </w:p>
        </w:tc>
      </w:tr>
      <w:tr w14:paraId="0CC41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77CD22C5">
            <w:pPr>
              <w:pStyle w:val="13"/>
              <w:ind w:firstLine="420" w:firstLineChars="200"/>
              <w:jc w:val="left"/>
              <w:rPr>
                <w:rFonts w:hint="eastAsia"/>
              </w:rPr>
            </w:pPr>
            <w:r>
              <w:rPr>
                <w:rFonts w:hint="eastAsia"/>
              </w:rPr>
              <w:t>2、肉用牛</w:t>
            </w:r>
          </w:p>
        </w:tc>
        <w:tc>
          <w:tcPr>
            <w:tcW w:w="1019" w:type="pct"/>
            <w:vAlign w:val="center"/>
          </w:tcPr>
          <w:p w14:paraId="42946115">
            <w:pPr>
              <w:pStyle w:val="13"/>
              <w:jc w:val="center"/>
              <w:rPr>
                <w:rFonts w:hint="eastAsia"/>
              </w:rPr>
            </w:pPr>
            <w:r>
              <w:rPr>
                <w:rFonts w:hint="eastAsia"/>
              </w:rPr>
              <w:t>头</w:t>
            </w:r>
          </w:p>
        </w:tc>
        <w:tc>
          <w:tcPr>
            <w:tcW w:w="1019" w:type="pct"/>
            <w:vAlign w:val="center"/>
          </w:tcPr>
          <w:p w14:paraId="1CCA5F45">
            <w:pPr>
              <w:pStyle w:val="13"/>
              <w:jc w:val="center"/>
              <w:rPr>
                <w:rFonts w:hint="eastAsia"/>
              </w:rPr>
            </w:pPr>
            <w:r>
              <w:rPr>
                <w:rFonts w:hint="eastAsia"/>
              </w:rPr>
              <w:t>5345</w:t>
            </w:r>
          </w:p>
        </w:tc>
        <w:tc>
          <w:tcPr>
            <w:tcW w:w="1019" w:type="pct"/>
            <w:vAlign w:val="center"/>
          </w:tcPr>
          <w:p w14:paraId="2265B98E">
            <w:pPr>
              <w:pStyle w:val="13"/>
              <w:jc w:val="center"/>
              <w:rPr>
                <w:rFonts w:hint="eastAsia"/>
              </w:rPr>
            </w:pPr>
            <w:r>
              <w:rPr>
                <w:rFonts w:hint="eastAsia"/>
              </w:rPr>
              <w:t>139.0</w:t>
            </w:r>
          </w:p>
        </w:tc>
      </w:tr>
      <w:tr w14:paraId="1E3EA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7DB96FEE">
            <w:pPr>
              <w:pStyle w:val="13"/>
              <w:ind w:firstLine="840" w:firstLineChars="400"/>
              <w:jc w:val="left"/>
              <w:rPr>
                <w:rFonts w:hint="eastAsia"/>
              </w:rPr>
            </w:pPr>
            <w:r>
              <w:rPr>
                <w:rFonts w:hint="eastAsia"/>
              </w:rPr>
              <w:t>其中：能繁殖母牛</w:t>
            </w:r>
          </w:p>
        </w:tc>
        <w:tc>
          <w:tcPr>
            <w:tcW w:w="1019" w:type="pct"/>
            <w:vAlign w:val="center"/>
          </w:tcPr>
          <w:p w14:paraId="40BEB28E">
            <w:pPr>
              <w:pStyle w:val="13"/>
              <w:jc w:val="center"/>
              <w:rPr>
                <w:rFonts w:hint="eastAsia"/>
              </w:rPr>
            </w:pPr>
            <w:r>
              <w:rPr>
                <w:rFonts w:hint="eastAsia"/>
              </w:rPr>
              <w:t>头</w:t>
            </w:r>
          </w:p>
        </w:tc>
        <w:tc>
          <w:tcPr>
            <w:tcW w:w="1019" w:type="pct"/>
            <w:vAlign w:val="center"/>
          </w:tcPr>
          <w:p w14:paraId="0E3FDF4F">
            <w:pPr>
              <w:pStyle w:val="13"/>
              <w:jc w:val="center"/>
              <w:rPr>
                <w:rFonts w:hint="eastAsia"/>
              </w:rPr>
            </w:pPr>
            <w:r>
              <w:rPr>
                <w:rFonts w:hint="eastAsia"/>
              </w:rPr>
              <w:t>750</w:t>
            </w:r>
          </w:p>
        </w:tc>
        <w:tc>
          <w:tcPr>
            <w:tcW w:w="1019" w:type="pct"/>
            <w:vAlign w:val="center"/>
          </w:tcPr>
          <w:p w14:paraId="02D850BF">
            <w:pPr>
              <w:pStyle w:val="13"/>
              <w:jc w:val="center"/>
              <w:rPr>
                <w:rFonts w:hint="eastAsia"/>
              </w:rPr>
            </w:pPr>
            <w:r>
              <w:rPr>
                <w:rFonts w:hint="eastAsia"/>
              </w:rPr>
              <w:t>-0.8</w:t>
            </w:r>
          </w:p>
        </w:tc>
      </w:tr>
      <w:tr w14:paraId="539429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3FF8FAE8">
            <w:pPr>
              <w:pStyle w:val="13"/>
              <w:ind w:firstLine="1470" w:firstLineChars="700"/>
              <w:jc w:val="left"/>
              <w:rPr>
                <w:rFonts w:hint="eastAsia"/>
              </w:rPr>
            </w:pPr>
            <w:r>
              <w:rPr>
                <w:rFonts w:hint="eastAsia"/>
              </w:rPr>
              <w:t>当年生仔畜</w:t>
            </w:r>
          </w:p>
        </w:tc>
        <w:tc>
          <w:tcPr>
            <w:tcW w:w="1019" w:type="pct"/>
            <w:vAlign w:val="center"/>
          </w:tcPr>
          <w:p w14:paraId="13E92560">
            <w:pPr>
              <w:pStyle w:val="13"/>
              <w:jc w:val="center"/>
              <w:rPr>
                <w:rFonts w:hint="eastAsia"/>
              </w:rPr>
            </w:pPr>
            <w:r>
              <w:rPr>
                <w:rFonts w:hint="eastAsia"/>
              </w:rPr>
              <w:t>头</w:t>
            </w:r>
          </w:p>
        </w:tc>
        <w:tc>
          <w:tcPr>
            <w:tcW w:w="1019" w:type="pct"/>
            <w:vAlign w:val="center"/>
          </w:tcPr>
          <w:p w14:paraId="00E5AAC1">
            <w:pPr>
              <w:pStyle w:val="13"/>
              <w:jc w:val="center"/>
              <w:rPr>
                <w:rFonts w:hint="eastAsia"/>
              </w:rPr>
            </w:pPr>
            <w:r>
              <w:rPr>
                <w:rFonts w:hint="eastAsia"/>
              </w:rPr>
              <w:t>400</w:t>
            </w:r>
          </w:p>
        </w:tc>
        <w:tc>
          <w:tcPr>
            <w:tcW w:w="1019" w:type="pct"/>
            <w:vAlign w:val="center"/>
          </w:tcPr>
          <w:p w14:paraId="7C9B86F1">
            <w:pPr>
              <w:pStyle w:val="13"/>
              <w:jc w:val="center"/>
              <w:rPr>
                <w:rFonts w:hint="eastAsia"/>
              </w:rPr>
            </w:pPr>
            <w:r>
              <w:rPr>
                <w:rFonts w:hint="eastAsia"/>
              </w:rPr>
              <w:t>-7.6</w:t>
            </w:r>
          </w:p>
        </w:tc>
      </w:tr>
      <w:tr w14:paraId="430E8F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6ECB3CBC">
            <w:pPr>
              <w:pStyle w:val="13"/>
              <w:jc w:val="left"/>
              <w:rPr>
                <w:rFonts w:hint="eastAsia"/>
              </w:rPr>
            </w:pPr>
            <w:r>
              <w:rPr>
                <w:rFonts w:hint="eastAsia"/>
              </w:rPr>
              <w:t>二、猪年末存栏数</w:t>
            </w:r>
          </w:p>
        </w:tc>
        <w:tc>
          <w:tcPr>
            <w:tcW w:w="1019" w:type="pct"/>
            <w:vAlign w:val="center"/>
          </w:tcPr>
          <w:p w14:paraId="05E534C2">
            <w:pPr>
              <w:pStyle w:val="13"/>
              <w:jc w:val="center"/>
              <w:rPr>
                <w:rFonts w:hint="eastAsia"/>
              </w:rPr>
            </w:pPr>
            <w:r>
              <w:rPr>
                <w:rFonts w:hint="eastAsia"/>
              </w:rPr>
              <w:t>头</w:t>
            </w:r>
          </w:p>
        </w:tc>
        <w:tc>
          <w:tcPr>
            <w:tcW w:w="1019" w:type="pct"/>
            <w:vAlign w:val="center"/>
          </w:tcPr>
          <w:p w14:paraId="624D1F74">
            <w:pPr>
              <w:pStyle w:val="13"/>
              <w:jc w:val="center"/>
              <w:rPr>
                <w:rFonts w:hint="eastAsia"/>
              </w:rPr>
            </w:pPr>
            <w:r>
              <w:rPr>
                <w:rFonts w:hint="eastAsia"/>
              </w:rPr>
              <w:t>223448</w:t>
            </w:r>
          </w:p>
        </w:tc>
        <w:tc>
          <w:tcPr>
            <w:tcW w:w="1019" w:type="pct"/>
            <w:vAlign w:val="center"/>
          </w:tcPr>
          <w:p w14:paraId="0BEEA3E4">
            <w:pPr>
              <w:pStyle w:val="13"/>
              <w:jc w:val="center"/>
              <w:rPr>
                <w:rFonts w:hint="eastAsia"/>
              </w:rPr>
            </w:pPr>
            <w:r>
              <w:rPr>
                <w:rFonts w:hint="eastAsia"/>
              </w:rPr>
              <w:t>-10.4</w:t>
            </w:r>
          </w:p>
        </w:tc>
      </w:tr>
      <w:tr w14:paraId="450705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451E842D">
            <w:pPr>
              <w:pStyle w:val="13"/>
              <w:ind w:firstLine="840" w:firstLineChars="400"/>
              <w:jc w:val="left"/>
              <w:rPr>
                <w:rFonts w:hint="eastAsia"/>
              </w:rPr>
            </w:pPr>
            <w:r>
              <w:rPr>
                <w:rFonts w:hint="eastAsia"/>
              </w:rPr>
              <w:t>其中：能繁殖母猪</w:t>
            </w:r>
          </w:p>
        </w:tc>
        <w:tc>
          <w:tcPr>
            <w:tcW w:w="1019" w:type="pct"/>
            <w:vAlign w:val="center"/>
          </w:tcPr>
          <w:p w14:paraId="4B756699">
            <w:pPr>
              <w:pStyle w:val="13"/>
              <w:jc w:val="center"/>
              <w:rPr>
                <w:rFonts w:hint="eastAsia"/>
              </w:rPr>
            </w:pPr>
            <w:r>
              <w:rPr>
                <w:rFonts w:hint="eastAsia"/>
              </w:rPr>
              <w:t>头</w:t>
            </w:r>
          </w:p>
        </w:tc>
        <w:tc>
          <w:tcPr>
            <w:tcW w:w="1019" w:type="pct"/>
            <w:vAlign w:val="center"/>
          </w:tcPr>
          <w:p w14:paraId="3D20F5BB">
            <w:pPr>
              <w:pStyle w:val="13"/>
              <w:jc w:val="center"/>
              <w:rPr>
                <w:rFonts w:hint="eastAsia"/>
              </w:rPr>
            </w:pPr>
            <w:r>
              <w:rPr>
                <w:rFonts w:hint="eastAsia"/>
              </w:rPr>
              <w:t>30788</w:t>
            </w:r>
          </w:p>
        </w:tc>
        <w:tc>
          <w:tcPr>
            <w:tcW w:w="1019" w:type="pct"/>
            <w:vAlign w:val="center"/>
          </w:tcPr>
          <w:p w14:paraId="4C9FDEC5">
            <w:pPr>
              <w:pStyle w:val="13"/>
              <w:jc w:val="center"/>
              <w:rPr>
                <w:rFonts w:hint="eastAsia"/>
              </w:rPr>
            </w:pPr>
            <w:r>
              <w:rPr>
                <w:rFonts w:hint="eastAsia"/>
              </w:rPr>
              <w:t>2.1</w:t>
            </w:r>
          </w:p>
        </w:tc>
      </w:tr>
      <w:tr w14:paraId="120DB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2654EEAF">
            <w:pPr>
              <w:pStyle w:val="13"/>
              <w:jc w:val="left"/>
              <w:rPr>
                <w:rFonts w:hint="eastAsia"/>
              </w:rPr>
            </w:pPr>
            <w:r>
              <w:rPr>
                <w:rFonts w:hint="eastAsia"/>
              </w:rPr>
              <w:t>三、家禽年末存栏</w:t>
            </w:r>
          </w:p>
        </w:tc>
        <w:tc>
          <w:tcPr>
            <w:tcW w:w="1019" w:type="pct"/>
            <w:vAlign w:val="center"/>
          </w:tcPr>
          <w:p w14:paraId="5DEDBDAA">
            <w:pPr>
              <w:pStyle w:val="13"/>
              <w:jc w:val="center"/>
              <w:rPr>
                <w:rFonts w:hint="eastAsia"/>
              </w:rPr>
            </w:pPr>
            <w:r>
              <w:rPr>
                <w:rFonts w:hint="eastAsia"/>
              </w:rPr>
              <w:t>只</w:t>
            </w:r>
          </w:p>
        </w:tc>
        <w:tc>
          <w:tcPr>
            <w:tcW w:w="1019" w:type="pct"/>
            <w:vAlign w:val="center"/>
          </w:tcPr>
          <w:p w14:paraId="17E45F42">
            <w:pPr>
              <w:pStyle w:val="13"/>
              <w:jc w:val="center"/>
              <w:rPr>
                <w:rFonts w:hint="eastAsia"/>
              </w:rPr>
            </w:pPr>
            <w:r>
              <w:rPr>
                <w:rFonts w:hint="eastAsia"/>
              </w:rPr>
              <w:t>126592</w:t>
            </w:r>
          </w:p>
        </w:tc>
        <w:tc>
          <w:tcPr>
            <w:tcW w:w="1019" w:type="pct"/>
            <w:vAlign w:val="center"/>
          </w:tcPr>
          <w:p w14:paraId="1A6AC48A">
            <w:pPr>
              <w:pStyle w:val="13"/>
              <w:jc w:val="center"/>
              <w:rPr>
                <w:rFonts w:hint="eastAsia"/>
              </w:rPr>
            </w:pPr>
            <w:r>
              <w:rPr>
                <w:rFonts w:hint="eastAsia"/>
              </w:rPr>
              <w:t>2.2</w:t>
            </w:r>
          </w:p>
        </w:tc>
      </w:tr>
      <w:tr w14:paraId="2CEB2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123DAD79">
            <w:pPr>
              <w:pStyle w:val="13"/>
              <w:ind w:firstLine="840" w:firstLineChars="400"/>
              <w:jc w:val="left"/>
              <w:rPr>
                <w:rFonts w:hint="eastAsia"/>
              </w:rPr>
            </w:pPr>
            <w:r>
              <w:rPr>
                <w:rFonts w:hint="eastAsia"/>
              </w:rPr>
              <w:t>其中：1、鸡</w:t>
            </w:r>
          </w:p>
        </w:tc>
        <w:tc>
          <w:tcPr>
            <w:tcW w:w="1019" w:type="pct"/>
            <w:vAlign w:val="center"/>
          </w:tcPr>
          <w:p w14:paraId="2E501FAC">
            <w:pPr>
              <w:pStyle w:val="13"/>
              <w:jc w:val="center"/>
              <w:rPr>
                <w:rFonts w:hint="eastAsia"/>
              </w:rPr>
            </w:pPr>
            <w:r>
              <w:rPr>
                <w:rFonts w:hint="eastAsia"/>
              </w:rPr>
              <w:t>只</w:t>
            </w:r>
          </w:p>
        </w:tc>
        <w:tc>
          <w:tcPr>
            <w:tcW w:w="1019" w:type="pct"/>
            <w:vAlign w:val="center"/>
          </w:tcPr>
          <w:p w14:paraId="156E9B66">
            <w:pPr>
              <w:pStyle w:val="13"/>
              <w:jc w:val="center"/>
              <w:rPr>
                <w:rFonts w:hint="eastAsia"/>
              </w:rPr>
            </w:pPr>
            <w:r>
              <w:rPr>
                <w:rFonts w:hint="eastAsia"/>
              </w:rPr>
              <w:t>954218</w:t>
            </w:r>
          </w:p>
        </w:tc>
        <w:tc>
          <w:tcPr>
            <w:tcW w:w="1019" w:type="pct"/>
            <w:vAlign w:val="center"/>
          </w:tcPr>
          <w:p w14:paraId="131D456E">
            <w:pPr>
              <w:pStyle w:val="13"/>
              <w:jc w:val="center"/>
              <w:rPr>
                <w:rFonts w:hint="eastAsia"/>
              </w:rPr>
            </w:pPr>
            <w:r>
              <w:rPr>
                <w:rFonts w:hint="eastAsia"/>
              </w:rPr>
              <w:t>3.6</w:t>
            </w:r>
          </w:p>
        </w:tc>
      </w:tr>
      <w:tr w14:paraId="09075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458C6643">
            <w:pPr>
              <w:pStyle w:val="13"/>
              <w:ind w:firstLine="1470" w:firstLineChars="700"/>
              <w:jc w:val="left"/>
              <w:rPr>
                <w:rFonts w:hint="eastAsia"/>
              </w:rPr>
            </w:pPr>
            <w:r>
              <w:rPr>
                <w:rFonts w:hint="eastAsia"/>
              </w:rPr>
              <w:t>2、鸭</w:t>
            </w:r>
          </w:p>
        </w:tc>
        <w:tc>
          <w:tcPr>
            <w:tcW w:w="1019" w:type="pct"/>
            <w:vAlign w:val="center"/>
          </w:tcPr>
          <w:p w14:paraId="40E7C78E">
            <w:pPr>
              <w:pStyle w:val="13"/>
              <w:jc w:val="center"/>
              <w:rPr>
                <w:rFonts w:hint="eastAsia"/>
              </w:rPr>
            </w:pPr>
            <w:r>
              <w:rPr>
                <w:rFonts w:hint="eastAsia"/>
              </w:rPr>
              <w:t>只</w:t>
            </w:r>
          </w:p>
        </w:tc>
        <w:tc>
          <w:tcPr>
            <w:tcW w:w="1019" w:type="pct"/>
            <w:vAlign w:val="center"/>
          </w:tcPr>
          <w:p w14:paraId="45B04DC3">
            <w:pPr>
              <w:pStyle w:val="13"/>
              <w:jc w:val="center"/>
              <w:rPr>
                <w:rFonts w:hint="eastAsia"/>
              </w:rPr>
            </w:pPr>
            <w:r>
              <w:rPr>
                <w:rFonts w:hint="eastAsia"/>
              </w:rPr>
              <w:t>307878</w:t>
            </w:r>
          </w:p>
        </w:tc>
        <w:tc>
          <w:tcPr>
            <w:tcW w:w="1019" w:type="pct"/>
            <w:vAlign w:val="center"/>
          </w:tcPr>
          <w:p w14:paraId="0BE3E39F">
            <w:pPr>
              <w:pStyle w:val="13"/>
              <w:jc w:val="center"/>
              <w:rPr>
                <w:rFonts w:hint="eastAsia"/>
              </w:rPr>
            </w:pPr>
            <w:r>
              <w:rPr>
                <w:rFonts w:hint="eastAsia"/>
              </w:rPr>
              <w:t>6.5</w:t>
            </w:r>
          </w:p>
        </w:tc>
      </w:tr>
      <w:tr w14:paraId="1E79B6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27ABC382">
            <w:pPr>
              <w:pStyle w:val="13"/>
              <w:ind w:firstLine="1470" w:firstLineChars="700"/>
              <w:jc w:val="left"/>
              <w:rPr>
                <w:rFonts w:hint="eastAsia"/>
              </w:rPr>
            </w:pPr>
            <w:r>
              <w:rPr>
                <w:rFonts w:hint="eastAsia"/>
              </w:rPr>
              <w:t>3、鹅</w:t>
            </w:r>
          </w:p>
        </w:tc>
        <w:tc>
          <w:tcPr>
            <w:tcW w:w="1019" w:type="pct"/>
            <w:vAlign w:val="center"/>
          </w:tcPr>
          <w:p w14:paraId="603AFC1B">
            <w:pPr>
              <w:pStyle w:val="13"/>
              <w:jc w:val="center"/>
              <w:rPr>
                <w:rFonts w:hint="eastAsia"/>
              </w:rPr>
            </w:pPr>
            <w:r>
              <w:rPr>
                <w:rFonts w:hint="eastAsia"/>
              </w:rPr>
              <w:t>只</w:t>
            </w:r>
          </w:p>
        </w:tc>
        <w:tc>
          <w:tcPr>
            <w:tcW w:w="1019" w:type="pct"/>
            <w:vAlign w:val="center"/>
          </w:tcPr>
          <w:p w14:paraId="2919EB72">
            <w:pPr>
              <w:pStyle w:val="13"/>
              <w:jc w:val="center"/>
              <w:rPr>
                <w:rFonts w:hint="eastAsia"/>
              </w:rPr>
            </w:pPr>
            <w:r>
              <w:rPr>
                <w:rFonts w:hint="eastAsia"/>
              </w:rPr>
              <w:t>3196</w:t>
            </w:r>
          </w:p>
        </w:tc>
        <w:tc>
          <w:tcPr>
            <w:tcW w:w="1019" w:type="pct"/>
            <w:vAlign w:val="center"/>
          </w:tcPr>
          <w:p w14:paraId="13310621">
            <w:pPr>
              <w:pStyle w:val="13"/>
              <w:jc w:val="center"/>
              <w:rPr>
                <w:rFonts w:hint="eastAsia"/>
              </w:rPr>
            </w:pPr>
            <w:r>
              <w:rPr>
                <w:rFonts w:hint="eastAsia"/>
              </w:rPr>
              <w:t>6.5</w:t>
            </w:r>
          </w:p>
        </w:tc>
      </w:tr>
      <w:tr w14:paraId="57A98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7FA66CBA">
            <w:pPr>
              <w:pStyle w:val="13"/>
              <w:jc w:val="left"/>
              <w:rPr>
                <w:rFonts w:hint="eastAsia"/>
              </w:rPr>
            </w:pPr>
            <w:r>
              <w:rPr>
                <w:rFonts w:hint="eastAsia"/>
              </w:rPr>
              <w:t>四、当年出栏肉猪</w:t>
            </w:r>
          </w:p>
        </w:tc>
        <w:tc>
          <w:tcPr>
            <w:tcW w:w="1019" w:type="pct"/>
            <w:vAlign w:val="center"/>
          </w:tcPr>
          <w:p w14:paraId="70FB7DE9">
            <w:pPr>
              <w:pStyle w:val="13"/>
              <w:jc w:val="center"/>
              <w:rPr>
                <w:rFonts w:hint="eastAsia"/>
              </w:rPr>
            </w:pPr>
            <w:r>
              <w:rPr>
                <w:rFonts w:hint="eastAsia"/>
              </w:rPr>
              <w:t>头</w:t>
            </w:r>
          </w:p>
        </w:tc>
        <w:tc>
          <w:tcPr>
            <w:tcW w:w="1019" w:type="pct"/>
            <w:vAlign w:val="center"/>
          </w:tcPr>
          <w:p w14:paraId="0291EC8B">
            <w:pPr>
              <w:pStyle w:val="13"/>
              <w:jc w:val="center"/>
              <w:rPr>
                <w:rFonts w:hint="eastAsia"/>
              </w:rPr>
            </w:pPr>
            <w:r>
              <w:rPr>
                <w:rFonts w:hint="eastAsia"/>
              </w:rPr>
              <w:t>363579</w:t>
            </w:r>
          </w:p>
        </w:tc>
        <w:tc>
          <w:tcPr>
            <w:tcW w:w="1019" w:type="pct"/>
            <w:vAlign w:val="center"/>
          </w:tcPr>
          <w:p w14:paraId="177EEC4B">
            <w:pPr>
              <w:pStyle w:val="13"/>
              <w:jc w:val="center"/>
              <w:rPr>
                <w:rFonts w:hint="eastAsia"/>
              </w:rPr>
            </w:pPr>
            <w:r>
              <w:rPr>
                <w:rFonts w:hint="eastAsia"/>
              </w:rPr>
              <w:t>4.0</w:t>
            </w:r>
          </w:p>
        </w:tc>
      </w:tr>
      <w:tr w14:paraId="0C05B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6981C168">
            <w:pPr>
              <w:pStyle w:val="13"/>
              <w:ind w:firstLine="420" w:firstLineChars="200"/>
              <w:jc w:val="left"/>
              <w:rPr>
                <w:rFonts w:hint="eastAsia"/>
              </w:rPr>
            </w:pPr>
            <w:r>
              <w:rPr>
                <w:rFonts w:hint="eastAsia"/>
              </w:rPr>
              <w:t>肉猪产量</w:t>
            </w:r>
          </w:p>
        </w:tc>
        <w:tc>
          <w:tcPr>
            <w:tcW w:w="1019" w:type="pct"/>
            <w:vAlign w:val="center"/>
          </w:tcPr>
          <w:p w14:paraId="06DAE0F4">
            <w:pPr>
              <w:pStyle w:val="13"/>
              <w:jc w:val="center"/>
              <w:rPr>
                <w:rFonts w:hint="eastAsia"/>
              </w:rPr>
            </w:pPr>
            <w:r>
              <w:rPr>
                <w:rFonts w:hint="eastAsia"/>
              </w:rPr>
              <w:t>吨</w:t>
            </w:r>
          </w:p>
        </w:tc>
        <w:tc>
          <w:tcPr>
            <w:tcW w:w="1019" w:type="pct"/>
            <w:vAlign w:val="center"/>
          </w:tcPr>
          <w:p w14:paraId="0757733D">
            <w:pPr>
              <w:pStyle w:val="13"/>
              <w:jc w:val="center"/>
              <w:rPr>
                <w:rFonts w:hint="eastAsia"/>
              </w:rPr>
            </w:pPr>
            <w:r>
              <w:rPr>
                <w:rFonts w:hint="eastAsia"/>
              </w:rPr>
              <w:t>35513</w:t>
            </w:r>
          </w:p>
        </w:tc>
        <w:tc>
          <w:tcPr>
            <w:tcW w:w="1019" w:type="pct"/>
            <w:vAlign w:val="center"/>
          </w:tcPr>
          <w:p w14:paraId="3FD7594F">
            <w:pPr>
              <w:pStyle w:val="13"/>
              <w:jc w:val="center"/>
              <w:rPr>
                <w:rFonts w:hint="eastAsia"/>
              </w:rPr>
            </w:pPr>
            <w:r>
              <w:rPr>
                <w:rFonts w:hint="eastAsia"/>
              </w:rPr>
              <w:t>5.4</w:t>
            </w:r>
          </w:p>
        </w:tc>
      </w:tr>
      <w:tr w14:paraId="54D7DB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1512AAD9">
            <w:pPr>
              <w:pStyle w:val="13"/>
              <w:jc w:val="left"/>
              <w:rPr>
                <w:rFonts w:hint="eastAsia"/>
              </w:rPr>
            </w:pPr>
            <w:r>
              <w:rPr>
                <w:rFonts w:hint="eastAsia"/>
              </w:rPr>
              <w:t>五、当年出售、自宰肉用牛</w:t>
            </w:r>
          </w:p>
        </w:tc>
        <w:tc>
          <w:tcPr>
            <w:tcW w:w="1019" w:type="pct"/>
            <w:vAlign w:val="center"/>
          </w:tcPr>
          <w:p w14:paraId="1DA62D1C">
            <w:pPr>
              <w:pStyle w:val="13"/>
              <w:jc w:val="center"/>
              <w:rPr>
                <w:rFonts w:hint="eastAsia"/>
              </w:rPr>
            </w:pPr>
            <w:r>
              <w:rPr>
                <w:rFonts w:hint="eastAsia"/>
              </w:rPr>
              <w:t>头</w:t>
            </w:r>
          </w:p>
        </w:tc>
        <w:tc>
          <w:tcPr>
            <w:tcW w:w="1019" w:type="pct"/>
            <w:vAlign w:val="center"/>
          </w:tcPr>
          <w:p w14:paraId="72B1F25E">
            <w:pPr>
              <w:pStyle w:val="13"/>
              <w:jc w:val="center"/>
              <w:rPr>
                <w:rFonts w:hint="eastAsia"/>
              </w:rPr>
            </w:pPr>
            <w:r>
              <w:rPr>
                <w:rFonts w:hint="eastAsia"/>
              </w:rPr>
              <w:t>4053</w:t>
            </w:r>
          </w:p>
        </w:tc>
        <w:tc>
          <w:tcPr>
            <w:tcW w:w="1019" w:type="pct"/>
            <w:vAlign w:val="center"/>
          </w:tcPr>
          <w:p w14:paraId="32F201F9">
            <w:pPr>
              <w:pStyle w:val="13"/>
              <w:jc w:val="center"/>
              <w:rPr>
                <w:rFonts w:hint="eastAsia"/>
              </w:rPr>
            </w:pPr>
            <w:r>
              <w:rPr>
                <w:rFonts w:hint="eastAsia"/>
              </w:rPr>
              <w:t>4.2</w:t>
            </w:r>
          </w:p>
        </w:tc>
      </w:tr>
      <w:tr w14:paraId="7F399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68A34308">
            <w:pPr>
              <w:pStyle w:val="13"/>
              <w:ind w:firstLine="420" w:firstLineChars="200"/>
              <w:jc w:val="left"/>
              <w:rPr>
                <w:rFonts w:hint="eastAsia"/>
              </w:rPr>
            </w:pPr>
            <w:r>
              <w:rPr>
                <w:rFonts w:hint="eastAsia"/>
              </w:rPr>
              <w:t>牛肉产量</w:t>
            </w:r>
          </w:p>
        </w:tc>
        <w:tc>
          <w:tcPr>
            <w:tcW w:w="1019" w:type="pct"/>
            <w:vAlign w:val="center"/>
          </w:tcPr>
          <w:p w14:paraId="775C7350">
            <w:pPr>
              <w:pStyle w:val="13"/>
              <w:jc w:val="center"/>
              <w:rPr>
                <w:rFonts w:hint="eastAsia"/>
              </w:rPr>
            </w:pPr>
            <w:r>
              <w:rPr>
                <w:rFonts w:hint="eastAsia"/>
              </w:rPr>
              <w:t>吨</w:t>
            </w:r>
          </w:p>
        </w:tc>
        <w:tc>
          <w:tcPr>
            <w:tcW w:w="1019" w:type="pct"/>
            <w:vAlign w:val="center"/>
          </w:tcPr>
          <w:p w14:paraId="2F97D7E1">
            <w:pPr>
              <w:pStyle w:val="13"/>
              <w:jc w:val="center"/>
              <w:rPr>
                <w:rFonts w:hint="eastAsia"/>
              </w:rPr>
            </w:pPr>
            <w:r>
              <w:rPr>
                <w:rFonts w:hint="eastAsia"/>
              </w:rPr>
              <w:t>474</w:t>
            </w:r>
          </w:p>
        </w:tc>
        <w:tc>
          <w:tcPr>
            <w:tcW w:w="1019" w:type="pct"/>
            <w:vAlign w:val="center"/>
          </w:tcPr>
          <w:p w14:paraId="01B9AEF4">
            <w:pPr>
              <w:pStyle w:val="13"/>
              <w:jc w:val="center"/>
              <w:rPr>
                <w:rFonts w:hint="eastAsia"/>
              </w:rPr>
            </w:pPr>
            <w:r>
              <w:rPr>
                <w:rFonts w:hint="eastAsia"/>
              </w:rPr>
              <w:t>4.2</w:t>
            </w:r>
          </w:p>
        </w:tc>
      </w:tr>
      <w:tr w14:paraId="0E56F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36A1DC9C">
            <w:pPr>
              <w:pStyle w:val="13"/>
              <w:jc w:val="left"/>
              <w:rPr>
                <w:rFonts w:hint="eastAsia"/>
              </w:rPr>
            </w:pPr>
            <w:r>
              <w:rPr>
                <w:rFonts w:hint="eastAsia"/>
              </w:rPr>
              <w:t>六、当年出售、自宰家禽只数</w:t>
            </w:r>
          </w:p>
        </w:tc>
        <w:tc>
          <w:tcPr>
            <w:tcW w:w="1019" w:type="pct"/>
            <w:vAlign w:val="center"/>
          </w:tcPr>
          <w:p w14:paraId="7C8580AF">
            <w:pPr>
              <w:pStyle w:val="13"/>
              <w:jc w:val="center"/>
              <w:rPr>
                <w:rFonts w:hint="eastAsia"/>
              </w:rPr>
            </w:pPr>
            <w:r>
              <w:rPr>
                <w:rFonts w:hint="eastAsia"/>
              </w:rPr>
              <w:t>只</w:t>
            </w:r>
          </w:p>
        </w:tc>
        <w:tc>
          <w:tcPr>
            <w:tcW w:w="1019" w:type="pct"/>
            <w:vAlign w:val="center"/>
          </w:tcPr>
          <w:p w14:paraId="1DE3581C">
            <w:pPr>
              <w:pStyle w:val="13"/>
              <w:jc w:val="center"/>
              <w:rPr>
                <w:rFonts w:hint="eastAsia"/>
              </w:rPr>
            </w:pPr>
            <w:r>
              <w:rPr>
                <w:rFonts w:hint="eastAsia"/>
              </w:rPr>
              <w:t>5521678</w:t>
            </w:r>
          </w:p>
        </w:tc>
        <w:tc>
          <w:tcPr>
            <w:tcW w:w="1019" w:type="pct"/>
            <w:vAlign w:val="center"/>
          </w:tcPr>
          <w:p w14:paraId="50F1898D">
            <w:pPr>
              <w:pStyle w:val="13"/>
              <w:jc w:val="center"/>
              <w:rPr>
                <w:rFonts w:hint="eastAsia"/>
              </w:rPr>
            </w:pPr>
            <w:r>
              <w:rPr>
                <w:rFonts w:hint="eastAsia"/>
              </w:rPr>
              <w:t>1.9</w:t>
            </w:r>
          </w:p>
        </w:tc>
      </w:tr>
      <w:tr w14:paraId="23528D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22D85E80">
            <w:pPr>
              <w:pStyle w:val="13"/>
              <w:ind w:firstLine="840" w:firstLineChars="400"/>
              <w:jc w:val="left"/>
              <w:rPr>
                <w:rFonts w:hint="eastAsia"/>
              </w:rPr>
            </w:pPr>
            <w:r>
              <w:rPr>
                <w:rFonts w:hint="eastAsia"/>
              </w:rPr>
              <w:t>其中：1、鸡</w:t>
            </w:r>
          </w:p>
        </w:tc>
        <w:tc>
          <w:tcPr>
            <w:tcW w:w="1019" w:type="pct"/>
            <w:vAlign w:val="center"/>
          </w:tcPr>
          <w:p w14:paraId="1EEF85D0">
            <w:pPr>
              <w:pStyle w:val="13"/>
              <w:jc w:val="center"/>
              <w:rPr>
                <w:rFonts w:hint="eastAsia"/>
              </w:rPr>
            </w:pPr>
            <w:r>
              <w:rPr>
                <w:rFonts w:hint="eastAsia"/>
              </w:rPr>
              <w:t>只</w:t>
            </w:r>
          </w:p>
        </w:tc>
        <w:tc>
          <w:tcPr>
            <w:tcW w:w="1019" w:type="pct"/>
            <w:vAlign w:val="center"/>
          </w:tcPr>
          <w:p w14:paraId="69C95D25">
            <w:pPr>
              <w:pStyle w:val="13"/>
              <w:jc w:val="center"/>
              <w:rPr>
                <w:rFonts w:hint="eastAsia"/>
              </w:rPr>
            </w:pPr>
            <w:r>
              <w:rPr>
                <w:rFonts w:hint="eastAsia"/>
              </w:rPr>
              <w:t>4006813</w:t>
            </w:r>
          </w:p>
        </w:tc>
        <w:tc>
          <w:tcPr>
            <w:tcW w:w="1019" w:type="pct"/>
            <w:vAlign w:val="center"/>
          </w:tcPr>
          <w:p w14:paraId="64BA3CF4">
            <w:pPr>
              <w:pStyle w:val="13"/>
              <w:jc w:val="center"/>
              <w:rPr>
                <w:rFonts w:hint="eastAsia"/>
              </w:rPr>
            </w:pPr>
            <w:r>
              <w:rPr>
                <w:rFonts w:hint="eastAsia"/>
              </w:rPr>
              <w:t>1.4</w:t>
            </w:r>
          </w:p>
        </w:tc>
      </w:tr>
      <w:tr w14:paraId="6E8B6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58A5A8E5">
            <w:pPr>
              <w:pStyle w:val="13"/>
              <w:ind w:firstLine="1470" w:firstLineChars="700"/>
              <w:jc w:val="left"/>
              <w:rPr>
                <w:rFonts w:hint="eastAsia"/>
              </w:rPr>
            </w:pPr>
            <w:r>
              <w:rPr>
                <w:rFonts w:hint="eastAsia"/>
              </w:rPr>
              <w:t>2、鸭</w:t>
            </w:r>
          </w:p>
        </w:tc>
        <w:tc>
          <w:tcPr>
            <w:tcW w:w="1019" w:type="pct"/>
            <w:vAlign w:val="center"/>
          </w:tcPr>
          <w:p w14:paraId="38D447A6">
            <w:pPr>
              <w:pStyle w:val="13"/>
              <w:jc w:val="center"/>
              <w:rPr>
                <w:rFonts w:hint="eastAsia"/>
              </w:rPr>
            </w:pPr>
            <w:r>
              <w:rPr>
                <w:rFonts w:hint="eastAsia"/>
              </w:rPr>
              <w:t>只</w:t>
            </w:r>
          </w:p>
        </w:tc>
        <w:tc>
          <w:tcPr>
            <w:tcW w:w="1019" w:type="pct"/>
            <w:vAlign w:val="center"/>
          </w:tcPr>
          <w:p w14:paraId="4B9D99A0">
            <w:pPr>
              <w:pStyle w:val="13"/>
              <w:jc w:val="center"/>
              <w:rPr>
                <w:rFonts w:hint="eastAsia"/>
              </w:rPr>
            </w:pPr>
            <w:r>
              <w:rPr>
                <w:rFonts w:hint="eastAsia"/>
              </w:rPr>
              <w:t>1479963</w:t>
            </w:r>
          </w:p>
        </w:tc>
        <w:tc>
          <w:tcPr>
            <w:tcW w:w="1019" w:type="pct"/>
            <w:vAlign w:val="center"/>
          </w:tcPr>
          <w:p w14:paraId="47EAEEBE">
            <w:pPr>
              <w:pStyle w:val="13"/>
              <w:jc w:val="center"/>
              <w:rPr>
                <w:rFonts w:hint="eastAsia"/>
              </w:rPr>
            </w:pPr>
            <w:r>
              <w:rPr>
                <w:rFonts w:hint="eastAsia"/>
              </w:rPr>
              <w:t>3.0</w:t>
            </w:r>
          </w:p>
        </w:tc>
      </w:tr>
      <w:tr w14:paraId="01C8A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1DE9BD08">
            <w:pPr>
              <w:pStyle w:val="13"/>
              <w:ind w:firstLine="1470" w:firstLineChars="700"/>
              <w:jc w:val="left"/>
              <w:rPr>
                <w:rFonts w:hint="eastAsia"/>
              </w:rPr>
            </w:pPr>
            <w:r>
              <w:rPr>
                <w:rFonts w:hint="eastAsia"/>
              </w:rPr>
              <w:t>3、鹅</w:t>
            </w:r>
          </w:p>
        </w:tc>
        <w:tc>
          <w:tcPr>
            <w:tcW w:w="1019" w:type="pct"/>
            <w:vAlign w:val="center"/>
          </w:tcPr>
          <w:p w14:paraId="0EA44C2E">
            <w:pPr>
              <w:pStyle w:val="13"/>
              <w:jc w:val="center"/>
              <w:rPr>
                <w:rFonts w:hint="eastAsia"/>
              </w:rPr>
            </w:pPr>
            <w:r>
              <w:rPr>
                <w:rFonts w:hint="eastAsia"/>
              </w:rPr>
              <w:t>只</w:t>
            </w:r>
          </w:p>
        </w:tc>
        <w:tc>
          <w:tcPr>
            <w:tcW w:w="1019" w:type="pct"/>
            <w:vAlign w:val="center"/>
          </w:tcPr>
          <w:p w14:paraId="24B9863D">
            <w:pPr>
              <w:pStyle w:val="13"/>
              <w:jc w:val="center"/>
              <w:rPr>
                <w:rFonts w:hint="eastAsia"/>
              </w:rPr>
            </w:pPr>
            <w:r>
              <w:rPr>
                <w:rFonts w:hint="eastAsia"/>
              </w:rPr>
              <w:t>34902</w:t>
            </w:r>
          </w:p>
        </w:tc>
        <w:tc>
          <w:tcPr>
            <w:tcW w:w="1019" w:type="pct"/>
            <w:vAlign w:val="center"/>
          </w:tcPr>
          <w:p w14:paraId="4EB08986">
            <w:pPr>
              <w:pStyle w:val="13"/>
              <w:jc w:val="center"/>
              <w:rPr>
                <w:rFonts w:hint="eastAsia"/>
              </w:rPr>
            </w:pPr>
            <w:r>
              <w:rPr>
                <w:rFonts w:hint="eastAsia"/>
              </w:rPr>
              <w:t>4.4</w:t>
            </w:r>
          </w:p>
        </w:tc>
      </w:tr>
      <w:tr w14:paraId="589538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4FAFF8A9">
            <w:pPr>
              <w:pStyle w:val="13"/>
              <w:jc w:val="left"/>
              <w:rPr>
                <w:rFonts w:hint="eastAsia"/>
              </w:rPr>
            </w:pPr>
            <w:r>
              <w:rPr>
                <w:rFonts w:hint="eastAsia"/>
              </w:rPr>
              <w:t>七、禽蛋产量</w:t>
            </w:r>
          </w:p>
        </w:tc>
        <w:tc>
          <w:tcPr>
            <w:tcW w:w="1019" w:type="pct"/>
            <w:vAlign w:val="center"/>
          </w:tcPr>
          <w:p w14:paraId="4CE69847">
            <w:pPr>
              <w:pStyle w:val="13"/>
              <w:jc w:val="center"/>
              <w:rPr>
                <w:rFonts w:hint="eastAsia"/>
              </w:rPr>
            </w:pPr>
            <w:r>
              <w:rPr>
                <w:rFonts w:hint="eastAsia"/>
              </w:rPr>
              <w:t>吨</w:t>
            </w:r>
          </w:p>
        </w:tc>
        <w:tc>
          <w:tcPr>
            <w:tcW w:w="1019" w:type="pct"/>
            <w:vAlign w:val="center"/>
          </w:tcPr>
          <w:p w14:paraId="76149BDA">
            <w:pPr>
              <w:pStyle w:val="13"/>
              <w:jc w:val="center"/>
              <w:rPr>
                <w:rFonts w:hint="eastAsia"/>
              </w:rPr>
            </w:pPr>
            <w:r>
              <w:rPr>
                <w:rFonts w:hint="eastAsia"/>
              </w:rPr>
              <w:t>2700</w:t>
            </w:r>
          </w:p>
        </w:tc>
        <w:tc>
          <w:tcPr>
            <w:tcW w:w="1019" w:type="pct"/>
            <w:vAlign w:val="center"/>
          </w:tcPr>
          <w:p w14:paraId="6208D70F">
            <w:pPr>
              <w:pStyle w:val="13"/>
              <w:jc w:val="center"/>
              <w:rPr>
                <w:rFonts w:hint="eastAsia"/>
              </w:rPr>
            </w:pPr>
            <w:r>
              <w:rPr>
                <w:rFonts w:hint="eastAsia"/>
              </w:rPr>
              <w:t>3.1</w:t>
            </w:r>
          </w:p>
        </w:tc>
      </w:tr>
    </w:tbl>
    <w:p w14:paraId="231A06D1">
      <w:pPr>
        <w:pStyle w:val="4"/>
        <w:rPr>
          <w:rFonts w:hint="eastAsia"/>
        </w:rPr>
      </w:pPr>
      <w:r>
        <w:t>表</w:t>
      </w:r>
      <w:r>
        <w:rPr>
          <w:rFonts w:hint="eastAsia"/>
        </w:rPr>
        <w:t>34-14  林业生产情况</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71"/>
        <w:gridCol w:w="2030"/>
        <w:gridCol w:w="2030"/>
        <w:gridCol w:w="2031"/>
      </w:tblGrid>
      <w:tr w14:paraId="5074AF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38C1148B">
            <w:pPr>
              <w:pStyle w:val="13"/>
              <w:jc w:val="center"/>
              <w:rPr>
                <w:rFonts w:hint="eastAsia"/>
                <w:b/>
              </w:rPr>
            </w:pPr>
            <w:r>
              <w:rPr>
                <w:rFonts w:hint="eastAsia"/>
                <w:b/>
              </w:rPr>
              <w:t>指标名称</w:t>
            </w:r>
          </w:p>
        </w:tc>
        <w:tc>
          <w:tcPr>
            <w:tcW w:w="1019" w:type="pct"/>
            <w:vAlign w:val="center"/>
          </w:tcPr>
          <w:p w14:paraId="5A5BE918">
            <w:pPr>
              <w:pStyle w:val="13"/>
              <w:jc w:val="center"/>
              <w:rPr>
                <w:rFonts w:hint="eastAsia"/>
                <w:b/>
              </w:rPr>
            </w:pPr>
            <w:r>
              <w:rPr>
                <w:rFonts w:hint="eastAsia"/>
                <w:b/>
              </w:rPr>
              <w:t>计算单位</w:t>
            </w:r>
          </w:p>
        </w:tc>
        <w:tc>
          <w:tcPr>
            <w:tcW w:w="1019" w:type="pct"/>
            <w:vAlign w:val="center"/>
          </w:tcPr>
          <w:p w14:paraId="63BE5E81">
            <w:pPr>
              <w:pStyle w:val="13"/>
              <w:jc w:val="center"/>
              <w:rPr>
                <w:rFonts w:hint="eastAsia"/>
                <w:b/>
              </w:rPr>
            </w:pPr>
            <w:r>
              <w:rPr>
                <w:rFonts w:hint="eastAsia"/>
                <w:b/>
              </w:rPr>
              <w:t>2010年</w:t>
            </w:r>
          </w:p>
        </w:tc>
        <w:tc>
          <w:tcPr>
            <w:tcW w:w="1019" w:type="pct"/>
            <w:vAlign w:val="center"/>
          </w:tcPr>
          <w:p w14:paraId="38C2165A">
            <w:pPr>
              <w:pStyle w:val="13"/>
              <w:jc w:val="center"/>
              <w:rPr>
                <w:rFonts w:hint="eastAsia"/>
                <w:b/>
              </w:rPr>
            </w:pPr>
            <w:r>
              <w:rPr>
                <w:rFonts w:hint="eastAsia"/>
                <w:b/>
              </w:rPr>
              <w:t>比上年±％</w:t>
            </w:r>
          </w:p>
        </w:tc>
      </w:tr>
      <w:tr w14:paraId="55A50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6795C014">
            <w:pPr>
              <w:pStyle w:val="13"/>
              <w:jc w:val="left"/>
              <w:rPr>
                <w:rFonts w:hint="eastAsia"/>
              </w:rPr>
            </w:pPr>
            <w:r>
              <w:rPr>
                <w:rFonts w:hint="eastAsia"/>
              </w:rPr>
              <w:t>一、当年造林面积</w:t>
            </w:r>
          </w:p>
        </w:tc>
        <w:tc>
          <w:tcPr>
            <w:tcW w:w="1019" w:type="pct"/>
            <w:vAlign w:val="center"/>
          </w:tcPr>
          <w:p w14:paraId="4883A8F3">
            <w:pPr>
              <w:pStyle w:val="13"/>
              <w:jc w:val="center"/>
              <w:rPr>
                <w:rFonts w:hint="eastAsia"/>
              </w:rPr>
            </w:pPr>
            <w:r>
              <w:rPr>
                <w:rFonts w:hint="eastAsia"/>
              </w:rPr>
              <w:t>亩</w:t>
            </w:r>
          </w:p>
        </w:tc>
        <w:tc>
          <w:tcPr>
            <w:tcW w:w="1019" w:type="pct"/>
            <w:vAlign w:val="center"/>
          </w:tcPr>
          <w:p w14:paraId="0E8E0C1F">
            <w:pPr>
              <w:pStyle w:val="13"/>
              <w:jc w:val="center"/>
              <w:rPr>
                <w:rFonts w:hint="eastAsia"/>
              </w:rPr>
            </w:pPr>
            <w:r>
              <w:rPr>
                <w:rFonts w:hint="eastAsia"/>
              </w:rPr>
              <w:t>3615</w:t>
            </w:r>
          </w:p>
        </w:tc>
        <w:tc>
          <w:tcPr>
            <w:tcW w:w="1019" w:type="pct"/>
            <w:vAlign w:val="center"/>
          </w:tcPr>
          <w:p w14:paraId="37B9464A">
            <w:pPr>
              <w:pStyle w:val="13"/>
              <w:jc w:val="center"/>
              <w:rPr>
                <w:rFonts w:hint="eastAsia"/>
              </w:rPr>
            </w:pPr>
            <w:r>
              <w:rPr>
                <w:rFonts w:hint="eastAsia"/>
              </w:rPr>
              <w:t>-16.4</w:t>
            </w:r>
          </w:p>
        </w:tc>
      </w:tr>
      <w:tr w14:paraId="7A401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50688335">
            <w:pPr>
              <w:pStyle w:val="13"/>
              <w:ind w:firstLine="420" w:firstLineChars="200"/>
              <w:jc w:val="left"/>
              <w:rPr>
                <w:rFonts w:hint="eastAsia"/>
              </w:rPr>
            </w:pPr>
            <w:r>
              <w:rPr>
                <w:rFonts w:hint="eastAsia"/>
              </w:rPr>
              <w:t>其中：人工造林面积</w:t>
            </w:r>
          </w:p>
        </w:tc>
        <w:tc>
          <w:tcPr>
            <w:tcW w:w="1019" w:type="pct"/>
            <w:vAlign w:val="center"/>
          </w:tcPr>
          <w:p w14:paraId="428B67D1">
            <w:pPr>
              <w:pStyle w:val="13"/>
              <w:jc w:val="center"/>
              <w:rPr>
                <w:rFonts w:hint="eastAsia"/>
              </w:rPr>
            </w:pPr>
            <w:r>
              <w:rPr>
                <w:rFonts w:hint="eastAsia"/>
              </w:rPr>
              <w:t>亩</w:t>
            </w:r>
          </w:p>
        </w:tc>
        <w:tc>
          <w:tcPr>
            <w:tcW w:w="1019" w:type="pct"/>
            <w:vAlign w:val="center"/>
          </w:tcPr>
          <w:p w14:paraId="43F97C95">
            <w:pPr>
              <w:pStyle w:val="13"/>
              <w:jc w:val="center"/>
              <w:rPr>
                <w:rFonts w:hint="eastAsia"/>
              </w:rPr>
            </w:pPr>
            <w:r>
              <w:rPr>
                <w:rFonts w:hint="eastAsia"/>
              </w:rPr>
              <w:t>3615</w:t>
            </w:r>
          </w:p>
        </w:tc>
        <w:tc>
          <w:tcPr>
            <w:tcW w:w="1019" w:type="pct"/>
            <w:vAlign w:val="center"/>
          </w:tcPr>
          <w:p w14:paraId="7881D0A0">
            <w:pPr>
              <w:pStyle w:val="13"/>
              <w:jc w:val="center"/>
              <w:rPr>
                <w:rFonts w:hint="eastAsia"/>
              </w:rPr>
            </w:pPr>
            <w:r>
              <w:rPr>
                <w:rFonts w:hint="eastAsia"/>
              </w:rPr>
              <w:t>-16.4</w:t>
            </w:r>
          </w:p>
        </w:tc>
      </w:tr>
      <w:tr w14:paraId="4DD12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01A76F5E">
            <w:pPr>
              <w:pStyle w:val="13"/>
              <w:jc w:val="left"/>
              <w:rPr>
                <w:rFonts w:hint="eastAsia"/>
              </w:rPr>
            </w:pPr>
            <w:r>
              <w:rPr>
                <w:rFonts w:hint="eastAsia"/>
              </w:rPr>
              <w:t>二、育苗面积</w:t>
            </w:r>
          </w:p>
        </w:tc>
        <w:tc>
          <w:tcPr>
            <w:tcW w:w="1019" w:type="pct"/>
            <w:vAlign w:val="center"/>
          </w:tcPr>
          <w:p w14:paraId="0FF4A8F7">
            <w:pPr>
              <w:pStyle w:val="13"/>
              <w:jc w:val="center"/>
              <w:rPr>
                <w:rFonts w:hint="eastAsia"/>
              </w:rPr>
            </w:pPr>
            <w:r>
              <w:rPr>
                <w:rFonts w:hint="eastAsia"/>
              </w:rPr>
              <w:t>亩</w:t>
            </w:r>
          </w:p>
        </w:tc>
        <w:tc>
          <w:tcPr>
            <w:tcW w:w="1019" w:type="pct"/>
            <w:vAlign w:val="center"/>
          </w:tcPr>
          <w:p w14:paraId="295D223D">
            <w:pPr>
              <w:pStyle w:val="13"/>
              <w:jc w:val="center"/>
              <w:rPr>
                <w:rFonts w:hint="eastAsia"/>
              </w:rPr>
            </w:pPr>
            <w:r>
              <w:rPr>
                <w:rFonts w:hint="eastAsia"/>
              </w:rPr>
              <w:t>450</w:t>
            </w:r>
          </w:p>
        </w:tc>
        <w:tc>
          <w:tcPr>
            <w:tcW w:w="1019" w:type="pct"/>
            <w:vAlign w:val="center"/>
          </w:tcPr>
          <w:p w14:paraId="746BB741">
            <w:pPr>
              <w:pStyle w:val="13"/>
              <w:jc w:val="center"/>
              <w:rPr>
                <w:rFonts w:hint="eastAsia"/>
              </w:rPr>
            </w:pPr>
            <w:r>
              <w:rPr>
                <w:rFonts w:hint="eastAsia"/>
              </w:rPr>
              <w:t>150.0</w:t>
            </w:r>
          </w:p>
        </w:tc>
      </w:tr>
      <w:tr w14:paraId="7B2256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341F43D2">
            <w:pPr>
              <w:pStyle w:val="13"/>
              <w:ind w:firstLine="420" w:firstLineChars="200"/>
              <w:jc w:val="left"/>
              <w:rPr>
                <w:rFonts w:hint="eastAsia"/>
              </w:rPr>
            </w:pPr>
            <w:r>
              <w:rPr>
                <w:rFonts w:hint="eastAsia"/>
              </w:rPr>
              <w:t>其中：本年新育面积</w:t>
            </w:r>
          </w:p>
        </w:tc>
        <w:tc>
          <w:tcPr>
            <w:tcW w:w="1019" w:type="pct"/>
            <w:vAlign w:val="center"/>
          </w:tcPr>
          <w:p w14:paraId="1E6FF92C">
            <w:pPr>
              <w:pStyle w:val="13"/>
              <w:jc w:val="center"/>
              <w:rPr>
                <w:rFonts w:hint="eastAsia"/>
              </w:rPr>
            </w:pPr>
            <w:r>
              <w:rPr>
                <w:rFonts w:hint="eastAsia"/>
              </w:rPr>
              <w:t>亩</w:t>
            </w:r>
          </w:p>
        </w:tc>
        <w:tc>
          <w:tcPr>
            <w:tcW w:w="1019" w:type="pct"/>
            <w:vAlign w:val="center"/>
          </w:tcPr>
          <w:p w14:paraId="7BBE42B3">
            <w:pPr>
              <w:pStyle w:val="13"/>
              <w:jc w:val="center"/>
              <w:rPr>
                <w:rFonts w:hint="eastAsia"/>
              </w:rPr>
            </w:pPr>
            <w:r>
              <w:rPr>
                <w:rFonts w:hint="eastAsia"/>
              </w:rPr>
              <w:t>450</w:t>
            </w:r>
          </w:p>
        </w:tc>
        <w:tc>
          <w:tcPr>
            <w:tcW w:w="1019" w:type="pct"/>
            <w:vAlign w:val="center"/>
          </w:tcPr>
          <w:p w14:paraId="6D0B554B">
            <w:pPr>
              <w:pStyle w:val="13"/>
              <w:jc w:val="center"/>
              <w:rPr>
                <w:rFonts w:hint="eastAsia"/>
              </w:rPr>
            </w:pPr>
            <w:r>
              <w:rPr>
                <w:rFonts w:hint="eastAsia"/>
              </w:rPr>
              <w:t>150.0</w:t>
            </w:r>
          </w:p>
        </w:tc>
      </w:tr>
      <w:tr w14:paraId="76D6E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2F793628">
            <w:pPr>
              <w:pStyle w:val="13"/>
              <w:jc w:val="left"/>
              <w:rPr>
                <w:rFonts w:hint="eastAsia"/>
              </w:rPr>
            </w:pPr>
            <w:r>
              <w:rPr>
                <w:rFonts w:hint="eastAsia"/>
              </w:rPr>
              <w:t>三、四旁植树</w:t>
            </w:r>
          </w:p>
        </w:tc>
        <w:tc>
          <w:tcPr>
            <w:tcW w:w="1019" w:type="pct"/>
            <w:vAlign w:val="center"/>
          </w:tcPr>
          <w:p w14:paraId="658CBA7A">
            <w:pPr>
              <w:pStyle w:val="13"/>
              <w:jc w:val="center"/>
              <w:rPr>
                <w:rFonts w:hint="eastAsia"/>
              </w:rPr>
            </w:pPr>
            <w:r>
              <w:rPr>
                <w:rFonts w:hint="eastAsia"/>
              </w:rPr>
              <w:t>株</w:t>
            </w:r>
          </w:p>
        </w:tc>
        <w:tc>
          <w:tcPr>
            <w:tcW w:w="1019" w:type="pct"/>
            <w:vAlign w:val="center"/>
          </w:tcPr>
          <w:p w14:paraId="3084F108">
            <w:pPr>
              <w:pStyle w:val="13"/>
              <w:jc w:val="center"/>
              <w:rPr>
                <w:rFonts w:hint="eastAsia"/>
              </w:rPr>
            </w:pPr>
            <w:r>
              <w:rPr>
                <w:rFonts w:hint="eastAsia"/>
              </w:rPr>
              <w:t>517600</w:t>
            </w:r>
          </w:p>
        </w:tc>
        <w:tc>
          <w:tcPr>
            <w:tcW w:w="1019" w:type="pct"/>
            <w:vAlign w:val="center"/>
          </w:tcPr>
          <w:p w14:paraId="19C5945B">
            <w:pPr>
              <w:pStyle w:val="13"/>
              <w:jc w:val="center"/>
              <w:rPr>
                <w:rFonts w:hint="eastAsia"/>
              </w:rPr>
            </w:pPr>
            <w:r>
              <w:rPr>
                <w:rFonts w:hint="eastAsia"/>
              </w:rPr>
              <w:t>29.4</w:t>
            </w:r>
          </w:p>
        </w:tc>
      </w:tr>
      <w:tr w14:paraId="72B8D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7B4466A1">
            <w:pPr>
              <w:pStyle w:val="13"/>
              <w:ind w:firstLine="420" w:firstLineChars="200"/>
              <w:jc w:val="left"/>
              <w:rPr>
                <w:rFonts w:hint="eastAsia"/>
              </w:rPr>
            </w:pPr>
            <w:r>
              <w:rPr>
                <w:rFonts w:hint="eastAsia"/>
              </w:rPr>
              <w:t>其中：义务植树</w:t>
            </w:r>
          </w:p>
        </w:tc>
        <w:tc>
          <w:tcPr>
            <w:tcW w:w="1019" w:type="pct"/>
            <w:vAlign w:val="center"/>
          </w:tcPr>
          <w:p w14:paraId="26C0714D">
            <w:pPr>
              <w:pStyle w:val="13"/>
              <w:jc w:val="center"/>
              <w:rPr>
                <w:rFonts w:hint="eastAsia"/>
              </w:rPr>
            </w:pPr>
            <w:r>
              <w:rPr>
                <w:rFonts w:hint="eastAsia"/>
              </w:rPr>
              <w:t>株</w:t>
            </w:r>
          </w:p>
        </w:tc>
        <w:tc>
          <w:tcPr>
            <w:tcW w:w="1019" w:type="pct"/>
            <w:vAlign w:val="center"/>
          </w:tcPr>
          <w:p w14:paraId="6EE3B3E4">
            <w:pPr>
              <w:pStyle w:val="13"/>
              <w:jc w:val="center"/>
              <w:rPr>
                <w:rFonts w:hint="eastAsia"/>
              </w:rPr>
            </w:pPr>
          </w:p>
        </w:tc>
        <w:tc>
          <w:tcPr>
            <w:tcW w:w="1019" w:type="pct"/>
            <w:vAlign w:val="center"/>
          </w:tcPr>
          <w:p w14:paraId="227022A2">
            <w:pPr>
              <w:pStyle w:val="13"/>
              <w:jc w:val="center"/>
              <w:rPr>
                <w:rFonts w:hint="eastAsia"/>
              </w:rPr>
            </w:pPr>
          </w:p>
        </w:tc>
      </w:tr>
      <w:tr w14:paraId="50045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5E6809ED">
            <w:pPr>
              <w:pStyle w:val="13"/>
              <w:jc w:val="left"/>
              <w:rPr>
                <w:rFonts w:hint="eastAsia"/>
              </w:rPr>
            </w:pPr>
            <w:r>
              <w:rPr>
                <w:rFonts w:hint="eastAsia"/>
              </w:rPr>
              <w:t>四、现有封山育林面积</w:t>
            </w:r>
          </w:p>
        </w:tc>
        <w:tc>
          <w:tcPr>
            <w:tcW w:w="1019" w:type="pct"/>
            <w:vAlign w:val="center"/>
          </w:tcPr>
          <w:p w14:paraId="56BECFE8">
            <w:pPr>
              <w:pStyle w:val="13"/>
              <w:jc w:val="center"/>
              <w:rPr>
                <w:rFonts w:hint="eastAsia"/>
              </w:rPr>
            </w:pPr>
            <w:r>
              <w:rPr>
                <w:rFonts w:hint="eastAsia"/>
              </w:rPr>
              <w:t>万亩</w:t>
            </w:r>
          </w:p>
        </w:tc>
        <w:tc>
          <w:tcPr>
            <w:tcW w:w="1019" w:type="pct"/>
            <w:vAlign w:val="center"/>
          </w:tcPr>
          <w:p w14:paraId="40751EED">
            <w:pPr>
              <w:pStyle w:val="13"/>
              <w:jc w:val="center"/>
              <w:rPr>
                <w:rFonts w:hint="eastAsia"/>
              </w:rPr>
            </w:pPr>
          </w:p>
        </w:tc>
        <w:tc>
          <w:tcPr>
            <w:tcW w:w="1019" w:type="pct"/>
            <w:vAlign w:val="center"/>
          </w:tcPr>
          <w:p w14:paraId="2F654B79">
            <w:pPr>
              <w:pStyle w:val="13"/>
              <w:jc w:val="center"/>
              <w:rPr>
                <w:rFonts w:hint="eastAsia"/>
              </w:rPr>
            </w:pPr>
          </w:p>
        </w:tc>
      </w:tr>
      <w:tr w14:paraId="741B6A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0B35CF0E">
            <w:pPr>
              <w:pStyle w:val="13"/>
              <w:jc w:val="left"/>
              <w:rPr>
                <w:rFonts w:hint="eastAsia"/>
              </w:rPr>
            </w:pPr>
            <w:r>
              <w:rPr>
                <w:rFonts w:hint="eastAsia"/>
              </w:rPr>
              <w:t>五、幼林抚育面积</w:t>
            </w:r>
          </w:p>
        </w:tc>
        <w:tc>
          <w:tcPr>
            <w:tcW w:w="1019" w:type="pct"/>
            <w:vAlign w:val="center"/>
          </w:tcPr>
          <w:p w14:paraId="37A133EE">
            <w:pPr>
              <w:pStyle w:val="13"/>
              <w:jc w:val="center"/>
              <w:rPr>
                <w:rFonts w:hint="eastAsia"/>
              </w:rPr>
            </w:pPr>
            <w:r>
              <w:rPr>
                <w:rFonts w:hint="eastAsia"/>
              </w:rPr>
              <w:t>亩</w:t>
            </w:r>
          </w:p>
        </w:tc>
        <w:tc>
          <w:tcPr>
            <w:tcW w:w="1019" w:type="pct"/>
            <w:vAlign w:val="center"/>
          </w:tcPr>
          <w:p w14:paraId="3BEE3A59">
            <w:pPr>
              <w:pStyle w:val="13"/>
              <w:jc w:val="center"/>
              <w:rPr>
                <w:rFonts w:hint="eastAsia"/>
              </w:rPr>
            </w:pPr>
            <w:r>
              <w:rPr>
                <w:rFonts w:hint="eastAsia"/>
              </w:rPr>
              <w:t>60000</w:t>
            </w:r>
          </w:p>
        </w:tc>
        <w:tc>
          <w:tcPr>
            <w:tcW w:w="1019" w:type="pct"/>
            <w:vAlign w:val="center"/>
          </w:tcPr>
          <w:p w14:paraId="56829BEA">
            <w:pPr>
              <w:pStyle w:val="13"/>
              <w:jc w:val="center"/>
              <w:rPr>
                <w:rFonts w:hint="eastAsia"/>
              </w:rPr>
            </w:pPr>
            <w:r>
              <w:rPr>
                <w:rFonts w:hint="eastAsia"/>
              </w:rPr>
              <w:t>51.9</w:t>
            </w:r>
          </w:p>
        </w:tc>
      </w:tr>
      <w:tr w14:paraId="19FA7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1EE0C6B5">
            <w:pPr>
              <w:pStyle w:val="13"/>
              <w:jc w:val="left"/>
              <w:rPr>
                <w:rFonts w:hint="eastAsia"/>
              </w:rPr>
            </w:pPr>
            <w:r>
              <w:rPr>
                <w:rFonts w:hint="eastAsia"/>
              </w:rPr>
              <w:t>六、成林抚育面积</w:t>
            </w:r>
          </w:p>
        </w:tc>
        <w:tc>
          <w:tcPr>
            <w:tcW w:w="1019" w:type="pct"/>
            <w:vAlign w:val="center"/>
          </w:tcPr>
          <w:p w14:paraId="66E6E189">
            <w:pPr>
              <w:pStyle w:val="13"/>
              <w:jc w:val="center"/>
              <w:rPr>
                <w:rFonts w:hint="eastAsia"/>
              </w:rPr>
            </w:pPr>
            <w:r>
              <w:rPr>
                <w:rFonts w:hint="eastAsia"/>
              </w:rPr>
              <w:t>亩</w:t>
            </w:r>
          </w:p>
        </w:tc>
        <w:tc>
          <w:tcPr>
            <w:tcW w:w="1019" w:type="pct"/>
            <w:vAlign w:val="center"/>
          </w:tcPr>
          <w:p w14:paraId="2EAB4AE7">
            <w:pPr>
              <w:pStyle w:val="13"/>
              <w:jc w:val="center"/>
              <w:rPr>
                <w:rFonts w:hint="eastAsia"/>
              </w:rPr>
            </w:pPr>
          </w:p>
        </w:tc>
        <w:tc>
          <w:tcPr>
            <w:tcW w:w="1019" w:type="pct"/>
            <w:vAlign w:val="center"/>
          </w:tcPr>
          <w:p w14:paraId="03CFB9B6">
            <w:pPr>
              <w:pStyle w:val="13"/>
              <w:jc w:val="center"/>
              <w:rPr>
                <w:rFonts w:hint="eastAsia"/>
              </w:rPr>
            </w:pPr>
          </w:p>
        </w:tc>
      </w:tr>
      <w:tr w14:paraId="3C060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6C6634C5">
            <w:pPr>
              <w:pStyle w:val="13"/>
              <w:ind w:firstLine="420" w:firstLineChars="200"/>
              <w:jc w:val="left"/>
              <w:rPr>
                <w:rFonts w:hint="eastAsia"/>
              </w:rPr>
            </w:pPr>
            <w:r>
              <w:rPr>
                <w:rFonts w:hint="eastAsia"/>
              </w:rPr>
              <w:t>其中：中、幼林抚育面积</w:t>
            </w:r>
          </w:p>
        </w:tc>
        <w:tc>
          <w:tcPr>
            <w:tcW w:w="1019" w:type="pct"/>
            <w:vAlign w:val="center"/>
          </w:tcPr>
          <w:p w14:paraId="1DA04973">
            <w:pPr>
              <w:pStyle w:val="13"/>
              <w:jc w:val="center"/>
              <w:rPr>
                <w:rFonts w:hint="eastAsia"/>
              </w:rPr>
            </w:pPr>
            <w:r>
              <w:rPr>
                <w:rFonts w:hint="eastAsia"/>
              </w:rPr>
              <w:t>亩</w:t>
            </w:r>
          </w:p>
        </w:tc>
        <w:tc>
          <w:tcPr>
            <w:tcW w:w="1019" w:type="pct"/>
            <w:vAlign w:val="center"/>
          </w:tcPr>
          <w:p w14:paraId="46347C85">
            <w:pPr>
              <w:pStyle w:val="13"/>
              <w:jc w:val="center"/>
              <w:rPr>
                <w:rFonts w:hint="eastAsia"/>
              </w:rPr>
            </w:pPr>
          </w:p>
        </w:tc>
        <w:tc>
          <w:tcPr>
            <w:tcW w:w="1019" w:type="pct"/>
            <w:vAlign w:val="center"/>
          </w:tcPr>
          <w:p w14:paraId="0E0C1801">
            <w:pPr>
              <w:pStyle w:val="13"/>
              <w:jc w:val="center"/>
              <w:rPr>
                <w:rFonts w:hint="eastAsia"/>
              </w:rPr>
            </w:pPr>
          </w:p>
        </w:tc>
      </w:tr>
      <w:tr w14:paraId="3D5382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4C61A590">
            <w:pPr>
              <w:pStyle w:val="13"/>
              <w:jc w:val="left"/>
              <w:rPr>
                <w:rFonts w:hint="eastAsia"/>
              </w:rPr>
            </w:pPr>
            <w:r>
              <w:rPr>
                <w:rFonts w:hint="eastAsia"/>
              </w:rPr>
              <w:t>七、林产品总产量</w:t>
            </w:r>
          </w:p>
        </w:tc>
        <w:tc>
          <w:tcPr>
            <w:tcW w:w="1019" w:type="pct"/>
            <w:vAlign w:val="center"/>
          </w:tcPr>
          <w:p w14:paraId="3C747294">
            <w:pPr>
              <w:pStyle w:val="13"/>
              <w:jc w:val="center"/>
              <w:rPr>
                <w:rFonts w:hint="eastAsia"/>
              </w:rPr>
            </w:pPr>
          </w:p>
        </w:tc>
        <w:tc>
          <w:tcPr>
            <w:tcW w:w="1019" w:type="pct"/>
            <w:vAlign w:val="center"/>
          </w:tcPr>
          <w:p w14:paraId="3536E11B">
            <w:pPr>
              <w:pStyle w:val="13"/>
              <w:jc w:val="center"/>
              <w:rPr>
                <w:rFonts w:hint="eastAsia"/>
              </w:rPr>
            </w:pPr>
          </w:p>
        </w:tc>
        <w:tc>
          <w:tcPr>
            <w:tcW w:w="1019" w:type="pct"/>
            <w:vAlign w:val="center"/>
          </w:tcPr>
          <w:p w14:paraId="78B69791">
            <w:pPr>
              <w:pStyle w:val="13"/>
              <w:jc w:val="center"/>
              <w:rPr>
                <w:rFonts w:hint="eastAsia"/>
              </w:rPr>
            </w:pPr>
          </w:p>
        </w:tc>
      </w:tr>
      <w:tr w14:paraId="6EECA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6BDCFBF4">
            <w:pPr>
              <w:pStyle w:val="13"/>
              <w:ind w:firstLine="420" w:firstLineChars="200"/>
              <w:jc w:val="left"/>
              <w:rPr>
                <w:rFonts w:hint="eastAsia"/>
              </w:rPr>
            </w:pPr>
            <w:r>
              <w:rPr>
                <w:rFonts w:hint="eastAsia"/>
              </w:rPr>
              <w:t>1、油茶籽</w:t>
            </w:r>
          </w:p>
        </w:tc>
        <w:tc>
          <w:tcPr>
            <w:tcW w:w="1019" w:type="pct"/>
            <w:vAlign w:val="center"/>
          </w:tcPr>
          <w:p w14:paraId="45AEEDAB">
            <w:pPr>
              <w:pStyle w:val="13"/>
              <w:jc w:val="center"/>
              <w:rPr>
                <w:rFonts w:hint="eastAsia"/>
              </w:rPr>
            </w:pPr>
            <w:r>
              <w:rPr>
                <w:rFonts w:hint="eastAsia"/>
              </w:rPr>
              <w:t>吨</w:t>
            </w:r>
          </w:p>
        </w:tc>
        <w:tc>
          <w:tcPr>
            <w:tcW w:w="1019" w:type="pct"/>
            <w:vAlign w:val="center"/>
          </w:tcPr>
          <w:p w14:paraId="4351A469">
            <w:pPr>
              <w:pStyle w:val="13"/>
              <w:jc w:val="center"/>
              <w:rPr>
                <w:rFonts w:hint="eastAsia"/>
              </w:rPr>
            </w:pPr>
            <w:r>
              <w:rPr>
                <w:rFonts w:hint="eastAsia"/>
              </w:rPr>
              <w:t>1428</w:t>
            </w:r>
          </w:p>
        </w:tc>
        <w:tc>
          <w:tcPr>
            <w:tcW w:w="1019" w:type="pct"/>
            <w:vAlign w:val="center"/>
          </w:tcPr>
          <w:p w14:paraId="1FF59423">
            <w:pPr>
              <w:pStyle w:val="13"/>
              <w:jc w:val="center"/>
              <w:rPr>
                <w:rFonts w:hint="eastAsia"/>
              </w:rPr>
            </w:pPr>
            <w:r>
              <w:rPr>
                <w:rFonts w:hint="eastAsia"/>
              </w:rPr>
              <w:t>17.8</w:t>
            </w:r>
          </w:p>
        </w:tc>
      </w:tr>
      <w:tr w14:paraId="42F99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24ACDA0B">
            <w:pPr>
              <w:pStyle w:val="13"/>
              <w:ind w:firstLine="420" w:firstLineChars="200"/>
              <w:jc w:val="left"/>
              <w:rPr>
                <w:rFonts w:hint="eastAsia"/>
              </w:rPr>
            </w:pPr>
            <w:r>
              <w:rPr>
                <w:rFonts w:hint="eastAsia"/>
              </w:rPr>
              <w:t>2、油桐籽</w:t>
            </w:r>
          </w:p>
        </w:tc>
        <w:tc>
          <w:tcPr>
            <w:tcW w:w="1019" w:type="pct"/>
            <w:vAlign w:val="center"/>
          </w:tcPr>
          <w:p w14:paraId="528404F7">
            <w:pPr>
              <w:pStyle w:val="13"/>
              <w:jc w:val="center"/>
              <w:rPr>
                <w:rFonts w:hint="eastAsia"/>
              </w:rPr>
            </w:pPr>
            <w:r>
              <w:rPr>
                <w:rFonts w:hint="eastAsia"/>
              </w:rPr>
              <w:t>吨</w:t>
            </w:r>
          </w:p>
        </w:tc>
        <w:tc>
          <w:tcPr>
            <w:tcW w:w="1019" w:type="pct"/>
            <w:vAlign w:val="center"/>
          </w:tcPr>
          <w:p w14:paraId="438745BB">
            <w:pPr>
              <w:pStyle w:val="13"/>
              <w:jc w:val="center"/>
              <w:rPr>
                <w:rFonts w:hint="eastAsia"/>
              </w:rPr>
            </w:pPr>
            <w:r>
              <w:rPr>
                <w:rFonts w:hint="eastAsia"/>
              </w:rPr>
              <w:t>21</w:t>
            </w:r>
          </w:p>
        </w:tc>
        <w:tc>
          <w:tcPr>
            <w:tcW w:w="1019" w:type="pct"/>
            <w:vAlign w:val="center"/>
          </w:tcPr>
          <w:p w14:paraId="60361803">
            <w:pPr>
              <w:pStyle w:val="13"/>
              <w:jc w:val="center"/>
              <w:rPr>
                <w:rFonts w:hint="eastAsia"/>
              </w:rPr>
            </w:pPr>
            <w:r>
              <w:rPr>
                <w:rFonts w:hint="eastAsia"/>
              </w:rPr>
              <w:t>5</w:t>
            </w:r>
          </w:p>
        </w:tc>
      </w:tr>
      <w:tr w14:paraId="0807E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225C0436">
            <w:pPr>
              <w:pStyle w:val="13"/>
              <w:ind w:firstLine="420" w:firstLineChars="200"/>
              <w:jc w:val="left"/>
              <w:rPr>
                <w:rFonts w:hint="eastAsia"/>
              </w:rPr>
            </w:pPr>
            <w:r>
              <w:rPr>
                <w:rFonts w:hint="eastAsia"/>
              </w:rPr>
              <w:t>3、松脂</w:t>
            </w:r>
          </w:p>
        </w:tc>
        <w:tc>
          <w:tcPr>
            <w:tcW w:w="1019" w:type="pct"/>
            <w:vAlign w:val="center"/>
          </w:tcPr>
          <w:p w14:paraId="39FD385E">
            <w:pPr>
              <w:pStyle w:val="13"/>
              <w:jc w:val="center"/>
              <w:rPr>
                <w:rFonts w:hint="eastAsia"/>
              </w:rPr>
            </w:pPr>
            <w:r>
              <w:rPr>
                <w:rFonts w:hint="eastAsia"/>
              </w:rPr>
              <w:t>吨</w:t>
            </w:r>
          </w:p>
        </w:tc>
        <w:tc>
          <w:tcPr>
            <w:tcW w:w="1019" w:type="pct"/>
            <w:vAlign w:val="center"/>
          </w:tcPr>
          <w:p w14:paraId="384EAB85">
            <w:pPr>
              <w:pStyle w:val="13"/>
              <w:jc w:val="center"/>
              <w:rPr>
                <w:rFonts w:hint="eastAsia"/>
              </w:rPr>
            </w:pPr>
            <w:r>
              <w:rPr>
                <w:rFonts w:hint="eastAsia"/>
              </w:rPr>
              <w:t>4496</w:t>
            </w:r>
          </w:p>
        </w:tc>
        <w:tc>
          <w:tcPr>
            <w:tcW w:w="1019" w:type="pct"/>
            <w:vAlign w:val="center"/>
          </w:tcPr>
          <w:p w14:paraId="16A208F2">
            <w:pPr>
              <w:pStyle w:val="13"/>
              <w:jc w:val="center"/>
              <w:rPr>
                <w:rFonts w:hint="eastAsia"/>
              </w:rPr>
            </w:pPr>
            <w:r>
              <w:rPr>
                <w:rFonts w:hint="eastAsia"/>
              </w:rPr>
              <w:t>10.7</w:t>
            </w:r>
          </w:p>
        </w:tc>
      </w:tr>
      <w:tr w14:paraId="62D50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046D5B20">
            <w:pPr>
              <w:pStyle w:val="13"/>
              <w:ind w:firstLine="420" w:firstLineChars="200"/>
              <w:jc w:val="left"/>
              <w:rPr>
                <w:rFonts w:hint="eastAsia"/>
              </w:rPr>
            </w:pPr>
            <w:r>
              <w:rPr>
                <w:rFonts w:hint="eastAsia"/>
              </w:rPr>
              <w:t>4、竹笋干</w:t>
            </w:r>
          </w:p>
        </w:tc>
        <w:tc>
          <w:tcPr>
            <w:tcW w:w="1019" w:type="pct"/>
            <w:vAlign w:val="center"/>
          </w:tcPr>
          <w:p w14:paraId="066C0171">
            <w:pPr>
              <w:pStyle w:val="13"/>
              <w:jc w:val="center"/>
              <w:rPr>
                <w:rFonts w:hint="eastAsia"/>
              </w:rPr>
            </w:pPr>
            <w:r>
              <w:rPr>
                <w:rFonts w:hint="eastAsia"/>
              </w:rPr>
              <w:t>吨</w:t>
            </w:r>
          </w:p>
        </w:tc>
        <w:tc>
          <w:tcPr>
            <w:tcW w:w="1019" w:type="pct"/>
            <w:vAlign w:val="center"/>
          </w:tcPr>
          <w:p w14:paraId="14C393C0">
            <w:pPr>
              <w:pStyle w:val="13"/>
              <w:jc w:val="center"/>
              <w:rPr>
                <w:rFonts w:hint="eastAsia"/>
              </w:rPr>
            </w:pPr>
            <w:r>
              <w:rPr>
                <w:rFonts w:hint="eastAsia"/>
              </w:rPr>
              <w:t>162</w:t>
            </w:r>
          </w:p>
        </w:tc>
        <w:tc>
          <w:tcPr>
            <w:tcW w:w="1019" w:type="pct"/>
            <w:vAlign w:val="center"/>
          </w:tcPr>
          <w:p w14:paraId="4FC25274">
            <w:pPr>
              <w:pStyle w:val="13"/>
              <w:jc w:val="center"/>
              <w:rPr>
                <w:rFonts w:hint="eastAsia"/>
              </w:rPr>
            </w:pPr>
            <w:r>
              <w:rPr>
                <w:rFonts w:hint="eastAsia"/>
              </w:rPr>
              <w:t>17.3</w:t>
            </w:r>
          </w:p>
        </w:tc>
      </w:tr>
      <w:tr w14:paraId="3606D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593F6D95">
            <w:pPr>
              <w:pStyle w:val="13"/>
              <w:jc w:val="left"/>
              <w:rPr>
                <w:rFonts w:hint="eastAsia"/>
              </w:rPr>
            </w:pPr>
            <w:r>
              <w:rPr>
                <w:rFonts w:hint="eastAsia"/>
              </w:rPr>
              <w:t>八、采伐的木材</w:t>
            </w:r>
          </w:p>
        </w:tc>
        <w:tc>
          <w:tcPr>
            <w:tcW w:w="1019" w:type="pct"/>
            <w:vAlign w:val="center"/>
          </w:tcPr>
          <w:p w14:paraId="5EE2707F">
            <w:pPr>
              <w:pStyle w:val="13"/>
              <w:jc w:val="center"/>
              <w:rPr>
                <w:rFonts w:hint="eastAsia"/>
              </w:rPr>
            </w:pPr>
            <w:r>
              <w:rPr>
                <w:rFonts w:hint="eastAsia"/>
              </w:rPr>
              <w:t>立方米</w:t>
            </w:r>
          </w:p>
        </w:tc>
        <w:tc>
          <w:tcPr>
            <w:tcW w:w="1019" w:type="pct"/>
            <w:vAlign w:val="center"/>
          </w:tcPr>
          <w:p w14:paraId="74A704D8">
            <w:pPr>
              <w:pStyle w:val="13"/>
              <w:jc w:val="center"/>
              <w:rPr>
                <w:rFonts w:hint="eastAsia"/>
              </w:rPr>
            </w:pPr>
            <w:r>
              <w:rPr>
                <w:rFonts w:hint="eastAsia"/>
              </w:rPr>
              <w:t>44681</w:t>
            </w:r>
          </w:p>
        </w:tc>
        <w:tc>
          <w:tcPr>
            <w:tcW w:w="1019" w:type="pct"/>
            <w:vAlign w:val="center"/>
          </w:tcPr>
          <w:p w14:paraId="27199565">
            <w:pPr>
              <w:pStyle w:val="13"/>
              <w:jc w:val="center"/>
              <w:rPr>
                <w:rFonts w:hint="eastAsia"/>
              </w:rPr>
            </w:pPr>
            <w:r>
              <w:rPr>
                <w:rFonts w:hint="eastAsia"/>
              </w:rPr>
              <w:t>-29</w:t>
            </w:r>
          </w:p>
        </w:tc>
      </w:tr>
      <w:tr w14:paraId="05848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6B46EA94">
            <w:pPr>
              <w:pStyle w:val="13"/>
              <w:ind w:firstLine="420" w:firstLineChars="200"/>
              <w:jc w:val="left"/>
              <w:rPr>
                <w:rFonts w:hint="eastAsia"/>
              </w:rPr>
            </w:pPr>
            <w:r>
              <w:rPr>
                <w:rFonts w:hint="eastAsia"/>
              </w:rPr>
              <w:t>采伐的毛竹</w:t>
            </w:r>
          </w:p>
        </w:tc>
        <w:tc>
          <w:tcPr>
            <w:tcW w:w="1019" w:type="pct"/>
            <w:vAlign w:val="center"/>
          </w:tcPr>
          <w:p w14:paraId="3F58ADD9">
            <w:pPr>
              <w:pStyle w:val="13"/>
              <w:jc w:val="center"/>
              <w:rPr>
                <w:rFonts w:hint="eastAsia"/>
              </w:rPr>
            </w:pPr>
            <w:r>
              <w:rPr>
                <w:rFonts w:hint="eastAsia"/>
              </w:rPr>
              <w:t>万根</w:t>
            </w:r>
          </w:p>
        </w:tc>
        <w:tc>
          <w:tcPr>
            <w:tcW w:w="1019" w:type="pct"/>
            <w:vAlign w:val="center"/>
          </w:tcPr>
          <w:p w14:paraId="12E9854B">
            <w:pPr>
              <w:pStyle w:val="13"/>
              <w:jc w:val="center"/>
              <w:rPr>
                <w:rFonts w:hint="eastAsia"/>
              </w:rPr>
            </w:pPr>
            <w:r>
              <w:rPr>
                <w:rFonts w:hint="eastAsia"/>
              </w:rPr>
              <w:t>190</w:t>
            </w:r>
          </w:p>
        </w:tc>
        <w:tc>
          <w:tcPr>
            <w:tcW w:w="1019" w:type="pct"/>
            <w:vAlign w:val="center"/>
          </w:tcPr>
          <w:p w14:paraId="4E86662E">
            <w:pPr>
              <w:pStyle w:val="13"/>
              <w:jc w:val="center"/>
              <w:rPr>
                <w:rFonts w:hint="eastAsia"/>
              </w:rPr>
            </w:pPr>
            <w:r>
              <w:rPr>
                <w:rFonts w:hint="eastAsia"/>
              </w:rPr>
              <w:t>-6.4</w:t>
            </w:r>
          </w:p>
        </w:tc>
      </w:tr>
    </w:tbl>
    <w:p w14:paraId="22072C94">
      <w:pPr>
        <w:pStyle w:val="4"/>
        <w:rPr>
          <w:rFonts w:hint="eastAsia"/>
        </w:rPr>
      </w:pPr>
      <w:r>
        <w:t>表</w:t>
      </w:r>
      <w:r>
        <w:rPr>
          <w:rFonts w:hint="eastAsia"/>
        </w:rPr>
        <w:t>34-15  分镇人口与基层组织情况</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2490"/>
        <w:gridCol w:w="2491"/>
        <w:gridCol w:w="2491"/>
      </w:tblGrid>
      <w:tr w14:paraId="77A03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AA7AD2F">
            <w:pPr>
              <w:pStyle w:val="13"/>
              <w:jc w:val="center"/>
              <w:rPr>
                <w:rFonts w:hint="eastAsia"/>
                <w:b/>
              </w:rPr>
            </w:pPr>
            <w:r>
              <w:rPr>
                <w:rFonts w:hint="eastAsia"/>
                <w:b/>
              </w:rPr>
              <w:t>单位名称</w:t>
            </w:r>
          </w:p>
        </w:tc>
        <w:tc>
          <w:tcPr>
            <w:tcW w:w="1250" w:type="pct"/>
            <w:vAlign w:val="center"/>
          </w:tcPr>
          <w:p w14:paraId="3A65B7FB">
            <w:pPr>
              <w:pStyle w:val="13"/>
              <w:jc w:val="center"/>
              <w:rPr>
                <w:rFonts w:hint="eastAsia"/>
                <w:b/>
              </w:rPr>
            </w:pPr>
            <w:r>
              <w:rPr>
                <w:rFonts w:hint="eastAsia"/>
                <w:b/>
              </w:rPr>
              <w:t>总人口（个）</w:t>
            </w:r>
          </w:p>
        </w:tc>
        <w:tc>
          <w:tcPr>
            <w:tcW w:w="1250" w:type="pct"/>
            <w:vAlign w:val="center"/>
          </w:tcPr>
          <w:p w14:paraId="69BC3A26">
            <w:pPr>
              <w:pStyle w:val="13"/>
              <w:jc w:val="center"/>
              <w:rPr>
                <w:rFonts w:hint="eastAsia"/>
                <w:b/>
              </w:rPr>
            </w:pPr>
            <w:r>
              <w:rPr>
                <w:rFonts w:hint="eastAsia"/>
                <w:b/>
              </w:rPr>
              <w:t>村民（居）委员会（户）</w:t>
            </w:r>
          </w:p>
        </w:tc>
        <w:tc>
          <w:tcPr>
            <w:tcW w:w="1250" w:type="pct"/>
            <w:vAlign w:val="center"/>
          </w:tcPr>
          <w:p w14:paraId="7CBF8858">
            <w:pPr>
              <w:pStyle w:val="13"/>
              <w:jc w:val="center"/>
              <w:rPr>
                <w:rFonts w:hint="eastAsia"/>
                <w:b/>
              </w:rPr>
            </w:pPr>
            <w:r>
              <w:rPr>
                <w:rFonts w:hint="eastAsia"/>
                <w:b/>
              </w:rPr>
              <w:t>总户数（人）</w:t>
            </w:r>
          </w:p>
        </w:tc>
      </w:tr>
      <w:tr w14:paraId="27509B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4BC69CB">
            <w:pPr>
              <w:pStyle w:val="13"/>
              <w:jc w:val="center"/>
              <w:rPr>
                <w:rFonts w:hint="eastAsia"/>
              </w:rPr>
            </w:pPr>
            <w:r>
              <w:rPr>
                <w:rFonts w:hint="eastAsia"/>
              </w:rPr>
              <w:t>合计</w:t>
            </w:r>
          </w:p>
        </w:tc>
        <w:tc>
          <w:tcPr>
            <w:tcW w:w="1250" w:type="pct"/>
            <w:vAlign w:val="center"/>
          </w:tcPr>
          <w:p w14:paraId="1BB990F6">
            <w:pPr>
              <w:pStyle w:val="13"/>
              <w:jc w:val="center"/>
              <w:rPr>
                <w:rFonts w:hint="eastAsia"/>
              </w:rPr>
            </w:pPr>
            <w:r>
              <w:rPr>
                <w:rFonts w:hint="eastAsia"/>
              </w:rPr>
              <w:t>470968</w:t>
            </w:r>
          </w:p>
        </w:tc>
        <w:tc>
          <w:tcPr>
            <w:tcW w:w="1250" w:type="pct"/>
            <w:vAlign w:val="center"/>
          </w:tcPr>
          <w:p w14:paraId="5E2CAD0C">
            <w:pPr>
              <w:pStyle w:val="13"/>
              <w:jc w:val="center"/>
              <w:rPr>
                <w:rFonts w:hint="eastAsia"/>
              </w:rPr>
            </w:pPr>
            <w:r>
              <w:rPr>
                <w:rFonts w:hint="eastAsia"/>
              </w:rPr>
              <w:t>232</w:t>
            </w:r>
          </w:p>
        </w:tc>
        <w:tc>
          <w:tcPr>
            <w:tcW w:w="1250" w:type="pct"/>
            <w:vAlign w:val="center"/>
          </w:tcPr>
          <w:p w14:paraId="4874C3F3">
            <w:pPr>
              <w:pStyle w:val="13"/>
              <w:jc w:val="center"/>
              <w:rPr>
                <w:rFonts w:hint="eastAsia"/>
              </w:rPr>
            </w:pPr>
            <w:r>
              <w:rPr>
                <w:rFonts w:hint="eastAsia"/>
              </w:rPr>
              <w:t>135438</w:t>
            </w:r>
          </w:p>
        </w:tc>
      </w:tr>
      <w:tr w14:paraId="1C724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5264ACAF">
            <w:pPr>
              <w:pStyle w:val="13"/>
              <w:jc w:val="center"/>
              <w:rPr>
                <w:rFonts w:hint="eastAsia"/>
              </w:rPr>
            </w:pPr>
            <w:r>
              <w:rPr>
                <w:rFonts w:hint="eastAsia"/>
              </w:rPr>
              <w:t>乌迳</w:t>
            </w:r>
          </w:p>
        </w:tc>
        <w:tc>
          <w:tcPr>
            <w:tcW w:w="1250" w:type="pct"/>
            <w:vAlign w:val="center"/>
          </w:tcPr>
          <w:p w14:paraId="79F9BAE7">
            <w:pPr>
              <w:pStyle w:val="13"/>
              <w:jc w:val="center"/>
              <w:rPr>
                <w:rFonts w:hint="eastAsia"/>
              </w:rPr>
            </w:pPr>
            <w:r>
              <w:rPr>
                <w:rFonts w:hint="eastAsia"/>
              </w:rPr>
              <w:t>43487</w:t>
            </w:r>
          </w:p>
        </w:tc>
        <w:tc>
          <w:tcPr>
            <w:tcW w:w="1250" w:type="pct"/>
            <w:vAlign w:val="center"/>
          </w:tcPr>
          <w:p w14:paraId="7CA2BC07">
            <w:pPr>
              <w:pStyle w:val="13"/>
              <w:jc w:val="center"/>
              <w:rPr>
                <w:rFonts w:hint="eastAsia"/>
              </w:rPr>
            </w:pPr>
            <w:r>
              <w:rPr>
                <w:rFonts w:hint="eastAsia"/>
              </w:rPr>
              <w:t>22</w:t>
            </w:r>
          </w:p>
        </w:tc>
        <w:tc>
          <w:tcPr>
            <w:tcW w:w="1250" w:type="pct"/>
            <w:vAlign w:val="center"/>
          </w:tcPr>
          <w:p w14:paraId="7B2ABBD5">
            <w:pPr>
              <w:pStyle w:val="13"/>
              <w:jc w:val="center"/>
              <w:rPr>
                <w:rFonts w:hint="eastAsia"/>
              </w:rPr>
            </w:pPr>
            <w:r>
              <w:rPr>
                <w:rFonts w:hint="eastAsia"/>
              </w:rPr>
              <w:t>11096</w:t>
            </w:r>
          </w:p>
        </w:tc>
      </w:tr>
      <w:tr w14:paraId="64373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70EFD74">
            <w:pPr>
              <w:pStyle w:val="13"/>
              <w:jc w:val="center"/>
              <w:rPr>
                <w:rFonts w:hint="eastAsia"/>
              </w:rPr>
            </w:pPr>
            <w:r>
              <w:rPr>
                <w:rFonts w:hint="eastAsia"/>
              </w:rPr>
              <w:t>界址</w:t>
            </w:r>
          </w:p>
        </w:tc>
        <w:tc>
          <w:tcPr>
            <w:tcW w:w="1250" w:type="pct"/>
            <w:vAlign w:val="center"/>
          </w:tcPr>
          <w:p w14:paraId="2A7D76A1">
            <w:pPr>
              <w:pStyle w:val="13"/>
              <w:jc w:val="center"/>
              <w:rPr>
                <w:rFonts w:hint="eastAsia"/>
              </w:rPr>
            </w:pPr>
            <w:r>
              <w:rPr>
                <w:rFonts w:hint="eastAsia"/>
              </w:rPr>
              <w:t>14279</w:t>
            </w:r>
          </w:p>
        </w:tc>
        <w:tc>
          <w:tcPr>
            <w:tcW w:w="1250" w:type="pct"/>
            <w:vAlign w:val="center"/>
          </w:tcPr>
          <w:p w14:paraId="3E046A14">
            <w:pPr>
              <w:pStyle w:val="13"/>
              <w:jc w:val="center"/>
              <w:rPr>
                <w:rFonts w:hint="eastAsia"/>
              </w:rPr>
            </w:pPr>
            <w:r>
              <w:rPr>
                <w:rFonts w:hint="eastAsia"/>
              </w:rPr>
              <w:t>9</w:t>
            </w:r>
          </w:p>
        </w:tc>
        <w:tc>
          <w:tcPr>
            <w:tcW w:w="1250" w:type="pct"/>
            <w:vAlign w:val="center"/>
          </w:tcPr>
          <w:p w14:paraId="3CC55639">
            <w:pPr>
              <w:pStyle w:val="13"/>
              <w:jc w:val="center"/>
              <w:rPr>
                <w:rFonts w:hint="eastAsia"/>
              </w:rPr>
            </w:pPr>
            <w:r>
              <w:rPr>
                <w:rFonts w:hint="eastAsia"/>
              </w:rPr>
              <w:t>3467</w:t>
            </w:r>
          </w:p>
        </w:tc>
      </w:tr>
      <w:tr w14:paraId="61D69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AF315B8">
            <w:pPr>
              <w:pStyle w:val="13"/>
              <w:jc w:val="center"/>
              <w:rPr>
                <w:rFonts w:hint="eastAsia"/>
              </w:rPr>
            </w:pPr>
            <w:r>
              <w:rPr>
                <w:rFonts w:hint="eastAsia"/>
              </w:rPr>
              <w:t>坪田</w:t>
            </w:r>
          </w:p>
        </w:tc>
        <w:tc>
          <w:tcPr>
            <w:tcW w:w="1250" w:type="pct"/>
            <w:vAlign w:val="center"/>
          </w:tcPr>
          <w:p w14:paraId="1B1508D7">
            <w:pPr>
              <w:pStyle w:val="13"/>
              <w:jc w:val="center"/>
              <w:rPr>
                <w:rFonts w:hint="eastAsia"/>
              </w:rPr>
            </w:pPr>
            <w:r>
              <w:rPr>
                <w:rFonts w:hint="eastAsia"/>
              </w:rPr>
              <w:t>24653</w:t>
            </w:r>
          </w:p>
        </w:tc>
        <w:tc>
          <w:tcPr>
            <w:tcW w:w="1250" w:type="pct"/>
            <w:vAlign w:val="center"/>
          </w:tcPr>
          <w:p w14:paraId="73018042">
            <w:pPr>
              <w:pStyle w:val="13"/>
              <w:jc w:val="center"/>
              <w:rPr>
                <w:rFonts w:hint="eastAsia"/>
              </w:rPr>
            </w:pPr>
            <w:r>
              <w:rPr>
                <w:rFonts w:hint="eastAsia"/>
              </w:rPr>
              <w:t>15</w:t>
            </w:r>
          </w:p>
        </w:tc>
        <w:tc>
          <w:tcPr>
            <w:tcW w:w="1250" w:type="pct"/>
            <w:vAlign w:val="center"/>
          </w:tcPr>
          <w:p w14:paraId="51571AAF">
            <w:pPr>
              <w:pStyle w:val="13"/>
              <w:jc w:val="center"/>
              <w:rPr>
                <w:rFonts w:hint="eastAsia"/>
              </w:rPr>
            </w:pPr>
            <w:r>
              <w:rPr>
                <w:rFonts w:hint="eastAsia"/>
              </w:rPr>
              <w:t>6156</w:t>
            </w:r>
          </w:p>
        </w:tc>
      </w:tr>
      <w:tr w14:paraId="36656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A38E6F1">
            <w:pPr>
              <w:pStyle w:val="13"/>
              <w:jc w:val="center"/>
              <w:rPr>
                <w:rFonts w:hint="eastAsia"/>
              </w:rPr>
            </w:pPr>
            <w:r>
              <w:rPr>
                <w:rFonts w:hint="eastAsia"/>
              </w:rPr>
              <w:t>黄坑</w:t>
            </w:r>
          </w:p>
        </w:tc>
        <w:tc>
          <w:tcPr>
            <w:tcW w:w="1250" w:type="pct"/>
            <w:vAlign w:val="center"/>
          </w:tcPr>
          <w:p w14:paraId="3B0055EB">
            <w:pPr>
              <w:pStyle w:val="13"/>
              <w:jc w:val="center"/>
              <w:rPr>
                <w:rFonts w:hint="eastAsia"/>
              </w:rPr>
            </w:pPr>
            <w:r>
              <w:rPr>
                <w:rFonts w:hint="eastAsia"/>
              </w:rPr>
              <w:t>25737</w:t>
            </w:r>
          </w:p>
        </w:tc>
        <w:tc>
          <w:tcPr>
            <w:tcW w:w="1250" w:type="pct"/>
            <w:vAlign w:val="center"/>
          </w:tcPr>
          <w:p w14:paraId="025480EB">
            <w:pPr>
              <w:pStyle w:val="13"/>
              <w:jc w:val="center"/>
              <w:rPr>
                <w:rFonts w:hint="eastAsia"/>
              </w:rPr>
            </w:pPr>
            <w:r>
              <w:rPr>
                <w:rFonts w:hint="eastAsia"/>
              </w:rPr>
              <w:t>11</w:t>
            </w:r>
          </w:p>
        </w:tc>
        <w:tc>
          <w:tcPr>
            <w:tcW w:w="1250" w:type="pct"/>
            <w:vAlign w:val="center"/>
          </w:tcPr>
          <w:p w14:paraId="7815308D">
            <w:pPr>
              <w:pStyle w:val="13"/>
              <w:jc w:val="center"/>
              <w:rPr>
                <w:rFonts w:hint="eastAsia"/>
              </w:rPr>
            </w:pPr>
            <w:r>
              <w:rPr>
                <w:rFonts w:hint="eastAsia"/>
              </w:rPr>
              <w:t>7903</w:t>
            </w:r>
          </w:p>
        </w:tc>
      </w:tr>
      <w:tr w14:paraId="7358C2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E05A185">
            <w:pPr>
              <w:pStyle w:val="13"/>
              <w:jc w:val="center"/>
              <w:rPr>
                <w:rFonts w:hint="eastAsia"/>
              </w:rPr>
            </w:pPr>
            <w:r>
              <w:rPr>
                <w:rFonts w:hint="eastAsia"/>
              </w:rPr>
              <w:t>邓坊</w:t>
            </w:r>
          </w:p>
        </w:tc>
        <w:tc>
          <w:tcPr>
            <w:tcW w:w="1250" w:type="pct"/>
            <w:vAlign w:val="center"/>
          </w:tcPr>
          <w:p w14:paraId="3502957D">
            <w:pPr>
              <w:pStyle w:val="13"/>
              <w:jc w:val="center"/>
              <w:rPr>
                <w:rFonts w:hint="eastAsia"/>
              </w:rPr>
            </w:pPr>
            <w:r>
              <w:rPr>
                <w:rFonts w:hint="eastAsia"/>
              </w:rPr>
              <w:t>15909</w:t>
            </w:r>
          </w:p>
        </w:tc>
        <w:tc>
          <w:tcPr>
            <w:tcW w:w="1250" w:type="pct"/>
            <w:vAlign w:val="center"/>
          </w:tcPr>
          <w:p w14:paraId="22FCA459">
            <w:pPr>
              <w:pStyle w:val="13"/>
              <w:jc w:val="center"/>
              <w:rPr>
                <w:rFonts w:hint="eastAsia"/>
              </w:rPr>
            </w:pPr>
            <w:r>
              <w:rPr>
                <w:rFonts w:hint="eastAsia"/>
              </w:rPr>
              <w:t>10</w:t>
            </w:r>
          </w:p>
        </w:tc>
        <w:tc>
          <w:tcPr>
            <w:tcW w:w="1250" w:type="pct"/>
            <w:vAlign w:val="center"/>
          </w:tcPr>
          <w:p w14:paraId="73C38CEA">
            <w:pPr>
              <w:pStyle w:val="13"/>
              <w:jc w:val="center"/>
              <w:rPr>
                <w:rFonts w:hint="eastAsia"/>
              </w:rPr>
            </w:pPr>
            <w:r>
              <w:rPr>
                <w:rFonts w:hint="eastAsia"/>
              </w:rPr>
              <w:t>4606</w:t>
            </w:r>
          </w:p>
        </w:tc>
      </w:tr>
      <w:tr w14:paraId="5FB59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42D11DB">
            <w:pPr>
              <w:pStyle w:val="13"/>
              <w:jc w:val="center"/>
              <w:rPr>
                <w:rFonts w:hint="eastAsia"/>
              </w:rPr>
            </w:pPr>
            <w:r>
              <w:rPr>
                <w:rFonts w:hint="eastAsia"/>
              </w:rPr>
              <w:t>油山</w:t>
            </w:r>
          </w:p>
        </w:tc>
        <w:tc>
          <w:tcPr>
            <w:tcW w:w="1250" w:type="pct"/>
            <w:vAlign w:val="center"/>
          </w:tcPr>
          <w:p w14:paraId="205E6A53">
            <w:pPr>
              <w:pStyle w:val="13"/>
              <w:jc w:val="center"/>
              <w:rPr>
                <w:rFonts w:hint="eastAsia"/>
              </w:rPr>
            </w:pPr>
            <w:r>
              <w:rPr>
                <w:rFonts w:hint="eastAsia"/>
              </w:rPr>
              <w:t>32052</w:t>
            </w:r>
          </w:p>
        </w:tc>
        <w:tc>
          <w:tcPr>
            <w:tcW w:w="1250" w:type="pct"/>
            <w:vAlign w:val="center"/>
          </w:tcPr>
          <w:p w14:paraId="1F85D6EF">
            <w:pPr>
              <w:pStyle w:val="13"/>
              <w:jc w:val="center"/>
              <w:rPr>
                <w:rFonts w:hint="eastAsia"/>
              </w:rPr>
            </w:pPr>
            <w:r>
              <w:rPr>
                <w:rFonts w:hint="eastAsia"/>
              </w:rPr>
              <w:t>18</w:t>
            </w:r>
          </w:p>
        </w:tc>
        <w:tc>
          <w:tcPr>
            <w:tcW w:w="1250" w:type="pct"/>
            <w:vAlign w:val="center"/>
          </w:tcPr>
          <w:p w14:paraId="43FEEC5D">
            <w:pPr>
              <w:pStyle w:val="13"/>
              <w:jc w:val="center"/>
              <w:rPr>
                <w:rFonts w:hint="eastAsia"/>
              </w:rPr>
            </w:pPr>
            <w:r>
              <w:rPr>
                <w:rFonts w:hint="eastAsia"/>
              </w:rPr>
              <w:t>7356</w:t>
            </w:r>
          </w:p>
        </w:tc>
      </w:tr>
      <w:tr w14:paraId="08F5D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9499720">
            <w:pPr>
              <w:pStyle w:val="13"/>
              <w:jc w:val="center"/>
              <w:rPr>
                <w:rFonts w:hint="eastAsia"/>
              </w:rPr>
            </w:pPr>
            <w:r>
              <w:rPr>
                <w:rFonts w:hint="eastAsia"/>
              </w:rPr>
              <w:t>南亩</w:t>
            </w:r>
          </w:p>
        </w:tc>
        <w:tc>
          <w:tcPr>
            <w:tcW w:w="1250" w:type="pct"/>
            <w:vAlign w:val="center"/>
          </w:tcPr>
          <w:p w14:paraId="0430914A">
            <w:pPr>
              <w:pStyle w:val="13"/>
              <w:jc w:val="center"/>
              <w:rPr>
                <w:rFonts w:hint="eastAsia"/>
              </w:rPr>
            </w:pPr>
            <w:r>
              <w:rPr>
                <w:rFonts w:hint="eastAsia"/>
              </w:rPr>
              <w:t>16162</w:t>
            </w:r>
          </w:p>
        </w:tc>
        <w:tc>
          <w:tcPr>
            <w:tcW w:w="1250" w:type="pct"/>
            <w:vAlign w:val="center"/>
          </w:tcPr>
          <w:p w14:paraId="0BD2B05F">
            <w:pPr>
              <w:pStyle w:val="13"/>
              <w:jc w:val="center"/>
              <w:rPr>
                <w:rFonts w:hint="eastAsia"/>
              </w:rPr>
            </w:pPr>
            <w:r>
              <w:rPr>
                <w:rFonts w:hint="eastAsia"/>
              </w:rPr>
              <w:t>12</w:t>
            </w:r>
          </w:p>
        </w:tc>
        <w:tc>
          <w:tcPr>
            <w:tcW w:w="1250" w:type="pct"/>
            <w:vAlign w:val="center"/>
          </w:tcPr>
          <w:p w14:paraId="3DBC06D0">
            <w:pPr>
              <w:pStyle w:val="13"/>
              <w:jc w:val="center"/>
              <w:rPr>
                <w:rFonts w:hint="eastAsia"/>
              </w:rPr>
            </w:pPr>
            <w:r>
              <w:rPr>
                <w:rFonts w:hint="eastAsia"/>
              </w:rPr>
              <w:t>4610</w:t>
            </w:r>
          </w:p>
        </w:tc>
      </w:tr>
      <w:tr w14:paraId="145630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5EC49446">
            <w:pPr>
              <w:pStyle w:val="13"/>
              <w:jc w:val="center"/>
              <w:rPr>
                <w:rFonts w:hint="eastAsia"/>
              </w:rPr>
            </w:pPr>
            <w:r>
              <w:rPr>
                <w:rFonts w:hint="eastAsia"/>
              </w:rPr>
              <w:t>水口</w:t>
            </w:r>
          </w:p>
        </w:tc>
        <w:tc>
          <w:tcPr>
            <w:tcW w:w="1250" w:type="pct"/>
            <w:vAlign w:val="center"/>
          </w:tcPr>
          <w:p w14:paraId="5DE926D7">
            <w:pPr>
              <w:pStyle w:val="13"/>
              <w:jc w:val="center"/>
              <w:rPr>
                <w:rFonts w:hint="eastAsia"/>
              </w:rPr>
            </w:pPr>
            <w:r>
              <w:rPr>
                <w:rFonts w:hint="eastAsia"/>
              </w:rPr>
              <w:t>24622</w:t>
            </w:r>
          </w:p>
        </w:tc>
        <w:tc>
          <w:tcPr>
            <w:tcW w:w="1250" w:type="pct"/>
            <w:vAlign w:val="center"/>
          </w:tcPr>
          <w:p w14:paraId="0E8FE669">
            <w:pPr>
              <w:pStyle w:val="13"/>
              <w:jc w:val="center"/>
              <w:rPr>
                <w:rFonts w:hint="eastAsia"/>
              </w:rPr>
            </w:pPr>
            <w:r>
              <w:rPr>
                <w:rFonts w:hint="eastAsia"/>
              </w:rPr>
              <w:t>14</w:t>
            </w:r>
          </w:p>
        </w:tc>
        <w:tc>
          <w:tcPr>
            <w:tcW w:w="1250" w:type="pct"/>
            <w:vAlign w:val="center"/>
          </w:tcPr>
          <w:p w14:paraId="737F3E2C">
            <w:pPr>
              <w:pStyle w:val="13"/>
              <w:jc w:val="center"/>
              <w:rPr>
                <w:rFonts w:hint="eastAsia"/>
              </w:rPr>
            </w:pPr>
            <w:r>
              <w:rPr>
                <w:rFonts w:hint="eastAsia"/>
              </w:rPr>
              <w:t>7428</w:t>
            </w:r>
          </w:p>
        </w:tc>
      </w:tr>
      <w:tr w14:paraId="58D4E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E36D26B">
            <w:pPr>
              <w:pStyle w:val="13"/>
              <w:jc w:val="center"/>
              <w:rPr>
                <w:rFonts w:hint="eastAsia"/>
              </w:rPr>
            </w:pPr>
            <w:r>
              <w:rPr>
                <w:rFonts w:hint="eastAsia"/>
              </w:rPr>
              <w:t>江头</w:t>
            </w:r>
          </w:p>
        </w:tc>
        <w:tc>
          <w:tcPr>
            <w:tcW w:w="1250" w:type="pct"/>
            <w:vAlign w:val="center"/>
          </w:tcPr>
          <w:p w14:paraId="7588BC19">
            <w:pPr>
              <w:pStyle w:val="13"/>
              <w:jc w:val="center"/>
              <w:rPr>
                <w:rFonts w:hint="eastAsia"/>
              </w:rPr>
            </w:pPr>
            <w:r>
              <w:rPr>
                <w:rFonts w:hint="eastAsia"/>
              </w:rPr>
              <w:t>12103</w:t>
            </w:r>
          </w:p>
        </w:tc>
        <w:tc>
          <w:tcPr>
            <w:tcW w:w="1250" w:type="pct"/>
            <w:vAlign w:val="center"/>
          </w:tcPr>
          <w:p w14:paraId="73B84E7B">
            <w:pPr>
              <w:pStyle w:val="13"/>
              <w:jc w:val="center"/>
              <w:rPr>
                <w:rFonts w:hint="eastAsia"/>
              </w:rPr>
            </w:pPr>
            <w:r>
              <w:rPr>
                <w:rFonts w:hint="eastAsia"/>
              </w:rPr>
              <w:t>10</w:t>
            </w:r>
          </w:p>
        </w:tc>
        <w:tc>
          <w:tcPr>
            <w:tcW w:w="1250" w:type="pct"/>
            <w:vAlign w:val="center"/>
          </w:tcPr>
          <w:p w14:paraId="3E2F2A99">
            <w:pPr>
              <w:pStyle w:val="13"/>
              <w:jc w:val="center"/>
              <w:rPr>
                <w:rFonts w:hint="eastAsia"/>
              </w:rPr>
            </w:pPr>
            <w:r>
              <w:rPr>
                <w:rFonts w:hint="eastAsia"/>
              </w:rPr>
              <w:t>2806</w:t>
            </w:r>
          </w:p>
        </w:tc>
      </w:tr>
      <w:tr w14:paraId="7C06D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9B8A952">
            <w:pPr>
              <w:pStyle w:val="13"/>
              <w:jc w:val="center"/>
              <w:rPr>
                <w:rFonts w:hint="eastAsia"/>
              </w:rPr>
            </w:pPr>
            <w:r>
              <w:rPr>
                <w:rFonts w:hint="eastAsia"/>
              </w:rPr>
              <w:t>湖口</w:t>
            </w:r>
          </w:p>
        </w:tc>
        <w:tc>
          <w:tcPr>
            <w:tcW w:w="1250" w:type="pct"/>
            <w:vAlign w:val="center"/>
          </w:tcPr>
          <w:p w14:paraId="0AE36F3F">
            <w:pPr>
              <w:pStyle w:val="13"/>
              <w:jc w:val="center"/>
              <w:rPr>
                <w:rFonts w:hint="eastAsia"/>
              </w:rPr>
            </w:pPr>
            <w:r>
              <w:rPr>
                <w:rFonts w:hint="eastAsia"/>
              </w:rPr>
              <w:t>33653</w:t>
            </w:r>
          </w:p>
        </w:tc>
        <w:tc>
          <w:tcPr>
            <w:tcW w:w="1250" w:type="pct"/>
            <w:vAlign w:val="center"/>
          </w:tcPr>
          <w:p w14:paraId="6038B2EC">
            <w:pPr>
              <w:pStyle w:val="13"/>
              <w:jc w:val="center"/>
              <w:rPr>
                <w:rFonts w:hint="eastAsia"/>
              </w:rPr>
            </w:pPr>
            <w:r>
              <w:rPr>
                <w:rFonts w:hint="eastAsia"/>
              </w:rPr>
              <w:t>13</w:t>
            </w:r>
          </w:p>
        </w:tc>
        <w:tc>
          <w:tcPr>
            <w:tcW w:w="1250" w:type="pct"/>
            <w:vAlign w:val="center"/>
          </w:tcPr>
          <w:p w14:paraId="7D8090D9">
            <w:pPr>
              <w:pStyle w:val="13"/>
              <w:jc w:val="center"/>
              <w:rPr>
                <w:rFonts w:hint="eastAsia"/>
              </w:rPr>
            </w:pPr>
            <w:r>
              <w:rPr>
                <w:rFonts w:hint="eastAsia"/>
              </w:rPr>
              <w:t>8263</w:t>
            </w:r>
          </w:p>
        </w:tc>
      </w:tr>
      <w:tr w14:paraId="3471ED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EEBAF7C">
            <w:pPr>
              <w:pStyle w:val="13"/>
              <w:jc w:val="center"/>
              <w:rPr>
                <w:rFonts w:hint="eastAsia"/>
              </w:rPr>
            </w:pPr>
            <w:r>
              <w:rPr>
                <w:rFonts w:hint="eastAsia"/>
              </w:rPr>
              <w:t>珠玑</w:t>
            </w:r>
          </w:p>
        </w:tc>
        <w:tc>
          <w:tcPr>
            <w:tcW w:w="1250" w:type="pct"/>
            <w:vAlign w:val="center"/>
          </w:tcPr>
          <w:p w14:paraId="6755F7DA">
            <w:pPr>
              <w:pStyle w:val="13"/>
              <w:jc w:val="center"/>
              <w:rPr>
                <w:rFonts w:hint="eastAsia"/>
              </w:rPr>
            </w:pPr>
            <w:r>
              <w:rPr>
                <w:rFonts w:hint="eastAsia"/>
              </w:rPr>
              <w:t>44396</w:t>
            </w:r>
          </w:p>
        </w:tc>
        <w:tc>
          <w:tcPr>
            <w:tcW w:w="1250" w:type="pct"/>
            <w:vAlign w:val="center"/>
          </w:tcPr>
          <w:p w14:paraId="21E2DFF1">
            <w:pPr>
              <w:pStyle w:val="13"/>
              <w:jc w:val="center"/>
              <w:rPr>
                <w:rFonts w:hint="eastAsia"/>
              </w:rPr>
            </w:pPr>
            <w:r>
              <w:rPr>
                <w:rFonts w:hint="eastAsia"/>
              </w:rPr>
              <w:t>23</w:t>
            </w:r>
          </w:p>
        </w:tc>
        <w:tc>
          <w:tcPr>
            <w:tcW w:w="1250" w:type="pct"/>
            <w:vAlign w:val="center"/>
          </w:tcPr>
          <w:p w14:paraId="594AC166">
            <w:pPr>
              <w:pStyle w:val="13"/>
              <w:jc w:val="center"/>
              <w:rPr>
                <w:rFonts w:hint="eastAsia"/>
              </w:rPr>
            </w:pPr>
            <w:r>
              <w:rPr>
                <w:rFonts w:hint="eastAsia"/>
              </w:rPr>
              <w:t>11184</w:t>
            </w:r>
          </w:p>
        </w:tc>
      </w:tr>
      <w:tr w14:paraId="6B105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94E68A7">
            <w:pPr>
              <w:pStyle w:val="13"/>
              <w:jc w:val="center"/>
              <w:rPr>
                <w:rFonts w:hint="eastAsia"/>
              </w:rPr>
            </w:pPr>
            <w:r>
              <w:rPr>
                <w:rFonts w:hint="eastAsia"/>
              </w:rPr>
              <w:t>主田</w:t>
            </w:r>
          </w:p>
        </w:tc>
        <w:tc>
          <w:tcPr>
            <w:tcW w:w="1250" w:type="pct"/>
            <w:vAlign w:val="center"/>
          </w:tcPr>
          <w:p w14:paraId="26472CC6">
            <w:pPr>
              <w:pStyle w:val="13"/>
              <w:jc w:val="center"/>
              <w:rPr>
                <w:rFonts w:hint="eastAsia"/>
              </w:rPr>
            </w:pPr>
            <w:r>
              <w:rPr>
                <w:rFonts w:hint="eastAsia"/>
              </w:rPr>
              <w:t>13552</w:t>
            </w:r>
          </w:p>
        </w:tc>
        <w:tc>
          <w:tcPr>
            <w:tcW w:w="1250" w:type="pct"/>
            <w:vAlign w:val="center"/>
          </w:tcPr>
          <w:p w14:paraId="59BF5D39">
            <w:pPr>
              <w:pStyle w:val="13"/>
              <w:jc w:val="center"/>
              <w:rPr>
                <w:rFonts w:hint="eastAsia"/>
              </w:rPr>
            </w:pPr>
            <w:r>
              <w:rPr>
                <w:rFonts w:hint="eastAsia"/>
              </w:rPr>
              <w:t>9</w:t>
            </w:r>
          </w:p>
        </w:tc>
        <w:tc>
          <w:tcPr>
            <w:tcW w:w="1250" w:type="pct"/>
            <w:vAlign w:val="center"/>
          </w:tcPr>
          <w:p w14:paraId="16E35389">
            <w:pPr>
              <w:pStyle w:val="13"/>
              <w:jc w:val="center"/>
              <w:rPr>
                <w:rFonts w:hint="eastAsia"/>
              </w:rPr>
            </w:pPr>
            <w:r>
              <w:rPr>
                <w:rFonts w:hint="eastAsia"/>
              </w:rPr>
              <w:t>3717</w:t>
            </w:r>
          </w:p>
        </w:tc>
      </w:tr>
      <w:tr w14:paraId="0D3A5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54A82CB5">
            <w:pPr>
              <w:pStyle w:val="13"/>
              <w:jc w:val="center"/>
              <w:rPr>
                <w:rFonts w:hint="eastAsia"/>
              </w:rPr>
            </w:pPr>
            <w:r>
              <w:rPr>
                <w:rFonts w:hint="eastAsia"/>
              </w:rPr>
              <w:t>古市</w:t>
            </w:r>
          </w:p>
        </w:tc>
        <w:tc>
          <w:tcPr>
            <w:tcW w:w="1250" w:type="pct"/>
            <w:vAlign w:val="center"/>
          </w:tcPr>
          <w:p w14:paraId="7F888829">
            <w:pPr>
              <w:pStyle w:val="13"/>
              <w:jc w:val="center"/>
              <w:rPr>
                <w:rFonts w:hint="eastAsia"/>
              </w:rPr>
            </w:pPr>
            <w:r>
              <w:rPr>
                <w:rFonts w:hint="eastAsia"/>
              </w:rPr>
              <w:t>18640</w:t>
            </w:r>
          </w:p>
        </w:tc>
        <w:tc>
          <w:tcPr>
            <w:tcW w:w="1250" w:type="pct"/>
            <w:vAlign w:val="center"/>
          </w:tcPr>
          <w:p w14:paraId="6308022C">
            <w:pPr>
              <w:pStyle w:val="13"/>
              <w:jc w:val="center"/>
              <w:rPr>
                <w:rFonts w:hint="eastAsia"/>
              </w:rPr>
            </w:pPr>
            <w:r>
              <w:rPr>
                <w:rFonts w:hint="eastAsia"/>
              </w:rPr>
              <w:t>9</w:t>
            </w:r>
          </w:p>
        </w:tc>
        <w:tc>
          <w:tcPr>
            <w:tcW w:w="1250" w:type="pct"/>
            <w:vAlign w:val="center"/>
          </w:tcPr>
          <w:p w14:paraId="1E23B4C8">
            <w:pPr>
              <w:pStyle w:val="13"/>
              <w:jc w:val="center"/>
              <w:rPr>
                <w:rFonts w:hint="eastAsia"/>
              </w:rPr>
            </w:pPr>
            <w:r>
              <w:rPr>
                <w:rFonts w:hint="eastAsia"/>
              </w:rPr>
              <w:t>4322</w:t>
            </w:r>
          </w:p>
        </w:tc>
      </w:tr>
      <w:tr w14:paraId="574E2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79B6D1D">
            <w:pPr>
              <w:pStyle w:val="13"/>
              <w:jc w:val="center"/>
              <w:rPr>
                <w:rFonts w:hint="eastAsia"/>
              </w:rPr>
            </w:pPr>
            <w:r>
              <w:rPr>
                <w:rFonts w:hint="eastAsia"/>
              </w:rPr>
              <w:t>全安</w:t>
            </w:r>
          </w:p>
        </w:tc>
        <w:tc>
          <w:tcPr>
            <w:tcW w:w="1250" w:type="pct"/>
            <w:vAlign w:val="center"/>
          </w:tcPr>
          <w:p w14:paraId="7B997EAA">
            <w:pPr>
              <w:pStyle w:val="13"/>
              <w:jc w:val="center"/>
              <w:rPr>
                <w:rFonts w:hint="eastAsia"/>
              </w:rPr>
            </w:pPr>
            <w:r>
              <w:rPr>
                <w:rFonts w:hint="eastAsia"/>
              </w:rPr>
              <w:t>26483</w:t>
            </w:r>
          </w:p>
        </w:tc>
        <w:tc>
          <w:tcPr>
            <w:tcW w:w="1250" w:type="pct"/>
            <w:vAlign w:val="center"/>
          </w:tcPr>
          <w:p w14:paraId="68DF057F">
            <w:pPr>
              <w:pStyle w:val="13"/>
              <w:jc w:val="center"/>
              <w:rPr>
                <w:rFonts w:hint="eastAsia"/>
              </w:rPr>
            </w:pPr>
            <w:r>
              <w:rPr>
                <w:rFonts w:hint="eastAsia"/>
              </w:rPr>
              <w:t>14</w:t>
            </w:r>
          </w:p>
        </w:tc>
        <w:tc>
          <w:tcPr>
            <w:tcW w:w="1250" w:type="pct"/>
            <w:vAlign w:val="center"/>
          </w:tcPr>
          <w:p w14:paraId="628BF963">
            <w:pPr>
              <w:pStyle w:val="13"/>
              <w:jc w:val="center"/>
              <w:rPr>
                <w:rFonts w:hint="eastAsia"/>
              </w:rPr>
            </w:pPr>
            <w:r>
              <w:rPr>
                <w:rFonts w:hint="eastAsia"/>
              </w:rPr>
              <w:t>7772</w:t>
            </w:r>
          </w:p>
        </w:tc>
      </w:tr>
      <w:tr w14:paraId="6B513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B40E84B">
            <w:pPr>
              <w:pStyle w:val="13"/>
              <w:jc w:val="center"/>
              <w:rPr>
                <w:rFonts w:hint="eastAsia"/>
              </w:rPr>
            </w:pPr>
            <w:r>
              <w:rPr>
                <w:rFonts w:hint="eastAsia"/>
              </w:rPr>
              <w:t>百顺</w:t>
            </w:r>
          </w:p>
        </w:tc>
        <w:tc>
          <w:tcPr>
            <w:tcW w:w="1250" w:type="pct"/>
            <w:vAlign w:val="center"/>
          </w:tcPr>
          <w:p w14:paraId="1C6CB228">
            <w:pPr>
              <w:pStyle w:val="13"/>
              <w:jc w:val="center"/>
              <w:rPr>
                <w:rFonts w:hint="eastAsia"/>
              </w:rPr>
            </w:pPr>
            <w:r>
              <w:rPr>
                <w:rFonts w:hint="eastAsia"/>
              </w:rPr>
              <w:t>12617</w:t>
            </w:r>
          </w:p>
        </w:tc>
        <w:tc>
          <w:tcPr>
            <w:tcW w:w="1250" w:type="pct"/>
            <w:vAlign w:val="center"/>
          </w:tcPr>
          <w:p w14:paraId="3C02224A">
            <w:pPr>
              <w:pStyle w:val="13"/>
              <w:jc w:val="center"/>
              <w:rPr>
                <w:rFonts w:hint="eastAsia"/>
              </w:rPr>
            </w:pPr>
            <w:r>
              <w:rPr>
                <w:rFonts w:hint="eastAsia"/>
              </w:rPr>
              <w:t>10</w:t>
            </w:r>
          </w:p>
        </w:tc>
        <w:tc>
          <w:tcPr>
            <w:tcW w:w="1250" w:type="pct"/>
            <w:vAlign w:val="center"/>
          </w:tcPr>
          <w:p w14:paraId="706F8DD2">
            <w:pPr>
              <w:pStyle w:val="13"/>
              <w:jc w:val="center"/>
              <w:rPr>
                <w:rFonts w:hint="eastAsia"/>
              </w:rPr>
            </w:pPr>
            <w:r>
              <w:rPr>
                <w:rFonts w:hint="eastAsia"/>
              </w:rPr>
              <w:t>3380</w:t>
            </w:r>
          </w:p>
        </w:tc>
      </w:tr>
      <w:tr w14:paraId="484A3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6388462">
            <w:pPr>
              <w:pStyle w:val="13"/>
              <w:jc w:val="center"/>
              <w:rPr>
                <w:rFonts w:hint="eastAsia"/>
              </w:rPr>
            </w:pPr>
            <w:r>
              <w:rPr>
                <w:rFonts w:hint="eastAsia"/>
              </w:rPr>
              <w:t>澜河</w:t>
            </w:r>
          </w:p>
        </w:tc>
        <w:tc>
          <w:tcPr>
            <w:tcW w:w="1250" w:type="pct"/>
            <w:vAlign w:val="center"/>
          </w:tcPr>
          <w:p w14:paraId="6CEE784B">
            <w:pPr>
              <w:pStyle w:val="13"/>
              <w:jc w:val="center"/>
              <w:rPr>
                <w:rFonts w:hint="eastAsia"/>
              </w:rPr>
            </w:pPr>
            <w:r>
              <w:rPr>
                <w:rFonts w:hint="eastAsia"/>
              </w:rPr>
              <w:t>10158</w:t>
            </w:r>
          </w:p>
        </w:tc>
        <w:tc>
          <w:tcPr>
            <w:tcW w:w="1250" w:type="pct"/>
            <w:vAlign w:val="center"/>
          </w:tcPr>
          <w:p w14:paraId="24B6CF47">
            <w:pPr>
              <w:pStyle w:val="13"/>
              <w:jc w:val="center"/>
              <w:rPr>
                <w:rFonts w:hint="eastAsia"/>
              </w:rPr>
            </w:pPr>
            <w:r>
              <w:rPr>
                <w:rFonts w:hint="eastAsia"/>
              </w:rPr>
              <w:t>7</w:t>
            </w:r>
          </w:p>
        </w:tc>
        <w:tc>
          <w:tcPr>
            <w:tcW w:w="1250" w:type="pct"/>
            <w:vAlign w:val="center"/>
          </w:tcPr>
          <w:p w14:paraId="3BC93C5D">
            <w:pPr>
              <w:pStyle w:val="13"/>
              <w:jc w:val="center"/>
              <w:rPr>
                <w:rFonts w:hint="eastAsia"/>
              </w:rPr>
            </w:pPr>
            <w:r>
              <w:rPr>
                <w:rFonts w:hint="eastAsia"/>
              </w:rPr>
              <w:t>2428</w:t>
            </w:r>
          </w:p>
        </w:tc>
      </w:tr>
      <w:tr w14:paraId="742A8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5A031A1A">
            <w:pPr>
              <w:pStyle w:val="13"/>
              <w:jc w:val="center"/>
              <w:rPr>
                <w:rFonts w:hint="eastAsia"/>
              </w:rPr>
            </w:pPr>
            <w:r>
              <w:rPr>
                <w:rFonts w:hint="eastAsia"/>
              </w:rPr>
              <w:t>帽子峰</w:t>
            </w:r>
          </w:p>
        </w:tc>
        <w:tc>
          <w:tcPr>
            <w:tcW w:w="1250" w:type="pct"/>
            <w:vAlign w:val="center"/>
          </w:tcPr>
          <w:p w14:paraId="5A206532">
            <w:pPr>
              <w:pStyle w:val="13"/>
              <w:jc w:val="center"/>
              <w:rPr>
                <w:rFonts w:hint="eastAsia"/>
              </w:rPr>
            </w:pPr>
            <w:r>
              <w:rPr>
                <w:rFonts w:hint="eastAsia"/>
              </w:rPr>
              <w:t>9137</w:t>
            </w:r>
          </w:p>
        </w:tc>
        <w:tc>
          <w:tcPr>
            <w:tcW w:w="1250" w:type="pct"/>
            <w:vAlign w:val="center"/>
          </w:tcPr>
          <w:p w14:paraId="469A17F7">
            <w:pPr>
              <w:pStyle w:val="13"/>
              <w:jc w:val="center"/>
              <w:rPr>
                <w:rFonts w:hint="eastAsia"/>
              </w:rPr>
            </w:pPr>
            <w:r>
              <w:rPr>
                <w:rFonts w:hint="eastAsia"/>
              </w:rPr>
              <w:t>6</w:t>
            </w:r>
          </w:p>
        </w:tc>
        <w:tc>
          <w:tcPr>
            <w:tcW w:w="1250" w:type="pct"/>
            <w:vAlign w:val="center"/>
          </w:tcPr>
          <w:p w14:paraId="6E5766A3">
            <w:pPr>
              <w:pStyle w:val="13"/>
              <w:jc w:val="center"/>
              <w:rPr>
                <w:rFonts w:hint="eastAsia"/>
              </w:rPr>
            </w:pPr>
            <w:r>
              <w:rPr>
                <w:rFonts w:hint="eastAsia"/>
              </w:rPr>
              <w:t>2568</w:t>
            </w:r>
          </w:p>
        </w:tc>
      </w:tr>
      <w:tr w14:paraId="277B4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9994DC6">
            <w:pPr>
              <w:pStyle w:val="13"/>
              <w:jc w:val="center"/>
              <w:rPr>
                <w:rFonts w:hint="eastAsia"/>
              </w:rPr>
            </w:pPr>
            <w:r>
              <w:rPr>
                <w:rFonts w:hint="eastAsia"/>
              </w:rPr>
              <w:t>雄州街道</w:t>
            </w:r>
          </w:p>
        </w:tc>
        <w:tc>
          <w:tcPr>
            <w:tcW w:w="1250" w:type="pct"/>
            <w:vAlign w:val="center"/>
          </w:tcPr>
          <w:p w14:paraId="4CCBEEEE">
            <w:pPr>
              <w:pStyle w:val="13"/>
              <w:jc w:val="center"/>
              <w:rPr>
                <w:rFonts w:hint="eastAsia"/>
              </w:rPr>
            </w:pPr>
            <w:r>
              <w:rPr>
                <w:rFonts w:hint="eastAsia"/>
              </w:rPr>
              <w:t>93326</w:t>
            </w:r>
          </w:p>
        </w:tc>
        <w:tc>
          <w:tcPr>
            <w:tcW w:w="1250" w:type="pct"/>
            <w:vAlign w:val="center"/>
          </w:tcPr>
          <w:p w14:paraId="3EC9F698">
            <w:pPr>
              <w:pStyle w:val="13"/>
              <w:jc w:val="center"/>
              <w:rPr>
                <w:rFonts w:hint="eastAsia"/>
              </w:rPr>
            </w:pPr>
            <w:r>
              <w:rPr>
                <w:rFonts w:hint="eastAsia"/>
              </w:rPr>
              <w:t>20</w:t>
            </w:r>
          </w:p>
        </w:tc>
        <w:tc>
          <w:tcPr>
            <w:tcW w:w="1250" w:type="pct"/>
            <w:vAlign w:val="center"/>
          </w:tcPr>
          <w:p w14:paraId="6D6AC860">
            <w:pPr>
              <w:pStyle w:val="13"/>
              <w:jc w:val="center"/>
              <w:rPr>
                <w:rFonts w:hint="eastAsia"/>
              </w:rPr>
            </w:pPr>
            <w:r>
              <w:rPr>
                <w:rFonts w:hint="eastAsia"/>
              </w:rPr>
              <w:t>36376</w:t>
            </w:r>
          </w:p>
        </w:tc>
      </w:tr>
    </w:tbl>
    <w:p w14:paraId="3D4A9F33">
      <w:pPr>
        <w:pStyle w:val="4"/>
        <w:rPr>
          <w:rFonts w:hint="eastAsia"/>
        </w:rPr>
      </w:pPr>
      <w:r>
        <w:t>表</w:t>
      </w:r>
      <w:r>
        <w:rPr>
          <w:rFonts w:hint="eastAsia"/>
        </w:rPr>
        <w:t>34-16  农村住户调查人均总收入</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28"/>
        <w:gridCol w:w="2317"/>
        <w:gridCol w:w="2317"/>
      </w:tblGrid>
      <w:tr w14:paraId="63306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4" w:type="pct"/>
            <w:vAlign w:val="center"/>
          </w:tcPr>
          <w:p w14:paraId="1DFE90B3">
            <w:pPr>
              <w:pStyle w:val="13"/>
              <w:jc w:val="center"/>
              <w:rPr>
                <w:rFonts w:hint="eastAsia"/>
                <w:b/>
              </w:rPr>
            </w:pPr>
            <w:r>
              <w:rPr>
                <w:rFonts w:hint="eastAsia"/>
                <w:b/>
              </w:rPr>
              <w:t>指标名称</w:t>
            </w:r>
          </w:p>
        </w:tc>
        <w:tc>
          <w:tcPr>
            <w:tcW w:w="1163" w:type="pct"/>
            <w:vAlign w:val="center"/>
          </w:tcPr>
          <w:p w14:paraId="26134486">
            <w:pPr>
              <w:pStyle w:val="13"/>
              <w:jc w:val="center"/>
              <w:rPr>
                <w:rFonts w:hint="eastAsia"/>
                <w:b/>
              </w:rPr>
            </w:pPr>
            <w:r>
              <w:rPr>
                <w:rFonts w:hint="eastAsia"/>
                <w:b/>
              </w:rPr>
              <w:t>计算单位</w:t>
            </w:r>
          </w:p>
        </w:tc>
        <w:tc>
          <w:tcPr>
            <w:tcW w:w="1163" w:type="pct"/>
            <w:vAlign w:val="center"/>
          </w:tcPr>
          <w:p w14:paraId="54065733">
            <w:pPr>
              <w:pStyle w:val="13"/>
              <w:jc w:val="center"/>
              <w:rPr>
                <w:rFonts w:hint="eastAsia"/>
                <w:b/>
              </w:rPr>
            </w:pPr>
            <w:r>
              <w:rPr>
                <w:rFonts w:hint="eastAsia"/>
                <w:b/>
              </w:rPr>
              <w:t>2010年</w:t>
            </w:r>
          </w:p>
        </w:tc>
      </w:tr>
      <w:tr w14:paraId="068401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4" w:type="pct"/>
            <w:vAlign w:val="center"/>
          </w:tcPr>
          <w:p w14:paraId="491BE016">
            <w:pPr>
              <w:pStyle w:val="13"/>
              <w:jc w:val="left"/>
              <w:rPr>
                <w:rFonts w:hint="eastAsia"/>
              </w:rPr>
            </w:pPr>
            <w:r>
              <w:rPr>
                <w:rFonts w:hint="eastAsia"/>
              </w:rPr>
              <w:t>一、全年总收入</w:t>
            </w:r>
          </w:p>
        </w:tc>
        <w:tc>
          <w:tcPr>
            <w:tcW w:w="1163" w:type="pct"/>
            <w:vAlign w:val="center"/>
          </w:tcPr>
          <w:p w14:paraId="62D26BA1">
            <w:pPr>
              <w:pStyle w:val="13"/>
              <w:jc w:val="center"/>
              <w:rPr>
                <w:rFonts w:hint="eastAsia"/>
              </w:rPr>
            </w:pPr>
            <w:r>
              <w:rPr>
                <w:rFonts w:hint="eastAsia"/>
              </w:rPr>
              <w:t>元</w:t>
            </w:r>
          </w:p>
        </w:tc>
        <w:tc>
          <w:tcPr>
            <w:tcW w:w="1163" w:type="pct"/>
            <w:vAlign w:val="center"/>
          </w:tcPr>
          <w:p w14:paraId="327B5E95">
            <w:pPr>
              <w:pStyle w:val="13"/>
              <w:jc w:val="center"/>
              <w:rPr>
                <w:rFonts w:hint="eastAsia"/>
              </w:rPr>
            </w:pPr>
            <w:r>
              <w:rPr>
                <w:rFonts w:hint="eastAsia"/>
              </w:rPr>
              <w:t>10495.54</w:t>
            </w:r>
          </w:p>
        </w:tc>
      </w:tr>
      <w:tr w14:paraId="11324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4" w:type="pct"/>
            <w:vAlign w:val="center"/>
          </w:tcPr>
          <w:p w14:paraId="47D88832">
            <w:pPr>
              <w:pStyle w:val="13"/>
              <w:ind w:firstLine="420" w:firstLineChars="200"/>
              <w:jc w:val="left"/>
              <w:rPr>
                <w:rFonts w:hint="eastAsia"/>
              </w:rPr>
            </w:pPr>
            <w:r>
              <w:rPr>
                <w:rFonts w:hint="eastAsia"/>
              </w:rPr>
              <w:t>1、工资性收入</w:t>
            </w:r>
          </w:p>
        </w:tc>
        <w:tc>
          <w:tcPr>
            <w:tcW w:w="1163" w:type="pct"/>
            <w:vAlign w:val="center"/>
          </w:tcPr>
          <w:p w14:paraId="091AD299">
            <w:pPr>
              <w:pStyle w:val="13"/>
              <w:jc w:val="center"/>
              <w:rPr>
                <w:rFonts w:hint="eastAsia"/>
              </w:rPr>
            </w:pPr>
            <w:r>
              <w:rPr>
                <w:rFonts w:hint="eastAsia"/>
              </w:rPr>
              <w:t>元</w:t>
            </w:r>
          </w:p>
        </w:tc>
        <w:tc>
          <w:tcPr>
            <w:tcW w:w="1163" w:type="pct"/>
            <w:vAlign w:val="center"/>
          </w:tcPr>
          <w:p w14:paraId="615184E3">
            <w:pPr>
              <w:pStyle w:val="13"/>
              <w:jc w:val="center"/>
              <w:rPr>
                <w:rFonts w:hint="eastAsia"/>
              </w:rPr>
            </w:pPr>
            <w:r>
              <w:rPr>
                <w:rFonts w:hint="eastAsia"/>
              </w:rPr>
              <w:t>4003.76</w:t>
            </w:r>
          </w:p>
        </w:tc>
      </w:tr>
      <w:tr w14:paraId="6F496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4" w:type="pct"/>
            <w:vAlign w:val="center"/>
          </w:tcPr>
          <w:p w14:paraId="281958DF">
            <w:pPr>
              <w:pStyle w:val="13"/>
              <w:ind w:firstLine="630" w:firstLineChars="300"/>
              <w:jc w:val="left"/>
              <w:rPr>
                <w:rFonts w:hint="eastAsia"/>
              </w:rPr>
            </w:pPr>
            <w:r>
              <w:rPr>
                <w:rFonts w:hint="eastAsia"/>
              </w:rPr>
              <w:t>（1）在非企业组织中劳动得到收入</w:t>
            </w:r>
          </w:p>
        </w:tc>
        <w:tc>
          <w:tcPr>
            <w:tcW w:w="1163" w:type="pct"/>
            <w:vAlign w:val="center"/>
          </w:tcPr>
          <w:p w14:paraId="194018AC">
            <w:pPr>
              <w:pStyle w:val="13"/>
              <w:jc w:val="center"/>
              <w:rPr>
                <w:rFonts w:hint="eastAsia"/>
              </w:rPr>
            </w:pPr>
            <w:r>
              <w:rPr>
                <w:rFonts w:hint="eastAsia"/>
              </w:rPr>
              <w:t>元</w:t>
            </w:r>
          </w:p>
        </w:tc>
        <w:tc>
          <w:tcPr>
            <w:tcW w:w="1163" w:type="pct"/>
            <w:vAlign w:val="center"/>
          </w:tcPr>
          <w:p w14:paraId="2A9376A9">
            <w:pPr>
              <w:pStyle w:val="13"/>
              <w:jc w:val="center"/>
              <w:rPr>
                <w:rFonts w:hint="eastAsia"/>
              </w:rPr>
            </w:pPr>
            <w:r>
              <w:rPr>
                <w:rFonts w:hint="eastAsia"/>
              </w:rPr>
              <w:t>159.02</w:t>
            </w:r>
          </w:p>
        </w:tc>
      </w:tr>
      <w:tr w14:paraId="068B6F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4" w:type="pct"/>
            <w:vAlign w:val="center"/>
          </w:tcPr>
          <w:p w14:paraId="1A19C6C5">
            <w:pPr>
              <w:pStyle w:val="13"/>
              <w:ind w:firstLine="630" w:firstLineChars="300"/>
              <w:jc w:val="left"/>
              <w:rPr>
                <w:rFonts w:hint="eastAsia"/>
              </w:rPr>
            </w:pPr>
            <w:r>
              <w:rPr>
                <w:rFonts w:hint="eastAsia"/>
              </w:rPr>
              <w:t>（2）在本地域内劳动得到收入</w:t>
            </w:r>
          </w:p>
        </w:tc>
        <w:tc>
          <w:tcPr>
            <w:tcW w:w="1163" w:type="pct"/>
            <w:vAlign w:val="center"/>
          </w:tcPr>
          <w:p w14:paraId="05AF67BF">
            <w:pPr>
              <w:pStyle w:val="13"/>
              <w:jc w:val="center"/>
              <w:rPr>
                <w:rFonts w:hint="eastAsia"/>
              </w:rPr>
            </w:pPr>
            <w:r>
              <w:rPr>
                <w:rFonts w:hint="eastAsia"/>
              </w:rPr>
              <w:t>元</w:t>
            </w:r>
          </w:p>
        </w:tc>
        <w:tc>
          <w:tcPr>
            <w:tcW w:w="1163" w:type="pct"/>
            <w:vAlign w:val="center"/>
          </w:tcPr>
          <w:p w14:paraId="70F9C10D">
            <w:pPr>
              <w:pStyle w:val="13"/>
              <w:jc w:val="center"/>
              <w:rPr>
                <w:rFonts w:hint="eastAsia"/>
              </w:rPr>
            </w:pPr>
            <w:r>
              <w:rPr>
                <w:rFonts w:hint="eastAsia"/>
              </w:rPr>
              <w:t>645.66</w:t>
            </w:r>
          </w:p>
        </w:tc>
      </w:tr>
      <w:tr w14:paraId="284AC9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4" w:type="pct"/>
            <w:vAlign w:val="center"/>
          </w:tcPr>
          <w:p w14:paraId="4784A3B5">
            <w:pPr>
              <w:pStyle w:val="13"/>
              <w:ind w:firstLine="630" w:firstLineChars="300"/>
              <w:jc w:val="left"/>
              <w:rPr>
                <w:rFonts w:hint="eastAsia"/>
              </w:rPr>
            </w:pPr>
            <w:r>
              <w:rPr>
                <w:rFonts w:hint="eastAsia"/>
              </w:rPr>
              <w:t>（3）外出从业得到收入</w:t>
            </w:r>
          </w:p>
        </w:tc>
        <w:tc>
          <w:tcPr>
            <w:tcW w:w="1163" w:type="pct"/>
            <w:vAlign w:val="center"/>
          </w:tcPr>
          <w:p w14:paraId="7E07AF60">
            <w:pPr>
              <w:pStyle w:val="13"/>
              <w:jc w:val="center"/>
              <w:rPr>
                <w:rFonts w:hint="eastAsia"/>
              </w:rPr>
            </w:pPr>
            <w:r>
              <w:rPr>
                <w:rFonts w:hint="eastAsia"/>
              </w:rPr>
              <w:t>元</w:t>
            </w:r>
          </w:p>
        </w:tc>
        <w:tc>
          <w:tcPr>
            <w:tcW w:w="1163" w:type="pct"/>
            <w:vAlign w:val="center"/>
          </w:tcPr>
          <w:p w14:paraId="438BE4C6">
            <w:pPr>
              <w:pStyle w:val="13"/>
              <w:jc w:val="center"/>
              <w:rPr>
                <w:rFonts w:hint="eastAsia"/>
              </w:rPr>
            </w:pPr>
            <w:r>
              <w:rPr>
                <w:rFonts w:hint="eastAsia"/>
              </w:rPr>
              <w:t>3199.08</w:t>
            </w:r>
          </w:p>
        </w:tc>
      </w:tr>
      <w:tr w14:paraId="1B90AA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4" w:type="pct"/>
            <w:vAlign w:val="center"/>
          </w:tcPr>
          <w:p w14:paraId="1AEFA919">
            <w:pPr>
              <w:pStyle w:val="13"/>
              <w:ind w:firstLine="420" w:firstLineChars="200"/>
              <w:jc w:val="left"/>
              <w:rPr>
                <w:rFonts w:hint="eastAsia"/>
              </w:rPr>
            </w:pPr>
            <w:r>
              <w:rPr>
                <w:rFonts w:hint="eastAsia"/>
              </w:rPr>
              <w:t>2、家庭经营收入</w:t>
            </w:r>
          </w:p>
        </w:tc>
        <w:tc>
          <w:tcPr>
            <w:tcW w:w="1163" w:type="pct"/>
            <w:vAlign w:val="center"/>
          </w:tcPr>
          <w:p w14:paraId="016A7367">
            <w:pPr>
              <w:pStyle w:val="13"/>
              <w:jc w:val="center"/>
              <w:rPr>
                <w:rFonts w:hint="eastAsia"/>
              </w:rPr>
            </w:pPr>
            <w:r>
              <w:rPr>
                <w:rFonts w:hint="eastAsia"/>
              </w:rPr>
              <w:t>元</w:t>
            </w:r>
          </w:p>
        </w:tc>
        <w:tc>
          <w:tcPr>
            <w:tcW w:w="1163" w:type="pct"/>
            <w:vAlign w:val="center"/>
          </w:tcPr>
          <w:p w14:paraId="1C642EE8">
            <w:pPr>
              <w:pStyle w:val="13"/>
              <w:jc w:val="center"/>
              <w:rPr>
                <w:rFonts w:hint="eastAsia"/>
              </w:rPr>
            </w:pPr>
            <w:r>
              <w:rPr>
                <w:rFonts w:hint="eastAsia"/>
              </w:rPr>
              <w:t>5434.13</w:t>
            </w:r>
          </w:p>
        </w:tc>
      </w:tr>
      <w:tr w14:paraId="4E81C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4" w:type="pct"/>
            <w:vAlign w:val="center"/>
          </w:tcPr>
          <w:p w14:paraId="1C6F5516">
            <w:pPr>
              <w:pStyle w:val="13"/>
              <w:ind w:firstLine="630" w:firstLineChars="300"/>
              <w:jc w:val="left"/>
              <w:rPr>
                <w:rFonts w:hint="eastAsia"/>
              </w:rPr>
            </w:pPr>
            <w:r>
              <w:rPr>
                <w:rFonts w:hint="eastAsia"/>
              </w:rPr>
              <w:t>（1）农业收入</w:t>
            </w:r>
          </w:p>
        </w:tc>
        <w:tc>
          <w:tcPr>
            <w:tcW w:w="1163" w:type="pct"/>
            <w:vAlign w:val="center"/>
          </w:tcPr>
          <w:p w14:paraId="00DD089F">
            <w:pPr>
              <w:pStyle w:val="13"/>
              <w:jc w:val="center"/>
              <w:rPr>
                <w:rFonts w:hint="eastAsia"/>
              </w:rPr>
            </w:pPr>
            <w:r>
              <w:rPr>
                <w:rFonts w:hint="eastAsia"/>
              </w:rPr>
              <w:t>元</w:t>
            </w:r>
          </w:p>
        </w:tc>
        <w:tc>
          <w:tcPr>
            <w:tcW w:w="1163" w:type="pct"/>
            <w:vAlign w:val="center"/>
          </w:tcPr>
          <w:p w14:paraId="0C801918">
            <w:pPr>
              <w:pStyle w:val="13"/>
              <w:jc w:val="center"/>
              <w:rPr>
                <w:rFonts w:hint="eastAsia"/>
              </w:rPr>
            </w:pPr>
            <w:r>
              <w:rPr>
                <w:rFonts w:hint="eastAsia"/>
              </w:rPr>
              <w:t>3949.18</w:t>
            </w:r>
          </w:p>
        </w:tc>
      </w:tr>
      <w:tr w14:paraId="40BC4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4" w:type="pct"/>
            <w:vAlign w:val="center"/>
          </w:tcPr>
          <w:p w14:paraId="756D7389">
            <w:pPr>
              <w:pStyle w:val="13"/>
              <w:ind w:firstLine="630" w:firstLineChars="300"/>
              <w:jc w:val="left"/>
              <w:rPr>
                <w:rFonts w:hint="eastAsia"/>
              </w:rPr>
            </w:pPr>
            <w:r>
              <w:rPr>
                <w:rFonts w:hint="eastAsia"/>
              </w:rPr>
              <w:t>（2）林业收入</w:t>
            </w:r>
          </w:p>
        </w:tc>
        <w:tc>
          <w:tcPr>
            <w:tcW w:w="1163" w:type="pct"/>
            <w:vAlign w:val="center"/>
          </w:tcPr>
          <w:p w14:paraId="743AA6B9">
            <w:pPr>
              <w:pStyle w:val="13"/>
              <w:jc w:val="center"/>
              <w:rPr>
                <w:rFonts w:hint="eastAsia"/>
              </w:rPr>
            </w:pPr>
            <w:r>
              <w:rPr>
                <w:rFonts w:hint="eastAsia"/>
              </w:rPr>
              <w:t>元</w:t>
            </w:r>
          </w:p>
        </w:tc>
        <w:tc>
          <w:tcPr>
            <w:tcW w:w="1163" w:type="pct"/>
            <w:vAlign w:val="center"/>
          </w:tcPr>
          <w:p w14:paraId="1CB21799">
            <w:pPr>
              <w:pStyle w:val="13"/>
              <w:jc w:val="center"/>
              <w:rPr>
                <w:rFonts w:hint="eastAsia"/>
              </w:rPr>
            </w:pPr>
            <w:r>
              <w:rPr>
                <w:rFonts w:hint="eastAsia"/>
              </w:rPr>
              <w:t>15.12</w:t>
            </w:r>
          </w:p>
        </w:tc>
      </w:tr>
      <w:tr w14:paraId="38E32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4" w:type="pct"/>
            <w:vAlign w:val="center"/>
          </w:tcPr>
          <w:p w14:paraId="5106DF75">
            <w:pPr>
              <w:pStyle w:val="13"/>
              <w:ind w:firstLine="630" w:firstLineChars="300"/>
              <w:jc w:val="left"/>
              <w:rPr>
                <w:rFonts w:hint="eastAsia"/>
              </w:rPr>
            </w:pPr>
            <w:r>
              <w:rPr>
                <w:rFonts w:hint="eastAsia"/>
              </w:rPr>
              <w:t>（3）牧业收入</w:t>
            </w:r>
          </w:p>
        </w:tc>
        <w:tc>
          <w:tcPr>
            <w:tcW w:w="1163" w:type="pct"/>
            <w:vAlign w:val="center"/>
          </w:tcPr>
          <w:p w14:paraId="14DD8CB5">
            <w:pPr>
              <w:pStyle w:val="13"/>
              <w:jc w:val="center"/>
              <w:rPr>
                <w:rFonts w:hint="eastAsia"/>
              </w:rPr>
            </w:pPr>
            <w:r>
              <w:rPr>
                <w:rFonts w:hint="eastAsia"/>
              </w:rPr>
              <w:t>元</w:t>
            </w:r>
          </w:p>
        </w:tc>
        <w:tc>
          <w:tcPr>
            <w:tcW w:w="1163" w:type="pct"/>
            <w:vAlign w:val="center"/>
          </w:tcPr>
          <w:p w14:paraId="2279A0A7">
            <w:pPr>
              <w:pStyle w:val="13"/>
              <w:jc w:val="center"/>
              <w:rPr>
                <w:rFonts w:hint="eastAsia"/>
              </w:rPr>
            </w:pPr>
            <w:r>
              <w:rPr>
                <w:rFonts w:hint="eastAsia"/>
              </w:rPr>
              <w:t>627.71</w:t>
            </w:r>
          </w:p>
        </w:tc>
      </w:tr>
      <w:tr w14:paraId="512AC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4" w:type="pct"/>
            <w:vAlign w:val="center"/>
          </w:tcPr>
          <w:p w14:paraId="3D6F5926">
            <w:pPr>
              <w:pStyle w:val="13"/>
              <w:ind w:firstLine="630" w:firstLineChars="300"/>
              <w:jc w:val="left"/>
              <w:rPr>
                <w:rFonts w:hint="eastAsia"/>
              </w:rPr>
            </w:pPr>
            <w:r>
              <w:rPr>
                <w:rFonts w:hint="eastAsia"/>
              </w:rPr>
              <w:t>（4）渔业收入</w:t>
            </w:r>
          </w:p>
        </w:tc>
        <w:tc>
          <w:tcPr>
            <w:tcW w:w="1163" w:type="pct"/>
            <w:vAlign w:val="center"/>
          </w:tcPr>
          <w:p w14:paraId="19600548">
            <w:pPr>
              <w:pStyle w:val="13"/>
              <w:jc w:val="center"/>
              <w:rPr>
                <w:rFonts w:hint="eastAsia"/>
              </w:rPr>
            </w:pPr>
            <w:r>
              <w:rPr>
                <w:rFonts w:hint="eastAsia"/>
              </w:rPr>
              <w:t>元</w:t>
            </w:r>
          </w:p>
        </w:tc>
        <w:tc>
          <w:tcPr>
            <w:tcW w:w="1163" w:type="pct"/>
            <w:vAlign w:val="center"/>
          </w:tcPr>
          <w:p w14:paraId="7744DE2E">
            <w:pPr>
              <w:pStyle w:val="13"/>
              <w:jc w:val="center"/>
              <w:rPr>
                <w:rFonts w:hint="eastAsia"/>
              </w:rPr>
            </w:pPr>
            <w:r>
              <w:rPr>
                <w:rFonts w:hint="eastAsia"/>
              </w:rPr>
              <w:t>41.85</w:t>
            </w:r>
          </w:p>
        </w:tc>
      </w:tr>
      <w:tr w14:paraId="1EC9B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4" w:type="pct"/>
            <w:vAlign w:val="center"/>
          </w:tcPr>
          <w:p w14:paraId="68A94B6E">
            <w:pPr>
              <w:pStyle w:val="13"/>
              <w:ind w:firstLine="420" w:firstLineChars="200"/>
              <w:jc w:val="left"/>
              <w:rPr>
                <w:rFonts w:hint="eastAsia"/>
              </w:rPr>
            </w:pPr>
            <w:r>
              <w:rPr>
                <w:rFonts w:hint="eastAsia"/>
              </w:rPr>
              <w:t>3、财产性收入</w:t>
            </w:r>
          </w:p>
        </w:tc>
        <w:tc>
          <w:tcPr>
            <w:tcW w:w="1163" w:type="pct"/>
            <w:vAlign w:val="center"/>
          </w:tcPr>
          <w:p w14:paraId="755D6576">
            <w:pPr>
              <w:pStyle w:val="13"/>
              <w:jc w:val="center"/>
              <w:rPr>
                <w:rFonts w:hint="eastAsia"/>
              </w:rPr>
            </w:pPr>
            <w:r>
              <w:rPr>
                <w:rFonts w:hint="eastAsia"/>
              </w:rPr>
              <w:t>元</w:t>
            </w:r>
          </w:p>
        </w:tc>
        <w:tc>
          <w:tcPr>
            <w:tcW w:w="1163" w:type="pct"/>
            <w:vAlign w:val="center"/>
          </w:tcPr>
          <w:p w14:paraId="76FBFA72">
            <w:pPr>
              <w:pStyle w:val="13"/>
              <w:jc w:val="center"/>
              <w:rPr>
                <w:rFonts w:hint="eastAsia"/>
              </w:rPr>
            </w:pPr>
            <w:r>
              <w:rPr>
                <w:rFonts w:hint="eastAsia"/>
              </w:rPr>
              <w:t>25.53</w:t>
            </w:r>
          </w:p>
        </w:tc>
      </w:tr>
      <w:tr w14:paraId="43167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4" w:type="pct"/>
            <w:vAlign w:val="center"/>
          </w:tcPr>
          <w:p w14:paraId="3B40C1ED">
            <w:pPr>
              <w:pStyle w:val="13"/>
              <w:ind w:firstLine="420" w:firstLineChars="200"/>
              <w:jc w:val="left"/>
              <w:rPr>
                <w:rFonts w:hint="eastAsia"/>
              </w:rPr>
            </w:pPr>
            <w:r>
              <w:rPr>
                <w:rFonts w:hint="eastAsia"/>
              </w:rPr>
              <w:t>4、转移性收入</w:t>
            </w:r>
          </w:p>
        </w:tc>
        <w:tc>
          <w:tcPr>
            <w:tcW w:w="1163" w:type="pct"/>
            <w:vAlign w:val="center"/>
          </w:tcPr>
          <w:p w14:paraId="4E11F5FD">
            <w:pPr>
              <w:pStyle w:val="13"/>
              <w:jc w:val="center"/>
              <w:rPr>
                <w:rFonts w:hint="eastAsia"/>
              </w:rPr>
            </w:pPr>
            <w:r>
              <w:rPr>
                <w:rFonts w:hint="eastAsia"/>
              </w:rPr>
              <w:t>元</w:t>
            </w:r>
          </w:p>
        </w:tc>
        <w:tc>
          <w:tcPr>
            <w:tcW w:w="1163" w:type="pct"/>
            <w:vAlign w:val="center"/>
          </w:tcPr>
          <w:p w14:paraId="51A56493">
            <w:pPr>
              <w:pStyle w:val="13"/>
              <w:jc w:val="center"/>
              <w:rPr>
                <w:rFonts w:hint="eastAsia"/>
              </w:rPr>
            </w:pPr>
            <w:r>
              <w:rPr>
                <w:rFonts w:hint="eastAsia"/>
              </w:rPr>
              <w:t>1032.13</w:t>
            </w:r>
          </w:p>
        </w:tc>
      </w:tr>
    </w:tbl>
    <w:p w14:paraId="6D9B7314">
      <w:pPr>
        <w:pStyle w:val="4"/>
        <w:rPr>
          <w:rFonts w:hint="eastAsia"/>
        </w:rPr>
      </w:pPr>
      <w:r>
        <w:t>表</w:t>
      </w:r>
      <w:r>
        <w:rPr>
          <w:rFonts w:hint="eastAsia"/>
        </w:rPr>
        <w:t>34-17  农村住户调查人均总支出</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04"/>
        <w:gridCol w:w="2630"/>
        <w:gridCol w:w="2628"/>
      </w:tblGrid>
      <w:tr w14:paraId="7E24C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7B016BAD">
            <w:pPr>
              <w:pStyle w:val="13"/>
              <w:jc w:val="center"/>
              <w:rPr>
                <w:rFonts w:hint="eastAsia"/>
                <w:b/>
              </w:rPr>
            </w:pPr>
            <w:r>
              <w:rPr>
                <w:rFonts w:hint="eastAsia"/>
                <w:b/>
              </w:rPr>
              <w:t>指标名称</w:t>
            </w:r>
          </w:p>
        </w:tc>
        <w:tc>
          <w:tcPr>
            <w:tcW w:w="1320" w:type="pct"/>
            <w:vAlign w:val="center"/>
          </w:tcPr>
          <w:p w14:paraId="1A9E5DB0">
            <w:pPr>
              <w:pStyle w:val="13"/>
              <w:jc w:val="center"/>
              <w:rPr>
                <w:rFonts w:hint="eastAsia"/>
                <w:b/>
              </w:rPr>
            </w:pPr>
            <w:r>
              <w:rPr>
                <w:rFonts w:hint="eastAsia"/>
                <w:b/>
              </w:rPr>
              <w:t>计算单位</w:t>
            </w:r>
          </w:p>
        </w:tc>
        <w:tc>
          <w:tcPr>
            <w:tcW w:w="1320" w:type="pct"/>
            <w:vAlign w:val="center"/>
          </w:tcPr>
          <w:p w14:paraId="7052064D">
            <w:pPr>
              <w:pStyle w:val="13"/>
              <w:jc w:val="center"/>
              <w:rPr>
                <w:rFonts w:hint="eastAsia"/>
                <w:b/>
              </w:rPr>
            </w:pPr>
            <w:r>
              <w:rPr>
                <w:rFonts w:hint="eastAsia"/>
                <w:b/>
              </w:rPr>
              <w:t>2010年</w:t>
            </w:r>
          </w:p>
        </w:tc>
      </w:tr>
      <w:tr w14:paraId="4F784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68FAA3E9">
            <w:pPr>
              <w:pStyle w:val="13"/>
              <w:jc w:val="left"/>
              <w:rPr>
                <w:rFonts w:hint="eastAsia"/>
              </w:rPr>
            </w:pPr>
            <w:r>
              <w:rPr>
                <w:rFonts w:hint="eastAsia"/>
              </w:rPr>
              <w:t>二、全年总支出</w:t>
            </w:r>
          </w:p>
        </w:tc>
        <w:tc>
          <w:tcPr>
            <w:tcW w:w="1320" w:type="pct"/>
            <w:vAlign w:val="center"/>
          </w:tcPr>
          <w:p w14:paraId="237993D0">
            <w:pPr>
              <w:pStyle w:val="13"/>
              <w:jc w:val="center"/>
              <w:rPr>
                <w:rFonts w:hint="eastAsia"/>
              </w:rPr>
            </w:pPr>
            <w:r>
              <w:rPr>
                <w:rFonts w:hint="eastAsia"/>
              </w:rPr>
              <w:t>元</w:t>
            </w:r>
          </w:p>
        </w:tc>
        <w:tc>
          <w:tcPr>
            <w:tcW w:w="1320" w:type="pct"/>
            <w:vAlign w:val="center"/>
          </w:tcPr>
          <w:p w14:paraId="11A2E7B2">
            <w:pPr>
              <w:pStyle w:val="13"/>
              <w:jc w:val="center"/>
              <w:rPr>
                <w:rFonts w:hint="eastAsia"/>
              </w:rPr>
            </w:pPr>
            <w:r>
              <w:rPr>
                <w:rFonts w:hint="eastAsia"/>
              </w:rPr>
              <w:t>9733.94</w:t>
            </w:r>
          </w:p>
        </w:tc>
      </w:tr>
      <w:tr w14:paraId="0D325D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688F0754">
            <w:pPr>
              <w:pStyle w:val="13"/>
              <w:ind w:firstLine="420" w:firstLineChars="200"/>
              <w:jc w:val="left"/>
              <w:rPr>
                <w:rFonts w:hint="eastAsia"/>
              </w:rPr>
            </w:pPr>
            <w:r>
              <w:rPr>
                <w:rFonts w:hint="eastAsia"/>
              </w:rPr>
              <w:t>1、家庭经营费用支出</w:t>
            </w:r>
          </w:p>
        </w:tc>
        <w:tc>
          <w:tcPr>
            <w:tcW w:w="1320" w:type="pct"/>
            <w:vAlign w:val="center"/>
          </w:tcPr>
          <w:p w14:paraId="05D1C820">
            <w:pPr>
              <w:pStyle w:val="13"/>
              <w:jc w:val="center"/>
              <w:rPr>
                <w:rFonts w:hint="eastAsia"/>
              </w:rPr>
            </w:pPr>
            <w:r>
              <w:rPr>
                <w:rFonts w:hint="eastAsia"/>
              </w:rPr>
              <w:t>元</w:t>
            </w:r>
          </w:p>
        </w:tc>
        <w:tc>
          <w:tcPr>
            <w:tcW w:w="1320" w:type="pct"/>
            <w:vAlign w:val="center"/>
          </w:tcPr>
          <w:p w14:paraId="270B94DB">
            <w:pPr>
              <w:pStyle w:val="13"/>
              <w:jc w:val="center"/>
              <w:rPr>
                <w:rFonts w:hint="eastAsia"/>
              </w:rPr>
            </w:pPr>
            <w:r>
              <w:rPr>
                <w:rFonts w:hint="eastAsia"/>
              </w:rPr>
              <w:t>1312.30</w:t>
            </w:r>
          </w:p>
        </w:tc>
      </w:tr>
      <w:tr w14:paraId="032E96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25033DCB">
            <w:pPr>
              <w:pStyle w:val="13"/>
              <w:ind w:firstLine="630" w:firstLineChars="300"/>
              <w:jc w:val="left"/>
              <w:rPr>
                <w:rFonts w:hint="eastAsia"/>
              </w:rPr>
            </w:pPr>
            <w:r>
              <w:rPr>
                <w:rFonts w:hint="eastAsia"/>
              </w:rPr>
              <w:t>（1）农业生产支出</w:t>
            </w:r>
          </w:p>
        </w:tc>
        <w:tc>
          <w:tcPr>
            <w:tcW w:w="1320" w:type="pct"/>
            <w:vAlign w:val="center"/>
          </w:tcPr>
          <w:p w14:paraId="05CFAB74">
            <w:pPr>
              <w:pStyle w:val="13"/>
              <w:jc w:val="center"/>
              <w:rPr>
                <w:rFonts w:hint="eastAsia"/>
              </w:rPr>
            </w:pPr>
            <w:r>
              <w:rPr>
                <w:rFonts w:hint="eastAsia"/>
              </w:rPr>
              <w:t>元</w:t>
            </w:r>
          </w:p>
        </w:tc>
        <w:tc>
          <w:tcPr>
            <w:tcW w:w="1320" w:type="pct"/>
            <w:vAlign w:val="center"/>
          </w:tcPr>
          <w:p w14:paraId="018BB0DA">
            <w:pPr>
              <w:pStyle w:val="13"/>
              <w:jc w:val="center"/>
              <w:rPr>
                <w:rFonts w:hint="eastAsia"/>
              </w:rPr>
            </w:pPr>
            <w:r>
              <w:rPr>
                <w:rFonts w:hint="eastAsia"/>
              </w:rPr>
              <w:t>852.52</w:t>
            </w:r>
          </w:p>
        </w:tc>
      </w:tr>
      <w:tr w14:paraId="00DA1F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5CEA2EB6">
            <w:pPr>
              <w:pStyle w:val="13"/>
              <w:ind w:firstLine="630" w:firstLineChars="300"/>
              <w:jc w:val="left"/>
              <w:rPr>
                <w:rFonts w:hint="eastAsia"/>
              </w:rPr>
            </w:pPr>
            <w:r>
              <w:rPr>
                <w:rFonts w:hint="eastAsia"/>
              </w:rPr>
              <w:t>（2）林业生产支出</w:t>
            </w:r>
          </w:p>
        </w:tc>
        <w:tc>
          <w:tcPr>
            <w:tcW w:w="1320" w:type="pct"/>
            <w:vAlign w:val="center"/>
          </w:tcPr>
          <w:p w14:paraId="2A0CFEBD">
            <w:pPr>
              <w:pStyle w:val="13"/>
              <w:jc w:val="center"/>
              <w:rPr>
                <w:rFonts w:hint="eastAsia"/>
              </w:rPr>
            </w:pPr>
            <w:r>
              <w:rPr>
                <w:rFonts w:hint="eastAsia"/>
              </w:rPr>
              <w:t>元</w:t>
            </w:r>
          </w:p>
        </w:tc>
        <w:tc>
          <w:tcPr>
            <w:tcW w:w="1320" w:type="pct"/>
            <w:vAlign w:val="center"/>
          </w:tcPr>
          <w:p w14:paraId="69B5DFC9">
            <w:pPr>
              <w:pStyle w:val="13"/>
              <w:jc w:val="center"/>
              <w:rPr>
                <w:rFonts w:hint="eastAsia"/>
              </w:rPr>
            </w:pPr>
            <w:r>
              <w:rPr>
                <w:rFonts w:hint="eastAsia"/>
              </w:rPr>
              <w:t>2.95</w:t>
            </w:r>
          </w:p>
        </w:tc>
      </w:tr>
      <w:tr w14:paraId="0E9DD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21DFF4F8">
            <w:pPr>
              <w:pStyle w:val="13"/>
              <w:ind w:firstLine="630" w:firstLineChars="300"/>
              <w:jc w:val="left"/>
              <w:rPr>
                <w:rFonts w:hint="eastAsia"/>
              </w:rPr>
            </w:pPr>
            <w:r>
              <w:rPr>
                <w:rFonts w:hint="eastAsia"/>
              </w:rPr>
              <w:t>（3）牧业生产支出</w:t>
            </w:r>
          </w:p>
        </w:tc>
        <w:tc>
          <w:tcPr>
            <w:tcW w:w="1320" w:type="pct"/>
            <w:vAlign w:val="center"/>
          </w:tcPr>
          <w:p w14:paraId="620FD147">
            <w:pPr>
              <w:pStyle w:val="13"/>
              <w:jc w:val="center"/>
              <w:rPr>
                <w:rFonts w:hint="eastAsia"/>
              </w:rPr>
            </w:pPr>
            <w:r>
              <w:rPr>
                <w:rFonts w:hint="eastAsia"/>
              </w:rPr>
              <w:t>元</w:t>
            </w:r>
          </w:p>
        </w:tc>
        <w:tc>
          <w:tcPr>
            <w:tcW w:w="1320" w:type="pct"/>
            <w:vAlign w:val="center"/>
          </w:tcPr>
          <w:p w14:paraId="5B17E12D">
            <w:pPr>
              <w:pStyle w:val="13"/>
              <w:jc w:val="center"/>
              <w:rPr>
                <w:rFonts w:hint="eastAsia"/>
              </w:rPr>
            </w:pPr>
            <w:r>
              <w:rPr>
                <w:rFonts w:hint="eastAsia"/>
              </w:rPr>
              <w:t>382.02</w:t>
            </w:r>
          </w:p>
        </w:tc>
      </w:tr>
      <w:tr w14:paraId="325054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0CBAC844">
            <w:pPr>
              <w:pStyle w:val="13"/>
              <w:ind w:firstLine="630" w:firstLineChars="300"/>
              <w:jc w:val="left"/>
              <w:rPr>
                <w:rFonts w:hint="eastAsia"/>
              </w:rPr>
            </w:pPr>
            <w:r>
              <w:rPr>
                <w:rFonts w:hint="eastAsia"/>
              </w:rPr>
              <w:t>（4）渔业生产支出</w:t>
            </w:r>
          </w:p>
        </w:tc>
        <w:tc>
          <w:tcPr>
            <w:tcW w:w="1320" w:type="pct"/>
            <w:vAlign w:val="center"/>
          </w:tcPr>
          <w:p w14:paraId="1550F734">
            <w:pPr>
              <w:pStyle w:val="13"/>
              <w:jc w:val="center"/>
              <w:rPr>
                <w:rFonts w:hint="eastAsia"/>
              </w:rPr>
            </w:pPr>
            <w:r>
              <w:rPr>
                <w:rFonts w:hint="eastAsia"/>
              </w:rPr>
              <w:t>元</w:t>
            </w:r>
          </w:p>
        </w:tc>
        <w:tc>
          <w:tcPr>
            <w:tcW w:w="1320" w:type="pct"/>
            <w:vAlign w:val="center"/>
          </w:tcPr>
          <w:p w14:paraId="72D931CF">
            <w:pPr>
              <w:pStyle w:val="13"/>
              <w:jc w:val="center"/>
              <w:rPr>
                <w:rFonts w:hint="eastAsia"/>
              </w:rPr>
            </w:pPr>
            <w:r>
              <w:rPr>
                <w:rFonts w:hint="eastAsia"/>
              </w:rPr>
              <w:t>14.22</w:t>
            </w:r>
          </w:p>
        </w:tc>
      </w:tr>
      <w:tr w14:paraId="3225E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55F0C48E">
            <w:pPr>
              <w:pStyle w:val="13"/>
              <w:ind w:firstLine="420" w:firstLineChars="200"/>
              <w:jc w:val="left"/>
              <w:rPr>
                <w:rFonts w:hint="eastAsia"/>
              </w:rPr>
            </w:pPr>
            <w:r>
              <w:rPr>
                <w:rFonts w:hint="eastAsia"/>
              </w:rPr>
              <w:t>2、购置生产用固定资产支出</w:t>
            </w:r>
          </w:p>
        </w:tc>
        <w:tc>
          <w:tcPr>
            <w:tcW w:w="1320" w:type="pct"/>
            <w:vAlign w:val="center"/>
          </w:tcPr>
          <w:p w14:paraId="6315DCD5">
            <w:pPr>
              <w:pStyle w:val="13"/>
              <w:jc w:val="center"/>
              <w:rPr>
                <w:rFonts w:hint="eastAsia"/>
              </w:rPr>
            </w:pPr>
            <w:r>
              <w:rPr>
                <w:rFonts w:hint="eastAsia"/>
              </w:rPr>
              <w:t>元</w:t>
            </w:r>
          </w:p>
        </w:tc>
        <w:tc>
          <w:tcPr>
            <w:tcW w:w="1320" w:type="pct"/>
            <w:vAlign w:val="center"/>
          </w:tcPr>
          <w:p w14:paraId="79024814">
            <w:pPr>
              <w:pStyle w:val="13"/>
              <w:jc w:val="center"/>
              <w:rPr>
                <w:rFonts w:hint="eastAsia"/>
              </w:rPr>
            </w:pPr>
            <w:r>
              <w:rPr>
                <w:rFonts w:hint="eastAsia"/>
              </w:rPr>
              <w:t>130.40</w:t>
            </w:r>
          </w:p>
        </w:tc>
      </w:tr>
      <w:tr w14:paraId="15D42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4C8DA71E">
            <w:pPr>
              <w:pStyle w:val="13"/>
              <w:ind w:firstLine="420" w:firstLineChars="200"/>
              <w:jc w:val="left"/>
              <w:rPr>
                <w:rFonts w:hint="eastAsia"/>
              </w:rPr>
            </w:pPr>
            <w:r>
              <w:rPr>
                <w:rFonts w:hint="eastAsia"/>
              </w:rPr>
              <w:t>3、生活费用支出</w:t>
            </w:r>
          </w:p>
        </w:tc>
        <w:tc>
          <w:tcPr>
            <w:tcW w:w="1320" w:type="pct"/>
            <w:vAlign w:val="center"/>
          </w:tcPr>
          <w:p w14:paraId="6E0F0FF4">
            <w:pPr>
              <w:pStyle w:val="13"/>
              <w:jc w:val="center"/>
              <w:rPr>
                <w:rFonts w:hint="eastAsia"/>
              </w:rPr>
            </w:pPr>
            <w:r>
              <w:rPr>
                <w:rFonts w:hint="eastAsia"/>
              </w:rPr>
              <w:t>元</w:t>
            </w:r>
          </w:p>
        </w:tc>
        <w:tc>
          <w:tcPr>
            <w:tcW w:w="1320" w:type="pct"/>
            <w:vAlign w:val="center"/>
          </w:tcPr>
          <w:p w14:paraId="2E484C8E">
            <w:pPr>
              <w:pStyle w:val="13"/>
              <w:jc w:val="center"/>
              <w:rPr>
                <w:rFonts w:hint="eastAsia"/>
              </w:rPr>
            </w:pPr>
            <w:r>
              <w:rPr>
                <w:rFonts w:hint="eastAsia"/>
              </w:rPr>
              <w:t>7812.15</w:t>
            </w:r>
          </w:p>
        </w:tc>
      </w:tr>
      <w:tr w14:paraId="1DACE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241D92B1">
            <w:pPr>
              <w:pStyle w:val="13"/>
              <w:ind w:firstLine="420" w:firstLineChars="200"/>
              <w:jc w:val="left"/>
              <w:rPr>
                <w:rFonts w:hint="eastAsia"/>
              </w:rPr>
            </w:pPr>
            <w:r>
              <w:rPr>
                <w:rFonts w:hint="eastAsia"/>
              </w:rPr>
              <w:t>4、财产性支出</w:t>
            </w:r>
          </w:p>
        </w:tc>
        <w:tc>
          <w:tcPr>
            <w:tcW w:w="1320" w:type="pct"/>
            <w:vAlign w:val="center"/>
          </w:tcPr>
          <w:p w14:paraId="00CEC055">
            <w:pPr>
              <w:pStyle w:val="13"/>
              <w:jc w:val="center"/>
              <w:rPr>
                <w:rFonts w:hint="eastAsia"/>
              </w:rPr>
            </w:pPr>
            <w:r>
              <w:rPr>
                <w:rFonts w:hint="eastAsia"/>
              </w:rPr>
              <w:t>元</w:t>
            </w:r>
          </w:p>
        </w:tc>
        <w:tc>
          <w:tcPr>
            <w:tcW w:w="1320" w:type="pct"/>
            <w:vAlign w:val="center"/>
          </w:tcPr>
          <w:p w14:paraId="681DE3EF">
            <w:pPr>
              <w:pStyle w:val="13"/>
              <w:jc w:val="center"/>
              <w:rPr>
                <w:rFonts w:hint="eastAsia"/>
              </w:rPr>
            </w:pPr>
            <w:r>
              <w:rPr>
                <w:rFonts w:hint="eastAsia"/>
              </w:rPr>
              <w:t>43.73</w:t>
            </w:r>
          </w:p>
        </w:tc>
      </w:tr>
      <w:tr w14:paraId="61A09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400269A9">
            <w:pPr>
              <w:pStyle w:val="13"/>
              <w:ind w:firstLine="420" w:firstLineChars="200"/>
              <w:jc w:val="left"/>
              <w:rPr>
                <w:rFonts w:hint="eastAsia"/>
              </w:rPr>
            </w:pPr>
            <w:r>
              <w:rPr>
                <w:rFonts w:hint="eastAsia"/>
              </w:rPr>
              <w:t>5、转移性支出</w:t>
            </w:r>
          </w:p>
        </w:tc>
        <w:tc>
          <w:tcPr>
            <w:tcW w:w="1320" w:type="pct"/>
            <w:vAlign w:val="center"/>
          </w:tcPr>
          <w:p w14:paraId="182BC594">
            <w:pPr>
              <w:pStyle w:val="13"/>
              <w:jc w:val="center"/>
              <w:rPr>
                <w:rFonts w:hint="eastAsia"/>
              </w:rPr>
            </w:pPr>
            <w:r>
              <w:rPr>
                <w:rFonts w:hint="eastAsia"/>
              </w:rPr>
              <w:t>元</w:t>
            </w:r>
          </w:p>
        </w:tc>
        <w:tc>
          <w:tcPr>
            <w:tcW w:w="1320" w:type="pct"/>
            <w:vAlign w:val="center"/>
          </w:tcPr>
          <w:p w14:paraId="6D21995D">
            <w:pPr>
              <w:pStyle w:val="13"/>
              <w:jc w:val="center"/>
              <w:rPr>
                <w:rFonts w:hint="eastAsia"/>
              </w:rPr>
            </w:pPr>
            <w:r>
              <w:rPr>
                <w:rFonts w:hint="eastAsia"/>
              </w:rPr>
              <w:t>422.86</w:t>
            </w:r>
          </w:p>
        </w:tc>
      </w:tr>
      <w:tr w14:paraId="1D9534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04C83847">
            <w:pPr>
              <w:pStyle w:val="13"/>
              <w:jc w:val="left"/>
              <w:rPr>
                <w:rFonts w:hint="eastAsia"/>
              </w:rPr>
            </w:pPr>
            <w:r>
              <w:rPr>
                <w:rFonts w:hint="eastAsia"/>
              </w:rPr>
              <w:t>三、纯收入</w:t>
            </w:r>
          </w:p>
        </w:tc>
        <w:tc>
          <w:tcPr>
            <w:tcW w:w="1320" w:type="pct"/>
            <w:vAlign w:val="center"/>
          </w:tcPr>
          <w:p w14:paraId="3DCF10F3">
            <w:pPr>
              <w:pStyle w:val="13"/>
              <w:jc w:val="center"/>
              <w:rPr>
                <w:rFonts w:hint="eastAsia"/>
              </w:rPr>
            </w:pPr>
            <w:r>
              <w:rPr>
                <w:rFonts w:hint="eastAsia"/>
              </w:rPr>
              <w:t>元</w:t>
            </w:r>
          </w:p>
        </w:tc>
        <w:tc>
          <w:tcPr>
            <w:tcW w:w="1320" w:type="pct"/>
            <w:vAlign w:val="center"/>
          </w:tcPr>
          <w:p w14:paraId="40BE752F">
            <w:pPr>
              <w:pStyle w:val="13"/>
              <w:jc w:val="center"/>
              <w:rPr>
                <w:rFonts w:hint="eastAsia"/>
              </w:rPr>
            </w:pPr>
            <w:r>
              <w:rPr>
                <w:rFonts w:hint="eastAsia"/>
              </w:rPr>
              <w:t>8888.35</w:t>
            </w:r>
          </w:p>
        </w:tc>
      </w:tr>
      <w:tr w14:paraId="7DB19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26D8AA46">
            <w:pPr>
              <w:pStyle w:val="13"/>
              <w:ind w:firstLine="420" w:firstLineChars="200"/>
              <w:jc w:val="left"/>
              <w:rPr>
                <w:rFonts w:hint="eastAsia"/>
              </w:rPr>
            </w:pPr>
            <w:r>
              <w:rPr>
                <w:rFonts w:hint="eastAsia"/>
              </w:rPr>
              <w:t>其中：可支配收入</w:t>
            </w:r>
          </w:p>
        </w:tc>
        <w:tc>
          <w:tcPr>
            <w:tcW w:w="1320" w:type="pct"/>
            <w:vAlign w:val="center"/>
          </w:tcPr>
          <w:p w14:paraId="6850E1BC">
            <w:pPr>
              <w:pStyle w:val="13"/>
              <w:jc w:val="center"/>
              <w:rPr>
                <w:rFonts w:hint="eastAsia"/>
              </w:rPr>
            </w:pPr>
            <w:r>
              <w:rPr>
                <w:rFonts w:hint="eastAsia"/>
              </w:rPr>
              <w:t>元</w:t>
            </w:r>
          </w:p>
        </w:tc>
        <w:tc>
          <w:tcPr>
            <w:tcW w:w="1320" w:type="pct"/>
            <w:vAlign w:val="center"/>
          </w:tcPr>
          <w:p w14:paraId="4708D5D8">
            <w:pPr>
              <w:pStyle w:val="13"/>
              <w:jc w:val="center"/>
              <w:rPr>
                <w:rFonts w:hint="eastAsia"/>
              </w:rPr>
            </w:pPr>
            <w:r>
              <w:rPr>
                <w:rFonts w:hint="eastAsia"/>
              </w:rPr>
              <w:t>8603.80</w:t>
            </w:r>
          </w:p>
        </w:tc>
      </w:tr>
    </w:tbl>
    <w:p w14:paraId="18B36E5A">
      <w:pPr>
        <w:pStyle w:val="4"/>
        <w:rPr>
          <w:rFonts w:hint="eastAsia"/>
        </w:rPr>
      </w:pPr>
      <w:r>
        <w:t>表</w:t>
      </w:r>
      <w:r>
        <w:rPr>
          <w:rFonts w:hint="eastAsia"/>
        </w:rPr>
        <w:t>34-18  农村住户调查人均生活消费情况</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04"/>
        <w:gridCol w:w="2630"/>
        <w:gridCol w:w="2628"/>
      </w:tblGrid>
      <w:tr w14:paraId="3EC5B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5E17ACA9">
            <w:pPr>
              <w:pStyle w:val="13"/>
              <w:jc w:val="center"/>
              <w:rPr>
                <w:rFonts w:hint="eastAsia"/>
                <w:b/>
              </w:rPr>
            </w:pPr>
            <w:r>
              <w:rPr>
                <w:rFonts w:hint="eastAsia"/>
                <w:b/>
              </w:rPr>
              <w:t>指标名称</w:t>
            </w:r>
          </w:p>
        </w:tc>
        <w:tc>
          <w:tcPr>
            <w:tcW w:w="1320" w:type="pct"/>
            <w:vAlign w:val="center"/>
          </w:tcPr>
          <w:p w14:paraId="0AF51AF3">
            <w:pPr>
              <w:pStyle w:val="13"/>
              <w:jc w:val="center"/>
              <w:rPr>
                <w:rFonts w:hint="eastAsia"/>
                <w:b/>
              </w:rPr>
            </w:pPr>
            <w:r>
              <w:rPr>
                <w:rFonts w:hint="eastAsia"/>
                <w:b/>
              </w:rPr>
              <w:t>计算单位</w:t>
            </w:r>
          </w:p>
        </w:tc>
        <w:tc>
          <w:tcPr>
            <w:tcW w:w="1320" w:type="pct"/>
            <w:vAlign w:val="center"/>
          </w:tcPr>
          <w:p w14:paraId="69D3FE7B">
            <w:pPr>
              <w:pStyle w:val="13"/>
              <w:jc w:val="center"/>
              <w:rPr>
                <w:rFonts w:hint="eastAsia"/>
                <w:b/>
              </w:rPr>
            </w:pPr>
            <w:r>
              <w:rPr>
                <w:rFonts w:hint="eastAsia"/>
                <w:b/>
              </w:rPr>
              <w:t>2010年</w:t>
            </w:r>
          </w:p>
        </w:tc>
      </w:tr>
      <w:tr w14:paraId="57DF6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2D0F9A6F">
            <w:pPr>
              <w:pStyle w:val="13"/>
              <w:jc w:val="left"/>
              <w:rPr>
                <w:rFonts w:hint="eastAsia"/>
              </w:rPr>
            </w:pPr>
            <w:r>
              <w:rPr>
                <w:rFonts w:hint="eastAsia"/>
              </w:rPr>
              <w:t>生活消费支出</w:t>
            </w:r>
          </w:p>
        </w:tc>
        <w:tc>
          <w:tcPr>
            <w:tcW w:w="1320" w:type="pct"/>
            <w:vAlign w:val="center"/>
          </w:tcPr>
          <w:p w14:paraId="734EE581">
            <w:pPr>
              <w:pStyle w:val="13"/>
              <w:jc w:val="center"/>
              <w:rPr>
                <w:rFonts w:hint="eastAsia"/>
              </w:rPr>
            </w:pPr>
            <w:r>
              <w:rPr>
                <w:rFonts w:hint="eastAsia"/>
              </w:rPr>
              <w:t>元</w:t>
            </w:r>
          </w:p>
        </w:tc>
        <w:tc>
          <w:tcPr>
            <w:tcW w:w="1320" w:type="pct"/>
            <w:vAlign w:val="center"/>
          </w:tcPr>
          <w:p w14:paraId="320C7F48">
            <w:pPr>
              <w:pStyle w:val="13"/>
              <w:jc w:val="center"/>
              <w:rPr>
                <w:rFonts w:hint="eastAsia"/>
              </w:rPr>
            </w:pPr>
            <w:r>
              <w:rPr>
                <w:rFonts w:hint="eastAsia"/>
              </w:rPr>
              <w:t>7812.15</w:t>
            </w:r>
          </w:p>
        </w:tc>
      </w:tr>
      <w:tr w14:paraId="77621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392275A0">
            <w:pPr>
              <w:pStyle w:val="13"/>
              <w:jc w:val="left"/>
              <w:rPr>
                <w:rFonts w:hint="eastAsia"/>
              </w:rPr>
            </w:pPr>
            <w:r>
              <w:rPr>
                <w:rFonts w:hint="eastAsia"/>
              </w:rPr>
              <w:t>（一）食品</w:t>
            </w:r>
          </w:p>
        </w:tc>
        <w:tc>
          <w:tcPr>
            <w:tcW w:w="1320" w:type="pct"/>
            <w:vAlign w:val="center"/>
          </w:tcPr>
          <w:p w14:paraId="01DBDB63">
            <w:pPr>
              <w:pStyle w:val="13"/>
              <w:jc w:val="center"/>
              <w:rPr>
                <w:rFonts w:hint="eastAsia"/>
              </w:rPr>
            </w:pPr>
            <w:r>
              <w:rPr>
                <w:rFonts w:hint="eastAsia"/>
              </w:rPr>
              <w:t>元</w:t>
            </w:r>
          </w:p>
        </w:tc>
        <w:tc>
          <w:tcPr>
            <w:tcW w:w="1320" w:type="pct"/>
            <w:vAlign w:val="center"/>
          </w:tcPr>
          <w:p w14:paraId="49FC244A">
            <w:pPr>
              <w:pStyle w:val="13"/>
              <w:jc w:val="center"/>
              <w:rPr>
                <w:rFonts w:hint="eastAsia"/>
              </w:rPr>
            </w:pPr>
            <w:r>
              <w:rPr>
                <w:rFonts w:hint="eastAsia"/>
              </w:rPr>
              <w:t>3084.08</w:t>
            </w:r>
          </w:p>
        </w:tc>
      </w:tr>
      <w:tr w14:paraId="0E493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5BBC681B">
            <w:pPr>
              <w:pStyle w:val="13"/>
              <w:ind w:firstLine="420" w:firstLineChars="200"/>
              <w:jc w:val="left"/>
              <w:rPr>
                <w:rFonts w:hint="eastAsia"/>
              </w:rPr>
            </w:pPr>
            <w:r>
              <w:rPr>
                <w:rFonts w:hint="eastAsia"/>
              </w:rPr>
              <w:t>（1）谷物</w:t>
            </w:r>
          </w:p>
        </w:tc>
        <w:tc>
          <w:tcPr>
            <w:tcW w:w="1320" w:type="pct"/>
            <w:vAlign w:val="center"/>
          </w:tcPr>
          <w:p w14:paraId="63C46A73">
            <w:pPr>
              <w:pStyle w:val="13"/>
              <w:jc w:val="center"/>
              <w:rPr>
                <w:rFonts w:hint="eastAsia"/>
              </w:rPr>
            </w:pPr>
            <w:r>
              <w:rPr>
                <w:rFonts w:hint="eastAsia"/>
              </w:rPr>
              <w:t>元</w:t>
            </w:r>
          </w:p>
        </w:tc>
        <w:tc>
          <w:tcPr>
            <w:tcW w:w="1320" w:type="pct"/>
            <w:vAlign w:val="center"/>
          </w:tcPr>
          <w:p w14:paraId="74816076">
            <w:pPr>
              <w:pStyle w:val="13"/>
              <w:jc w:val="center"/>
              <w:rPr>
                <w:rFonts w:hint="eastAsia"/>
              </w:rPr>
            </w:pPr>
            <w:r>
              <w:rPr>
                <w:rFonts w:hint="eastAsia"/>
              </w:rPr>
              <w:t>531.59</w:t>
            </w:r>
          </w:p>
        </w:tc>
      </w:tr>
      <w:tr w14:paraId="115F3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61CA486B">
            <w:pPr>
              <w:pStyle w:val="13"/>
              <w:ind w:firstLine="420" w:firstLineChars="200"/>
              <w:jc w:val="left"/>
              <w:rPr>
                <w:rFonts w:hint="eastAsia"/>
              </w:rPr>
            </w:pPr>
            <w:r>
              <w:rPr>
                <w:rFonts w:hint="eastAsia"/>
              </w:rPr>
              <w:t>（3）食用油</w:t>
            </w:r>
          </w:p>
        </w:tc>
        <w:tc>
          <w:tcPr>
            <w:tcW w:w="1320" w:type="pct"/>
            <w:vAlign w:val="center"/>
          </w:tcPr>
          <w:p w14:paraId="17D3579E">
            <w:pPr>
              <w:pStyle w:val="13"/>
              <w:jc w:val="center"/>
              <w:rPr>
                <w:rFonts w:hint="eastAsia"/>
              </w:rPr>
            </w:pPr>
            <w:r>
              <w:rPr>
                <w:rFonts w:hint="eastAsia"/>
              </w:rPr>
              <w:t>元</w:t>
            </w:r>
          </w:p>
        </w:tc>
        <w:tc>
          <w:tcPr>
            <w:tcW w:w="1320" w:type="pct"/>
            <w:vAlign w:val="center"/>
          </w:tcPr>
          <w:p w14:paraId="564DCE35">
            <w:pPr>
              <w:pStyle w:val="13"/>
              <w:jc w:val="center"/>
              <w:rPr>
                <w:rFonts w:hint="eastAsia"/>
              </w:rPr>
            </w:pPr>
            <w:r>
              <w:rPr>
                <w:rFonts w:hint="eastAsia"/>
              </w:rPr>
              <w:t>14.34</w:t>
            </w:r>
          </w:p>
        </w:tc>
      </w:tr>
      <w:tr w14:paraId="125D5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528874B9">
            <w:pPr>
              <w:pStyle w:val="13"/>
              <w:ind w:firstLine="420" w:firstLineChars="200"/>
              <w:jc w:val="left"/>
              <w:rPr>
                <w:rFonts w:hint="eastAsia"/>
              </w:rPr>
            </w:pPr>
            <w:r>
              <w:rPr>
                <w:rFonts w:hint="eastAsia"/>
              </w:rPr>
              <w:t>（2）肉、禽、蛋、奶及制品</w:t>
            </w:r>
          </w:p>
        </w:tc>
        <w:tc>
          <w:tcPr>
            <w:tcW w:w="1320" w:type="pct"/>
            <w:vAlign w:val="center"/>
          </w:tcPr>
          <w:p w14:paraId="77756948">
            <w:pPr>
              <w:pStyle w:val="13"/>
              <w:jc w:val="center"/>
              <w:rPr>
                <w:rFonts w:hint="eastAsia"/>
              </w:rPr>
            </w:pPr>
            <w:r>
              <w:rPr>
                <w:rFonts w:hint="eastAsia"/>
              </w:rPr>
              <w:t>元</w:t>
            </w:r>
          </w:p>
        </w:tc>
        <w:tc>
          <w:tcPr>
            <w:tcW w:w="1320" w:type="pct"/>
            <w:vAlign w:val="center"/>
          </w:tcPr>
          <w:p w14:paraId="16E9C764">
            <w:pPr>
              <w:pStyle w:val="13"/>
              <w:jc w:val="center"/>
              <w:rPr>
                <w:rFonts w:hint="eastAsia"/>
              </w:rPr>
            </w:pPr>
            <w:r>
              <w:rPr>
                <w:rFonts w:hint="eastAsia"/>
              </w:rPr>
              <w:t>750.39</w:t>
            </w:r>
          </w:p>
        </w:tc>
      </w:tr>
      <w:tr w14:paraId="60B2F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05896AD8">
            <w:pPr>
              <w:pStyle w:val="13"/>
              <w:ind w:firstLine="420" w:firstLineChars="200"/>
              <w:jc w:val="left"/>
              <w:rPr>
                <w:rFonts w:hint="eastAsia"/>
              </w:rPr>
            </w:pPr>
            <w:r>
              <w:rPr>
                <w:rFonts w:hint="eastAsia"/>
              </w:rPr>
              <w:t>（4）在外饮食</w:t>
            </w:r>
          </w:p>
        </w:tc>
        <w:tc>
          <w:tcPr>
            <w:tcW w:w="1320" w:type="pct"/>
            <w:vAlign w:val="center"/>
          </w:tcPr>
          <w:p w14:paraId="13853398">
            <w:pPr>
              <w:pStyle w:val="13"/>
              <w:jc w:val="center"/>
              <w:rPr>
                <w:rFonts w:hint="eastAsia"/>
              </w:rPr>
            </w:pPr>
            <w:r>
              <w:rPr>
                <w:rFonts w:hint="eastAsia"/>
              </w:rPr>
              <w:t>元</w:t>
            </w:r>
          </w:p>
        </w:tc>
        <w:tc>
          <w:tcPr>
            <w:tcW w:w="1320" w:type="pct"/>
            <w:vAlign w:val="center"/>
          </w:tcPr>
          <w:p w14:paraId="3F9F3338">
            <w:pPr>
              <w:pStyle w:val="13"/>
              <w:jc w:val="center"/>
              <w:rPr>
                <w:rFonts w:hint="eastAsia"/>
              </w:rPr>
            </w:pPr>
            <w:r>
              <w:rPr>
                <w:rFonts w:hint="eastAsia"/>
              </w:rPr>
              <w:t>297.31</w:t>
            </w:r>
          </w:p>
        </w:tc>
      </w:tr>
      <w:tr w14:paraId="1CEEF6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53380706">
            <w:pPr>
              <w:pStyle w:val="13"/>
              <w:ind w:firstLine="420" w:firstLineChars="200"/>
              <w:jc w:val="left"/>
              <w:rPr>
                <w:rFonts w:hint="eastAsia"/>
              </w:rPr>
            </w:pPr>
            <w:r>
              <w:rPr>
                <w:rFonts w:hint="eastAsia"/>
              </w:rPr>
              <w:t>（5）食品加工</w:t>
            </w:r>
          </w:p>
        </w:tc>
        <w:tc>
          <w:tcPr>
            <w:tcW w:w="1320" w:type="pct"/>
            <w:vAlign w:val="center"/>
          </w:tcPr>
          <w:p w14:paraId="055C4769">
            <w:pPr>
              <w:pStyle w:val="13"/>
              <w:jc w:val="center"/>
              <w:rPr>
                <w:rFonts w:hint="eastAsia"/>
              </w:rPr>
            </w:pPr>
            <w:r>
              <w:rPr>
                <w:rFonts w:hint="eastAsia"/>
              </w:rPr>
              <w:t>元</w:t>
            </w:r>
          </w:p>
        </w:tc>
        <w:tc>
          <w:tcPr>
            <w:tcW w:w="1320" w:type="pct"/>
            <w:vAlign w:val="center"/>
          </w:tcPr>
          <w:p w14:paraId="6BE6ADBF">
            <w:pPr>
              <w:pStyle w:val="13"/>
              <w:jc w:val="center"/>
              <w:rPr>
                <w:rFonts w:hint="eastAsia"/>
              </w:rPr>
            </w:pPr>
            <w:r>
              <w:rPr>
                <w:rFonts w:hint="eastAsia"/>
              </w:rPr>
              <w:t>27.33</w:t>
            </w:r>
          </w:p>
        </w:tc>
      </w:tr>
      <w:tr w14:paraId="56103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049B2A93">
            <w:pPr>
              <w:pStyle w:val="13"/>
              <w:jc w:val="left"/>
              <w:rPr>
                <w:rFonts w:hint="eastAsia"/>
              </w:rPr>
            </w:pPr>
            <w:r>
              <w:rPr>
                <w:rFonts w:hint="eastAsia"/>
              </w:rPr>
              <w:t>（二）衣着</w:t>
            </w:r>
          </w:p>
        </w:tc>
        <w:tc>
          <w:tcPr>
            <w:tcW w:w="1320" w:type="pct"/>
            <w:vAlign w:val="center"/>
          </w:tcPr>
          <w:p w14:paraId="1BAC90F6">
            <w:pPr>
              <w:pStyle w:val="13"/>
              <w:jc w:val="center"/>
              <w:rPr>
                <w:rFonts w:hint="eastAsia"/>
              </w:rPr>
            </w:pPr>
            <w:r>
              <w:rPr>
                <w:rFonts w:hint="eastAsia"/>
              </w:rPr>
              <w:t>元</w:t>
            </w:r>
          </w:p>
        </w:tc>
        <w:tc>
          <w:tcPr>
            <w:tcW w:w="1320" w:type="pct"/>
            <w:vAlign w:val="center"/>
          </w:tcPr>
          <w:p w14:paraId="32BA5371">
            <w:pPr>
              <w:pStyle w:val="13"/>
              <w:jc w:val="center"/>
              <w:rPr>
                <w:rFonts w:hint="eastAsia"/>
              </w:rPr>
            </w:pPr>
            <w:r>
              <w:rPr>
                <w:rFonts w:hint="eastAsia"/>
              </w:rPr>
              <w:t>190.00</w:t>
            </w:r>
          </w:p>
        </w:tc>
      </w:tr>
      <w:tr w14:paraId="67047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6FF86590">
            <w:pPr>
              <w:pStyle w:val="13"/>
              <w:jc w:val="left"/>
              <w:rPr>
                <w:rFonts w:hint="eastAsia"/>
              </w:rPr>
            </w:pPr>
            <w:r>
              <w:rPr>
                <w:rFonts w:hint="eastAsia"/>
              </w:rPr>
              <w:t>（三）居住</w:t>
            </w:r>
          </w:p>
        </w:tc>
        <w:tc>
          <w:tcPr>
            <w:tcW w:w="1320" w:type="pct"/>
            <w:vAlign w:val="center"/>
          </w:tcPr>
          <w:p w14:paraId="4379FDDB">
            <w:pPr>
              <w:pStyle w:val="13"/>
              <w:jc w:val="center"/>
              <w:rPr>
                <w:rFonts w:hint="eastAsia"/>
              </w:rPr>
            </w:pPr>
            <w:r>
              <w:rPr>
                <w:rFonts w:hint="eastAsia"/>
              </w:rPr>
              <w:t>元</w:t>
            </w:r>
          </w:p>
        </w:tc>
        <w:tc>
          <w:tcPr>
            <w:tcW w:w="1320" w:type="pct"/>
            <w:vAlign w:val="center"/>
          </w:tcPr>
          <w:p w14:paraId="611808F6">
            <w:pPr>
              <w:pStyle w:val="13"/>
              <w:jc w:val="center"/>
              <w:rPr>
                <w:rFonts w:hint="eastAsia"/>
              </w:rPr>
            </w:pPr>
            <w:r>
              <w:rPr>
                <w:rFonts w:hint="eastAsia"/>
              </w:rPr>
              <w:t>2363.43</w:t>
            </w:r>
          </w:p>
        </w:tc>
      </w:tr>
      <w:tr w14:paraId="33245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39AF9550">
            <w:pPr>
              <w:pStyle w:val="13"/>
              <w:ind w:firstLine="420" w:firstLineChars="200"/>
              <w:jc w:val="left"/>
              <w:rPr>
                <w:rFonts w:hint="eastAsia"/>
              </w:rPr>
            </w:pPr>
            <w:r>
              <w:rPr>
                <w:rFonts w:hint="eastAsia"/>
              </w:rPr>
              <w:t>其中：（1）生活用燃料</w:t>
            </w:r>
          </w:p>
        </w:tc>
        <w:tc>
          <w:tcPr>
            <w:tcW w:w="1320" w:type="pct"/>
            <w:vAlign w:val="center"/>
          </w:tcPr>
          <w:p w14:paraId="1E6C3B3C">
            <w:pPr>
              <w:pStyle w:val="13"/>
              <w:jc w:val="center"/>
              <w:rPr>
                <w:rFonts w:hint="eastAsia"/>
              </w:rPr>
            </w:pPr>
            <w:r>
              <w:rPr>
                <w:rFonts w:hint="eastAsia"/>
              </w:rPr>
              <w:t>元</w:t>
            </w:r>
          </w:p>
        </w:tc>
        <w:tc>
          <w:tcPr>
            <w:tcW w:w="1320" w:type="pct"/>
            <w:vAlign w:val="center"/>
          </w:tcPr>
          <w:p w14:paraId="4F884345">
            <w:pPr>
              <w:pStyle w:val="13"/>
              <w:jc w:val="center"/>
              <w:rPr>
                <w:rFonts w:hint="eastAsia"/>
              </w:rPr>
            </w:pPr>
            <w:r>
              <w:rPr>
                <w:rFonts w:hint="eastAsia"/>
              </w:rPr>
              <w:t>142.90</w:t>
            </w:r>
          </w:p>
        </w:tc>
      </w:tr>
      <w:tr w14:paraId="52B9A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51BC986E">
            <w:pPr>
              <w:pStyle w:val="13"/>
              <w:ind w:firstLine="1050" w:firstLineChars="500"/>
              <w:jc w:val="left"/>
              <w:rPr>
                <w:rFonts w:hint="eastAsia"/>
              </w:rPr>
            </w:pPr>
            <w:r>
              <w:rPr>
                <w:rFonts w:hint="eastAsia"/>
              </w:rPr>
              <w:t>（2）电费</w:t>
            </w:r>
          </w:p>
        </w:tc>
        <w:tc>
          <w:tcPr>
            <w:tcW w:w="1320" w:type="pct"/>
            <w:vAlign w:val="center"/>
          </w:tcPr>
          <w:p w14:paraId="359312FF">
            <w:pPr>
              <w:pStyle w:val="13"/>
              <w:jc w:val="center"/>
              <w:rPr>
                <w:rFonts w:hint="eastAsia"/>
              </w:rPr>
            </w:pPr>
            <w:r>
              <w:rPr>
                <w:rFonts w:hint="eastAsia"/>
              </w:rPr>
              <w:t>元</w:t>
            </w:r>
          </w:p>
        </w:tc>
        <w:tc>
          <w:tcPr>
            <w:tcW w:w="1320" w:type="pct"/>
            <w:vAlign w:val="center"/>
          </w:tcPr>
          <w:p w14:paraId="5452EC17">
            <w:pPr>
              <w:pStyle w:val="13"/>
              <w:jc w:val="center"/>
              <w:rPr>
                <w:rFonts w:hint="eastAsia"/>
              </w:rPr>
            </w:pPr>
            <w:r>
              <w:rPr>
                <w:rFonts w:hint="eastAsia"/>
              </w:rPr>
              <w:t>84.51</w:t>
            </w:r>
          </w:p>
        </w:tc>
      </w:tr>
      <w:tr w14:paraId="69E0B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506AB2D0">
            <w:pPr>
              <w:pStyle w:val="13"/>
              <w:jc w:val="left"/>
              <w:rPr>
                <w:rFonts w:hint="eastAsia"/>
              </w:rPr>
            </w:pPr>
            <w:r>
              <w:rPr>
                <w:rFonts w:hint="eastAsia"/>
              </w:rPr>
              <w:t>（四）家庭设备用品及服务</w:t>
            </w:r>
          </w:p>
        </w:tc>
        <w:tc>
          <w:tcPr>
            <w:tcW w:w="1320" w:type="pct"/>
            <w:vAlign w:val="center"/>
          </w:tcPr>
          <w:p w14:paraId="4241FD92">
            <w:pPr>
              <w:pStyle w:val="13"/>
              <w:jc w:val="center"/>
              <w:rPr>
                <w:rFonts w:hint="eastAsia"/>
              </w:rPr>
            </w:pPr>
            <w:r>
              <w:rPr>
                <w:rFonts w:hint="eastAsia"/>
              </w:rPr>
              <w:t>元</w:t>
            </w:r>
          </w:p>
        </w:tc>
        <w:tc>
          <w:tcPr>
            <w:tcW w:w="1320" w:type="pct"/>
            <w:vAlign w:val="center"/>
          </w:tcPr>
          <w:p w14:paraId="098E9E91">
            <w:pPr>
              <w:pStyle w:val="13"/>
              <w:jc w:val="center"/>
              <w:rPr>
                <w:rFonts w:hint="eastAsia"/>
              </w:rPr>
            </w:pPr>
            <w:r>
              <w:rPr>
                <w:rFonts w:hint="eastAsia"/>
              </w:rPr>
              <w:t>471.54</w:t>
            </w:r>
          </w:p>
        </w:tc>
      </w:tr>
      <w:tr w14:paraId="448400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5CC1E5F3">
            <w:pPr>
              <w:pStyle w:val="13"/>
              <w:ind w:firstLine="420" w:firstLineChars="200"/>
              <w:jc w:val="left"/>
              <w:rPr>
                <w:rFonts w:hint="eastAsia"/>
              </w:rPr>
            </w:pPr>
            <w:r>
              <w:rPr>
                <w:rFonts w:hint="eastAsia"/>
              </w:rPr>
              <w:t>其中：（1）日用品</w:t>
            </w:r>
          </w:p>
        </w:tc>
        <w:tc>
          <w:tcPr>
            <w:tcW w:w="1320" w:type="pct"/>
            <w:vAlign w:val="center"/>
          </w:tcPr>
          <w:p w14:paraId="2A6EC8AB">
            <w:pPr>
              <w:pStyle w:val="13"/>
              <w:jc w:val="center"/>
              <w:rPr>
                <w:rFonts w:hint="eastAsia"/>
              </w:rPr>
            </w:pPr>
            <w:r>
              <w:rPr>
                <w:rFonts w:hint="eastAsia"/>
              </w:rPr>
              <w:t>元</w:t>
            </w:r>
          </w:p>
        </w:tc>
        <w:tc>
          <w:tcPr>
            <w:tcW w:w="1320" w:type="pct"/>
            <w:vAlign w:val="center"/>
          </w:tcPr>
          <w:p w14:paraId="17BA4289">
            <w:pPr>
              <w:pStyle w:val="13"/>
              <w:jc w:val="center"/>
              <w:rPr>
                <w:rFonts w:hint="eastAsia"/>
              </w:rPr>
            </w:pPr>
            <w:r>
              <w:rPr>
                <w:rFonts w:hint="eastAsia"/>
              </w:rPr>
              <w:t>165.31</w:t>
            </w:r>
          </w:p>
        </w:tc>
      </w:tr>
      <w:tr w14:paraId="16ACD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35B33C07">
            <w:pPr>
              <w:pStyle w:val="13"/>
              <w:ind w:firstLine="1050" w:firstLineChars="500"/>
              <w:jc w:val="left"/>
              <w:rPr>
                <w:rFonts w:hint="eastAsia"/>
              </w:rPr>
            </w:pPr>
            <w:r>
              <w:rPr>
                <w:rFonts w:hint="eastAsia"/>
              </w:rPr>
              <w:t>（2）床上用品</w:t>
            </w:r>
          </w:p>
        </w:tc>
        <w:tc>
          <w:tcPr>
            <w:tcW w:w="1320" w:type="pct"/>
            <w:vAlign w:val="center"/>
          </w:tcPr>
          <w:p w14:paraId="379B7085">
            <w:pPr>
              <w:pStyle w:val="13"/>
              <w:jc w:val="center"/>
              <w:rPr>
                <w:rFonts w:hint="eastAsia"/>
              </w:rPr>
            </w:pPr>
            <w:r>
              <w:rPr>
                <w:rFonts w:hint="eastAsia"/>
              </w:rPr>
              <w:t>元</w:t>
            </w:r>
          </w:p>
        </w:tc>
        <w:tc>
          <w:tcPr>
            <w:tcW w:w="1320" w:type="pct"/>
            <w:vAlign w:val="center"/>
          </w:tcPr>
          <w:p w14:paraId="4183F868">
            <w:pPr>
              <w:pStyle w:val="13"/>
              <w:jc w:val="center"/>
              <w:rPr>
                <w:rFonts w:hint="eastAsia"/>
              </w:rPr>
            </w:pPr>
            <w:r>
              <w:rPr>
                <w:rFonts w:hint="eastAsia"/>
              </w:rPr>
              <w:t>50.17</w:t>
            </w:r>
          </w:p>
        </w:tc>
      </w:tr>
      <w:tr w14:paraId="1F977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332D6FE8">
            <w:pPr>
              <w:pStyle w:val="13"/>
              <w:jc w:val="left"/>
              <w:rPr>
                <w:rFonts w:hint="eastAsia"/>
              </w:rPr>
            </w:pPr>
            <w:r>
              <w:rPr>
                <w:rFonts w:hint="eastAsia"/>
              </w:rPr>
              <w:t>（五）交通和通讯</w:t>
            </w:r>
          </w:p>
        </w:tc>
        <w:tc>
          <w:tcPr>
            <w:tcW w:w="1320" w:type="pct"/>
            <w:vAlign w:val="center"/>
          </w:tcPr>
          <w:p w14:paraId="6EEAF090">
            <w:pPr>
              <w:pStyle w:val="13"/>
              <w:jc w:val="center"/>
              <w:rPr>
                <w:rFonts w:hint="eastAsia"/>
              </w:rPr>
            </w:pPr>
            <w:r>
              <w:rPr>
                <w:rFonts w:hint="eastAsia"/>
              </w:rPr>
              <w:t>元</w:t>
            </w:r>
          </w:p>
        </w:tc>
        <w:tc>
          <w:tcPr>
            <w:tcW w:w="1320" w:type="pct"/>
            <w:vAlign w:val="center"/>
          </w:tcPr>
          <w:p w14:paraId="320A0CC4">
            <w:pPr>
              <w:pStyle w:val="13"/>
              <w:jc w:val="center"/>
              <w:rPr>
                <w:rFonts w:hint="eastAsia"/>
              </w:rPr>
            </w:pPr>
            <w:r>
              <w:rPr>
                <w:rFonts w:hint="eastAsia"/>
              </w:rPr>
              <w:t>556.49</w:t>
            </w:r>
          </w:p>
        </w:tc>
      </w:tr>
      <w:tr w14:paraId="3FF28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7009CF51">
            <w:pPr>
              <w:pStyle w:val="13"/>
              <w:jc w:val="left"/>
              <w:rPr>
                <w:rFonts w:hint="eastAsia"/>
              </w:rPr>
            </w:pPr>
            <w:r>
              <w:rPr>
                <w:rFonts w:hint="eastAsia"/>
              </w:rPr>
              <w:t>（六）文化教育娱乐消费支出</w:t>
            </w:r>
          </w:p>
        </w:tc>
        <w:tc>
          <w:tcPr>
            <w:tcW w:w="1320" w:type="pct"/>
            <w:vAlign w:val="center"/>
          </w:tcPr>
          <w:p w14:paraId="07DFA5BF">
            <w:pPr>
              <w:pStyle w:val="13"/>
              <w:jc w:val="center"/>
              <w:rPr>
                <w:rFonts w:hint="eastAsia"/>
              </w:rPr>
            </w:pPr>
            <w:r>
              <w:rPr>
                <w:rFonts w:hint="eastAsia"/>
              </w:rPr>
              <w:t>元</w:t>
            </w:r>
          </w:p>
        </w:tc>
        <w:tc>
          <w:tcPr>
            <w:tcW w:w="1320" w:type="pct"/>
            <w:vAlign w:val="center"/>
          </w:tcPr>
          <w:p w14:paraId="62961F84">
            <w:pPr>
              <w:pStyle w:val="13"/>
              <w:jc w:val="center"/>
              <w:rPr>
                <w:rFonts w:hint="eastAsia"/>
              </w:rPr>
            </w:pPr>
            <w:r>
              <w:rPr>
                <w:rFonts w:hint="eastAsia"/>
              </w:rPr>
              <w:t>371.21</w:t>
            </w:r>
          </w:p>
        </w:tc>
      </w:tr>
      <w:tr w14:paraId="2FD84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7C369E1E">
            <w:pPr>
              <w:pStyle w:val="13"/>
              <w:ind w:firstLine="420" w:firstLineChars="200"/>
              <w:jc w:val="left"/>
              <w:rPr>
                <w:rFonts w:hint="eastAsia"/>
              </w:rPr>
            </w:pPr>
            <w:r>
              <w:rPr>
                <w:rFonts w:hint="eastAsia"/>
              </w:rPr>
              <w:t>（1）文化教育娱乐用品消费支出</w:t>
            </w:r>
          </w:p>
        </w:tc>
        <w:tc>
          <w:tcPr>
            <w:tcW w:w="1320" w:type="pct"/>
            <w:vAlign w:val="center"/>
          </w:tcPr>
          <w:p w14:paraId="1E6A3AE6">
            <w:pPr>
              <w:pStyle w:val="13"/>
              <w:jc w:val="center"/>
              <w:rPr>
                <w:rFonts w:hint="eastAsia"/>
              </w:rPr>
            </w:pPr>
            <w:r>
              <w:rPr>
                <w:rFonts w:hint="eastAsia"/>
              </w:rPr>
              <w:t>元</w:t>
            </w:r>
          </w:p>
        </w:tc>
        <w:tc>
          <w:tcPr>
            <w:tcW w:w="1320" w:type="pct"/>
            <w:vAlign w:val="center"/>
          </w:tcPr>
          <w:p w14:paraId="54C71618">
            <w:pPr>
              <w:pStyle w:val="13"/>
              <w:jc w:val="center"/>
              <w:rPr>
                <w:rFonts w:hint="eastAsia"/>
              </w:rPr>
            </w:pPr>
            <w:r>
              <w:rPr>
                <w:rFonts w:hint="eastAsia"/>
              </w:rPr>
              <w:t>117.50</w:t>
            </w:r>
          </w:p>
        </w:tc>
      </w:tr>
      <w:tr w14:paraId="63BE7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7AFA6E23">
            <w:pPr>
              <w:pStyle w:val="13"/>
              <w:ind w:firstLine="420" w:firstLineChars="200"/>
              <w:jc w:val="left"/>
              <w:rPr>
                <w:rFonts w:hint="eastAsia"/>
              </w:rPr>
            </w:pPr>
            <w:r>
              <w:rPr>
                <w:rFonts w:hint="eastAsia"/>
              </w:rPr>
              <w:t>（2）教育服务消费支出</w:t>
            </w:r>
          </w:p>
        </w:tc>
        <w:tc>
          <w:tcPr>
            <w:tcW w:w="1320" w:type="pct"/>
            <w:vAlign w:val="center"/>
          </w:tcPr>
          <w:p w14:paraId="63E2B534">
            <w:pPr>
              <w:pStyle w:val="13"/>
              <w:jc w:val="center"/>
              <w:rPr>
                <w:rFonts w:hint="eastAsia"/>
              </w:rPr>
            </w:pPr>
            <w:r>
              <w:rPr>
                <w:rFonts w:hint="eastAsia"/>
              </w:rPr>
              <w:t>元</w:t>
            </w:r>
          </w:p>
        </w:tc>
        <w:tc>
          <w:tcPr>
            <w:tcW w:w="1320" w:type="pct"/>
            <w:vAlign w:val="center"/>
          </w:tcPr>
          <w:p w14:paraId="3D6695CE">
            <w:pPr>
              <w:pStyle w:val="13"/>
              <w:jc w:val="center"/>
              <w:rPr>
                <w:rFonts w:hint="eastAsia"/>
              </w:rPr>
            </w:pPr>
            <w:r>
              <w:rPr>
                <w:rFonts w:hint="eastAsia"/>
              </w:rPr>
              <w:t>202.59</w:t>
            </w:r>
          </w:p>
        </w:tc>
      </w:tr>
      <w:tr w14:paraId="009DA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5CF32EAA">
            <w:pPr>
              <w:pStyle w:val="13"/>
              <w:ind w:firstLine="420" w:firstLineChars="200"/>
              <w:jc w:val="left"/>
              <w:rPr>
                <w:rFonts w:hint="eastAsia"/>
              </w:rPr>
            </w:pPr>
            <w:r>
              <w:rPr>
                <w:rFonts w:hint="eastAsia"/>
              </w:rPr>
              <w:t>其中：（1）学杂费</w:t>
            </w:r>
          </w:p>
        </w:tc>
        <w:tc>
          <w:tcPr>
            <w:tcW w:w="1320" w:type="pct"/>
            <w:vAlign w:val="center"/>
          </w:tcPr>
          <w:p w14:paraId="7925DC32">
            <w:pPr>
              <w:pStyle w:val="13"/>
              <w:jc w:val="center"/>
              <w:rPr>
                <w:rFonts w:hint="eastAsia"/>
              </w:rPr>
            </w:pPr>
            <w:r>
              <w:rPr>
                <w:rFonts w:hint="eastAsia"/>
              </w:rPr>
              <w:t>元</w:t>
            </w:r>
          </w:p>
        </w:tc>
        <w:tc>
          <w:tcPr>
            <w:tcW w:w="1320" w:type="pct"/>
            <w:vAlign w:val="center"/>
          </w:tcPr>
          <w:p w14:paraId="7419D09A">
            <w:pPr>
              <w:pStyle w:val="13"/>
              <w:jc w:val="center"/>
              <w:rPr>
                <w:rFonts w:hint="eastAsia"/>
              </w:rPr>
            </w:pPr>
            <w:r>
              <w:rPr>
                <w:rFonts w:hint="eastAsia"/>
              </w:rPr>
              <w:t>153.73</w:t>
            </w:r>
          </w:p>
        </w:tc>
      </w:tr>
      <w:tr w14:paraId="5AEE2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5E177E60">
            <w:pPr>
              <w:pStyle w:val="13"/>
              <w:ind w:firstLine="1050" w:firstLineChars="500"/>
              <w:jc w:val="left"/>
              <w:rPr>
                <w:rFonts w:hint="eastAsia"/>
              </w:rPr>
            </w:pPr>
            <w:r>
              <w:rPr>
                <w:rFonts w:hint="eastAsia"/>
              </w:rPr>
              <w:t>（2）成人培训费</w:t>
            </w:r>
          </w:p>
        </w:tc>
        <w:tc>
          <w:tcPr>
            <w:tcW w:w="1320" w:type="pct"/>
            <w:vAlign w:val="center"/>
          </w:tcPr>
          <w:p w14:paraId="10958EE5">
            <w:pPr>
              <w:pStyle w:val="13"/>
              <w:jc w:val="center"/>
              <w:rPr>
                <w:rFonts w:hint="eastAsia"/>
              </w:rPr>
            </w:pPr>
            <w:r>
              <w:rPr>
                <w:rFonts w:hint="eastAsia"/>
              </w:rPr>
              <w:t>元</w:t>
            </w:r>
          </w:p>
        </w:tc>
        <w:tc>
          <w:tcPr>
            <w:tcW w:w="1320" w:type="pct"/>
            <w:vAlign w:val="center"/>
          </w:tcPr>
          <w:p w14:paraId="21D58516">
            <w:pPr>
              <w:pStyle w:val="13"/>
              <w:jc w:val="center"/>
              <w:rPr>
                <w:rFonts w:hint="eastAsia"/>
              </w:rPr>
            </w:pPr>
            <w:r>
              <w:rPr>
                <w:rFonts w:hint="eastAsia"/>
              </w:rPr>
              <w:t>8.99</w:t>
            </w:r>
          </w:p>
        </w:tc>
      </w:tr>
      <w:tr w14:paraId="3F576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030E3C42">
            <w:pPr>
              <w:pStyle w:val="13"/>
              <w:jc w:val="left"/>
              <w:rPr>
                <w:rFonts w:hint="eastAsia"/>
              </w:rPr>
            </w:pPr>
            <w:r>
              <w:rPr>
                <w:rFonts w:hint="eastAsia"/>
              </w:rPr>
              <w:t>（七）医疗保健</w:t>
            </w:r>
          </w:p>
        </w:tc>
        <w:tc>
          <w:tcPr>
            <w:tcW w:w="1320" w:type="pct"/>
            <w:vAlign w:val="center"/>
          </w:tcPr>
          <w:p w14:paraId="47CA2907">
            <w:pPr>
              <w:pStyle w:val="13"/>
              <w:jc w:val="center"/>
              <w:rPr>
                <w:rFonts w:hint="eastAsia"/>
              </w:rPr>
            </w:pPr>
            <w:r>
              <w:rPr>
                <w:rFonts w:hint="eastAsia"/>
              </w:rPr>
              <w:t>元</w:t>
            </w:r>
          </w:p>
        </w:tc>
        <w:tc>
          <w:tcPr>
            <w:tcW w:w="1320" w:type="pct"/>
            <w:vAlign w:val="center"/>
          </w:tcPr>
          <w:p w14:paraId="461AF67D">
            <w:pPr>
              <w:pStyle w:val="13"/>
              <w:jc w:val="center"/>
              <w:rPr>
                <w:rFonts w:hint="eastAsia"/>
              </w:rPr>
            </w:pPr>
            <w:r>
              <w:rPr>
                <w:rFonts w:hint="eastAsia"/>
              </w:rPr>
              <w:t>721.91</w:t>
            </w:r>
          </w:p>
        </w:tc>
      </w:tr>
      <w:tr w14:paraId="04503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6C30E42C">
            <w:pPr>
              <w:pStyle w:val="13"/>
              <w:jc w:val="left"/>
              <w:rPr>
                <w:rFonts w:hint="eastAsia"/>
              </w:rPr>
            </w:pPr>
            <w:r>
              <w:rPr>
                <w:rFonts w:hint="eastAsia"/>
              </w:rPr>
              <w:t>（八）其它商品和服务</w:t>
            </w:r>
          </w:p>
        </w:tc>
        <w:tc>
          <w:tcPr>
            <w:tcW w:w="1320" w:type="pct"/>
            <w:vAlign w:val="center"/>
          </w:tcPr>
          <w:p w14:paraId="0284FF58">
            <w:pPr>
              <w:pStyle w:val="13"/>
              <w:jc w:val="center"/>
              <w:rPr>
                <w:rFonts w:hint="eastAsia"/>
              </w:rPr>
            </w:pPr>
            <w:r>
              <w:rPr>
                <w:rFonts w:hint="eastAsia"/>
              </w:rPr>
              <w:t>元</w:t>
            </w:r>
          </w:p>
        </w:tc>
        <w:tc>
          <w:tcPr>
            <w:tcW w:w="1320" w:type="pct"/>
            <w:vAlign w:val="center"/>
          </w:tcPr>
          <w:p w14:paraId="6277FC7B">
            <w:pPr>
              <w:pStyle w:val="13"/>
              <w:jc w:val="center"/>
              <w:rPr>
                <w:rFonts w:hint="eastAsia"/>
              </w:rPr>
            </w:pPr>
            <w:r>
              <w:rPr>
                <w:rFonts w:hint="eastAsia"/>
              </w:rPr>
              <w:t>53.50</w:t>
            </w:r>
          </w:p>
        </w:tc>
      </w:tr>
    </w:tbl>
    <w:p w14:paraId="5CAB16B8">
      <w:pPr>
        <w:pStyle w:val="4"/>
        <w:rPr>
          <w:rFonts w:hint="eastAsia"/>
        </w:rPr>
      </w:pPr>
      <w:r>
        <w:t>表</w:t>
      </w:r>
      <w:r>
        <w:rPr>
          <w:rFonts w:hint="eastAsia"/>
        </w:rPr>
        <w:t>34-19  农村住户调查每户家庭年末商品拥有量</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12"/>
        <w:gridCol w:w="2525"/>
        <w:gridCol w:w="2525"/>
      </w:tblGrid>
      <w:tr w14:paraId="4A032E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50299B9C">
            <w:pPr>
              <w:pStyle w:val="13"/>
              <w:jc w:val="center"/>
              <w:rPr>
                <w:rFonts w:hint="eastAsia"/>
                <w:b/>
              </w:rPr>
            </w:pPr>
            <w:r>
              <w:rPr>
                <w:rFonts w:hint="eastAsia"/>
                <w:b/>
              </w:rPr>
              <w:t>指标名称</w:t>
            </w:r>
          </w:p>
        </w:tc>
        <w:tc>
          <w:tcPr>
            <w:tcW w:w="1267" w:type="pct"/>
            <w:vAlign w:val="center"/>
          </w:tcPr>
          <w:p w14:paraId="7C1BA344">
            <w:pPr>
              <w:pStyle w:val="13"/>
              <w:jc w:val="center"/>
              <w:rPr>
                <w:rFonts w:hint="eastAsia"/>
                <w:b/>
              </w:rPr>
            </w:pPr>
            <w:r>
              <w:rPr>
                <w:rFonts w:hint="eastAsia"/>
                <w:b/>
              </w:rPr>
              <w:t>计算单位</w:t>
            </w:r>
          </w:p>
        </w:tc>
        <w:tc>
          <w:tcPr>
            <w:tcW w:w="1267" w:type="pct"/>
            <w:vAlign w:val="center"/>
          </w:tcPr>
          <w:p w14:paraId="68D8B5CD">
            <w:pPr>
              <w:pStyle w:val="13"/>
              <w:jc w:val="center"/>
              <w:rPr>
                <w:rFonts w:hint="eastAsia"/>
                <w:b/>
              </w:rPr>
            </w:pPr>
            <w:r>
              <w:rPr>
                <w:rFonts w:hint="eastAsia"/>
                <w:b/>
              </w:rPr>
              <w:t>2010年</w:t>
            </w:r>
          </w:p>
        </w:tc>
      </w:tr>
      <w:tr w14:paraId="46FEF7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38C32211">
            <w:pPr>
              <w:pStyle w:val="13"/>
              <w:jc w:val="left"/>
              <w:rPr>
                <w:rFonts w:hint="eastAsia"/>
              </w:rPr>
            </w:pPr>
            <w:r>
              <w:rPr>
                <w:rFonts w:hint="eastAsia"/>
              </w:rPr>
              <w:t>洗衣机</w:t>
            </w:r>
          </w:p>
        </w:tc>
        <w:tc>
          <w:tcPr>
            <w:tcW w:w="1267" w:type="pct"/>
            <w:vAlign w:val="center"/>
          </w:tcPr>
          <w:p w14:paraId="26F80480">
            <w:pPr>
              <w:pStyle w:val="13"/>
              <w:jc w:val="center"/>
              <w:rPr>
                <w:rFonts w:hint="eastAsia"/>
              </w:rPr>
            </w:pPr>
            <w:r>
              <w:rPr>
                <w:rFonts w:hint="eastAsia"/>
              </w:rPr>
              <w:t>台</w:t>
            </w:r>
          </w:p>
        </w:tc>
        <w:tc>
          <w:tcPr>
            <w:tcW w:w="1267" w:type="pct"/>
            <w:vAlign w:val="center"/>
          </w:tcPr>
          <w:p w14:paraId="06351C15">
            <w:pPr>
              <w:pStyle w:val="13"/>
              <w:jc w:val="center"/>
              <w:rPr>
                <w:rFonts w:hint="eastAsia"/>
              </w:rPr>
            </w:pPr>
            <w:r>
              <w:rPr>
                <w:rFonts w:hint="eastAsia"/>
              </w:rPr>
              <w:t>5.71</w:t>
            </w:r>
          </w:p>
        </w:tc>
      </w:tr>
      <w:tr w14:paraId="752C2F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6BF174FD">
            <w:pPr>
              <w:pStyle w:val="13"/>
              <w:jc w:val="left"/>
              <w:rPr>
                <w:rFonts w:hint="eastAsia"/>
              </w:rPr>
            </w:pPr>
            <w:r>
              <w:rPr>
                <w:rFonts w:hint="eastAsia"/>
              </w:rPr>
              <w:t>电冰箱</w:t>
            </w:r>
          </w:p>
        </w:tc>
        <w:tc>
          <w:tcPr>
            <w:tcW w:w="1267" w:type="pct"/>
            <w:vAlign w:val="center"/>
          </w:tcPr>
          <w:p w14:paraId="6DE6092A">
            <w:pPr>
              <w:pStyle w:val="13"/>
              <w:jc w:val="center"/>
              <w:rPr>
                <w:rFonts w:hint="eastAsia"/>
              </w:rPr>
            </w:pPr>
            <w:r>
              <w:rPr>
                <w:rFonts w:hint="eastAsia"/>
              </w:rPr>
              <w:t>台</w:t>
            </w:r>
          </w:p>
        </w:tc>
        <w:tc>
          <w:tcPr>
            <w:tcW w:w="1267" w:type="pct"/>
            <w:vAlign w:val="center"/>
          </w:tcPr>
          <w:p w14:paraId="1E6F062E">
            <w:pPr>
              <w:pStyle w:val="13"/>
              <w:jc w:val="center"/>
              <w:rPr>
                <w:rFonts w:hint="eastAsia"/>
              </w:rPr>
            </w:pPr>
            <w:r>
              <w:rPr>
                <w:rFonts w:hint="eastAsia"/>
              </w:rPr>
              <w:t>58.57</w:t>
            </w:r>
          </w:p>
        </w:tc>
      </w:tr>
      <w:tr w14:paraId="587C8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396131DA">
            <w:pPr>
              <w:pStyle w:val="13"/>
              <w:jc w:val="left"/>
              <w:rPr>
                <w:rFonts w:hint="eastAsia"/>
              </w:rPr>
            </w:pPr>
            <w:r>
              <w:rPr>
                <w:rFonts w:hint="eastAsia"/>
              </w:rPr>
              <w:t>空调</w:t>
            </w:r>
          </w:p>
        </w:tc>
        <w:tc>
          <w:tcPr>
            <w:tcW w:w="1267" w:type="pct"/>
            <w:vAlign w:val="center"/>
          </w:tcPr>
          <w:p w14:paraId="2623988A">
            <w:pPr>
              <w:pStyle w:val="13"/>
              <w:jc w:val="center"/>
              <w:rPr>
                <w:rFonts w:hint="eastAsia"/>
              </w:rPr>
            </w:pPr>
            <w:r>
              <w:rPr>
                <w:rFonts w:hint="eastAsia"/>
              </w:rPr>
              <w:t>台</w:t>
            </w:r>
          </w:p>
        </w:tc>
        <w:tc>
          <w:tcPr>
            <w:tcW w:w="1267" w:type="pct"/>
            <w:vAlign w:val="center"/>
          </w:tcPr>
          <w:p w14:paraId="4CDD29F6">
            <w:pPr>
              <w:pStyle w:val="13"/>
              <w:jc w:val="center"/>
              <w:rPr>
                <w:rFonts w:hint="eastAsia"/>
              </w:rPr>
            </w:pPr>
            <w:r>
              <w:rPr>
                <w:rFonts w:hint="eastAsia"/>
              </w:rPr>
              <w:t>8.57</w:t>
            </w:r>
          </w:p>
        </w:tc>
      </w:tr>
      <w:tr w14:paraId="2884C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2963B16B">
            <w:pPr>
              <w:pStyle w:val="13"/>
              <w:jc w:val="left"/>
              <w:rPr>
                <w:rFonts w:hint="eastAsia"/>
              </w:rPr>
            </w:pPr>
            <w:r>
              <w:rPr>
                <w:rFonts w:hint="eastAsia"/>
              </w:rPr>
              <w:t>热水器</w:t>
            </w:r>
          </w:p>
        </w:tc>
        <w:tc>
          <w:tcPr>
            <w:tcW w:w="1267" w:type="pct"/>
            <w:vAlign w:val="center"/>
          </w:tcPr>
          <w:p w14:paraId="233F3A93">
            <w:pPr>
              <w:pStyle w:val="13"/>
              <w:jc w:val="center"/>
              <w:rPr>
                <w:rFonts w:hint="eastAsia"/>
              </w:rPr>
            </w:pPr>
            <w:r>
              <w:rPr>
                <w:rFonts w:hint="eastAsia"/>
              </w:rPr>
              <w:t>台</w:t>
            </w:r>
          </w:p>
        </w:tc>
        <w:tc>
          <w:tcPr>
            <w:tcW w:w="1267" w:type="pct"/>
            <w:vAlign w:val="center"/>
          </w:tcPr>
          <w:p w14:paraId="17E1A258">
            <w:pPr>
              <w:pStyle w:val="13"/>
              <w:jc w:val="center"/>
              <w:rPr>
                <w:rFonts w:hint="eastAsia"/>
              </w:rPr>
            </w:pPr>
            <w:r>
              <w:rPr>
                <w:rFonts w:hint="eastAsia"/>
              </w:rPr>
              <w:t>12.86</w:t>
            </w:r>
          </w:p>
        </w:tc>
      </w:tr>
      <w:tr w14:paraId="01CD8C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42E37369">
            <w:pPr>
              <w:pStyle w:val="13"/>
              <w:jc w:val="left"/>
              <w:rPr>
                <w:rFonts w:hint="eastAsia"/>
              </w:rPr>
            </w:pPr>
            <w:r>
              <w:rPr>
                <w:rFonts w:hint="eastAsia"/>
              </w:rPr>
              <w:t>自行车</w:t>
            </w:r>
          </w:p>
        </w:tc>
        <w:tc>
          <w:tcPr>
            <w:tcW w:w="1267" w:type="pct"/>
            <w:vAlign w:val="center"/>
          </w:tcPr>
          <w:p w14:paraId="125DE086">
            <w:pPr>
              <w:pStyle w:val="13"/>
              <w:jc w:val="center"/>
              <w:rPr>
                <w:rFonts w:hint="eastAsia"/>
              </w:rPr>
            </w:pPr>
            <w:r>
              <w:rPr>
                <w:rFonts w:hint="eastAsia"/>
              </w:rPr>
              <w:t>辆</w:t>
            </w:r>
          </w:p>
        </w:tc>
        <w:tc>
          <w:tcPr>
            <w:tcW w:w="1267" w:type="pct"/>
            <w:vAlign w:val="center"/>
          </w:tcPr>
          <w:p w14:paraId="07876394">
            <w:pPr>
              <w:pStyle w:val="13"/>
              <w:jc w:val="center"/>
              <w:rPr>
                <w:rFonts w:hint="eastAsia"/>
              </w:rPr>
            </w:pPr>
            <w:r>
              <w:rPr>
                <w:rFonts w:hint="eastAsia"/>
              </w:rPr>
              <w:t>165.71</w:t>
            </w:r>
          </w:p>
        </w:tc>
      </w:tr>
      <w:tr w14:paraId="72B2D0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36B6939F">
            <w:pPr>
              <w:pStyle w:val="13"/>
              <w:jc w:val="left"/>
              <w:rPr>
                <w:rFonts w:hint="eastAsia"/>
              </w:rPr>
            </w:pPr>
            <w:r>
              <w:rPr>
                <w:rFonts w:hint="eastAsia"/>
              </w:rPr>
              <w:t>摩托车</w:t>
            </w:r>
          </w:p>
        </w:tc>
        <w:tc>
          <w:tcPr>
            <w:tcW w:w="1267" w:type="pct"/>
            <w:vAlign w:val="center"/>
          </w:tcPr>
          <w:p w14:paraId="1F9E8D5E">
            <w:pPr>
              <w:pStyle w:val="13"/>
              <w:jc w:val="center"/>
              <w:rPr>
                <w:rFonts w:hint="eastAsia"/>
              </w:rPr>
            </w:pPr>
            <w:r>
              <w:rPr>
                <w:rFonts w:hint="eastAsia"/>
              </w:rPr>
              <w:t>辆</w:t>
            </w:r>
          </w:p>
        </w:tc>
        <w:tc>
          <w:tcPr>
            <w:tcW w:w="1267" w:type="pct"/>
            <w:vAlign w:val="center"/>
          </w:tcPr>
          <w:p w14:paraId="60BAF8CC">
            <w:pPr>
              <w:pStyle w:val="13"/>
              <w:jc w:val="center"/>
              <w:rPr>
                <w:rFonts w:hint="eastAsia"/>
              </w:rPr>
            </w:pPr>
            <w:r>
              <w:rPr>
                <w:rFonts w:hint="eastAsia"/>
              </w:rPr>
              <w:t>100</w:t>
            </w:r>
          </w:p>
        </w:tc>
      </w:tr>
      <w:tr w14:paraId="27C42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7E5FC3E7">
            <w:pPr>
              <w:pStyle w:val="13"/>
              <w:jc w:val="left"/>
              <w:rPr>
                <w:rFonts w:hint="eastAsia"/>
              </w:rPr>
            </w:pPr>
            <w:r>
              <w:rPr>
                <w:rFonts w:hint="eastAsia"/>
              </w:rPr>
              <w:t>电话</w:t>
            </w:r>
          </w:p>
        </w:tc>
        <w:tc>
          <w:tcPr>
            <w:tcW w:w="1267" w:type="pct"/>
            <w:vAlign w:val="center"/>
          </w:tcPr>
          <w:p w14:paraId="2A671A69">
            <w:pPr>
              <w:pStyle w:val="13"/>
              <w:jc w:val="center"/>
              <w:rPr>
                <w:rFonts w:hint="eastAsia"/>
              </w:rPr>
            </w:pPr>
            <w:r>
              <w:rPr>
                <w:rFonts w:hint="eastAsia"/>
              </w:rPr>
              <w:t>部</w:t>
            </w:r>
          </w:p>
        </w:tc>
        <w:tc>
          <w:tcPr>
            <w:tcW w:w="1267" w:type="pct"/>
            <w:vAlign w:val="center"/>
          </w:tcPr>
          <w:p w14:paraId="3A2BDF7B">
            <w:pPr>
              <w:pStyle w:val="13"/>
              <w:jc w:val="center"/>
              <w:rPr>
                <w:rFonts w:hint="eastAsia"/>
              </w:rPr>
            </w:pPr>
            <w:r>
              <w:rPr>
                <w:rFonts w:hint="eastAsia"/>
              </w:rPr>
              <w:t>97.14</w:t>
            </w:r>
          </w:p>
        </w:tc>
      </w:tr>
      <w:tr w14:paraId="479BC2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607A686B">
            <w:pPr>
              <w:pStyle w:val="13"/>
              <w:jc w:val="left"/>
              <w:rPr>
                <w:rFonts w:hint="eastAsia"/>
              </w:rPr>
            </w:pPr>
            <w:r>
              <w:rPr>
                <w:rFonts w:hint="eastAsia"/>
              </w:rPr>
              <w:t>彩色电视机</w:t>
            </w:r>
          </w:p>
        </w:tc>
        <w:tc>
          <w:tcPr>
            <w:tcW w:w="1267" w:type="pct"/>
            <w:vAlign w:val="center"/>
          </w:tcPr>
          <w:p w14:paraId="250358F9">
            <w:pPr>
              <w:pStyle w:val="13"/>
              <w:jc w:val="center"/>
              <w:rPr>
                <w:rFonts w:hint="eastAsia"/>
              </w:rPr>
            </w:pPr>
            <w:r>
              <w:rPr>
                <w:rFonts w:hint="eastAsia"/>
              </w:rPr>
              <w:t>台</w:t>
            </w:r>
          </w:p>
        </w:tc>
        <w:tc>
          <w:tcPr>
            <w:tcW w:w="1267" w:type="pct"/>
            <w:vAlign w:val="center"/>
          </w:tcPr>
          <w:p w14:paraId="619D436F">
            <w:pPr>
              <w:pStyle w:val="13"/>
              <w:jc w:val="center"/>
              <w:rPr>
                <w:rFonts w:hint="eastAsia"/>
              </w:rPr>
            </w:pPr>
            <w:r>
              <w:rPr>
                <w:rFonts w:hint="eastAsia"/>
              </w:rPr>
              <w:t>124.29</w:t>
            </w:r>
          </w:p>
        </w:tc>
      </w:tr>
      <w:tr w14:paraId="158BFD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777EE311">
            <w:pPr>
              <w:pStyle w:val="13"/>
              <w:jc w:val="left"/>
              <w:rPr>
                <w:rFonts w:hint="eastAsia"/>
              </w:rPr>
            </w:pPr>
            <w:r>
              <w:rPr>
                <w:rFonts w:hint="eastAsia"/>
              </w:rPr>
              <w:t>影碟机</w:t>
            </w:r>
          </w:p>
        </w:tc>
        <w:tc>
          <w:tcPr>
            <w:tcW w:w="1267" w:type="pct"/>
            <w:vAlign w:val="center"/>
          </w:tcPr>
          <w:p w14:paraId="7B3E666F">
            <w:pPr>
              <w:pStyle w:val="13"/>
              <w:jc w:val="center"/>
              <w:rPr>
                <w:rFonts w:hint="eastAsia"/>
              </w:rPr>
            </w:pPr>
            <w:r>
              <w:rPr>
                <w:rFonts w:hint="eastAsia"/>
              </w:rPr>
              <w:t>台</w:t>
            </w:r>
          </w:p>
        </w:tc>
        <w:tc>
          <w:tcPr>
            <w:tcW w:w="1267" w:type="pct"/>
            <w:vAlign w:val="center"/>
          </w:tcPr>
          <w:p w14:paraId="60CD9CC1">
            <w:pPr>
              <w:pStyle w:val="13"/>
              <w:jc w:val="center"/>
              <w:rPr>
                <w:rFonts w:hint="eastAsia"/>
              </w:rPr>
            </w:pPr>
            <w:r>
              <w:rPr>
                <w:rFonts w:hint="eastAsia"/>
              </w:rPr>
              <w:t>78.57</w:t>
            </w:r>
          </w:p>
        </w:tc>
      </w:tr>
      <w:tr w14:paraId="43E1D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7C795288">
            <w:pPr>
              <w:pStyle w:val="13"/>
              <w:jc w:val="left"/>
              <w:rPr>
                <w:rFonts w:hint="eastAsia"/>
              </w:rPr>
            </w:pPr>
            <w:r>
              <w:rPr>
                <w:rFonts w:hint="eastAsia"/>
              </w:rPr>
              <w:t>家用计算机</w:t>
            </w:r>
          </w:p>
        </w:tc>
        <w:tc>
          <w:tcPr>
            <w:tcW w:w="1267" w:type="pct"/>
            <w:vAlign w:val="center"/>
          </w:tcPr>
          <w:p w14:paraId="1F0D34D6">
            <w:pPr>
              <w:pStyle w:val="13"/>
              <w:jc w:val="center"/>
              <w:rPr>
                <w:rFonts w:hint="eastAsia"/>
              </w:rPr>
            </w:pPr>
            <w:r>
              <w:rPr>
                <w:rFonts w:hint="eastAsia"/>
              </w:rPr>
              <w:t>台</w:t>
            </w:r>
          </w:p>
        </w:tc>
        <w:tc>
          <w:tcPr>
            <w:tcW w:w="1267" w:type="pct"/>
            <w:vAlign w:val="center"/>
          </w:tcPr>
          <w:p w14:paraId="5D2AD9E3">
            <w:pPr>
              <w:pStyle w:val="13"/>
              <w:jc w:val="center"/>
              <w:rPr>
                <w:rFonts w:hint="eastAsia"/>
              </w:rPr>
            </w:pPr>
            <w:r>
              <w:rPr>
                <w:rFonts w:hint="eastAsia"/>
              </w:rPr>
              <w:t>2.86</w:t>
            </w:r>
          </w:p>
        </w:tc>
      </w:tr>
      <w:tr w14:paraId="2E075F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2D02DAB4">
            <w:pPr>
              <w:pStyle w:val="13"/>
              <w:jc w:val="left"/>
              <w:rPr>
                <w:rFonts w:hint="eastAsia"/>
              </w:rPr>
            </w:pPr>
            <w:r>
              <w:rPr>
                <w:rFonts w:hint="eastAsia"/>
              </w:rPr>
              <w:t>人均钢筋砖木结构住房面积</w:t>
            </w:r>
          </w:p>
        </w:tc>
        <w:tc>
          <w:tcPr>
            <w:tcW w:w="1267" w:type="pct"/>
            <w:vAlign w:val="center"/>
          </w:tcPr>
          <w:p w14:paraId="6CAC6A07">
            <w:pPr>
              <w:pStyle w:val="13"/>
              <w:jc w:val="center"/>
              <w:rPr>
                <w:rFonts w:hint="eastAsia"/>
              </w:rPr>
            </w:pPr>
            <w:r>
              <w:rPr>
                <w:rFonts w:hint="eastAsia"/>
              </w:rPr>
              <w:t>平方米</w:t>
            </w:r>
          </w:p>
        </w:tc>
        <w:tc>
          <w:tcPr>
            <w:tcW w:w="1267" w:type="pct"/>
            <w:vAlign w:val="center"/>
          </w:tcPr>
          <w:p w14:paraId="78C44602">
            <w:pPr>
              <w:pStyle w:val="13"/>
              <w:jc w:val="center"/>
              <w:rPr>
                <w:rFonts w:hint="eastAsia"/>
              </w:rPr>
            </w:pPr>
            <w:r>
              <w:rPr>
                <w:rFonts w:hint="eastAsia"/>
              </w:rPr>
              <w:t>25.9</w:t>
            </w:r>
          </w:p>
        </w:tc>
      </w:tr>
    </w:tbl>
    <w:p w14:paraId="5041CE3B">
      <w:pPr>
        <w:pStyle w:val="4"/>
        <w:rPr>
          <w:rFonts w:hint="eastAsia"/>
        </w:rPr>
      </w:pPr>
      <w:r>
        <w:t>表</w:t>
      </w:r>
      <w:r>
        <w:rPr>
          <w:rFonts w:hint="eastAsia"/>
        </w:rPr>
        <w:t>34-20  城镇住户调查人均收入情况</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12"/>
        <w:gridCol w:w="2525"/>
        <w:gridCol w:w="2525"/>
      </w:tblGrid>
      <w:tr w14:paraId="18EB6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45DDAD78">
            <w:pPr>
              <w:pStyle w:val="13"/>
              <w:jc w:val="center"/>
              <w:rPr>
                <w:rFonts w:hint="eastAsia"/>
                <w:b/>
              </w:rPr>
            </w:pPr>
            <w:r>
              <w:rPr>
                <w:rFonts w:hint="eastAsia"/>
                <w:b/>
              </w:rPr>
              <w:t>指标名称</w:t>
            </w:r>
          </w:p>
        </w:tc>
        <w:tc>
          <w:tcPr>
            <w:tcW w:w="1267" w:type="pct"/>
            <w:vAlign w:val="center"/>
          </w:tcPr>
          <w:p w14:paraId="63DC23B9">
            <w:pPr>
              <w:pStyle w:val="13"/>
              <w:jc w:val="center"/>
              <w:rPr>
                <w:rFonts w:hint="eastAsia"/>
                <w:b/>
              </w:rPr>
            </w:pPr>
            <w:r>
              <w:rPr>
                <w:rFonts w:hint="eastAsia"/>
                <w:b/>
              </w:rPr>
              <w:t>计算单位</w:t>
            </w:r>
          </w:p>
        </w:tc>
        <w:tc>
          <w:tcPr>
            <w:tcW w:w="1267" w:type="pct"/>
            <w:vAlign w:val="center"/>
          </w:tcPr>
          <w:p w14:paraId="0325D821">
            <w:pPr>
              <w:pStyle w:val="13"/>
              <w:jc w:val="center"/>
              <w:rPr>
                <w:rFonts w:hint="eastAsia"/>
                <w:b/>
              </w:rPr>
            </w:pPr>
            <w:r>
              <w:rPr>
                <w:rFonts w:hint="eastAsia"/>
                <w:b/>
              </w:rPr>
              <w:t>2010年</w:t>
            </w:r>
          </w:p>
        </w:tc>
      </w:tr>
      <w:tr w14:paraId="7A16C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0A92C68A">
            <w:pPr>
              <w:pStyle w:val="13"/>
              <w:jc w:val="left"/>
              <w:rPr>
                <w:rFonts w:hint="eastAsia"/>
              </w:rPr>
            </w:pPr>
            <w:r>
              <w:rPr>
                <w:rFonts w:hint="eastAsia"/>
              </w:rPr>
              <w:t>家庭总收入</w:t>
            </w:r>
          </w:p>
        </w:tc>
        <w:tc>
          <w:tcPr>
            <w:tcW w:w="1267" w:type="pct"/>
            <w:vAlign w:val="center"/>
          </w:tcPr>
          <w:p w14:paraId="3CE4BD6C">
            <w:pPr>
              <w:pStyle w:val="13"/>
              <w:jc w:val="center"/>
              <w:rPr>
                <w:rFonts w:hint="eastAsia"/>
              </w:rPr>
            </w:pPr>
            <w:r>
              <w:rPr>
                <w:rFonts w:hint="eastAsia"/>
              </w:rPr>
              <w:t>元/人</w:t>
            </w:r>
          </w:p>
        </w:tc>
        <w:tc>
          <w:tcPr>
            <w:tcW w:w="1267" w:type="pct"/>
            <w:vAlign w:val="center"/>
          </w:tcPr>
          <w:p w14:paraId="0416703E">
            <w:pPr>
              <w:pStyle w:val="13"/>
              <w:jc w:val="center"/>
              <w:rPr>
                <w:rFonts w:hint="eastAsia"/>
              </w:rPr>
            </w:pPr>
            <w:r>
              <w:rPr>
                <w:rFonts w:hint="eastAsia"/>
              </w:rPr>
              <w:t>12839.73</w:t>
            </w:r>
          </w:p>
        </w:tc>
      </w:tr>
      <w:tr w14:paraId="7FA23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21F13DE7">
            <w:pPr>
              <w:pStyle w:val="13"/>
              <w:ind w:firstLine="420" w:firstLineChars="200"/>
              <w:jc w:val="left"/>
              <w:rPr>
                <w:rFonts w:hint="eastAsia"/>
              </w:rPr>
            </w:pPr>
            <w:r>
              <w:rPr>
                <w:rFonts w:hint="eastAsia"/>
              </w:rPr>
              <w:t>其中：可支配收入</w:t>
            </w:r>
          </w:p>
        </w:tc>
        <w:tc>
          <w:tcPr>
            <w:tcW w:w="1267" w:type="pct"/>
            <w:vAlign w:val="center"/>
          </w:tcPr>
          <w:p w14:paraId="6590DB90">
            <w:pPr>
              <w:pStyle w:val="13"/>
              <w:jc w:val="center"/>
              <w:rPr>
                <w:rFonts w:hint="eastAsia"/>
              </w:rPr>
            </w:pPr>
            <w:r>
              <w:rPr>
                <w:rFonts w:hint="eastAsia"/>
              </w:rPr>
              <w:t>元/人</w:t>
            </w:r>
          </w:p>
        </w:tc>
        <w:tc>
          <w:tcPr>
            <w:tcW w:w="1267" w:type="pct"/>
            <w:vAlign w:val="center"/>
          </w:tcPr>
          <w:p w14:paraId="7BEB2AB4">
            <w:pPr>
              <w:pStyle w:val="13"/>
              <w:jc w:val="center"/>
              <w:rPr>
                <w:rFonts w:hint="eastAsia"/>
              </w:rPr>
            </w:pPr>
            <w:r>
              <w:rPr>
                <w:rFonts w:hint="eastAsia"/>
              </w:rPr>
              <w:t>11886.42</w:t>
            </w:r>
          </w:p>
        </w:tc>
      </w:tr>
      <w:tr w14:paraId="3005A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7CDB6A2F">
            <w:pPr>
              <w:pStyle w:val="13"/>
              <w:ind w:firstLine="210" w:firstLineChars="100"/>
              <w:jc w:val="left"/>
              <w:rPr>
                <w:rFonts w:hint="eastAsia"/>
              </w:rPr>
            </w:pPr>
            <w:r>
              <w:rPr>
                <w:rFonts w:hint="eastAsia"/>
              </w:rPr>
              <w:t>1、工薪收入</w:t>
            </w:r>
          </w:p>
        </w:tc>
        <w:tc>
          <w:tcPr>
            <w:tcW w:w="1267" w:type="pct"/>
            <w:vAlign w:val="center"/>
          </w:tcPr>
          <w:p w14:paraId="4B5973BB">
            <w:pPr>
              <w:pStyle w:val="13"/>
              <w:jc w:val="center"/>
              <w:rPr>
                <w:rFonts w:hint="eastAsia"/>
              </w:rPr>
            </w:pPr>
            <w:r>
              <w:rPr>
                <w:rFonts w:hint="eastAsia"/>
              </w:rPr>
              <w:t>元/人</w:t>
            </w:r>
          </w:p>
        </w:tc>
        <w:tc>
          <w:tcPr>
            <w:tcW w:w="1267" w:type="pct"/>
            <w:vAlign w:val="center"/>
          </w:tcPr>
          <w:p w14:paraId="607EF003">
            <w:pPr>
              <w:pStyle w:val="13"/>
              <w:jc w:val="center"/>
              <w:rPr>
                <w:rFonts w:hint="eastAsia"/>
              </w:rPr>
            </w:pPr>
            <w:r>
              <w:rPr>
                <w:rFonts w:hint="eastAsia"/>
              </w:rPr>
              <w:t>7831.11</w:t>
            </w:r>
          </w:p>
        </w:tc>
      </w:tr>
      <w:tr w14:paraId="5DE00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2F423224">
            <w:pPr>
              <w:pStyle w:val="13"/>
              <w:ind w:firstLine="420" w:firstLineChars="200"/>
              <w:jc w:val="left"/>
              <w:rPr>
                <w:rFonts w:hint="eastAsia"/>
              </w:rPr>
            </w:pPr>
            <w:r>
              <w:rPr>
                <w:rFonts w:hint="eastAsia"/>
              </w:rPr>
              <w:t>其中：工资及补贴收入</w:t>
            </w:r>
          </w:p>
        </w:tc>
        <w:tc>
          <w:tcPr>
            <w:tcW w:w="1267" w:type="pct"/>
            <w:vAlign w:val="center"/>
          </w:tcPr>
          <w:p w14:paraId="1D9E4CA8">
            <w:pPr>
              <w:pStyle w:val="13"/>
              <w:jc w:val="center"/>
              <w:rPr>
                <w:rFonts w:hint="eastAsia"/>
              </w:rPr>
            </w:pPr>
            <w:r>
              <w:rPr>
                <w:rFonts w:hint="eastAsia"/>
              </w:rPr>
              <w:t>元/人</w:t>
            </w:r>
          </w:p>
        </w:tc>
        <w:tc>
          <w:tcPr>
            <w:tcW w:w="1267" w:type="pct"/>
            <w:vAlign w:val="center"/>
          </w:tcPr>
          <w:p w14:paraId="2B990496">
            <w:pPr>
              <w:pStyle w:val="13"/>
              <w:jc w:val="center"/>
              <w:rPr>
                <w:rFonts w:hint="eastAsia"/>
              </w:rPr>
            </w:pPr>
            <w:r>
              <w:rPr>
                <w:rFonts w:hint="eastAsia"/>
              </w:rPr>
              <w:t>7799.05</w:t>
            </w:r>
          </w:p>
        </w:tc>
      </w:tr>
      <w:tr w14:paraId="69B1A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0F58303E">
            <w:pPr>
              <w:pStyle w:val="13"/>
              <w:ind w:firstLine="210" w:firstLineChars="100"/>
              <w:jc w:val="left"/>
              <w:rPr>
                <w:rFonts w:hint="eastAsia"/>
              </w:rPr>
            </w:pPr>
            <w:r>
              <w:rPr>
                <w:rFonts w:hint="eastAsia"/>
              </w:rPr>
              <w:t>2、经营收入</w:t>
            </w:r>
          </w:p>
        </w:tc>
        <w:tc>
          <w:tcPr>
            <w:tcW w:w="1267" w:type="pct"/>
            <w:vAlign w:val="center"/>
          </w:tcPr>
          <w:p w14:paraId="586C6AA9">
            <w:pPr>
              <w:pStyle w:val="13"/>
              <w:jc w:val="center"/>
              <w:rPr>
                <w:rFonts w:hint="eastAsia"/>
              </w:rPr>
            </w:pPr>
            <w:r>
              <w:rPr>
                <w:rFonts w:hint="eastAsia"/>
              </w:rPr>
              <w:t>元/人</w:t>
            </w:r>
          </w:p>
        </w:tc>
        <w:tc>
          <w:tcPr>
            <w:tcW w:w="1267" w:type="pct"/>
            <w:vAlign w:val="center"/>
          </w:tcPr>
          <w:p w14:paraId="56810869">
            <w:pPr>
              <w:pStyle w:val="13"/>
              <w:jc w:val="center"/>
              <w:rPr>
                <w:rFonts w:hint="eastAsia"/>
              </w:rPr>
            </w:pPr>
            <w:r>
              <w:rPr>
                <w:rFonts w:hint="eastAsia"/>
              </w:rPr>
              <w:t>1240.80</w:t>
            </w:r>
          </w:p>
        </w:tc>
      </w:tr>
      <w:tr w14:paraId="407A0D89">
        <w:tblPrEx>
          <w:tblCellMar>
            <w:top w:w="0" w:type="dxa"/>
            <w:left w:w="108" w:type="dxa"/>
            <w:bottom w:w="0" w:type="dxa"/>
            <w:right w:w="108" w:type="dxa"/>
          </w:tblCellMar>
        </w:tblPrEx>
        <w:tc>
          <w:tcPr>
            <w:tcW w:w="2465" w:type="pct"/>
            <w:vAlign w:val="center"/>
          </w:tcPr>
          <w:p w14:paraId="7551F762">
            <w:pPr>
              <w:pStyle w:val="13"/>
              <w:ind w:firstLine="210" w:firstLineChars="100"/>
              <w:jc w:val="left"/>
              <w:rPr>
                <w:rFonts w:hint="eastAsia"/>
              </w:rPr>
            </w:pPr>
            <w:r>
              <w:rPr>
                <w:rFonts w:hint="eastAsia"/>
              </w:rPr>
              <w:t>3、财产性收入</w:t>
            </w:r>
          </w:p>
        </w:tc>
        <w:tc>
          <w:tcPr>
            <w:tcW w:w="1267" w:type="pct"/>
            <w:vAlign w:val="center"/>
          </w:tcPr>
          <w:p w14:paraId="5807CEA0">
            <w:pPr>
              <w:pStyle w:val="13"/>
              <w:jc w:val="center"/>
              <w:rPr>
                <w:rFonts w:hint="eastAsia"/>
              </w:rPr>
            </w:pPr>
            <w:r>
              <w:rPr>
                <w:rFonts w:hint="eastAsia"/>
              </w:rPr>
              <w:t>元/人</w:t>
            </w:r>
          </w:p>
        </w:tc>
        <w:tc>
          <w:tcPr>
            <w:tcW w:w="1267" w:type="pct"/>
            <w:vAlign w:val="center"/>
          </w:tcPr>
          <w:p w14:paraId="4F4DEE7D">
            <w:pPr>
              <w:pStyle w:val="13"/>
              <w:jc w:val="center"/>
              <w:rPr>
                <w:rFonts w:hint="eastAsia"/>
              </w:rPr>
            </w:pPr>
            <w:r>
              <w:rPr>
                <w:rFonts w:hint="eastAsia"/>
              </w:rPr>
              <w:t>117.43</w:t>
            </w:r>
          </w:p>
        </w:tc>
      </w:tr>
      <w:tr w14:paraId="1BF54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55B2888D">
            <w:pPr>
              <w:pStyle w:val="13"/>
              <w:ind w:firstLine="210" w:firstLineChars="100"/>
              <w:jc w:val="left"/>
              <w:rPr>
                <w:rFonts w:hint="eastAsia"/>
              </w:rPr>
            </w:pPr>
            <w:r>
              <w:rPr>
                <w:rFonts w:hint="eastAsia"/>
              </w:rPr>
              <w:t>4、转移性收入</w:t>
            </w:r>
          </w:p>
        </w:tc>
        <w:tc>
          <w:tcPr>
            <w:tcW w:w="1267" w:type="pct"/>
            <w:vAlign w:val="center"/>
          </w:tcPr>
          <w:p w14:paraId="7DC219EB">
            <w:pPr>
              <w:pStyle w:val="13"/>
              <w:jc w:val="center"/>
              <w:rPr>
                <w:rFonts w:hint="eastAsia"/>
              </w:rPr>
            </w:pPr>
            <w:r>
              <w:rPr>
                <w:rFonts w:hint="eastAsia"/>
              </w:rPr>
              <w:t>元/人</w:t>
            </w:r>
          </w:p>
        </w:tc>
        <w:tc>
          <w:tcPr>
            <w:tcW w:w="1267" w:type="pct"/>
            <w:vAlign w:val="center"/>
          </w:tcPr>
          <w:p w14:paraId="2C6A79AD">
            <w:pPr>
              <w:pStyle w:val="13"/>
              <w:jc w:val="center"/>
              <w:rPr>
                <w:rFonts w:hint="eastAsia"/>
              </w:rPr>
            </w:pPr>
            <w:r>
              <w:rPr>
                <w:rFonts w:hint="eastAsia"/>
              </w:rPr>
              <w:t>3650.39</w:t>
            </w:r>
          </w:p>
        </w:tc>
      </w:tr>
      <w:tr w14:paraId="3CCBC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0C1CCBEF">
            <w:pPr>
              <w:pStyle w:val="13"/>
              <w:ind w:firstLine="420" w:firstLineChars="200"/>
              <w:jc w:val="left"/>
              <w:rPr>
                <w:rFonts w:hint="eastAsia"/>
              </w:rPr>
            </w:pPr>
            <w:r>
              <w:rPr>
                <w:rFonts w:hint="eastAsia"/>
              </w:rPr>
              <w:t>其中：养老金或离退休金</w:t>
            </w:r>
          </w:p>
        </w:tc>
        <w:tc>
          <w:tcPr>
            <w:tcW w:w="1267" w:type="pct"/>
            <w:vAlign w:val="center"/>
          </w:tcPr>
          <w:p w14:paraId="620794B6">
            <w:pPr>
              <w:pStyle w:val="13"/>
              <w:jc w:val="center"/>
              <w:rPr>
                <w:rFonts w:hint="eastAsia"/>
              </w:rPr>
            </w:pPr>
            <w:r>
              <w:rPr>
                <w:rFonts w:hint="eastAsia"/>
              </w:rPr>
              <w:t>元/人</w:t>
            </w:r>
          </w:p>
        </w:tc>
        <w:tc>
          <w:tcPr>
            <w:tcW w:w="1267" w:type="pct"/>
            <w:vAlign w:val="center"/>
          </w:tcPr>
          <w:p w14:paraId="7A69D02D">
            <w:pPr>
              <w:pStyle w:val="13"/>
              <w:jc w:val="center"/>
              <w:rPr>
                <w:rFonts w:hint="eastAsia"/>
              </w:rPr>
            </w:pPr>
            <w:r>
              <w:rPr>
                <w:rFonts w:hint="eastAsia"/>
              </w:rPr>
              <w:t>2339.36</w:t>
            </w:r>
          </w:p>
        </w:tc>
      </w:tr>
      <w:tr w14:paraId="08BB9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48551BE7">
            <w:pPr>
              <w:pStyle w:val="13"/>
              <w:ind w:firstLine="1050" w:firstLineChars="500"/>
              <w:jc w:val="left"/>
              <w:rPr>
                <w:rFonts w:hint="eastAsia"/>
              </w:rPr>
            </w:pPr>
            <w:r>
              <w:rPr>
                <w:rFonts w:hint="eastAsia"/>
              </w:rPr>
              <w:t>社会救济收入</w:t>
            </w:r>
          </w:p>
        </w:tc>
        <w:tc>
          <w:tcPr>
            <w:tcW w:w="1267" w:type="pct"/>
            <w:vAlign w:val="center"/>
          </w:tcPr>
          <w:p w14:paraId="55874219">
            <w:pPr>
              <w:pStyle w:val="13"/>
              <w:jc w:val="center"/>
              <w:rPr>
                <w:rFonts w:hint="eastAsia"/>
              </w:rPr>
            </w:pPr>
            <w:r>
              <w:rPr>
                <w:rFonts w:hint="eastAsia"/>
              </w:rPr>
              <w:t>元/人</w:t>
            </w:r>
          </w:p>
        </w:tc>
        <w:tc>
          <w:tcPr>
            <w:tcW w:w="1267" w:type="pct"/>
            <w:vAlign w:val="center"/>
          </w:tcPr>
          <w:p w14:paraId="54CCF2A5">
            <w:pPr>
              <w:pStyle w:val="13"/>
              <w:jc w:val="center"/>
              <w:rPr>
                <w:rFonts w:hint="eastAsia"/>
              </w:rPr>
            </w:pPr>
            <w:r>
              <w:rPr>
                <w:rFonts w:hint="eastAsia"/>
              </w:rPr>
              <w:t>39.25</w:t>
            </w:r>
          </w:p>
        </w:tc>
      </w:tr>
      <w:tr w14:paraId="43296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357851DB">
            <w:pPr>
              <w:pStyle w:val="13"/>
              <w:ind w:firstLine="1050" w:firstLineChars="500"/>
              <w:jc w:val="left"/>
              <w:rPr>
                <w:rFonts w:hint="eastAsia"/>
              </w:rPr>
            </w:pPr>
            <w:r>
              <w:rPr>
                <w:rFonts w:hint="eastAsia"/>
              </w:rPr>
              <w:t>赡养收入</w:t>
            </w:r>
          </w:p>
        </w:tc>
        <w:tc>
          <w:tcPr>
            <w:tcW w:w="1267" w:type="pct"/>
            <w:vAlign w:val="center"/>
          </w:tcPr>
          <w:p w14:paraId="61E59032">
            <w:pPr>
              <w:pStyle w:val="13"/>
              <w:jc w:val="center"/>
              <w:rPr>
                <w:rFonts w:hint="eastAsia"/>
              </w:rPr>
            </w:pPr>
            <w:r>
              <w:rPr>
                <w:rFonts w:hint="eastAsia"/>
              </w:rPr>
              <w:t>元/人</w:t>
            </w:r>
          </w:p>
        </w:tc>
        <w:tc>
          <w:tcPr>
            <w:tcW w:w="1267" w:type="pct"/>
            <w:vAlign w:val="center"/>
          </w:tcPr>
          <w:p w14:paraId="36389FDA">
            <w:pPr>
              <w:pStyle w:val="13"/>
              <w:jc w:val="center"/>
              <w:rPr>
                <w:rFonts w:hint="eastAsia"/>
              </w:rPr>
            </w:pPr>
            <w:r>
              <w:rPr>
                <w:rFonts w:hint="eastAsia"/>
              </w:rPr>
              <w:t>529.85</w:t>
            </w:r>
          </w:p>
        </w:tc>
      </w:tr>
      <w:tr w14:paraId="4D1501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04F07B56">
            <w:pPr>
              <w:pStyle w:val="13"/>
              <w:ind w:firstLine="1050" w:firstLineChars="500"/>
              <w:jc w:val="left"/>
              <w:rPr>
                <w:rFonts w:hint="eastAsia"/>
              </w:rPr>
            </w:pPr>
            <w:r>
              <w:rPr>
                <w:rFonts w:hint="eastAsia"/>
              </w:rPr>
              <w:t>捐赠收入</w:t>
            </w:r>
          </w:p>
        </w:tc>
        <w:tc>
          <w:tcPr>
            <w:tcW w:w="1267" w:type="pct"/>
            <w:vAlign w:val="center"/>
          </w:tcPr>
          <w:p w14:paraId="625D6A67">
            <w:pPr>
              <w:pStyle w:val="13"/>
              <w:jc w:val="center"/>
              <w:rPr>
                <w:rFonts w:hint="eastAsia"/>
              </w:rPr>
            </w:pPr>
            <w:r>
              <w:rPr>
                <w:rFonts w:hint="eastAsia"/>
              </w:rPr>
              <w:t>元/人</w:t>
            </w:r>
          </w:p>
        </w:tc>
        <w:tc>
          <w:tcPr>
            <w:tcW w:w="1267" w:type="pct"/>
            <w:vAlign w:val="center"/>
          </w:tcPr>
          <w:p w14:paraId="69857C3B">
            <w:pPr>
              <w:pStyle w:val="13"/>
              <w:jc w:val="center"/>
              <w:rPr>
                <w:rFonts w:hint="eastAsia"/>
              </w:rPr>
            </w:pPr>
            <w:r>
              <w:rPr>
                <w:rFonts w:hint="eastAsia"/>
              </w:rPr>
              <w:t>359.91</w:t>
            </w:r>
          </w:p>
        </w:tc>
      </w:tr>
      <w:tr w14:paraId="393EB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218F2336">
            <w:pPr>
              <w:pStyle w:val="13"/>
              <w:ind w:firstLine="1050" w:firstLineChars="500"/>
              <w:jc w:val="left"/>
              <w:rPr>
                <w:rFonts w:hint="eastAsia"/>
              </w:rPr>
            </w:pPr>
            <w:r>
              <w:rPr>
                <w:rFonts w:hint="eastAsia"/>
              </w:rPr>
              <w:t>记帐补贴</w:t>
            </w:r>
          </w:p>
        </w:tc>
        <w:tc>
          <w:tcPr>
            <w:tcW w:w="1267" w:type="pct"/>
            <w:vAlign w:val="center"/>
          </w:tcPr>
          <w:p w14:paraId="32154526">
            <w:pPr>
              <w:pStyle w:val="13"/>
              <w:jc w:val="center"/>
              <w:rPr>
                <w:rFonts w:hint="eastAsia"/>
              </w:rPr>
            </w:pPr>
            <w:r>
              <w:rPr>
                <w:rFonts w:hint="eastAsia"/>
              </w:rPr>
              <w:t>元/人</w:t>
            </w:r>
          </w:p>
        </w:tc>
        <w:tc>
          <w:tcPr>
            <w:tcW w:w="1267" w:type="pct"/>
            <w:vAlign w:val="center"/>
          </w:tcPr>
          <w:p w14:paraId="50CC6965">
            <w:pPr>
              <w:pStyle w:val="13"/>
              <w:jc w:val="center"/>
              <w:rPr>
                <w:rFonts w:hint="eastAsia"/>
              </w:rPr>
            </w:pPr>
            <w:r>
              <w:rPr>
                <w:rFonts w:hint="eastAsia"/>
              </w:rPr>
              <w:t>147.69</w:t>
            </w:r>
          </w:p>
        </w:tc>
      </w:tr>
      <w:tr w14:paraId="1834B4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693E944C">
            <w:pPr>
              <w:pStyle w:val="13"/>
              <w:ind w:firstLine="1050" w:firstLineChars="500"/>
              <w:jc w:val="left"/>
              <w:rPr>
                <w:rFonts w:hint="eastAsia"/>
              </w:rPr>
            </w:pPr>
            <w:r>
              <w:rPr>
                <w:rFonts w:hint="eastAsia"/>
              </w:rPr>
              <w:t>其他转移性收入</w:t>
            </w:r>
          </w:p>
        </w:tc>
        <w:tc>
          <w:tcPr>
            <w:tcW w:w="1267" w:type="pct"/>
            <w:vAlign w:val="center"/>
          </w:tcPr>
          <w:p w14:paraId="3156D379">
            <w:pPr>
              <w:pStyle w:val="13"/>
              <w:jc w:val="center"/>
              <w:rPr>
                <w:rFonts w:hint="eastAsia"/>
              </w:rPr>
            </w:pPr>
            <w:r>
              <w:rPr>
                <w:rFonts w:hint="eastAsia"/>
              </w:rPr>
              <w:t>元/人</w:t>
            </w:r>
          </w:p>
        </w:tc>
        <w:tc>
          <w:tcPr>
            <w:tcW w:w="1267" w:type="pct"/>
            <w:vAlign w:val="center"/>
          </w:tcPr>
          <w:p w14:paraId="3C3812CE">
            <w:pPr>
              <w:pStyle w:val="13"/>
              <w:jc w:val="center"/>
              <w:rPr>
                <w:rFonts w:hint="eastAsia"/>
              </w:rPr>
            </w:pPr>
            <w:r>
              <w:rPr>
                <w:rFonts w:hint="eastAsia"/>
              </w:rPr>
              <w:t>111.27</w:t>
            </w:r>
          </w:p>
        </w:tc>
      </w:tr>
      <w:tr w14:paraId="6F0CC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7AA08DF0">
            <w:pPr>
              <w:pStyle w:val="13"/>
              <w:ind w:firstLine="210" w:firstLineChars="100"/>
              <w:jc w:val="left"/>
              <w:rPr>
                <w:rFonts w:hint="eastAsia"/>
              </w:rPr>
            </w:pPr>
            <w:r>
              <w:rPr>
                <w:rFonts w:hint="eastAsia"/>
              </w:rPr>
              <w:t>5、出售财物收入</w:t>
            </w:r>
          </w:p>
        </w:tc>
        <w:tc>
          <w:tcPr>
            <w:tcW w:w="1267" w:type="pct"/>
            <w:vAlign w:val="center"/>
          </w:tcPr>
          <w:p w14:paraId="7D93998C">
            <w:pPr>
              <w:pStyle w:val="13"/>
              <w:jc w:val="center"/>
              <w:rPr>
                <w:rFonts w:hint="eastAsia"/>
              </w:rPr>
            </w:pPr>
            <w:r>
              <w:rPr>
                <w:rFonts w:hint="eastAsia"/>
              </w:rPr>
              <w:t>元/人</w:t>
            </w:r>
          </w:p>
        </w:tc>
        <w:tc>
          <w:tcPr>
            <w:tcW w:w="1267" w:type="pct"/>
            <w:vAlign w:val="center"/>
          </w:tcPr>
          <w:p w14:paraId="1619933C">
            <w:pPr>
              <w:pStyle w:val="13"/>
              <w:jc w:val="center"/>
              <w:rPr>
                <w:rFonts w:hint="eastAsia"/>
              </w:rPr>
            </w:pPr>
            <w:r>
              <w:rPr>
                <w:rFonts w:hint="eastAsia"/>
              </w:rPr>
              <w:t>3.40</w:t>
            </w:r>
          </w:p>
        </w:tc>
      </w:tr>
      <w:tr w14:paraId="0DFAC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1EF47F9D">
            <w:pPr>
              <w:pStyle w:val="13"/>
              <w:ind w:firstLine="210" w:firstLineChars="100"/>
              <w:jc w:val="left"/>
              <w:rPr>
                <w:rFonts w:hint="eastAsia"/>
              </w:rPr>
            </w:pPr>
            <w:r>
              <w:rPr>
                <w:rFonts w:hint="eastAsia"/>
              </w:rPr>
              <w:t>6、借贷收入</w:t>
            </w:r>
          </w:p>
        </w:tc>
        <w:tc>
          <w:tcPr>
            <w:tcW w:w="1267" w:type="pct"/>
            <w:vAlign w:val="center"/>
          </w:tcPr>
          <w:p w14:paraId="42875F84">
            <w:pPr>
              <w:pStyle w:val="13"/>
              <w:jc w:val="center"/>
              <w:rPr>
                <w:rFonts w:hint="eastAsia"/>
              </w:rPr>
            </w:pPr>
            <w:r>
              <w:rPr>
                <w:rFonts w:hint="eastAsia"/>
              </w:rPr>
              <w:t>元/人</w:t>
            </w:r>
          </w:p>
        </w:tc>
        <w:tc>
          <w:tcPr>
            <w:tcW w:w="1267" w:type="pct"/>
            <w:vAlign w:val="center"/>
          </w:tcPr>
          <w:p w14:paraId="77D86E71">
            <w:pPr>
              <w:pStyle w:val="13"/>
              <w:jc w:val="center"/>
            </w:pPr>
            <w:r>
              <w:rPr>
                <w:rFonts w:hint="eastAsia"/>
              </w:rPr>
              <w:t>4264.90</w:t>
            </w:r>
          </w:p>
        </w:tc>
      </w:tr>
    </w:tbl>
    <w:p w14:paraId="2B56CC77">
      <w:pPr>
        <w:pStyle w:val="4"/>
        <w:rPr>
          <w:rFonts w:hint="eastAsia"/>
        </w:rPr>
      </w:pPr>
      <w:r>
        <w:t>表</w:t>
      </w:r>
      <w:r>
        <w:rPr>
          <w:rFonts w:hint="eastAsia"/>
        </w:rPr>
        <w:t>34-21  城镇住户调查人均支出情况</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12"/>
        <w:gridCol w:w="2525"/>
        <w:gridCol w:w="2525"/>
      </w:tblGrid>
      <w:tr w14:paraId="2C45F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23F87ABD">
            <w:pPr>
              <w:pStyle w:val="13"/>
              <w:jc w:val="center"/>
              <w:rPr>
                <w:rFonts w:hint="eastAsia"/>
                <w:b/>
              </w:rPr>
            </w:pPr>
            <w:r>
              <w:rPr>
                <w:rFonts w:hint="eastAsia"/>
                <w:b/>
              </w:rPr>
              <w:t>指标名称</w:t>
            </w:r>
          </w:p>
        </w:tc>
        <w:tc>
          <w:tcPr>
            <w:tcW w:w="1267" w:type="pct"/>
            <w:vAlign w:val="center"/>
          </w:tcPr>
          <w:p w14:paraId="4E7C6255">
            <w:pPr>
              <w:pStyle w:val="13"/>
              <w:jc w:val="center"/>
              <w:rPr>
                <w:rFonts w:hint="eastAsia"/>
                <w:b/>
              </w:rPr>
            </w:pPr>
            <w:r>
              <w:rPr>
                <w:rFonts w:hint="eastAsia"/>
                <w:b/>
              </w:rPr>
              <w:t>计算单位</w:t>
            </w:r>
          </w:p>
        </w:tc>
        <w:tc>
          <w:tcPr>
            <w:tcW w:w="1267" w:type="pct"/>
            <w:vAlign w:val="center"/>
          </w:tcPr>
          <w:p w14:paraId="3CED7DFA">
            <w:pPr>
              <w:pStyle w:val="13"/>
              <w:jc w:val="center"/>
              <w:rPr>
                <w:rFonts w:hint="eastAsia"/>
                <w:b/>
              </w:rPr>
            </w:pPr>
            <w:r>
              <w:rPr>
                <w:rFonts w:hint="eastAsia"/>
                <w:b/>
              </w:rPr>
              <w:t>2010年</w:t>
            </w:r>
          </w:p>
        </w:tc>
      </w:tr>
      <w:tr w14:paraId="5A5E2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7344A8E0">
            <w:pPr>
              <w:pStyle w:val="13"/>
              <w:jc w:val="left"/>
              <w:rPr>
                <w:rFonts w:hint="eastAsia"/>
              </w:rPr>
            </w:pPr>
            <w:r>
              <w:rPr>
                <w:rFonts w:hint="eastAsia"/>
              </w:rPr>
              <w:t>家庭总支出</w:t>
            </w:r>
          </w:p>
        </w:tc>
        <w:tc>
          <w:tcPr>
            <w:tcW w:w="1267" w:type="pct"/>
            <w:vAlign w:val="center"/>
          </w:tcPr>
          <w:p w14:paraId="258D93BC">
            <w:pPr>
              <w:pStyle w:val="13"/>
              <w:jc w:val="center"/>
              <w:rPr>
                <w:rFonts w:hint="eastAsia"/>
              </w:rPr>
            </w:pPr>
            <w:r>
              <w:rPr>
                <w:rFonts w:hint="eastAsia"/>
              </w:rPr>
              <w:t>元/人</w:t>
            </w:r>
          </w:p>
        </w:tc>
        <w:tc>
          <w:tcPr>
            <w:tcW w:w="1267" w:type="pct"/>
            <w:vAlign w:val="center"/>
          </w:tcPr>
          <w:p w14:paraId="2505BF55">
            <w:pPr>
              <w:pStyle w:val="13"/>
              <w:jc w:val="center"/>
              <w:rPr>
                <w:rFonts w:hint="eastAsia"/>
              </w:rPr>
            </w:pPr>
            <w:r>
              <w:rPr>
                <w:rFonts w:hint="eastAsia"/>
              </w:rPr>
              <w:t>10048.23</w:t>
            </w:r>
          </w:p>
        </w:tc>
      </w:tr>
      <w:tr w14:paraId="231EE7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24AE9F5B">
            <w:pPr>
              <w:pStyle w:val="13"/>
              <w:ind w:firstLine="210" w:firstLineChars="100"/>
              <w:jc w:val="left"/>
              <w:rPr>
                <w:rFonts w:hint="eastAsia"/>
              </w:rPr>
            </w:pPr>
            <w:r>
              <w:rPr>
                <w:rFonts w:hint="eastAsia"/>
              </w:rPr>
              <w:t>1、消费支出</w:t>
            </w:r>
          </w:p>
        </w:tc>
        <w:tc>
          <w:tcPr>
            <w:tcW w:w="1267" w:type="pct"/>
            <w:vAlign w:val="center"/>
          </w:tcPr>
          <w:p w14:paraId="252BC799">
            <w:pPr>
              <w:pStyle w:val="13"/>
              <w:jc w:val="center"/>
              <w:rPr>
                <w:rFonts w:hint="eastAsia"/>
              </w:rPr>
            </w:pPr>
            <w:r>
              <w:rPr>
                <w:rFonts w:hint="eastAsia"/>
              </w:rPr>
              <w:t>元/人</w:t>
            </w:r>
          </w:p>
        </w:tc>
        <w:tc>
          <w:tcPr>
            <w:tcW w:w="1267" w:type="pct"/>
            <w:vAlign w:val="center"/>
          </w:tcPr>
          <w:p w14:paraId="6D377360">
            <w:pPr>
              <w:pStyle w:val="13"/>
              <w:jc w:val="center"/>
              <w:rPr>
                <w:rFonts w:hint="eastAsia"/>
              </w:rPr>
            </w:pPr>
            <w:r>
              <w:rPr>
                <w:rFonts w:hint="eastAsia"/>
              </w:rPr>
              <w:t>8141.66</w:t>
            </w:r>
          </w:p>
        </w:tc>
      </w:tr>
      <w:tr w14:paraId="018DC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4CF767E4">
            <w:pPr>
              <w:pStyle w:val="13"/>
              <w:ind w:firstLine="420" w:firstLineChars="200"/>
              <w:jc w:val="left"/>
              <w:rPr>
                <w:rFonts w:hint="eastAsia"/>
              </w:rPr>
            </w:pPr>
            <w:r>
              <w:rPr>
                <w:rFonts w:hint="eastAsia"/>
              </w:rPr>
              <w:t>其中：服务性消费支出</w:t>
            </w:r>
          </w:p>
        </w:tc>
        <w:tc>
          <w:tcPr>
            <w:tcW w:w="1267" w:type="pct"/>
            <w:vAlign w:val="center"/>
          </w:tcPr>
          <w:p w14:paraId="0412413B">
            <w:pPr>
              <w:pStyle w:val="13"/>
              <w:jc w:val="center"/>
              <w:rPr>
                <w:rFonts w:hint="eastAsia"/>
              </w:rPr>
            </w:pPr>
            <w:r>
              <w:rPr>
                <w:rFonts w:hint="eastAsia"/>
              </w:rPr>
              <w:t>元/人</w:t>
            </w:r>
          </w:p>
        </w:tc>
        <w:tc>
          <w:tcPr>
            <w:tcW w:w="1267" w:type="pct"/>
            <w:vAlign w:val="center"/>
          </w:tcPr>
          <w:p w14:paraId="11D54DB5">
            <w:pPr>
              <w:pStyle w:val="13"/>
              <w:jc w:val="center"/>
              <w:rPr>
                <w:rFonts w:hint="eastAsia"/>
              </w:rPr>
            </w:pPr>
            <w:r>
              <w:rPr>
                <w:rFonts w:hint="eastAsia"/>
              </w:rPr>
              <w:t>1925.51</w:t>
            </w:r>
          </w:p>
        </w:tc>
      </w:tr>
      <w:tr w14:paraId="4263FD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13AF7E05">
            <w:pPr>
              <w:pStyle w:val="13"/>
              <w:ind w:firstLine="420" w:firstLineChars="200"/>
              <w:jc w:val="left"/>
              <w:rPr>
                <w:rFonts w:hint="eastAsia"/>
              </w:rPr>
            </w:pPr>
            <w:r>
              <w:rPr>
                <w:rFonts w:hint="eastAsia"/>
              </w:rPr>
              <w:t>（1）食品</w:t>
            </w:r>
          </w:p>
        </w:tc>
        <w:tc>
          <w:tcPr>
            <w:tcW w:w="1267" w:type="pct"/>
            <w:vAlign w:val="center"/>
          </w:tcPr>
          <w:p w14:paraId="7BCBB90D">
            <w:pPr>
              <w:pStyle w:val="13"/>
              <w:jc w:val="center"/>
              <w:rPr>
                <w:rFonts w:hint="eastAsia"/>
              </w:rPr>
            </w:pPr>
            <w:r>
              <w:rPr>
                <w:rFonts w:hint="eastAsia"/>
              </w:rPr>
              <w:t>元/人</w:t>
            </w:r>
          </w:p>
        </w:tc>
        <w:tc>
          <w:tcPr>
            <w:tcW w:w="1267" w:type="pct"/>
            <w:vAlign w:val="center"/>
          </w:tcPr>
          <w:p w14:paraId="41961A8F">
            <w:pPr>
              <w:pStyle w:val="13"/>
              <w:jc w:val="center"/>
              <w:rPr>
                <w:rFonts w:hint="eastAsia"/>
              </w:rPr>
            </w:pPr>
            <w:r>
              <w:rPr>
                <w:rFonts w:hint="eastAsia"/>
              </w:rPr>
              <w:t>3231.87</w:t>
            </w:r>
          </w:p>
        </w:tc>
      </w:tr>
      <w:tr w14:paraId="5EFD99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48F78F55">
            <w:pPr>
              <w:pStyle w:val="13"/>
              <w:ind w:firstLine="420" w:firstLineChars="200"/>
              <w:jc w:val="left"/>
              <w:rPr>
                <w:rFonts w:hint="eastAsia"/>
              </w:rPr>
            </w:pPr>
            <w:r>
              <w:rPr>
                <w:rFonts w:hint="eastAsia"/>
              </w:rPr>
              <w:t>（2）衣着</w:t>
            </w:r>
          </w:p>
        </w:tc>
        <w:tc>
          <w:tcPr>
            <w:tcW w:w="1267" w:type="pct"/>
            <w:vAlign w:val="center"/>
          </w:tcPr>
          <w:p w14:paraId="39EFA9AD">
            <w:pPr>
              <w:pStyle w:val="13"/>
              <w:jc w:val="center"/>
              <w:rPr>
                <w:rFonts w:hint="eastAsia"/>
              </w:rPr>
            </w:pPr>
            <w:r>
              <w:rPr>
                <w:rFonts w:hint="eastAsia"/>
              </w:rPr>
              <w:t>元/人</w:t>
            </w:r>
          </w:p>
        </w:tc>
        <w:tc>
          <w:tcPr>
            <w:tcW w:w="1267" w:type="pct"/>
            <w:vAlign w:val="center"/>
          </w:tcPr>
          <w:p w14:paraId="7D5E5D1A">
            <w:pPr>
              <w:pStyle w:val="13"/>
              <w:jc w:val="center"/>
              <w:rPr>
                <w:rFonts w:hint="eastAsia"/>
              </w:rPr>
            </w:pPr>
            <w:r>
              <w:rPr>
                <w:rFonts w:hint="eastAsia"/>
              </w:rPr>
              <w:t>843.49</w:t>
            </w:r>
          </w:p>
        </w:tc>
      </w:tr>
      <w:tr w14:paraId="09F75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09997EF4">
            <w:pPr>
              <w:pStyle w:val="13"/>
              <w:ind w:firstLine="420" w:firstLineChars="200"/>
              <w:jc w:val="left"/>
              <w:rPr>
                <w:rFonts w:hint="eastAsia"/>
              </w:rPr>
            </w:pPr>
            <w:r>
              <w:rPr>
                <w:rFonts w:hint="eastAsia"/>
              </w:rPr>
              <w:t>（3）家庭设备用品及服务</w:t>
            </w:r>
          </w:p>
        </w:tc>
        <w:tc>
          <w:tcPr>
            <w:tcW w:w="1267" w:type="pct"/>
            <w:vAlign w:val="center"/>
          </w:tcPr>
          <w:p w14:paraId="520BA2FB">
            <w:pPr>
              <w:pStyle w:val="13"/>
              <w:jc w:val="center"/>
              <w:rPr>
                <w:rFonts w:hint="eastAsia"/>
              </w:rPr>
            </w:pPr>
            <w:r>
              <w:rPr>
                <w:rFonts w:hint="eastAsia"/>
              </w:rPr>
              <w:t>元/人</w:t>
            </w:r>
          </w:p>
        </w:tc>
        <w:tc>
          <w:tcPr>
            <w:tcW w:w="1267" w:type="pct"/>
            <w:vAlign w:val="center"/>
          </w:tcPr>
          <w:p w14:paraId="77D630D3">
            <w:pPr>
              <w:pStyle w:val="13"/>
              <w:jc w:val="center"/>
              <w:rPr>
                <w:rFonts w:hint="eastAsia"/>
              </w:rPr>
            </w:pPr>
            <w:r>
              <w:rPr>
                <w:rFonts w:hint="eastAsia"/>
              </w:rPr>
              <w:t>743.43</w:t>
            </w:r>
          </w:p>
        </w:tc>
      </w:tr>
      <w:tr w14:paraId="7D5BB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6ED5D55C">
            <w:pPr>
              <w:pStyle w:val="13"/>
              <w:ind w:firstLine="420" w:firstLineChars="200"/>
              <w:jc w:val="left"/>
              <w:rPr>
                <w:rFonts w:hint="eastAsia"/>
              </w:rPr>
            </w:pPr>
            <w:r>
              <w:rPr>
                <w:rFonts w:hint="eastAsia"/>
              </w:rPr>
              <w:t>（4）医疗保健</w:t>
            </w:r>
          </w:p>
        </w:tc>
        <w:tc>
          <w:tcPr>
            <w:tcW w:w="1267" w:type="pct"/>
            <w:vAlign w:val="center"/>
          </w:tcPr>
          <w:p w14:paraId="579956D3">
            <w:pPr>
              <w:pStyle w:val="13"/>
              <w:jc w:val="center"/>
              <w:rPr>
                <w:rFonts w:hint="eastAsia"/>
              </w:rPr>
            </w:pPr>
            <w:r>
              <w:rPr>
                <w:rFonts w:hint="eastAsia"/>
              </w:rPr>
              <w:t>元/人</w:t>
            </w:r>
          </w:p>
        </w:tc>
        <w:tc>
          <w:tcPr>
            <w:tcW w:w="1267" w:type="pct"/>
            <w:vAlign w:val="center"/>
          </w:tcPr>
          <w:p w14:paraId="227F70B7">
            <w:pPr>
              <w:pStyle w:val="13"/>
              <w:jc w:val="center"/>
              <w:rPr>
                <w:rFonts w:hint="eastAsia"/>
              </w:rPr>
            </w:pPr>
            <w:r>
              <w:rPr>
                <w:rFonts w:hint="eastAsia"/>
              </w:rPr>
              <w:t>394.89</w:t>
            </w:r>
          </w:p>
        </w:tc>
      </w:tr>
      <w:tr w14:paraId="24980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24FC9CCE">
            <w:pPr>
              <w:pStyle w:val="13"/>
              <w:ind w:firstLine="420" w:firstLineChars="200"/>
              <w:jc w:val="left"/>
              <w:rPr>
                <w:rFonts w:hint="eastAsia"/>
              </w:rPr>
            </w:pPr>
            <w:r>
              <w:rPr>
                <w:rFonts w:hint="eastAsia"/>
              </w:rPr>
              <w:t>（5）交通和通信</w:t>
            </w:r>
          </w:p>
        </w:tc>
        <w:tc>
          <w:tcPr>
            <w:tcW w:w="1267" w:type="pct"/>
            <w:vAlign w:val="center"/>
          </w:tcPr>
          <w:p w14:paraId="7880A5E3">
            <w:pPr>
              <w:pStyle w:val="13"/>
              <w:jc w:val="center"/>
              <w:rPr>
                <w:rFonts w:hint="eastAsia"/>
              </w:rPr>
            </w:pPr>
            <w:r>
              <w:rPr>
                <w:rFonts w:hint="eastAsia"/>
              </w:rPr>
              <w:t>元/人</w:t>
            </w:r>
          </w:p>
        </w:tc>
        <w:tc>
          <w:tcPr>
            <w:tcW w:w="1267" w:type="pct"/>
            <w:vAlign w:val="center"/>
          </w:tcPr>
          <w:p w14:paraId="4360EC44">
            <w:pPr>
              <w:pStyle w:val="13"/>
              <w:jc w:val="center"/>
              <w:rPr>
                <w:rFonts w:hint="eastAsia"/>
              </w:rPr>
            </w:pPr>
            <w:r>
              <w:rPr>
                <w:rFonts w:hint="eastAsia"/>
              </w:rPr>
              <w:t>898.19</w:t>
            </w:r>
          </w:p>
        </w:tc>
      </w:tr>
      <w:tr w14:paraId="3487B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3CD87276">
            <w:pPr>
              <w:pStyle w:val="13"/>
              <w:ind w:firstLine="420" w:firstLineChars="200"/>
              <w:jc w:val="left"/>
              <w:rPr>
                <w:rFonts w:hint="eastAsia"/>
              </w:rPr>
            </w:pPr>
            <w:r>
              <w:rPr>
                <w:rFonts w:hint="eastAsia"/>
              </w:rPr>
              <w:t>（6）教育文化娱乐服务</w:t>
            </w:r>
          </w:p>
        </w:tc>
        <w:tc>
          <w:tcPr>
            <w:tcW w:w="1267" w:type="pct"/>
            <w:vAlign w:val="center"/>
          </w:tcPr>
          <w:p w14:paraId="3C7A0614">
            <w:pPr>
              <w:pStyle w:val="13"/>
              <w:jc w:val="center"/>
              <w:rPr>
                <w:rFonts w:hint="eastAsia"/>
              </w:rPr>
            </w:pPr>
            <w:r>
              <w:rPr>
                <w:rFonts w:hint="eastAsia"/>
              </w:rPr>
              <w:t>元/人</w:t>
            </w:r>
          </w:p>
        </w:tc>
        <w:tc>
          <w:tcPr>
            <w:tcW w:w="1267" w:type="pct"/>
            <w:vAlign w:val="center"/>
          </w:tcPr>
          <w:p w14:paraId="2504D6A2">
            <w:pPr>
              <w:pStyle w:val="13"/>
              <w:jc w:val="center"/>
              <w:rPr>
                <w:rFonts w:hint="eastAsia"/>
              </w:rPr>
            </w:pPr>
            <w:r>
              <w:rPr>
                <w:rFonts w:hint="eastAsia"/>
              </w:rPr>
              <w:t>725.17</w:t>
            </w:r>
          </w:p>
        </w:tc>
      </w:tr>
      <w:tr w14:paraId="382D69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6DF9D254">
            <w:pPr>
              <w:pStyle w:val="13"/>
              <w:ind w:firstLine="420" w:firstLineChars="200"/>
              <w:jc w:val="left"/>
              <w:rPr>
                <w:rFonts w:hint="eastAsia"/>
              </w:rPr>
            </w:pPr>
            <w:r>
              <w:rPr>
                <w:rFonts w:hint="eastAsia"/>
              </w:rPr>
              <w:t>（7）居住</w:t>
            </w:r>
          </w:p>
        </w:tc>
        <w:tc>
          <w:tcPr>
            <w:tcW w:w="1267" w:type="pct"/>
            <w:vAlign w:val="center"/>
          </w:tcPr>
          <w:p w14:paraId="4325B774">
            <w:pPr>
              <w:pStyle w:val="13"/>
              <w:jc w:val="center"/>
              <w:rPr>
                <w:rFonts w:hint="eastAsia"/>
              </w:rPr>
            </w:pPr>
            <w:r>
              <w:rPr>
                <w:rFonts w:hint="eastAsia"/>
              </w:rPr>
              <w:t>元/人</w:t>
            </w:r>
          </w:p>
        </w:tc>
        <w:tc>
          <w:tcPr>
            <w:tcW w:w="1267" w:type="pct"/>
            <w:vAlign w:val="center"/>
          </w:tcPr>
          <w:p w14:paraId="0BE04065">
            <w:pPr>
              <w:pStyle w:val="13"/>
              <w:jc w:val="center"/>
              <w:rPr>
                <w:rFonts w:hint="eastAsia"/>
              </w:rPr>
            </w:pPr>
            <w:r>
              <w:rPr>
                <w:rFonts w:hint="eastAsia"/>
              </w:rPr>
              <w:t>1081.89</w:t>
            </w:r>
          </w:p>
        </w:tc>
      </w:tr>
      <w:tr w14:paraId="5795F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19A56E3B">
            <w:pPr>
              <w:pStyle w:val="13"/>
              <w:ind w:firstLine="210" w:firstLineChars="100"/>
              <w:jc w:val="left"/>
              <w:rPr>
                <w:rFonts w:hint="eastAsia"/>
              </w:rPr>
            </w:pPr>
            <w:r>
              <w:rPr>
                <w:rFonts w:hint="eastAsia"/>
              </w:rPr>
              <w:t>2、转移性支出</w:t>
            </w:r>
          </w:p>
        </w:tc>
        <w:tc>
          <w:tcPr>
            <w:tcW w:w="1267" w:type="pct"/>
            <w:vAlign w:val="center"/>
          </w:tcPr>
          <w:p w14:paraId="74B097FE">
            <w:pPr>
              <w:pStyle w:val="13"/>
              <w:jc w:val="center"/>
              <w:rPr>
                <w:rFonts w:hint="eastAsia"/>
              </w:rPr>
            </w:pPr>
            <w:r>
              <w:rPr>
                <w:rFonts w:hint="eastAsia"/>
              </w:rPr>
              <w:t>元/人</w:t>
            </w:r>
          </w:p>
        </w:tc>
        <w:tc>
          <w:tcPr>
            <w:tcW w:w="1267" w:type="pct"/>
            <w:vAlign w:val="center"/>
          </w:tcPr>
          <w:p w14:paraId="419CF015">
            <w:pPr>
              <w:pStyle w:val="13"/>
              <w:jc w:val="center"/>
              <w:rPr>
                <w:rFonts w:hint="eastAsia"/>
              </w:rPr>
            </w:pPr>
            <w:r>
              <w:rPr>
                <w:rFonts w:hint="eastAsia"/>
              </w:rPr>
              <w:t>1100.95</w:t>
            </w:r>
          </w:p>
        </w:tc>
      </w:tr>
      <w:tr w14:paraId="196A8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6A105FAD">
            <w:pPr>
              <w:pStyle w:val="13"/>
              <w:ind w:firstLine="420" w:firstLineChars="200"/>
              <w:jc w:val="left"/>
              <w:rPr>
                <w:rFonts w:hint="eastAsia"/>
              </w:rPr>
            </w:pPr>
            <w:r>
              <w:rPr>
                <w:rFonts w:hint="eastAsia"/>
              </w:rPr>
              <w:t>其中：捐赠支出</w:t>
            </w:r>
          </w:p>
        </w:tc>
        <w:tc>
          <w:tcPr>
            <w:tcW w:w="1267" w:type="pct"/>
            <w:vAlign w:val="center"/>
          </w:tcPr>
          <w:p w14:paraId="4A128456">
            <w:pPr>
              <w:pStyle w:val="13"/>
              <w:jc w:val="center"/>
              <w:rPr>
                <w:rFonts w:hint="eastAsia"/>
              </w:rPr>
            </w:pPr>
            <w:r>
              <w:rPr>
                <w:rFonts w:hint="eastAsia"/>
              </w:rPr>
              <w:t>元/人</w:t>
            </w:r>
          </w:p>
        </w:tc>
        <w:tc>
          <w:tcPr>
            <w:tcW w:w="1267" w:type="pct"/>
            <w:vAlign w:val="center"/>
          </w:tcPr>
          <w:p w14:paraId="43C84AE7">
            <w:pPr>
              <w:pStyle w:val="13"/>
              <w:jc w:val="center"/>
              <w:rPr>
                <w:rFonts w:hint="eastAsia"/>
              </w:rPr>
            </w:pPr>
            <w:r>
              <w:rPr>
                <w:rFonts w:hint="eastAsia"/>
              </w:rPr>
              <w:t>806.15</w:t>
            </w:r>
          </w:p>
        </w:tc>
      </w:tr>
      <w:tr w14:paraId="25FE8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36BA6DF2">
            <w:pPr>
              <w:pStyle w:val="13"/>
              <w:ind w:firstLine="1050" w:firstLineChars="500"/>
              <w:jc w:val="left"/>
              <w:rPr>
                <w:rFonts w:hint="eastAsia"/>
              </w:rPr>
            </w:pPr>
            <w:r>
              <w:rPr>
                <w:rFonts w:hint="eastAsia"/>
              </w:rPr>
              <w:t>赡养支出</w:t>
            </w:r>
          </w:p>
        </w:tc>
        <w:tc>
          <w:tcPr>
            <w:tcW w:w="1267" w:type="pct"/>
            <w:vAlign w:val="center"/>
          </w:tcPr>
          <w:p w14:paraId="1056EB90">
            <w:pPr>
              <w:pStyle w:val="13"/>
              <w:jc w:val="center"/>
              <w:rPr>
                <w:rFonts w:hint="eastAsia"/>
              </w:rPr>
            </w:pPr>
            <w:r>
              <w:rPr>
                <w:rFonts w:hint="eastAsia"/>
              </w:rPr>
              <w:t>元/人</w:t>
            </w:r>
          </w:p>
        </w:tc>
        <w:tc>
          <w:tcPr>
            <w:tcW w:w="1267" w:type="pct"/>
            <w:vAlign w:val="center"/>
          </w:tcPr>
          <w:p w14:paraId="1B8339B9">
            <w:pPr>
              <w:pStyle w:val="13"/>
              <w:jc w:val="center"/>
              <w:rPr>
                <w:rFonts w:hint="eastAsia"/>
              </w:rPr>
            </w:pPr>
            <w:r>
              <w:rPr>
                <w:rFonts w:hint="eastAsia"/>
              </w:rPr>
              <w:t>196.85</w:t>
            </w:r>
          </w:p>
        </w:tc>
      </w:tr>
      <w:tr w14:paraId="14A1E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2F765503">
            <w:pPr>
              <w:pStyle w:val="13"/>
              <w:jc w:val="left"/>
              <w:rPr>
                <w:rFonts w:hint="eastAsia"/>
              </w:rPr>
            </w:pPr>
            <w:r>
              <w:rPr>
                <w:rFonts w:hint="eastAsia"/>
              </w:rPr>
              <w:t>3、社会保障支出</w:t>
            </w:r>
          </w:p>
        </w:tc>
        <w:tc>
          <w:tcPr>
            <w:tcW w:w="1267" w:type="pct"/>
            <w:vAlign w:val="center"/>
          </w:tcPr>
          <w:p w14:paraId="608D4D2C">
            <w:pPr>
              <w:pStyle w:val="13"/>
              <w:jc w:val="center"/>
              <w:rPr>
                <w:rFonts w:hint="eastAsia"/>
              </w:rPr>
            </w:pPr>
            <w:r>
              <w:rPr>
                <w:rFonts w:hint="eastAsia"/>
              </w:rPr>
              <w:t>元/人</w:t>
            </w:r>
          </w:p>
        </w:tc>
        <w:tc>
          <w:tcPr>
            <w:tcW w:w="1267" w:type="pct"/>
            <w:vAlign w:val="center"/>
          </w:tcPr>
          <w:p w14:paraId="4EC42496">
            <w:pPr>
              <w:pStyle w:val="13"/>
              <w:jc w:val="center"/>
              <w:rPr>
                <w:rFonts w:hint="eastAsia"/>
              </w:rPr>
            </w:pPr>
            <w:r>
              <w:rPr>
                <w:rFonts w:hint="eastAsia"/>
              </w:rPr>
              <w:t>805.62</w:t>
            </w:r>
          </w:p>
        </w:tc>
      </w:tr>
      <w:tr w14:paraId="10CF9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0CA53CE5">
            <w:pPr>
              <w:pStyle w:val="13"/>
              <w:ind w:firstLine="420" w:firstLineChars="200"/>
              <w:jc w:val="left"/>
              <w:rPr>
                <w:rFonts w:hint="eastAsia"/>
              </w:rPr>
            </w:pPr>
            <w:r>
              <w:rPr>
                <w:rFonts w:hint="eastAsia"/>
              </w:rPr>
              <w:t>其中：个人交纳的养老基金</w:t>
            </w:r>
          </w:p>
        </w:tc>
        <w:tc>
          <w:tcPr>
            <w:tcW w:w="1267" w:type="pct"/>
            <w:vAlign w:val="center"/>
          </w:tcPr>
          <w:p w14:paraId="2171058C">
            <w:pPr>
              <w:pStyle w:val="13"/>
              <w:jc w:val="center"/>
              <w:rPr>
                <w:rFonts w:hint="eastAsia"/>
              </w:rPr>
            </w:pPr>
            <w:r>
              <w:rPr>
                <w:rFonts w:hint="eastAsia"/>
              </w:rPr>
              <w:t>元/人</w:t>
            </w:r>
          </w:p>
        </w:tc>
        <w:tc>
          <w:tcPr>
            <w:tcW w:w="1267" w:type="pct"/>
            <w:vAlign w:val="center"/>
          </w:tcPr>
          <w:p w14:paraId="00A79916">
            <w:pPr>
              <w:pStyle w:val="13"/>
              <w:jc w:val="center"/>
              <w:rPr>
                <w:rFonts w:hint="eastAsia"/>
              </w:rPr>
            </w:pPr>
            <w:r>
              <w:rPr>
                <w:rFonts w:hint="eastAsia"/>
              </w:rPr>
              <w:t>479.63</w:t>
            </w:r>
          </w:p>
        </w:tc>
      </w:tr>
      <w:tr w14:paraId="32E9DA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126A324A">
            <w:pPr>
              <w:pStyle w:val="13"/>
              <w:ind w:firstLine="1050" w:firstLineChars="500"/>
              <w:jc w:val="left"/>
              <w:rPr>
                <w:rFonts w:hint="eastAsia"/>
              </w:rPr>
            </w:pPr>
            <w:r>
              <w:rPr>
                <w:rFonts w:hint="eastAsia"/>
              </w:rPr>
              <w:t>个人交纳的医疗基金</w:t>
            </w:r>
          </w:p>
        </w:tc>
        <w:tc>
          <w:tcPr>
            <w:tcW w:w="1267" w:type="pct"/>
            <w:vAlign w:val="center"/>
          </w:tcPr>
          <w:p w14:paraId="561D358D">
            <w:pPr>
              <w:pStyle w:val="13"/>
              <w:jc w:val="center"/>
              <w:rPr>
                <w:rFonts w:hint="eastAsia"/>
              </w:rPr>
            </w:pPr>
            <w:r>
              <w:rPr>
                <w:rFonts w:hint="eastAsia"/>
              </w:rPr>
              <w:t>元/人</w:t>
            </w:r>
          </w:p>
        </w:tc>
        <w:tc>
          <w:tcPr>
            <w:tcW w:w="1267" w:type="pct"/>
            <w:vAlign w:val="center"/>
          </w:tcPr>
          <w:p w14:paraId="5B5F078B">
            <w:pPr>
              <w:pStyle w:val="13"/>
              <w:jc w:val="center"/>
              <w:rPr>
                <w:rFonts w:hint="eastAsia"/>
              </w:rPr>
            </w:pPr>
            <w:r>
              <w:rPr>
                <w:rFonts w:hint="eastAsia"/>
              </w:rPr>
              <w:t>129.46</w:t>
            </w:r>
          </w:p>
        </w:tc>
      </w:tr>
    </w:tbl>
    <w:p w14:paraId="0C1436CC">
      <w:pPr>
        <w:pStyle w:val="4"/>
        <w:rPr>
          <w:rFonts w:hint="eastAsia"/>
        </w:rPr>
      </w:pPr>
      <w:r>
        <w:t>表</w:t>
      </w:r>
      <w:r>
        <w:rPr>
          <w:rFonts w:hint="eastAsia"/>
        </w:rPr>
        <w:t>34-22  城镇住户年末耐用消费品拥有量</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21"/>
        <w:gridCol w:w="3321"/>
        <w:gridCol w:w="3320"/>
      </w:tblGrid>
      <w:tr w14:paraId="3207A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484A565D">
            <w:pPr>
              <w:pStyle w:val="13"/>
              <w:jc w:val="center"/>
              <w:rPr>
                <w:rFonts w:hint="eastAsia"/>
                <w:b/>
              </w:rPr>
            </w:pPr>
            <w:r>
              <w:rPr>
                <w:rFonts w:hint="eastAsia"/>
                <w:b/>
              </w:rPr>
              <w:t>指标名称</w:t>
            </w:r>
          </w:p>
        </w:tc>
        <w:tc>
          <w:tcPr>
            <w:tcW w:w="1667" w:type="pct"/>
            <w:vAlign w:val="center"/>
          </w:tcPr>
          <w:p w14:paraId="1040EB9C">
            <w:pPr>
              <w:pStyle w:val="13"/>
              <w:jc w:val="center"/>
              <w:rPr>
                <w:rFonts w:hint="eastAsia"/>
                <w:b/>
              </w:rPr>
            </w:pPr>
            <w:r>
              <w:rPr>
                <w:rFonts w:hint="eastAsia"/>
                <w:b/>
              </w:rPr>
              <w:t>计算单位</w:t>
            </w:r>
          </w:p>
        </w:tc>
        <w:tc>
          <w:tcPr>
            <w:tcW w:w="1667" w:type="pct"/>
            <w:vAlign w:val="center"/>
          </w:tcPr>
          <w:p w14:paraId="0EC5F008">
            <w:pPr>
              <w:pStyle w:val="13"/>
              <w:jc w:val="center"/>
              <w:rPr>
                <w:rFonts w:hint="eastAsia"/>
                <w:b/>
              </w:rPr>
            </w:pPr>
            <w:r>
              <w:rPr>
                <w:rFonts w:hint="eastAsia"/>
                <w:b/>
              </w:rPr>
              <w:t>2010年</w:t>
            </w:r>
          </w:p>
        </w:tc>
      </w:tr>
      <w:tr w14:paraId="5C524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1A866C22">
            <w:pPr>
              <w:pStyle w:val="13"/>
              <w:ind w:firstLine="420" w:firstLineChars="200"/>
              <w:jc w:val="left"/>
              <w:rPr>
                <w:rFonts w:hint="eastAsia"/>
              </w:rPr>
            </w:pPr>
            <w:r>
              <w:rPr>
                <w:rFonts w:hint="eastAsia"/>
              </w:rPr>
              <w:t>摩托车</w:t>
            </w:r>
          </w:p>
        </w:tc>
        <w:tc>
          <w:tcPr>
            <w:tcW w:w="1667" w:type="pct"/>
            <w:vAlign w:val="center"/>
          </w:tcPr>
          <w:p w14:paraId="05BA2C9D">
            <w:pPr>
              <w:pStyle w:val="13"/>
              <w:jc w:val="center"/>
              <w:rPr>
                <w:rFonts w:hint="eastAsia"/>
              </w:rPr>
            </w:pPr>
            <w:r>
              <w:rPr>
                <w:rFonts w:hint="eastAsia"/>
              </w:rPr>
              <w:t>辆/百户</w:t>
            </w:r>
          </w:p>
        </w:tc>
        <w:tc>
          <w:tcPr>
            <w:tcW w:w="1667" w:type="pct"/>
            <w:vAlign w:val="center"/>
          </w:tcPr>
          <w:p w14:paraId="5FE6D230">
            <w:pPr>
              <w:pStyle w:val="13"/>
              <w:jc w:val="center"/>
              <w:rPr>
                <w:rFonts w:hint="eastAsia"/>
              </w:rPr>
            </w:pPr>
            <w:r>
              <w:rPr>
                <w:rFonts w:hint="eastAsia"/>
              </w:rPr>
              <w:t>76.00</w:t>
            </w:r>
          </w:p>
        </w:tc>
      </w:tr>
      <w:tr w14:paraId="44BE4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5BF6F469">
            <w:pPr>
              <w:pStyle w:val="13"/>
              <w:ind w:firstLine="420" w:firstLineChars="200"/>
              <w:jc w:val="left"/>
              <w:rPr>
                <w:rFonts w:hint="eastAsia"/>
              </w:rPr>
            </w:pPr>
            <w:r>
              <w:rPr>
                <w:rFonts w:hint="eastAsia"/>
              </w:rPr>
              <w:t>助力车</w:t>
            </w:r>
          </w:p>
        </w:tc>
        <w:tc>
          <w:tcPr>
            <w:tcW w:w="1667" w:type="pct"/>
            <w:vAlign w:val="center"/>
          </w:tcPr>
          <w:p w14:paraId="6F05CB1C">
            <w:pPr>
              <w:pStyle w:val="13"/>
              <w:jc w:val="center"/>
              <w:rPr>
                <w:rFonts w:hint="eastAsia"/>
              </w:rPr>
            </w:pPr>
            <w:r>
              <w:rPr>
                <w:rFonts w:hint="eastAsia"/>
              </w:rPr>
              <w:t>辆/百户</w:t>
            </w:r>
          </w:p>
        </w:tc>
        <w:tc>
          <w:tcPr>
            <w:tcW w:w="1667" w:type="pct"/>
            <w:vAlign w:val="center"/>
          </w:tcPr>
          <w:p w14:paraId="715291F1">
            <w:pPr>
              <w:pStyle w:val="13"/>
              <w:jc w:val="center"/>
              <w:rPr>
                <w:rFonts w:hint="eastAsia"/>
              </w:rPr>
            </w:pPr>
            <w:r>
              <w:rPr>
                <w:rFonts w:hint="eastAsia"/>
              </w:rPr>
              <w:t>18.00</w:t>
            </w:r>
          </w:p>
        </w:tc>
      </w:tr>
      <w:tr w14:paraId="0B518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53505EDF">
            <w:pPr>
              <w:pStyle w:val="13"/>
              <w:ind w:firstLine="420" w:firstLineChars="200"/>
              <w:jc w:val="left"/>
              <w:rPr>
                <w:rFonts w:hint="eastAsia"/>
              </w:rPr>
            </w:pPr>
            <w:r>
              <w:rPr>
                <w:rFonts w:hint="eastAsia"/>
              </w:rPr>
              <w:t>家用汽车</w:t>
            </w:r>
          </w:p>
        </w:tc>
        <w:tc>
          <w:tcPr>
            <w:tcW w:w="1667" w:type="pct"/>
            <w:vAlign w:val="center"/>
          </w:tcPr>
          <w:p w14:paraId="20398B75">
            <w:pPr>
              <w:pStyle w:val="13"/>
              <w:jc w:val="center"/>
              <w:rPr>
                <w:rFonts w:hint="eastAsia"/>
              </w:rPr>
            </w:pPr>
            <w:r>
              <w:rPr>
                <w:rFonts w:hint="eastAsia"/>
              </w:rPr>
              <w:t>辆/百户</w:t>
            </w:r>
          </w:p>
        </w:tc>
        <w:tc>
          <w:tcPr>
            <w:tcW w:w="1667" w:type="pct"/>
            <w:vAlign w:val="center"/>
          </w:tcPr>
          <w:p w14:paraId="6B1FD2C8">
            <w:pPr>
              <w:pStyle w:val="13"/>
              <w:jc w:val="center"/>
              <w:rPr>
                <w:rFonts w:hint="eastAsia"/>
              </w:rPr>
            </w:pPr>
            <w:r>
              <w:rPr>
                <w:rFonts w:hint="eastAsia"/>
              </w:rPr>
              <w:t>10.00</w:t>
            </w:r>
          </w:p>
        </w:tc>
      </w:tr>
      <w:tr w14:paraId="691DA7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2AEB0172">
            <w:pPr>
              <w:pStyle w:val="13"/>
              <w:ind w:firstLine="420" w:firstLineChars="200"/>
              <w:jc w:val="left"/>
              <w:rPr>
                <w:rFonts w:hint="eastAsia"/>
              </w:rPr>
            </w:pPr>
            <w:r>
              <w:rPr>
                <w:rFonts w:hint="eastAsia"/>
              </w:rPr>
              <w:t>洗衣机</w:t>
            </w:r>
          </w:p>
        </w:tc>
        <w:tc>
          <w:tcPr>
            <w:tcW w:w="1667" w:type="pct"/>
            <w:vAlign w:val="center"/>
          </w:tcPr>
          <w:p w14:paraId="6DB653E6">
            <w:pPr>
              <w:pStyle w:val="13"/>
              <w:jc w:val="center"/>
              <w:rPr>
                <w:rFonts w:hint="eastAsia"/>
              </w:rPr>
            </w:pPr>
            <w:r>
              <w:rPr>
                <w:rFonts w:hint="eastAsia"/>
              </w:rPr>
              <w:t>台/百户</w:t>
            </w:r>
          </w:p>
        </w:tc>
        <w:tc>
          <w:tcPr>
            <w:tcW w:w="1667" w:type="pct"/>
            <w:vAlign w:val="center"/>
          </w:tcPr>
          <w:p w14:paraId="1DCF4426">
            <w:pPr>
              <w:pStyle w:val="13"/>
              <w:jc w:val="center"/>
              <w:rPr>
                <w:rFonts w:hint="eastAsia"/>
              </w:rPr>
            </w:pPr>
            <w:r>
              <w:rPr>
                <w:rFonts w:hint="eastAsia"/>
              </w:rPr>
              <w:t>94.00</w:t>
            </w:r>
          </w:p>
        </w:tc>
      </w:tr>
      <w:tr w14:paraId="51476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041FBF10">
            <w:pPr>
              <w:pStyle w:val="13"/>
              <w:ind w:firstLine="420" w:firstLineChars="200"/>
              <w:jc w:val="left"/>
              <w:rPr>
                <w:rFonts w:hint="eastAsia"/>
              </w:rPr>
            </w:pPr>
            <w:r>
              <w:rPr>
                <w:rFonts w:hint="eastAsia"/>
              </w:rPr>
              <w:t>电冰箱(柜)</w:t>
            </w:r>
          </w:p>
        </w:tc>
        <w:tc>
          <w:tcPr>
            <w:tcW w:w="1667" w:type="pct"/>
            <w:vAlign w:val="center"/>
          </w:tcPr>
          <w:p w14:paraId="14A1AB8A">
            <w:pPr>
              <w:pStyle w:val="13"/>
              <w:jc w:val="center"/>
              <w:rPr>
                <w:rFonts w:hint="eastAsia"/>
              </w:rPr>
            </w:pPr>
            <w:r>
              <w:rPr>
                <w:rFonts w:hint="eastAsia"/>
              </w:rPr>
              <w:t>台/百户</w:t>
            </w:r>
          </w:p>
        </w:tc>
        <w:tc>
          <w:tcPr>
            <w:tcW w:w="1667" w:type="pct"/>
            <w:vAlign w:val="center"/>
          </w:tcPr>
          <w:p w14:paraId="7626291E">
            <w:pPr>
              <w:pStyle w:val="13"/>
              <w:jc w:val="center"/>
              <w:rPr>
                <w:rFonts w:hint="eastAsia"/>
              </w:rPr>
            </w:pPr>
            <w:r>
              <w:rPr>
                <w:rFonts w:hint="eastAsia"/>
              </w:rPr>
              <w:t>94.00</w:t>
            </w:r>
          </w:p>
        </w:tc>
      </w:tr>
      <w:tr w14:paraId="792BA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7E93F173">
            <w:pPr>
              <w:pStyle w:val="13"/>
              <w:ind w:firstLine="420" w:firstLineChars="200"/>
              <w:jc w:val="left"/>
              <w:rPr>
                <w:rFonts w:hint="eastAsia"/>
              </w:rPr>
            </w:pPr>
            <w:r>
              <w:rPr>
                <w:rFonts w:hint="eastAsia"/>
              </w:rPr>
              <w:t>彩色电视机</w:t>
            </w:r>
          </w:p>
        </w:tc>
        <w:tc>
          <w:tcPr>
            <w:tcW w:w="1667" w:type="pct"/>
            <w:vAlign w:val="center"/>
          </w:tcPr>
          <w:p w14:paraId="38B954B9">
            <w:pPr>
              <w:pStyle w:val="13"/>
              <w:jc w:val="center"/>
              <w:rPr>
                <w:rFonts w:hint="eastAsia"/>
              </w:rPr>
            </w:pPr>
            <w:r>
              <w:rPr>
                <w:rFonts w:hint="eastAsia"/>
              </w:rPr>
              <w:t>台/百户</w:t>
            </w:r>
          </w:p>
        </w:tc>
        <w:tc>
          <w:tcPr>
            <w:tcW w:w="1667" w:type="pct"/>
            <w:vAlign w:val="center"/>
          </w:tcPr>
          <w:p w14:paraId="7FA69084">
            <w:pPr>
              <w:pStyle w:val="13"/>
              <w:jc w:val="center"/>
              <w:rPr>
                <w:rFonts w:hint="eastAsia"/>
              </w:rPr>
            </w:pPr>
            <w:r>
              <w:rPr>
                <w:rFonts w:hint="eastAsia"/>
              </w:rPr>
              <w:t>170.00</w:t>
            </w:r>
          </w:p>
        </w:tc>
      </w:tr>
      <w:tr w14:paraId="1B2DD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2E916E35">
            <w:pPr>
              <w:pStyle w:val="13"/>
              <w:ind w:firstLine="420" w:firstLineChars="200"/>
              <w:jc w:val="left"/>
              <w:rPr>
                <w:rFonts w:hint="eastAsia"/>
              </w:rPr>
            </w:pPr>
            <w:r>
              <w:rPr>
                <w:rFonts w:hint="eastAsia"/>
              </w:rPr>
              <w:t>家用电脑</w:t>
            </w:r>
          </w:p>
        </w:tc>
        <w:tc>
          <w:tcPr>
            <w:tcW w:w="1667" w:type="pct"/>
            <w:vAlign w:val="center"/>
          </w:tcPr>
          <w:p w14:paraId="7235EAD6">
            <w:pPr>
              <w:pStyle w:val="13"/>
              <w:jc w:val="center"/>
              <w:rPr>
                <w:rFonts w:hint="eastAsia"/>
              </w:rPr>
            </w:pPr>
            <w:r>
              <w:rPr>
                <w:rFonts w:hint="eastAsia"/>
              </w:rPr>
              <w:t>台/百户</w:t>
            </w:r>
          </w:p>
        </w:tc>
        <w:tc>
          <w:tcPr>
            <w:tcW w:w="1667" w:type="pct"/>
            <w:vAlign w:val="center"/>
          </w:tcPr>
          <w:p w14:paraId="27263E9E">
            <w:pPr>
              <w:pStyle w:val="13"/>
              <w:jc w:val="center"/>
              <w:rPr>
                <w:rFonts w:hint="eastAsia"/>
              </w:rPr>
            </w:pPr>
            <w:r>
              <w:rPr>
                <w:rFonts w:hint="eastAsia"/>
              </w:rPr>
              <w:t>62.00</w:t>
            </w:r>
          </w:p>
        </w:tc>
      </w:tr>
      <w:tr w14:paraId="4573C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71C325FE">
            <w:pPr>
              <w:pStyle w:val="13"/>
              <w:ind w:firstLine="420" w:firstLineChars="200"/>
              <w:jc w:val="left"/>
              <w:rPr>
                <w:rFonts w:hint="eastAsia"/>
              </w:rPr>
            </w:pPr>
            <w:r>
              <w:rPr>
                <w:rFonts w:hint="eastAsia"/>
              </w:rPr>
              <w:t>摄像机</w:t>
            </w:r>
          </w:p>
        </w:tc>
        <w:tc>
          <w:tcPr>
            <w:tcW w:w="1667" w:type="pct"/>
            <w:vAlign w:val="center"/>
          </w:tcPr>
          <w:p w14:paraId="136D4955">
            <w:pPr>
              <w:pStyle w:val="13"/>
              <w:jc w:val="center"/>
              <w:rPr>
                <w:rFonts w:hint="eastAsia"/>
              </w:rPr>
            </w:pPr>
            <w:r>
              <w:rPr>
                <w:rFonts w:hint="eastAsia"/>
              </w:rPr>
              <w:t>架/百户</w:t>
            </w:r>
          </w:p>
        </w:tc>
        <w:tc>
          <w:tcPr>
            <w:tcW w:w="1667" w:type="pct"/>
            <w:vAlign w:val="center"/>
          </w:tcPr>
          <w:p w14:paraId="6D8CA718">
            <w:pPr>
              <w:pStyle w:val="13"/>
              <w:jc w:val="center"/>
              <w:rPr>
                <w:rFonts w:hint="eastAsia"/>
              </w:rPr>
            </w:pPr>
            <w:r>
              <w:rPr>
                <w:rFonts w:hint="eastAsia"/>
              </w:rPr>
              <w:t>2.00</w:t>
            </w:r>
          </w:p>
        </w:tc>
      </w:tr>
      <w:tr w14:paraId="4B7DE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59955A56">
            <w:pPr>
              <w:pStyle w:val="13"/>
              <w:ind w:firstLine="420" w:firstLineChars="200"/>
              <w:jc w:val="left"/>
              <w:rPr>
                <w:rFonts w:hint="eastAsia"/>
              </w:rPr>
            </w:pPr>
            <w:r>
              <w:rPr>
                <w:rFonts w:hint="eastAsia"/>
              </w:rPr>
              <w:t>照相机</w:t>
            </w:r>
          </w:p>
        </w:tc>
        <w:tc>
          <w:tcPr>
            <w:tcW w:w="1667" w:type="pct"/>
            <w:vAlign w:val="center"/>
          </w:tcPr>
          <w:p w14:paraId="17CFCA14">
            <w:pPr>
              <w:pStyle w:val="13"/>
              <w:jc w:val="center"/>
              <w:rPr>
                <w:rFonts w:hint="eastAsia"/>
              </w:rPr>
            </w:pPr>
            <w:r>
              <w:rPr>
                <w:rFonts w:hint="eastAsia"/>
              </w:rPr>
              <w:t>架/百户</w:t>
            </w:r>
          </w:p>
        </w:tc>
        <w:tc>
          <w:tcPr>
            <w:tcW w:w="1667" w:type="pct"/>
            <w:vAlign w:val="center"/>
          </w:tcPr>
          <w:p w14:paraId="55A3AC1C">
            <w:pPr>
              <w:pStyle w:val="13"/>
              <w:jc w:val="center"/>
              <w:rPr>
                <w:rFonts w:hint="eastAsia"/>
              </w:rPr>
            </w:pPr>
            <w:r>
              <w:rPr>
                <w:rFonts w:hint="eastAsia"/>
              </w:rPr>
              <w:t>30.00</w:t>
            </w:r>
          </w:p>
        </w:tc>
      </w:tr>
      <w:tr w14:paraId="73A02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07F36FBA">
            <w:pPr>
              <w:pStyle w:val="13"/>
              <w:ind w:firstLine="420" w:firstLineChars="200"/>
              <w:jc w:val="left"/>
              <w:rPr>
                <w:rFonts w:hint="eastAsia"/>
              </w:rPr>
            </w:pPr>
            <w:r>
              <w:rPr>
                <w:rFonts w:hint="eastAsia"/>
              </w:rPr>
              <w:t>微波炉</w:t>
            </w:r>
          </w:p>
        </w:tc>
        <w:tc>
          <w:tcPr>
            <w:tcW w:w="1667" w:type="pct"/>
            <w:vAlign w:val="center"/>
          </w:tcPr>
          <w:p w14:paraId="3A8E3940">
            <w:pPr>
              <w:pStyle w:val="13"/>
              <w:jc w:val="center"/>
              <w:rPr>
                <w:rFonts w:hint="eastAsia"/>
              </w:rPr>
            </w:pPr>
            <w:r>
              <w:rPr>
                <w:rFonts w:hint="eastAsia"/>
              </w:rPr>
              <w:t>台/百户</w:t>
            </w:r>
          </w:p>
        </w:tc>
        <w:tc>
          <w:tcPr>
            <w:tcW w:w="1667" w:type="pct"/>
            <w:vAlign w:val="center"/>
          </w:tcPr>
          <w:p w14:paraId="1A61CBA6">
            <w:pPr>
              <w:pStyle w:val="13"/>
              <w:jc w:val="center"/>
              <w:rPr>
                <w:rFonts w:hint="eastAsia"/>
              </w:rPr>
            </w:pPr>
            <w:r>
              <w:rPr>
                <w:rFonts w:hint="eastAsia"/>
              </w:rPr>
              <w:t>44.00</w:t>
            </w:r>
          </w:p>
        </w:tc>
      </w:tr>
      <w:tr w14:paraId="6B729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7EDCCCB9">
            <w:pPr>
              <w:pStyle w:val="13"/>
              <w:ind w:firstLine="420" w:firstLineChars="200"/>
              <w:jc w:val="left"/>
              <w:rPr>
                <w:rFonts w:hint="eastAsia"/>
              </w:rPr>
            </w:pPr>
            <w:r>
              <w:rPr>
                <w:rFonts w:hint="eastAsia"/>
              </w:rPr>
              <w:t>空调器</w:t>
            </w:r>
          </w:p>
        </w:tc>
        <w:tc>
          <w:tcPr>
            <w:tcW w:w="1667" w:type="pct"/>
            <w:vAlign w:val="center"/>
          </w:tcPr>
          <w:p w14:paraId="0DC869F4">
            <w:pPr>
              <w:pStyle w:val="13"/>
              <w:jc w:val="center"/>
              <w:rPr>
                <w:rFonts w:hint="eastAsia"/>
              </w:rPr>
            </w:pPr>
            <w:r>
              <w:rPr>
                <w:rFonts w:hint="eastAsia"/>
              </w:rPr>
              <w:t>台/百户</w:t>
            </w:r>
          </w:p>
        </w:tc>
        <w:tc>
          <w:tcPr>
            <w:tcW w:w="1667" w:type="pct"/>
            <w:vAlign w:val="center"/>
          </w:tcPr>
          <w:p w14:paraId="7F90BE31">
            <w:pPr>
              <w:pStyle w:val="13"/>
              <w:jc w:val="center"/>
              <w:rPr>
                <w:rFonts w:hint="eastAsia"/>
              </w:rPr>
            </w:pPr>
            <w:r>
              <w:rPr>
                <w:rFonts w:hint="eastAsia"/>
              </w:rPr>
              <w:t>126.00</w:t>
            </w:r>
          </w:p>
        </w:tc>
      </w:tr>
      <w:tr w14:paraId="7AAFE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42C143E1">
            <w:pPr>
              <w:pStyle w:val="13"/>
              <w:ind w:firstLine="420" w:firstLineChars="200"/>
              <w:jc w:val="left"/>
              <w:rPr>
                <w:rFonts w:hint="eastAsia"/>
              </w:rPr>
            </w:pPr>
            <w:r>
              <w:rPr>
                <w:rFonts w:hint="eastAsia"/>
              </w:rPr>
              <w:t>固定电话</w:t>
            </w:r>
          </w:p>
        </w:tc>
        <w:tc>
          <w:tcPr>
            <w:tcW w:w="1667" w:type="pct"/>
            <w:vAlign w:val="center"/>
          </w:tcPr>
          <w:p w14:paraId="76A26BAB">
            <w:pPr>
              <w:pStyle w:val="13"/>
              <w:jc w:val="center"/>
              <w:rPr>
                <w:rFonts w:hint="eastAsia"/>
              </w:rPr>
            </w:pPr>
            <w:r>
              <w:rPr>
                <w:rFonts w:hint="eastAsia"/>
              </w:rPr>
              <w:t>部/百户</w:t>
            </w:r>
          </w:p>
        </w:tc>
        <w:tc>
          <w:tcPr>
            <w:tcW w:w="1667" w:type="pct"/>
            <w:vAlign w:val="center"/>
          </w:tcPr>
          <w:p w14:paraId="20A8F61D">
            <w:pPr>
              <w:pStyle w:val="13"/>
              <w:jc w:val="center"/>
              <w:rPr>
                <w:rFonts w:hint="eastAsia"/>
              </w:rPr>
            </w:pPr>
            <w:r>
              <w:rPr>
                <w:rFonts w:hint="eastAsia"/>
              </w:rPr>
              <w:t>60.00</w:t>
            </w:r>
          </w:p>
        </w:tc>
      </w:tr>
      <w:tr w14:paraId="1D9BDB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1CCD69AD">
            <w:pPr>
              <w:pStyle w:val="13"/>
              <w:ind w:firstLine="420" w:firstLineChars="200"/>
              <w:jc w:val="left"/>
              <w:rPr>
                <w:rFonts w:hint="eastAsia"/>
              </w:rPr>
            </w:pPr>
            <w:r>
              <w:rPr>
                <w:rFonts w:hint="eastAsia"/>
              </w:rPr>
              <w:t>移动电话</w:t>
            </w:r>
          </w:p>
        </w:tc>
        <w:tc>
          <w:tcPr>
            <w:tcW w:w="1667" w:type="pct"/>
            <w:vAlign w:val="center"/>
          </w:tcPr>
          <w:p w14:paraId="00F6DDBA">
            <w:pPr>
              <w:pStyle w:val="13"/>
              <w:jc w:val="center"/>
              <w:rPr>
                <w:rFonts w:hint="eastAsia"/>
              </w:rPr>
            </w:pPr>
            <w:r>
              <w:rPr>
                <w:rFonts w:hint="eastAsia"/>
              </w:rPr>
              <w:t>部/百户</w:t>
            </w:r>
          </w:p>
        </w:tc>
        <w:tc>
          <w:tcPr>
            <w:tcW w:w="1667" w:type="pct"/>
            <w:vAlign w:val="center"/>
          </w:tcPr>
          <w:p w14:paraId="51B86D28">
            <w:pPr>
              <w:pStyle w:val="13"/>
              <w:jc w:val="center"/>
              <w:rPr>
                <w:rFonts w:hint="eastAsia"/>
              </w:rPr>
            </w:pPr>
            <w:r>
              <w:rPr>
                <w:rFonts w:hint="eastAsia"/>
              </w:rPr>
              <w:t>184.00</w:t>
            </w:r>
          </w:p>
        </w:tc>
      </w:tr>
    </w:tbl>
    <w:p w14:paraId="701EA114">
      <w:pPr>
        <w:pStyle w:val="4"/>
        <w:rPr>
          <w:rFonts w:hint="eastAsia"/>
        </w:rPr>
      </w:pPr>
      <w:r>
        <w:t>表</w:t>
      </w:r>
      <w:r>
        <w:rPr>
          <w:rFonts w:hint="eastAsia"/>
        </w:rPr>
        <w:t>34-23  城镇住户信息化调查</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21"/>
        <w:gridCol w:w="3321"/>
        <w:gridCol w:w="3320"/>
      </w:tblGrid>
      <w:tr w14:paraId="2123C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06FDD053">
            <w:pPr>
              <w:pStyle w:val="13"/>
              <w:jc w:val="center"/>
              <w:rPr>
                <w:rFonts w:hint="eastAsia"/>
                <w:b/>
              </w:rPr>
            </w:pPr>
            <w:r>
              <w:rPr>
                <w:rFonts w:hint="eastAsia"/>
                <w:b/>
              </w:rPr>
              <w:t>指标名称</w:t>
            </w:r>
          </w:p>
        </w:tc>
        <w:tc>
          <w:tcPr>
            <w:tcW w:w="1667" w:type="pct"/>
            <w:vAlign w:val="center"/>
          </w:tcPr>
          <w:p w14:paraId="4584A8E6">
            <w:pPr>
              <w:pStyle w:val="13"/>
              <w:jc w:val="center"/>
              <w:rPr>
                <w:rFonts w:hint="eastAsia"/>
                <w:b/>
              </w:rPr>
            </w:pPr>
            <w:r>
              <w:rPr>
                <w:rFonts w:hint="eastAsia"/>
                <w:b/>
              </w:rPr>
              <w:t>计算单位</w:t>
            </w:r>
          </w:p>
        </w:tc>
        <w:tc>
          <w:tcPr>
            <w:tcW w:w="1667" w:type="pct"/>
            <w:vAlign w:val="center"/>
          </w:tcPr>
          <w:p w14:paraId="2AD94EC7">
            <w:pPr>
              <w:pStyle w:val="13"/>
              <w:jc w:val="center"/>
              <w:rPr>
                <w:rFonts w:hint="eastAsia"/>
                <w:b/>
              </w:rPr>
            </w:pPr>
            <w:r>
              <w:rPr>
                <w:rFonts w:hint="eastAsia"/>
                <w:b/>
              </w:rPr>
              <w:t>2010年</w:t>
            </w:r>
          </w:p>
        </w:tc>
      </w:tr>
      <w:tr w14:paraId="7B2ED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4D8199FF">
            <w:pPr>
              <w:pStyle w:val="13"/>
              <w:jc w:val="left"/>
              <w:rPr>
                <w:rFonts w:hint="eastAsia"/>
              </w:rPr>
            </w:pPr>
            <w:r>
              <w:rPr>
                <w:rFonts w:hint="eastAsia"/>
              </w:rPr>
              <w:t>接入互联网的移动电话</w:t>
            </w:r>
          </w:p>
        </w:tc>
        <w:tc>
          <w:tcPr>
            <w:tcW w:w="1667" w:type="pct"/>
            <w:vAlign w:val="center"/>
          </w:tcPr>
          <w:p w14:paraId="5B78D63B">
            <w:pPr>
              <w:pStyle w:val="13"/>
              <w:jc w:val="center"/>
              <w:rPr>
                <w:rFonts w:hint="eastAsia"/>
              </w:rPr>
            </w:pPr>
            <w:r>
              <w:rPr>
                <w:rFonts w:hint="eastAsia"/>
              </w:rPr>
              <w:t>部/百户</w:t>
            </w:r>
          </w:p>
        </w:tc>
        <w:tc>
          <w:tcPr>
            <w:tcW w:w="1667" w:type="pct"/>
            <w:vAlign w:val="center"/>
          </w:tcPr>
          <w:p w14:paraId="3A531294">
            <w:pPr>
              <w:pStyle w:val="13"/>
              <w:jc w:val="center"/>
              <w:rPr>
                <w:rFonts w:hint="eastAsia"/>
              </w:rPr>
            </w:pPr>
            <w:r>
              <w:rPr>
                <w:rFonts w:hint="eastAsia"/>
              </w:rPr>
              <w:t>18.00</w:t>
            </w:r>
          </w:p>
        </w:tc>
      </w:tr>
      <w:tr w14:paraId="5E962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5881F8AF">
            <w:pPr>
              <w:pStyle w:val="13"/>
              <w:jc w:val="left"/>
              <w:rPr>
                <w:rFonts w:hint="eastAsia"/>
              </w:rPr>
            </w:pPr>
            <w:r>
              <w:rPr>
                <w:rFonts w:hint="eastAsia"/>
              </w:rPr>
              <w:t>接入有线电视网络的电视机</w:t>
            </w:r>
          </w:p>
        </w:tc>
        <w:tc>
          <w:tcPr>
            <w:tcW w:w="1667" w:type="pct"/>
            <w:vAlign w:val="center"/>
          </w:tcPr>
          <w:p w14:paraId="1C8891E9">
            <w:pPr>
              <w:pStyle w:val="13"/>
              <w:jc w:val="center"/>
              <w:rPr>
                <w:rFonts w:hint="eastAsia"/>
              </w:rPr>
            </w:pPr>
            <w:r>
              <w:rPr>
                <w:rFonts w:hint="eastAsia"/>
              </w:rPr>
              <w:t>部/百户</w:t>
            </w:r>
          </w:p>
        </w:tc>
        <w:tc>
          <w:tcPr>
            <w:tcW w:w="1667" w:type="pct"/>
            <w:vAlign w:val="center"/>
          </w:tcPr>
          <w:p w14:paraId="55FA67B3">
            <w:pPr>
              <w:pStyle w:val="13"/>
              <w:jc w:val="center"/>
              <w:rPr>
                <w:rFonts w:hint="eastAsia"/>
              </w:rPr>
            </w:pPr>
            <w:r>
              <w:rPr>
                <w:rFonts w:hint="eastAsia"/>
              </w:rPr>
              <w:t>158.00</w:t>
            </w:r>
          </w:p>
        </w:tc>
      </w:tr>
      <w:tr w14:paraId="7D315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306D7706">
            <w:pPr>
              <w:pStyle w:val="13"/>
              <w:jc w:val="left"/>
              <w:rPr>
                <w:rFonts w:hint="eastAsia"/>
              </w:rPr>
            </w:pPr>
            <w:r>
              <w:rPr>
                <w:rFonts w:hint="eastAsia"/>
              </w:rPr>
              <w:t>接入互联网的计算机</w:t>
            </w:r>
          </w:p>
        </w:tc>
        <w:tc>
          <w:tcPr>
            <w:tcW w:w="1667" w:type="pct"/>
            <w:vAlign w:val="center"/>
          </w:tcPr>
          <w:p w14:paraId="6944B6CA">
            <w:pPr>
              <w:pStyle w:val="13"/>
              <w:jc w:val="center"/>
              <w:rPr>
                <w:rFonts w:hint="eastAsia"/>
              </w:rPr>
            </w:pPr>
            <w:r>
              <w:rPr>
                <w:rFonts w:hint="eastAsia"/>
              </w:rPr>
              <w:t>部/百户</w:t>
            </w:r>
          </w:p>
        </w:tc>
        <w:tc>
          <w:tcPr>
            <w:tcW w:w="1667" w:type="pct"/>
            <w:vAlign w:val="center"/>
          </w:tcPr>
          <w:p w14:paraId="5C0D4C46">
            <w:pPr>
              <w:pStyle w:val="13"/>
              <w:jc w:val="center"/>
              <w:rPr>
                <w:rFonts w:hint="eastAsia"/>
              </w:rPr>
            </w:pPr>
            <w:r>
              <w:rPr>
                <w:rFonts w:hint="eastAsia"/>
              </w:rPr>
              <w:t>46.00</w:t>
            </w:r>
          </w:p>
        </w:tc>
      </w:tr>
    </w:tbl>
    <w:p w14:paraId="2C5451BC">
      <w:pPr>
        <w:pStyle w:val="4"/>
        <w:rPr>
          <w:rFonts w:hint="eastAsia"/>
        </w:rPr>
      </w:pPr>
      <w:r>
        <w:t>表</w:t>
      </w:r>
      <w:r>
        <w:rPr>
          <w:rFonts w:hint="eastAsia"/>
        </w:rPr>
        <w:t>34-24  工业企业基本情况</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01"/>
        <w:gridCol w:w="1984"/>
        <w:gridCol w:w="3009"/>
        <w:gridCol w:w="2168"/>
      </w:tblGrid>
      <w:tr w14:paraId="222D1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06" w:type="pct"/>
            <w:vAlign w:val="center"/>
          </w:tcPr>
          <w:p w14:paraId="71916449">
            <w:pPr>
              <w:pStyle w:val="13"/>
              <w:jc w:val="center"/>
              <w:rPr>
                <w:rFonts w:hint="eastAsia"/>
                <w:b/>
              </w:rPr>
            </w:pPr>
            <w:r>
              <w:rPr>
                <w:rFonts w:hint="eastAsia"/>
                <w:b/>
              </w:rPr>
              <w:t>指标名称</w:t>
            </w:r>
          </w:p>
        </w:tc>
        <w:tc>
          <w:tcPr>
            <w:tcW w:w="996" w:type="pct"/>
            <w:vAlign w:val="center"/>
          </w:tcPr>
          <w:p w14:paraId="78CE201A">
            <w:pPr>
              <w:pStyle w:val="13"/>
              <w:jc w:val="center"/>
              <w:rPr>
                <w:rFonts w:hint="eastAsia"/>
                <w:b/>
              </w:rPr>
            </w:pPr>
            <w:r>
              <w:rPr>
                <w:rFonts w:hint="eastAsia"/>
                <w:b/>
              </w:rPr>
              <w:t>企业个数（个）</w:t>
            </w:r>
          </w:p>
        </w:tc>
        <w:tc>
          <w:tcPr>
            <w:tcW w:w="1510" w:type="pct"/>
            <w:vAlign w:val="center"/>
          </w:tcPr>
          <w:p w14:paraId="3EB3D2FC">
            <w:pPr>
              <w:pStyle w:val="13"/>
              <w:jc w:val="center"/>
              <w:rPr>
                <w:rFonts w:hint="eastAsia"/>
                <w:b/>
              </w:rPr>
            </w:pPr>
            <w:r>
              <w:rPr>
                <w:rFonts w:hint="eastAsia"/>
                <w:b/>
              </w:rPr>
              <w:t>工业总产值（万元）当年价</w:t>
            </w:r>
          </w:p>
        </w:tc>
        <w:tc>
          <w:tcPr>
            <w:tcW w:w="1088" w:type="pct"/>
            <w:vAlign w:val="center"/>
          </w:tcPr>
          <w:p w14:paraId="32E86C92">
            <w:pPr>
              <w:pStyle w:val="13"/>
              <w:jc w:val="center"/>
              <w:rPr>
                <w:rFonts w:hint="eastAsia"/>
                <w:b/>
              </w:rPr>
            </w:pPr>
            <w:r>
              <w:rPr>
                <w:rFonts w:hint="eastAsia"/>
                <w:b/>
              </w:rPr>
              <w:t>工业销售产值（万元）</w:t>
            </w:r>
          </w:p>
        </w:tc>
      </w:tr>
      <w:tr w14:paraId="29759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6" w:type="pct"/>
            <w:vAlign w:val="center"/>
          </w:tcPr>
          <w:p w14:paraId="68D37B19">
            <w:pPr>
              <w:pStyle w:val="13"/>
              <w:jc w:val="left"/>
              <w:rPr>
                <w:rFonts w:hint="eastAsia"/>
              </w:rPr>
            </w:pPr>
            <w:r>
              <w:rPr>
                <w:rFonts w:hint="eastAsia"/>
              </w:rPr>
              <w:t>总计</w:t>
            </w:r>
          </w:p>
        </w:tc>
        <w:tc>
          <w:tcPr>
            <w:tcW w:w="996" w:type="pct"/>
            <w:vAlign w:val="center"/>
          </w:tcPr>
          <w:p w14:paraId="42BCACB5">
            <w:pPr>
              <w:pStyle w:val="13"/>
              <w:jc w:val="center"/>
              <w:rPr>
                <w:rFonts w:hint="eastAsia"/>
              </w:rPr>
            </w:pPr>
            <w:r>
              <w:rPr>
                <w:rFonts w:hint="eastAsia"/>
              </w:rPr>
              <w:t>461</w:t>
            </w:r>
          </w:p>
        </w:tc>
        <w:tc>
          <w:tcPr>
            <w:tcW w:w="1510" w:type="pct"/>
            <w:vAlign w:val="center"/>
          </w:tcPr>
          <w:p w14:paraId="451E418F">
            <w:pPr>
              <w:pStyle w:val="13"/>
              <w:jc w:val="center"/>
              <w:rPr>
                <w:rFonts w:hint="eastAsia"/>
              </w:rPr>
            </w:pPr>
            <w:r>
              <w:rPr>
                <w:rFonts w:hint="eastAsia"/>
              </w:rPr>
              <w:t>443296</w:t>
            </w:r>
          </w:p>
        </w:tc>
        <w:tc>
          <w:tcPr>
            <w:tcW w:w="1088" w:type="pct"/>
            <w:vAlign w:val="center"/>
          </w:tcPr>
          <w:p w14:paraId="2A3A4E29">
            <w:pPr>
              <w:pStyle w:val="13"/>
              <w:jc w:val="center"/>
              <w:rPr>
                <w:rFonts w:hint="eastAsia"/>
              </w:rPr>
            </w:pPr>
            <w:r>
              <w:rPr>
                <w:rFonts w:hint="eastAsia"/>
              </w:rPr>
              <w:t>1747051</w:t>
            </w:r>
          </w:p>
        </w:tc>
      </w:tr>
      <w:tr w14:paraId="37D5CB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6" w:type="pct"/>
            <w:vAlign w:val="center"/>
          </w:tcPr>
          <w:p w14:paraId="3812CA0F">
            <w:pPr>
              <w:pStyle w:val="13"/>
              <w:jc w:val="left"/>
              <w:rPr>
                <w:rFonts w:hint="eastAsia"/>
              </w:rPr>
            </w:pPr>
            <w:r>
              <w:rPr>
                <w:rFonts w:hint="eastAsia"/>
              </w:rPr>
              <w:t>一、规模以上工业</w:t>
            </w:r>
          </w:p>
        </w:tc>
        <w:tc>
          <w:tcPr>
            <w:tcW w:w="996" w:type="pct"/>
            <w:vAlign w:val="center"/>
          </w:tcPr>
          <w:p w14:paraId="02573353">
            <w:pPr>
              <w:pStyle w:val="13"/>
              <w:jc w:val="center"/>
              <w:rPr>
                <w:rFonts w:hint="eastAsia"/>
              </w:rPr>
            </w:pPr>
            <w:r>
              <w:rPr>
                <w:rFonts w:hint="eastAsia"/>
              </w:rPr>
              <w:t>46</w:t>
            </w:r>
          </w:p>
        </w:tc>
        <w:tc>
          <w:tcPr>
            <w:tcW w:w="1510" w:type="pct"/>
            <w:vAlign w:val="center"/>
          </w:tcPr>
          <w:p w14:paraId="1880247B">
            <w:pPr>
              <w:pStyle w:val="13"/>
              <w:jc w:val="center"/>
              <w:rPr>
                <w:rFonts w:hint="eastAsia"/>
              </w:rPr>
            </w:pPr>
            <w:r>
              <w:rPr>
                <w:rFonts w:hint="eastAsia"/>
              </w:rPr>
              <w:t>294300</w:t>
            </w:r>
          </w:p>
        </w:tc>
        <w:tc>
          <w:tcPr>
            <w:tcW w:w="1088" w:type="pct"/>
            <w:vAlign w:val="center"/>
          </w:tcPr>
          <w:p w14:paraId="4E4B5C4A">
            <w:pPr>
              <w:pStyle w:val="13"/>
              <w:jc w:val="center"/>
              <w:rPr>
                <w:rFonts w:hint="eastAsia"/>
              </w:rPr>
            </w:pPr>
            <w:r>
              <w:rPr>
                <w:rFonts w:hint="eastAsia"/>
              </w:rPr>
              <w:t>289027</w:t>
            </w:r>
          </w:p>
        </w:tc>
      </w:tr>
      <w:tr w14:paraId="6F5C3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6" w:type="pct"/>
            <w:vAlign w:val="center"/>
          </w:tcPr>
          <w:p w14:paraId="41760D13">
            <w:pPr>
              <w:pStyle w:val="13"/>
              <w:jc w:val="left"/>
              <w:rPr>
                <w:rFonts w:hint="eastAsia"/>
              </w:rPr>
            </w:pPr>
            <w:r>
              <w:rPr>
                <w:rFonts w:hint="eastAsia"/>
              </w:rPr>
              <w:t>其中：国有企业</w:t>
            </w:r>
          </w:p>
        </w:tc>
        <w:tc>
          <w:tcPr>
            <w:tcW w:w="996" w:type="pct"/>
            <w:vAlign w:val="center"/>
          </w:tcPr>
          <w:p w14:paraId="6A74E75D">
            <w:pPr>
              <w:pStyle w:val="13"/>
              <w:jc w:val="center"/>
              <w:rPr>
                <w:rFonts w:hint="eastAsia"/>
              </w:rPr>
            </w:pPr>
            <w:r>
              <w:rPr>
                <w:rFonts w:hint="eastAsia"/>
              </w:rPr>
              <w:t>3</w:t>
            </w:r>
          </w:p>
        </w:tc>
        <w:tc>
          <w:tcPr>
            <w:tcW w:w="1510" w:type="pct"/>
            <w:vAlign w:val="center"/>
          </w:tcPr>
          <w:p w14:paraId="33C43BBA">
            <w:pPr>
              <w:pStyle w:val="13"/>
              <w:jc w:val="center"/>
              <w:rPr>
                <w:rFonts w:hint="eastAsia"/>
              </w:rPr>
            </w:pPr>
            <w:r>
              <w:rPr>
                <w:rFonts w:hint="eastAsia"/>
              </w:rPr>
              <w:t>31839</w:t>
            </w:r>
          </w:p>
        </w:tc>
        <w:tc>
          <w:tcPr>
            <w:tcW w:w="1088" w:type="pct"/>
            <w:vAlign w:val="center"/>
          </w:tcPr>
          <w:p w14:paraId="58B38487">
            <w:pPr>
              <w:pStyle w:val="13"/>
              <w:jc w:val="center"/>
              <w:rPr>
                <w:rFonts w:hint="eastAsia"/>
              </w:rPr>
            </w:pPr>
            <w:r>
              <w:rPr>
                <w:rFonts w:hint="eastAsia"/>
              </w:rPr>
              <w:t>31758</w:t>
            </w:r>
          </w:p>
        </w:tc>
      </w:tr>
      <w:tr w14:paraId="182CDD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6" w:type="pct"/>
            <w:vAlign w:val="center"/>
          </w:tcPr>
          <w:p w14:paraId="24CDD7B2">
            <w:pPr>
              <w:pStyle w:val="13"/>
              <w:ind w:firstLine="630" w:firstLineChars="300"/>
              <w:jc w:val="left"/>
              <w:rPr>
                <w:rFonts w:hint="eastAsia"/>
              </w:rPr>
            </w:pPr>
            <w:r>
              <w:rPr>
                <w:rFonts w:hint="eastAsia"/>
              </w:rPr>
              <w:t>股份有限公司</w:t>
            </w:r>
          </w:p>
        </w:tc>
        <w:tc>
          <w:tcPr>
            <w:tcW w:w="996" w:type="pct"/>
            <w:vAlign w:val="center"/>
          </w:tcPr>
          <w:p w14:paraId="28D3285A">
            <w:pPr>
              <w:pStyle w:val="13"/>
              <w:jc w:val="center"/>
              <w:rPr>
                <w:rFonts w:hint="eastAsia"/>
              </w:rPr>
            </w:pPr>
            <w:r>
              <w:rPr>
                <w:rFonts w:hint="eastAsia"/>
              </w:rPr>
              <w:t>5</w:t>
            </w:r>
          </w:p>
        </w:tc>
        <w:tc>
          <w:tcPr>
            <w:tcW w:w="1510" w:type="pct"/>
            <w:vAlign w:val="center"/>
          </w:tcPr>
          <w:p w14:paraId="3558363B">
            <w:pPr>
              <w:pStyle w:val="13"/>
              <w:jc w:val="center"/>
              <w:rPr>
                <w:rFonts w:hint="eastAsia"/>
              </w:rPr>
            </w:pPr>
            <w:r>
              <w:rPr>
                <w:rFonts w:hint="eastAsia"/>
              </w:rPr>
              <w:t>37909</w:t>
            </w:r>
          </w:p>
        </w:tc>
        <w:tc>
          <w:tcPr>
            <w:tcW w:w="1088" w:type="pct"/>
            <w:vAlign w:val="center"/>
          </w:tcPr>
          <w:p w14:paraId="3BFDD139">
            <w:pPr>
              <w:pStyle w:val="13"/>
              <w:jc w:val="center"/>
              <w:rPr>
                <w:rFonts w:hint="eastAsia"/>
              </w:rPr>
            </w:pPr>
            <w:r>
              <w:rPr>
                <w:rFonts w:hint="eastAsia"/>
              </w:rPr>
              <w:t>37560</w:t>
            </w:r>
          </w:p>
        </w:tc>
      </w:tr>
      <w:tr w14:paraId="371ED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6" w:type="pct"/>
            <w:vAlign w:val="center"/>
          </w:tcPr>
          <w:p w14:paraId="3B7D42C5">
            <w:pPr>
              <w:pStyle w:val="13"/>
              <w:ind w:firstLine="630" w:firstLineChars="300"/>
              <w:jc w:val="left"/>
              <w:rPr>
                <w:rFonts w:hint="eastAsia"/>
              </w:rPr>
            </w:pPr>
            <w:r>
              <w:rPr>
                <w:rFonts w:hint="eastAsia"/>
              </w:rPr>
              <w:t>有限责任公司</w:t>
            </w:r>
          </w:p>
        </w:tc>
        <w:tc>
          <w:tcPr>
            <w:tcW w:w="996" w:type="pct"/>
            <w:vAlign w:val="center"/>
          </w:tcPr>
          <w:p w14:paraId="03D4325B">
            <w:pPr>
              <w:pStyle w:val="13"/>
              <w:jc w:val="center"/>
              <w:rPr>
                <w:rFonts w:hint="eastAsia"/>
              </w:rPr>
            </w:pPr>
            <w:r>
              <w:rPr>
                <w:rFonts w:hint="eastAsia"/>
              </w:rPr>
              <w:t>18</w:t>
            </w:r>
          </w:p>
        </w:tc>
        <w:tc>
          <w:tcPr>
            <w:tcW w:w="1510" w:type="pct"/>
            <w:vAlign w:val="center"/>
          </w:tcPr>
          <w:p w14:paraId="5B488675">
            <w:pPr>
              <w:pStyle w:val="13"/>
              <w:jc w:val="center"/>
              <w:rPr>
                <w:rFonts w:hint="eastAsia"/>
              </w:rPr>
            </w:pPr>
            <w:r>
              <w:rPr>
                <w:rFonts w:hint="eastAsia"/>
              </w:rPr>
              <w:t>111751</w:t>
            </w:r>
          </w:p>
        </w:tc>
        <w:tc>
          <w:tcPr>
            <w:tcW w:w="1088" w:type="pct"/>
            <w:vAlign w:val="center"/>
          </w:tcPr>
          <w:p w14:paraId="57A0BA78">
            <w:pPr>
              <w:pStyle w:val="13"/>
              <w:jc w:val="center"/>
              <w:rPr>
                <w:rFonts w:hint="eastAsia"/>
              </w:rPr>
            </w:pPr>
            <w:r>
              <w:rPr>
                <w:rFonts w:hint="eastAsia"/>
              </w:rPr>
              <w:t>108493</w:t>
            </w:r>
          </w:p>
        </w:tc>
      </w:tr>
      <w:tr w14:paraId="18B4E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6" w:type="pct"/>
            <w:vAlign w:val="center"/>
          </w:tcPr>
          <w:p w14:paraId="05BE85AF">
            <w:pPr>
              <w:pStyle w:val="13"/>
              <w:ind w:firstLine="630" w:firstLineChars="300"/>
              <w:jc w:val="left"/>
              <w:rPr>
                <w:rFonts w:hint="eastAsia"/>
              </w:rPr>
            </w:pPr>
            <w:r>
              <w:rPr>
                <w:rFonts w:hint="eastAsia"/>
              </w:rPr>
              <w:t>私营企业</w:t>
            </w:r>
          </w:p>
        </w:tc>
        <w:tc>
          <w:tcPr>
            <w:tcW w:w="996" w:type="pct"/>
            <w:vAlign w:val="center"/>
          </w:tcPr>
          <w:p w14:paraId="3F52C7CC">
            <w:pPr>
              <w:pStyle w:val="13"/>
              <w:jc w:val="center"/>
              <w:rPr>
                <w:rFonts w:hint="eastAsia"/>
              </w:rPr>
            </w:pPr>
            <w:r>
              <w:rPr>
                <w:rFonts w:hint="eastAsia"/>
              </w:rPr>
              <w:t>17</w:t>
            </w:r>
          </w:p>
        </w:tc>
        <w:tc>
          <w:tcPr>
            <w:tcW w:w="1510" w:type="pct"/>
            <w:vAlign w:val="center"/>
          </w:tcPr>
          <w:p w14:paraId="3B6F9883">
            <w:pPr>
              <w:pStyle w:val="13"/>
              <w:jc w:val="center"/>
              <w:rPr>
                <w:rFonts w:hint="eastAsia"/>
              </w:rPr>
            </w:pPr>
            <w:r>
              <w:rPr>
                <w:rFonts w:hint="eastAsia"/>
              </w:rPr>
              <w:t>92942</w:t>
            </w:r>
          </w:p>
        </w:tc>
        <w:tc>
          <w:tcPr>
            <w:tcW w:w="1088" w:type="pct"/>
            <w:vAlign w:val="center"/>
          </w:tcPr>
          <w:p w14:paraId="67848121">
            <w:pPr>
              <w:pStyle w:val="13"/>
              <w:jc w:val="center"/>
              <w:rPr>
                <w:rFonts w:hint="eastAsia"/>
              </w:rPr>
            </w:pPr>
            <w:r>
              <w:rPr>
                <w:rFonts w:hint="eastAsia"/>
              </w:rPr>
              <w:t>91539</w:t>
            </w:r>
          </w:p>
        </w:tc>
      </w:tr>
      <w:tr w14:paraId="315F3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6" w:type="pct"/>
            <w:vAlign w:val="center"/>
          </w:tcPr>
          <w:p w14:paraId="65F50E1A">
            <w:pPr>
              <w:pStyle w:val="13"/>
              <w:ind w:firstLine="630" w:firstLineChars="300"/>
              <w:jc w:val="left"/>
              <w:rPr>
                <w:rFonts w:hint="eastAsia"/>
              </w:rPr>
            </w:pPr>
            <w:r>
              <w:rPr>
                <w:rFonts w:hint="eastAsia"/>
              </w:rPr>
              <w:t>港、澳、台投资企业</w:t>
            </w:r>
          </w:p>
        </w:tc>
        <w:tc>
          <w:tcPr>
            <w:tcW w:w="996" w:type="pct"/>
            <w:vAlign w:val="center"/>
          </w:tcPr>
          <w:p w14:paraId="201866A2">
            <w:pPr>
              <w:pStyle w:val="13"/>
              <w:jc w:val="center"/>
              <w:rPr>
                <w:rFonts w:hint="eastAsia"/>
              </w:rPr>
            </w:pPr>
            <w:r>
              <w:rPr>
                <w:rFonts w:hint="eastAsia"/>
              </w:rPr>
              <w:t>3</w:t>
            </w:r>
          </w:p>
        </w:tc>
        <w:tc>
          <w:tcPr>
            <w:tcW w:w="1510" w:type="pct"/>
            <w:vAlign w:val="center"/>
          </w:tcPr>
          <w:p w14:paraId="22FAB263">
            <w:pPr>
              <w:pStyle w:val="13"/>
              <w:jc w:val="center"/>
              <w:rPr>
                <w:rFonts w:hint="eastAsia"/>
              </w:rPr>
            </w:pPr>
            <w:r>
              <w:rPr>
                <w:rFonts w:hint="eastAsia"/>
              </w:rPr>
              <w:t>19859</w:t>
            </w:r>
          </w:p>
        </w:tc>
        <w:tc>
          <w:tcPr>
            <w:tcW w:w="1088" w:type="pct"/>
            <w:vAlign w:val="center"/>
          </w:tcPr>
          <w:p w14:paraId="388518D1">
            <w:pPr>
              <w:pStyle w:val="13"/>
              <w:jc w:val="center"/>
              <w:rPr>
                <w:rFonts w:hint="eastAsia"/>
              </w:rPr>
            </w:pPr>
            <w:r>
              <w:rPr>
                <w:rFonts w:hint="eastAsia"/>
              </w:rPr>
              <w:t>19677</w:t>
            </w:r>
          </w:p>
        </w:tc>
      </w:tr>
      <w:tr w14:paraId="3F4C5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6" w:type="pct"/>
            <w:vAlign w:val="center"/>
          </w:tcPr>
          <w:p w14:paraId="74BC0841">
            <w:pPr>
              <w:pStyle w:val="13"/>
              <w:jc w:val="left"/>
              <w:rPr>
                <w:rFonts w:hint="eastAsia"/>
              </w:rPr>
            </w:pPr>
            <w:r>
              <w:rPr>
                <w:rFonts w:hint="eastAsia"/>
              </w:rPr>
              <w:t>二、规模以下工业</w:t>
            </w:r>
          </w:p>
        </w:tc>
        <w:tc>
          <w:tcPr>
            <w:tcW w:w="996" w:type="pct"/>
            <w:vAlign w:val="center"/>
          </w:tcPr>
          <w:p w14:paraId="7A1186A0">
            <w:pPr>
              <w:pStyle w:val="13"/>
              <w:jc w:val="center"/>
              <w:rPr>
                <w:rFonts w:hint="eastAsia"/>
              </w:rPr>
            </w:pPr>
            <w:r>
              <w:rPr>
                <w:rFonts w:hint="eastAsia"/>
              </w:rPr>
              <w:t>415</w:t>
            </w:r>
          </w:p>
        </w:tc>
        <w:tc>
          <w:tcPr>
            <w:tcW w:w="1510" w:type="pct"/>
            <w:vAlign w:val="center"/>
          </w:tcPr>
          <w:p w14:paraId="4847DE76">
            <w:pPr>
              <w:pStyle w:val="13"/>
              <w:jc w:val="center"/>
              <w:rPr>
                <w:rFonts w:hint="eastAsia"/>
              </w:rPr>
            </w:pPr>
            <w:r>
              <w:rPr>
                <w:rFonts w:hint="eastAsia"/>
              </w:rPr>
              <w:t>148996</w:t>
            </w:r>
          </w:p>
        </w:tc>
        <w:tc>
          <w:tcPr>
            <w:tcW w:w="1088" w:type="pct"/>
            <w:vAlign w:val="center"/>
          </w:tcPr>
          <w:p w14:paraId="68D6B498">
            <w:pPr>
              <w:pStyle w:val="13"/>
              <w:jc w:val="center"/>
              <w:rPr>
                <w:rFonts w:hint="eastAsia"/>
              </w:rPr>
            </w:pPr>
            <w:r>
              <w:rPr>
                <w:rFonts w:hint="eastAsia"/>
              </w:rPr>
              <w:t>1458024</w:t>
            </w:r>
          </w:p>
        </w:tc>
      </w:tr>
    </w:tbl>
    <w:p w14:paraId="47EEA564">
      <w:pPr>
        <w:pStyle w:val="4"/>
        <w:rPr>
          <w:rFonts w:hint="eastAsia"/>
        </w:rPr>
      </w:pPr>
      <w:r>
        <w:t>表</w:t>
      </w:r>
      <w:r>
        <w:rPr>
          <w:rFonts w:hint="eastAsia"/>
        </w:rPr>
        <w:t>34-25  规模以上工业行业分布情况</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28"/>
        <w:gridCol w:w="1982"/>
        <w:gridCol w:w="2652"/>
        <w:gridCol w:w="2100"/>
      </w:tblGrid>
      <w:tr w14:paraId="771EA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0" w:type="pct"/>
            <w:vAlign w:val="center"/>
          </w:tcPr>
          <w:p w14:paraId="284670E3">
            <w:pPr>
              <w:pStyle w:val="13"/>
              <w:jc w:val="center"/>
              <w:rPr>
                <w:rFonts w:hint="eastAsia"/>
                <w:b/>
              </w:rPr>
            </w:pPr>
            <w:r>
              <w:rPr>
                <w:rFonts w:hint="eastAsia"/>
                <w:b/>
              </w:rPr>
              <w:t>指标名称</w:t>
            </w:r>
          </w:p>
        </w:tc>
        <w:tc>
          <w:tcPr>
            <w:tcW w:w="995" w:type="pct"/>
            <w:vAlign w:val="center"/>
          </w:tcPr>
          <w:p w14:paraId="360CB345">
            <w:pPr>
              <w:pStyle w:val="13"/>
              <w:jc w:val="center"/>
              <w:rPr>
                <w:rFonts w:hint="eastAsia"/>
                <w:b/>
              </w:rPr>
            </w:pPr>
            <w:r>
              <w:rPr>
                <w:rFonts w:hint="eastAsia"/>
                <w:b/>
              </w:rPr>
              <w:t>企业个数（个）</w:t>
            </w:r>
          </w:p>
        </w:tc>
        <w:tc>
          <w:tcPr>
            <w:tcW w:w="1331" w:type="pct"/>
            <w:vAlign w:val="center"/>
          </w:tcPr>
          <w:p w14:paraId="3E6FEDC5">
            <w:pPr>
              <w:pStyle w:val="13"/>
              <w:jc w:val="center"/>
              <w:rPr>
                <w:rFonts w:hint="eastAsia"/>
                <w:b/>
              </w:rPr>
            </w:pPr>
            <w:r>
              <w:rPr>
                <w:rFonts w:hint="eastAsia"/>
                <w:b/>
              </w:rPr>
              <w:t>工业总产值（万元）当年价</w:t>
            </w:r>
          </w:p>
        </w:tc>
        <w:tc>
          <w:tcPr>
            <w:tcW w:w="1054" w:type="pct"/>
            <w:vAlign w:val="center"/>
          </w:tcPr>
          <w:p w14:paraId="4F64B395">
            <w:pPr>
              <w:pStyle w:val="13"/>
              <w:jc w:val="center"/>
              <w:rPr>
                <w:rFonts w:hint="eastAsia"/>
                <w:b/>
              </w:rPr>
            </w:pPr>
            <w:r>
              <w:rPr>
                <w:rFonts w:hint="eastAsia"/>
                <w:b/>
              </w:rPr>
              <w:t>工业销售产值（万元)</w:t>
            </w:r>
          </w:p>
        </w:tc>
      </w:tr>
      <w:tr w14:paraId="1771F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0" w:type="pct"/>
            <w:vAlign w:val="center"/>
          </w:tcPr>
          <w:p w14:paraId="1F948C61">
            <w:pPr>
              <w:pStyle w:val="13"/>
              <w:jc w:val="left"/>
              <w:rPr>
                <w:rFonts w:hint="eastAsia"/>
              </w:rPr>
            </w:pPr>
            <w:r>
              <w:rPr>
                <w:rFonts w:hint="eastAsia"/>
              </w:rPr>
              <w:t>合计</w:t>
            </w:r>
          </w:p>
        </w:tc>
        <w:tc>
          <w:tcPr>
            <w:tcW w:w="995" w:type="pct"/>
            <w:vAlign w:val="center"/>
          </w:tcPr>
          <w:p w14:paraId="2C018331">
            <w:pPr>
              <w:pStyle w:val="13"/>
              <w:jc w:val="center"/>
              <w:rPr>
                <w:rFonts w:hint="eastAsia"/>
              </w:rPr>
            </w:pPr>
            <w:r>
              <w:rPr>
                <w:rFonts w:hint="eastAsia"/>
              </w:rPr>
              <w:t>46</w:t>
            </w:r>
          </w:p>
        </w:tc>
        <w:tc>
          <w:tcPr>
            <w:tcW w:w="1331" w:type="pct"/>
            <w:vAlign w:val="center"/>
          </w:tcPr>
          <w:p w14:paraId="103179E3">
            <w:pPr>
              <w:pStyle w:val="13"/>
              <w:jc w:val="center"/>
              <w:rPr>
                <w:rFonts w:hint="eastAsia"/>
              </w:rPr>
            </w:pPr>
            <w:r>
              <w:rPr>
                <w:rFonts w:hint="eastAsia"/>
              </w:rPr>
              <w:t>294300</w:t>
            </w:r>
          </w:p>
        </w:tc>
        <w:tc>
          <w:tcPr>
            <w:tcW w:w="1054" w:type="pct"/>
            <w:vAlign w:val="center"/>
          </w:tcPr>
          <w:p w14:paraId="1E9D1F17">
            <w:pPr>
              <w:pStyle w:val="13"/>
              <w:jc w:val="center"/>
              <w:rPr>
                <w:rFonts w:hint="eastAsia"/>
              </w:rPr>
            </w:pPr>
            <w:r>
              <w:rPr>
                <w:rFonts w:hint="eastAsia"/>
              </w:rPr>
              <w:t>289027</w:t>
            </w:r>
          </w:p>
        </w:tc>
      </w:tr>
      <w:tr w14:paraId="20CFA7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0" w:type="pct"/>
            <w:vAlign w:val="center"/>
          </w:tcPr>
          <w:p w14:paraId="7485A9FE">
            <w:pPr>
              <w:pStyle w:val="13"/>
              <w:jc w:val="left"/>
              <w:rPr>
                <w:rFonts w:hint="eastAsia"/>
              </w:rPr>
            </w:pPr>
            <w:r>
              <w:rPr>
                <w:rFonts w:hint="eastAsia"/>
              </w:rPr>
              <w:t>1、有色金属矿采选业</w:t>
            </w:r>
          </w:p>
        </w:tc>
        <w:tc>
          <w:tcPr>
            <w:tcW w:w="995" w:type="pct"/>
            <w:vAlign w:val="center"/>
          </w:tcPr>
          <w:p w14:paraId="57E9C5A5">
            <w:pPr>
              <w:pStyle w:val="13"/>
              <w:jc w:val="center"/>
              <w:rPr>
                <w:rFonts w:hint="eastAsia"/>
              </w:rPr>
            </w:pPr>
            <w:r>
              <w:rPr>
                <w:rFonts w:hint="eastAsia"/>
              </w:rPr>
              <w:t>2</w:t>
            </w:r>
          </w:p>
        </w:tc>
        <w:tc>
          <w:tcPr>
            <w:tcW w:w="1331" w:type="pct"/>
            <w:vAlign w:val="center"/>
          </w:tcPr>
          <w:p w14:paraId="04B3FBC0">
            <w:pPr>
              <w:pStyle w:val="13"/>
              <w:jc w:val="center"/>
              <w:rPr>
                <w:rFonts w:hint="eastAsia"/>
              </w:rPr>
            </w:pPr>
            <w:r>
              <w:rPr>
                <w:rFonts w:hint="eastAsia"/>
              </w:rPr>
              <w:t>8507</w:t>
            </w:r>
          </w:p>
        </w:tc>
        <w:tc>
          <w:tcPr>
            <w:tcW w:w="1054" w:type="pct"/>
            <w:vAlign w:val="center"/>
          </w:tcPr>
          <w:p w14:paraId="2D43C773">
            <w:pPr>
              <w:pStyle w:val="13"/>
              <w:jc w:val="center"/>
              <w:rPr>
                <w:rFonts w:hint="eastAsia"/>
              </w:rPr>
            </w:pPr>
            <w:r>
              <w:rPr>
                <w:rFonts w:hint="eastAsia"/>
              </w:rPr>
              <w:t>8540</w:t>
            </w:r>
          </w:p>
        </w:tc>
      </w:tr>
      <w:tr w14:paraId="25D99B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0" w:type="pct"/>
            <w:vAlign w:val="center"/>
          </w:tcPr>
          <w:p w14:paraId="4E42CC6F">
            <w:pPr>
              <w:pStyle w:val="13"/>
              <w:jc w:val="left"/>
              <w:rPr>
                <w:rFonts w:hint="eastAsia"/>
              </w:rPr>
            </w:pPr>
            <w:r>
              <w:rPr>
                <w:rFonts w:hint="eastAsia"/>
              </w:rPr>
              <w:t>2、非金属矿采选业</w:t>
            </w:r>
          </w:p>
        </w:tc>
        <w:tc>
          <w:tcPr>
            <w:tcW w:w="995" w:type="pct"/>
            <w:vAlign w:val="center"/>
          </w:tcPr>
          <w:p w14:paraId="1F7967CF">
            <w:pPr>
              <w:pStyle w:val="13"/>
              <w:jc w:val="center"/>
              <w:rPr>
                <w:rFonts w:hint="eastAsia"/>
              </w:rPr>
            </w:pPr>
            <w:r>
              <w:rPr>
                <w:rFonts w:hint="eastAsia"/>
              </w:rPr>
              <w:t>4</w:t>
            </w:r>
          </w:p>
        </w:tc>
        <w:tc>
          <w:tcPr>
            <w:tcW w:w="1331" w:type="pct"/>
            <w:vAlign w:val="center"/>
          </w:tcPr>
          <w:p w14:paraId="4D3DA899">
            <w:pPr>
              <w:pStyle w:val="13"/>
              <w:jc w:val="center"/>
              <w:rPr>
                <w:rFonts w:hint="eastAsia"/>
              </w:rPr>
            </w:pPr>
            <w:r>
              <w:rPr>
                <w:rFonts w:hint="eastAsia"/>
              </w:rPr>
              <w:t>17964</w:t>
            </w:r>
          </w:p>
        </w:tc>
        <w:tc>
          <w:tcPr>
            <w:tcW w:w="1054" w:type="pct"/>
            <w:vAlign w:val="center"/>
          </w:tcPr>
          <w:p w14:paraId="130DFA1C">
            <w:pPr>
              <w:pStyle w:val="13"/>
              <w:jc w:val="center"/>
              <w:rPr>
                <w:rFonts w:hint="eastAsia"/>
              </w:rPr>
            </w:pPr>
            <w:r>
              <w:rPr>
                <w:rFonts w:hint="eastAsia"/>
              </w:rPr>
              <w:t>17256</w:t>
            </w:r>
          </w:p>
        </w:tc>
      </w:tr>
      <w:tr w14:paraId="2723B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0" w:type="pct"/>
            <w:vAlign w:val="center"/>
          </w:tcPr>
          <w:p w14:paraId="2ED7E295">
            <w:pPr>
              <w:pStyle w:val="13"/>
              <w:jc w:val="left"/>
              <w:rPr>
                <w:rFonts w:hint="eastAsia"/>
              </w:rPr>
            </w:pPr>
            <w:r>
              <w:rPr>
                <w:rFonts w:hint="eastAsia"/>
              </w:rPr>
              <w:t>3、农副食品加工业</w:t>
            </w:r>
          </w:p>
        </w:tc>
        <w:tc>
          <w:tcPr>
            <w:tcW w:w="995" w:type="pct"/>
            <w:vAlign w:val="center"/>
          </w:tcPr>
          <w:p w14:paraId="047EE15A">
            <w:pPr>
              <w:pStyle w:val="13"/>
              <w:jc w:val="center"/>
            </w:pPr>
            <w:r>
              <w:t>3</w:t>
            </w:r>
          </w:p>
        </w:tc>
        <w:tc>
          <w:tcPr>
            <w:tcW w:w="1331" w:type="pct"/>
            <w:vAlign w:val="center"/>
          </w:tcPr>
          <w:p w14:paraId="686354BD">
            <w:pPr>
              <w:pStyle w:val="13"/>
              <w:jc w:val="center"/>
            </w:pPr>
            <w:r>
              <w:t>16935</w:t>
            </w:r>
          </w:p>
        </w:tc>
        <w:tc>
          <w:tcPr>
            <w:tcW w:w="1054" w:type="pct"/>
            <w:vAlign w:val="center"/>
          </w:tcPr>
          <w:p w14:paraId="0BF2D74E">
            <w:pPr>
              <w:pStyle w:val="13"/>
              <w:jc w:val="center"/>
            </w:pPr>
            <w:r>
              <w:t>16912</w:t>
            </w:r>
          </w:p>
        </w:tc>
      </w:tr>
      <w:tr w14:paraId="5DF69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0" w:type="pct"/>
            <w:vAlign w:val="center"/>
          </w:tcPr>
          <w:p w14:paraId="7A858219">
            <w:pPr>
              <w:pStyle w:val="13"/>
              <w:jc w:val="left"/>
              <w:rPr>
                <w:rFonts w:hint="eastAsia"/>
              </w:rPr>
            </w:pPr>
            <w:r>
              <w:rPr>
                <w:rFonts w:hint="eastAsia"/>
              </w:rPr>
              <w:t>4、食品制造业</w:t>
            </w:r>
          </w:p>
        </w:tc>
        <w:tc>
          <w:tcPr>
            <w:tcW w:w="995" w:type="pct"/>
            <w:vAlign w:val="center"/>
          </w:tcPr>
          <w:p w14:paraId="36317C26">
            <w:pPr>
              <w:pStyle w:val="13"/>
              <w:jc w:val="center"/>
              <w:rPr>
                <w:rFonts w:hint="eastAsia"/>
              </w:rPr>
            </w:pPr>
            <w:r>
              <w:rPr>
                <w:rFonts w:hint="eastAsia"/>
              </w:rPr>
              <w:t>1</w:t>
            </w:r>
          </w:p>
        </w:tc>
        <w:tc>
          <w:tcPr>
            <w:tcW w:w="1331" w:type="pct"/>
            <w:vAlign w:val="center"/>
          </w:tcPr>
          <w:p w14:paraId="27E6868E">
            <w:pPr>
              <w:pStyle w:val="13"/>
              <w:jc w:val="center"/>
              <w:rPr>
                <w:rFonts w:hint="eastAsia"/>
              </w:rPr>
            </w:pPr>
            <w:r>
              <w:rPr>
                <w:rFonts w:hint="eastAsia"/>
              </w:rPr>
              <w:t>3291</w:t>
            </w:r>
          </w:p>
        </w:tc>
        <w:tc>
          <w:tcPr>
            <w:tcW w:w="1054" w:type="pct"/>
            <w:vAlign w:val="center"/>
          </w:tcPr>
          <w:p w14:paraId="3E0BFAC4">
            <w:pPr>
              <w:pStyle w:val="13"/>
              <w:jc w:val="center"/>
              <w:rPr>
                <w:rFonts w:hint="eastAsia"/>
              </w:rPr>
            </w:pPr>
            <w:r>
              <w:rPr>
                <w:rFonts w:hint="eastAsia"/>
              </w:rPr>
              <w:t>3286</w:t>
            </w:r>
          </w:p>
        </w:tc>
      </w:tr>
      <w:tr w14:paraId="71934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0" w:type="pct"/>
            <w:vAlign w:val="center"/>
          </w:tcPr>
          <w:p w14:paraId="7372CF66">
            <w:pPr>
              <w:pStyle w:val="13"/>
              <w:jc w:val="left"/>
              <w:rPr>
                <w:rFonts w:hint="eastAsia"/>
              </w:rPr>
            </w:pPr>
            <w:r>
              <w:rPr>
                <w:rFonts w:hint="eastAsia"/>
              </w:rPr>
              <w:t>5、烟草制品业</w:t>
            </w:r>
          </w:p>
        </w:tc>
        <w:tc>
          <w:tcPr>
            <w:tcW w:w="995" w:type="pct"/>
            <w:vAlign w:val="center"/>
          </w:tcPr>
          <w:p w14:paraId="43D3A70D">
            <w:pPr>
              <w:pStyle w:val="13"/>
              <w:jc w:val="center"/>
              <w:rPr>
                <w:rFonts w:hint="eastAsia"/>
              </w:rPr>
            </w:pPr>
            <w:r>
              <w:rPr>
                <w:rFonts w:hint="eastAsia"/>
              </w:rPr>
              <w:t>1</w:t>
            </w:r>
          </w:p>
        </w:tc>
        <w:tc>
          <w:tcPr>
            <w:tcW w:w="1331" w:type="pct"/>
            <w:vAlign w:val="center"/>
          </w:tcPr>
          <w:p w14:paraId="64357846">
            <w:pPr>
              <w:pStyle w:val="13"/>
              <w:jc w:val="center"/>
              <w:rPr>
                <w:rFonts w:hint="eastAsia"/>
              </w:rPr>
            </w:pPr>
            <w:r>
              <w:rPr>
                <w:rFonts w:hint="eastAsia"/>
              </w:rPr>
              <w:t>5278</w:t>
            </w:r>
          </w:p>
        </w:tc>
        <w:tc>
          <w:tcPr>
            <w:tcW w:w="1054" w:type="pct"/>
            <w:vAlign w:val="center"/>
          </w:tcPr>
          <w:p w14:paraId="75448A6A">
            <w:pPr>
              <w:pStyle w:val="13"/>
              <w:jc w:val="center"/>
              <w:rPr>
                <w:rFonts w:hint="eastAsia"/>
              </w:rPr>
            </w:pPr>
            <w:r>
              <w:rPr>
                <w:rFonts w:hint="eastAsia"/>
              </w:rPr>
              <w:t>5278</w:t>
            </w:r>
          </w:p>
        </w:tc>
      </w:tr>
      <w:tr w14:paraId="4789C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0" w:type="pct"/>
            <w:vAlign w:val="center"/>
          </w:tcPr>
          <w:p w14:paraId="4C3A7C2B">
            <w:pPr>
              <w:pStyle w:val="13"/>
              <w:jc w:val="left"/>
              <w:rPr>
                <w:rFonts w:hint="eastAsia"/>
              </w:rPr>
            </w:pPr>
            <w:r>
              <w:rPr>
                <w:rFonts w:hint="eastAsia"/>
              </w:rPr>
              <w:t>6、纺织服装制造业</w:t>
            </w:r>
          </w:p>
        </w:tc>
        <w:tc>
          <w:tcPr>
            <w:tcW w:w="995" w:type="pct"/>
            <w:vAlign w:val="center"/>
          </w:tcPr>
          <w:p w14:paraId="4B67ED0F">
            <w:pPr>
              <w:pStyle w:val="13"/>
              <w:jc w:val="center"/>
              <w:rPr>
                <w:rFonts w:hint="eastAsia"/>
              </w:rPr>
            </w:pPr>
            <w:r>
              <w:rPr>
                <w:rFonts w:hint="eastAsia"/>
              </w:rPr>
              <w:t>1</w:t>
            </w:r>
          </w:p>
        </w:tc>
        <w:tc>
          <w:tcPr>
            <w:tcW w:w="1331" w:type="pct"/>
            <w:vAlign w:val="center"/>
          </w:tcPr>
          <w:p w14:paraId="22B498B9">
            <w:pPr>
              <w:pStyle w:val="13"/>
              <w:jc w:val="center"/>
              <w:rPr>
                <w:rFonts w:hint="eastAsia"/>
              </w:rPr>
            </w:pPr>
            <w:r>
              <w:rPr>
                <w:rFonts w:hint="eastAsia"/>
              </w:rPr>
              <w:t>7834</w:t>
            </w:r>
          </w:p>
        </w:tc>
        <w:tc>
          <w:tcPr>
            <w:tcW w:w="1054" w:type="pct"/>
            <w:vAlign w:val="center"/>
          </w:tcPr>
          <w:p w14:paraId="3C72651A">
            <w:pPr>
              <w:pStyle w:val="13"/>
              <w:jc w:val="center"/>
              <w:rPr>
                <w:rFonts w:hint="eastAsia"/>
              </w:rPr>
            </w:pPr>
            <w:r>
              <w:rPr>
                <w:rFonts w:hint="eastAsia"/>
              </w:rPr>
              <w:t>7734</w:t>
            </w:r>
          </w:p>
        </w:tc>
      </w:tr>
      <w:tr w14:paraId="17100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0" w:type="pct"/>
            <w:vAlign w:val="center"/>
          </w:tcPr>
          <w:p w14:paraId="65C42F57">
            <w:pPr>
              <w:pStyle w:val="13"/>
              <w:jc w:val="left"/>
              <w:rPr>
                <w:rFonts w:hint="eastAsia"/>
              </w:rPr>
            </w:pPr>
            <w:r>
              <w:rPr>
                <w:rFonts w:hint="eastAsia"/>
              </w:rPr>
              <w:t>7、皮革、毛皮及其制品</w:t>
            </w:r>
          </w:p>
        </w:tc>
        <w:tc>
          <w:tcPr>
            <w:tcW w:w="995" w:type="pct"/>
            <w:vAlign w:val="center"/>
          </w:tcPr>
          <w:p w14:paraId="2B8657DF">
            <w:pPr>
              <w:pStyle w:val="13"/>
              <w:jc w:val="center"/>
              <w:rPr>
                <w:rFonts w:hint="eastAsia"/>
              </w:rPr>
            </w:pPr>
            <w:r>
              <w:rPr>
                <w:rFonts w:hint="eastAsia"/>
              </w:rPr>
              <w:t>1</w:t>
            </w:r>
          </w:p>
        </w:tc>
        <w:tc>
          <w:tcPr>
            <w:tcW w:w="1331" w:type="pct"/>
            <w:vAlign w:val="center"/>
          </w:tcPr>
          <w:p w14:paraId="6C026AE5">
            <w:pPr>
              <w:pStyle w:val="13"/>
              <w:jc w:val="center"/>
              <w:rPr>
                <w:rFonts w:hint="eastAsia"/>
              </w:rPr>
            </w:pPr>
            <w:r>
              <w:rPr>
                <w:rFonts w:hint="eastAsia"/>
              </w:rPr>
              <w:t>8243</w:t>
            </w:r>
          </w:p>
        </w:tc>
        <w:tc>
          <w:tcPr>
            <w:tcW w:w="1054" w:type="pct"/>
            <w:vAlign w:val="center"/>
          </w:tcPr>
          <w:p w14:paraId="24CEFB1D">
            <w:pPr>
              <w:pStyle w:val="13"/>
              <w:jc w:val="center"/>
              <w:rPr>
                <w:rFonts w:hint="eastAsia"/>
              </w:rPr>
            </w:pPr>
            <w:r>
              <w:rPr>
                <w:rFonts w:hint="eastAsia"/>
              </w:rPr>
              <w:t>8213</w:t>
            </w:r>
          </w:p>
        </w:tc>
      </w:tr>
      <w:tr w14:paraId="0F302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0" w:type="pct"/>
            <w:vAlign w:val="center"/>
          </w:tcPr>
          <w:p w14:paraId="60411CE1">
            <w:pPr>
              <w:pStyle w:val="13"/>
              <w:jc w:val="left"/>
              <w:rPr>
                <w:rFonts w:hint="eastAsia"/>
              </w:rPr>
            </w:pPr>
            <w:r>
              <w:rPr>
                <w:rFonts w:hint="eastAsia"/>
              </w:rPr>
              <w:t>8、木材及竹、藤、棕、草制</w:t>
            </w:r>
          </w:p>
        </w:tc>
        <w:tc>
          <w:tcPr>
            <w:tcW w:w="995" w:type="pct"/>
            <w:vAlign w:val="center"/>
          </w:tcPr>
          <w:p w14:paraId="757ED72B">
            <w:pPr>
              <w:pStyle w:val="13"/>
              <w:jc w:val="center"/>
              <w:rPr>
                <w:rFonts w:hint="eastAsia"/>
              </w:rPr>
            </w:pPr>
            <w:r>
              <w:rPr>
                <w:rFonts w:hint="eastAsia"/>
              </w:rPr>
              <w:t>4</w:t>
            </w:r>
          </w:p>
        </w:tc>
        <w:tc>
          <w:tcPr>
            <w:tcW w:w="1331" w:type="pct"/>
            <w:vAlign w:val="center"/>
          </w:tcPr>
          <w:p w14:paraId="5759DA2A">
            <w:pPr>
              <w:pStyle w:val="13"/>
              <w:jc w:val="center"/>
              <w:rPr>
                <w:rFonts w:hint="eastAsia"/>
              </w:rPr>
            </w:pPr>
            <w:r>
              <w:rPr>
                <w:rFonts w:hint="eastAsia"/>
              </w:rPr>
              <w:t>14815</w:t>
            </w:r>
          </w:p>
        </w:tc>
        <w:tc>
          <w:tcPr>
            <w:tcW w:w="1054" w:type="pct"/>
            <w:vAlign w:val="center"/>
          </w:tcPr>
          <w:p w14:paraId="7727CFDE">
            <w:pPr>
              <w:pStyle w:val="13"/>
              <w:jc w:val="center"/>
              <w:rPr>
                <w:rFonts w:hint="eastAsia"/>
              </w:rPr>
            </w:pPr>
            <w:r>
              <w:rPr>
                <w:rFonts w:hint="eastAsia"/>
              </w:rPr>
              <w:t>14391</w:t>
            </w:r>
          </w:p>
        </w:tc>
      </w:tr>
      <w:tr w14:paraId="781DE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0" w:type="pct"/>
            <w:vAlign w:val="center"/>
          </w:tcPr>
          <w:p w14:paraId="2E349195">
            <w:pPr>
              <w:pStyle w:val="13"/>
              <w:jc w:val="left"/>
              <w:rPr>
                <w:rFonts w:hint="eastAsia"/>
              </w:rPr>
            </w:pPr>
            <w:r>
              <w:rPr>
                <w:rFonts w:hint="eastAsia"/>
              </w:rPr>
              <w:t>9、家具制造业</w:t>
            </w:r>
          </w:p>
        </w:tc>
        <w:tc>
          <w:tcPr>
            <w:tcW w:w="995" w:type="pct"/>
            <w:vAlign w:val="center"/>
          </w:tcPr>
          <w:p w14:paraId="32923092">
            <w:pPr>
              <w:pStyle w:val="13"/>
              <w:jc w:val="center"/>
              <w:rPr>
                <w:rFonts w:hint="eastAsia"/>
              </w:rPr>
            </w:pPr>
            <w:r>
              <w:rPr>
                <w:rFonts w:hint="eastAsia"/>
              </w:rPr>
              <w:t>3</w:t>
            </w:r>
          </w:p>
        </w:tc>
        <w:tc>
          <w:tcPr>
            <w:tcW w:w="1331" w:type="pct"/>
            <w:vAlign w:val="center"/>
          </w:tcPr>
          <w:p w14:paraId="443A8004">
            <w:pPr>
              <w:pStyle w:val="13"/>
              <w:jc w:val="center"/>
              <w:rPr>
                <w:rFonts w:hint="eastAsia"/>
              </w:rPr>
            </w:pPr>
            <w:r>
              <w:rPr>
                <w:rFonts w:hint="eastAsia"/>
              </w:rPr>
              <w:t>11837</w:t>
            </w:r>
          </w:p>
        </w:tc>
        <w:tc>
          <w:tcPr>
            <w:tcW w:w="1054" w:type="pct"/>
            <w:vAlign w:val="center"/>
          </w:tcPr>
          <w:p w14:paraId="02278D01">
            <w:pPr>
              <w:pStyle w:val="13"/>
              <w:jc w:val="center"/>
              <w:rPr>
                <w:rFonts w:hint="eastAsia"/>
              </w:rPr>
            </w:pPr>
            <w:r>
              <w:rPr>
                <w:rFonts w:hint="eastAsia"/>
              </w:rPr>
              <w:t>11635</w:t>
            </w:r>
          </w:p>
        </w:tc>
      </w:tr>
      <w:tr w14:paraId="3FA7C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0" w:type="pct"/>
            <w:vAlign w:val="center"/>
          </w:tcPr>
          <w:p w14:paraId="77FA3861">
            <w:pPr>
              <w:pStyle w:val="13"/>
              <w:jc w:val="left"/>
              <w:rPr>
                <w:rFonts w:hint="eastAsia"/>
              </w:rPr>
            </w:pPr>
            <w:r>
              <w:rPr>
                <w:rFonts w:hint="eastAsia"/>
              </w:rPr>
              <w:t>13、造纸及纸制品业</w:t>
            </w:r>
          </w:p>
        </w:tc>
        <w:tc>
          <w:tcPr>
            <w:tcW w:w="995" w:type="pct"/>
            <w:vAlign w:val="center"/>
          </w:tcPr>
          <w:p w14:paraId="22386A1A">
            <w:pPr>
              <w:pStyle w:val="13"/>
              <w:jc w:val="center"/>
              <w:rPr>
                <w:rFonts w:hint="eastAsia"/>
              </w:rPr>
            </w:pPr>
            <w:r>
              <w:rPr>
                <w:rFonts w:hint="eastAsia"/>
              </w:rPr>
              <w:t>2</w:t>
            </w:r>
          </w:p>
        </w:tc>
        <w:tc>
          <w:tcPr>
            <w:tcW w:w="1331" w:type="pct"/>
            <w:vAlign w:val="center"/>
          </w:tcPr>
          <w:p w14:paraId="01201D3E">
            <w:pPr>
              <w:pStyle w:val="13"/>
              <w:jc w:val="center"/>
              <w:rPr>
                <w:rFonts w:hint="eastAsia"/>
              </w:rPr>
            </w:pPr>
            <w:r>
              <w:rPr>
                <w:rFonts w:hint="eastAsia"/>
              </w:rPr>
              <w:t>22267</w:t>
            </w:r>
          </w:p>
        </w:tc>
        <w:tc>
          <w:tcPr>
            <w:tcW w:w="1054" w:type="pct"/>
            <w:vAlign w:val="center"/>
          </w:tcPr>
          <w:p w14:paraId="088F7692">
            <w:pPr>
              <w:pStyle w:val="13"/>
              <w:jc w:val="center"/>
              <w:rPr>
                <w:rFonts w:hint="eastAsia"/>
              </w:rPr>
            </w:pPr>
            <w:r>
              <w:rPr>
                <w:rFonts w:hint="eastAsia"/>
              </w:rPr>
              <w:t>22149</w:t>
            </w:r>
          </w:p>
        </w:tc>
      </w:tr>
      <w:tr w14:paraId="7C910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0" w:type="pct"/>
            <w:vAlign w:val="center"/>
          </w:tcPr>
          <w:p w14:paraId="5AA14D72">
            <w:pPr>
              <w:pStyle w:val="13"/>
              <w:jc w:val="left"/>
              <w:rPr>
                <w:rFonts w:hint="eastAsia"/>
              </w:rPr>
            </w:pPr>
            <w:r>
              <w:rPr>
                <w:rFonts w:hint="eastAsia"/>
              </w:rPr>
              <w:t>11、文教体育用品制造业</w:t>
            </w:r>
          </w:p>
        </w:tc>
        <w:tc>
          <w:tcPr>
            <w:tcW w:w="995" w:type="pct"/>
            <w:vAlign w:val="center"/>
          </w:tcPr>
          <w:p w14:paraId="319A2498">
            <w:pPr>
              <w:pStyle w:val="13"/>
              <w:jc w:val="center"/>
              <w:rPr>
                <w:rFonts w:hint="eastAsia"/>
              </w:rPr>
            </w:pPr>
            <w:r>
              <w:rPr>
                <w:rFonts w:hint="eastAsia"/>
              </w:rPr>
              <w:t>1</w:t>
            </w:r>
          </w:p>
        </w:tc>
        <w:tc>
          <w:tcPr>
            <w:tcW w:w="1331" w:type="pct"/>
            <w:vAlign w:val="center"/>
          </w:tcPr>
          <w:p w14:paraId="5E2D2D40">
            <w:pPr>
              <w:pStyle w:val="13"/>
              <w:jc w:val="center"/>
              <w:rPr>
                <w:rFonts w:hint="eastAsia"/>
              </w:rPr>
            </w:pPr>
            <w:r>
              <w:rPr>
                <w:rFonts w:hint="eastAsia"/>
              </w:rPr>
              <w:t>4588</w:t>
            </w:r>
          </w:p>
        </w:tc>
        <w:tc>
          <w:tcPr>
            <w:tcW w:w="1054" w:type="pct"/>
            <w:vAlign w:val="center"/>
          </w:tcPr>
          <w:p w14:paraId="297C11B0">
            <w:pPr>
              <w:pStyle w:val="13"/>
              <w:jc w:val="center"/>
              <w:rPr>
                <w:rFonts w:hint="eastAsia"/>
              </w:rPr>
            </w:pPr>
            <w:r>
              <w:rPr>
                <w:rFonts w:hint="eastAsia"/>
              </w:rPr>
              <w:t>4499</w:t>
            </w:r>
          </w:p>
        </w:tc>
      </w:tr>
      <w:tr w14:paraId="1C485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0" w:type="pct"/>
            <w:vAlign w:val="center"/>
          </w:tcPr>
          <w:p w14:paraId="0BB8C905">
            <w:pPr>
              <w:pStyle w:val="13"/>
              <w:jc w:val="left"/>
              <w:rPr>
                <w:rFonts w:hint="eastAsia"/>
              </w:rPr>
            </w:pPr>
            <w:r>
              <w:rPr>
                <w:rFonts w:hint="eastAsia"/>
              </w:rPr>
              <w:t>10、化学原料及化学制品制造业</w:t>
            </w:r>
          </w:p>
        </w:tc>
        <w:tc>
          <w:tcPr>
            <w:tcW w:w="995" w:type="pct"/>
            <w:vAlign w:val="center"/>
          </w:tcPr>
          <w:p w14:paraId="646C788F">
            <w:pPr>
              <w:pStyle w:val="13"/>
              <w:jc w:val="center"/>
              <w:rPr>
                <w:rFonts w:hint="eastAsia"/>
              </w:rPr>
            </w:pPr>
            <w:r>
              <w:rPr>
                <w:rFonts w:hint="eastAsia"/>
              </w:rPr>
              <w:t>13</w:t>
            </w:r>
          </w:p>
        </w:tc>
        <w:tc>
          <w:tcPr>
            <w:tcW w:w="1331" w:type="pct"/>
            <w:vAlign w:val="center"/>
          </w:tcPr>
          <w:p w14:paraId="204A0C49">
            <w:pPr>
              <w:pStyle w:val="13"/>
              <w:jc w:val="center"/>
              <w:rPr>
                <w:rFonts w:hint="eastAsia"/>
              </w:rPr>
            </w:pPr>
            <w:r>
              <w:rPr>
                <w:rFonts w:hint="eastAsia"/>
              </w:rPr>
              <w:t>97962</w:t>
            </w:r>
          </w:p>
        </w:tc>
        <w:tc>
          <w:tcPr>
            <w:tcW w:w="1054" w:type="pct"/>
            <w:vAlign w:val="center"/>
          </w:tcPr>
          <w:p w14:paraId="3DB113CB">
            <w:pPr>
              <w:pStyle w:val="13"/>
              <w:jc w:val="center"/>
              <w:rPr>
                <w:rFonts w:hint="eastAsia"/>
              </w:rPr>
            </w:pPr>
            <w:r>
              <w:rPr>
                <w:rFonts w:hint="eastAsia"/>
              </w:rPr>
              <w:t>95407</w:t>
            </w:r>
          </w:p>
        </w:tc>
      </w:tr>
      <w:tr w14:paraId="32455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0" w:type="pct"/>
            <w:vAlign w:val="center"/>
          </w:tcPr>
          <w:p w14:paraId="22D46AC3">
            <w:pPr>
              <w:pStyle w:val="13"/>
              <w:jc w:val="left"/>
              <w:rPr>
                <w:rFonts w:hint="eastAsia"/>
              </w:rPr>
            </w:pPr>
            <w:r>
              <w:rPr>
                <w:rFonts w:hint="eastAsia"/>
              </w:rPr>
              <w:t>12、塑料制品业</w:t>
            </w:r>
          </w:p>
        </w:tc>
        <w:tc>
          <w:tcPr>
            <w:tcW w:w="995" w:type="pct"/>
            <w:vAlign w:val="center"/>
          </w:tcPr>
          <w:p w14:paraId="613C2C51">
            <w:pPr>
              <w:pStyle w:val="13"/>
              <w:jc w:val="center"/>
              <w:rPr>
                <w:rFonts w:hint="eastAsia"/>
              </w:rPr>
            </w:pPr>
            <w:r>
              <w:rPr>
                <w:rFonts w:hint="eastAsia"/>
              </w:rPr>
              <w:t>4</w:t>
            </w:r>
          </w:p>
        </w:tc>
        <w:tc>
          <w:tcPr>
            <w:tcW w:w="1331" w:type="pct"/>
            <w:vAlign w:val="center"/>
          </w:tcPr>
          <w:p w14:paraId="1E79A632">
            <w:pPr>
              <w:pStyle w:val="13"/>
              <w:jc w:val="center"/>
              <w:rPr>
                <w:rFonts w:hint="eastAsia"/>
              </w:rPr>
            </w:pPr>
            <w:r>
              <w:rPr>
                <w:rFonts w:hint="eastAsia"/>
              </w:rPr>
              <w:t>32284</w:t>
            </w:r>
          </w:p>
        </w:tc>
        <w:tc>
          <w:tcPr>
            <w:tcW w:w="1054" w:type="pct"/>
            <w:vAlign w:val="center"/>
          </w:tcPr>
          <w:p w14:paraId="32A392F7">
            <w:pPr>
              <w:pStyle w:val="13"/>
              <w:jc w:val="center"/>
              <w:rPr>
                <w:rFonts w:hint="eastAsia"/>
              </w:rPr>
            </w:pPr>
            <w:r>
              <w:rPr>
                <w:rFonts w:hint="eastAsia"/>
              </w:rPr>
              <w:t>31667</w:t>
            </w:r>
          </w:p>
        </w:tc>
      </w:tr>
      <w:tr w14:paraId="06F71D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0" w:type="pct"/>
            <w:vAlign w:val="center"/>
          </w:tcPr>
          <w:p w14:paraId="0D847219">
            <w:pPr>
              <w:pStyle w:val="13"/>
              <w:jc w:val="left"/>
              <w:rPr>
                <w:rFonts w:hint="eastAsia"/>
              </w:rPr>
            </w:pPr>
            <w:r>
              <w:rPr>
                <w:rFonts w:hint="eastAsia"/>
              </w:rPr>
              <w:t>14、非金属矿物制品业</w:t>
            </w:r>
          </w:p>
        </w:tc>
        <w:tc>
          <w:tcPr>
            <w:tcW w:w="995" w:type="pct"/>
            <w:vAlign w:val="center"/>
          </w:tcPr>
          <w:p w14:paraId="329FDBAD">
            <w:pPr>
              <w:pStyle w:val="13"/>
              <w:jc w:val="center"/>
              <w:rPr>
                <w:rFonts w:hint="eastAsia"/>
              </w:rPr>
            </w:pPr>
            <w:r>
              <w:rPr>
                <w:rFonts w:hint="eastAsia"/>
              </w:rPr>
              <w:t>3</w:t>
            </w:r>
          </w:p>
        </w:tc>
        <w:tc>
          <w:tcPr>
            <w:tcW w:w="1331" w:type="pct"/>
            <w:vAlign w:val="center"/>
          </w:tcPr>
          <w:p w14:paraId="4732D6D3">
            <w:pPr>
              <w:pStyle w:val="13"/>
              <w:jc w:val="center"/>
              <w:rPr>
                <w:rFonts w:hint="eastAsia"/>
              </w:rPr>
            </w:pPr>
            <w:r>
              <w:rPr>
                <w:rFonts w:hint="eastAsia"/>
              </w:rPr>
              <w:t>15495</w:t>
            </w:r>
          </w:p>
        </w:tc>
        <w:tc>
          <w:tcPr>
            <w:tcW w:w="1054" w:type="pct"/>
            <w:vAlign w:val="center"/>
          </w:tcPr>
          <w:p w14:paraId="6DCB0330">
            <w:pPr>
              <w:pStyle w:val="13"/>
              <w:jc w:val="center"/>
              <w:rPr>
                <w:rFonts w:hint="eastAsia"/>
              </w:rPr>
            </w:pPr>
            <w:r>
              <w:rPr>
                <w:rFonts w:hint="eastAsia"/>
              </w:rPr>
              <w:t>15059</w:t>
            </w:r>
          </w:p>
        </w:tc>
      </w:tr>
      <w:tr w14:paraId="4D11D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0" w:type="pct"/>
            <w:vAlign w:val="center"/>
          </w:tcPr>
          <w:p w14:paraId="29B0FAF1">
            <w:pPr>
              <w:pStyle w:val="13"/>
              <w:jc w:val="left"/>
              <w:rPr>
                <w:rFonts w:hint="eastAsia"/>
              </w:rPr>
            </w:pPr>
            <w:r>
              <w:rPr>
                <w:rFonts w:hint="eastAsia"/>
              </w:rPr>
              <w:t>15、金属制品业</w:t>
            </w:r>
          </w:p>
        </w:tc>
        <w:tc>
          <w:tcPr>
            <w:tcW w:w="995" w:type="pct"/>
            <w:vAlign w:val="center"/>
          </w:tcPr>
          <w:p w14:paraId="56502CF8">
            <w:pPr>
              <w:pStyle w:val="13"/>
              <w:jc w:val="center"/>
              <w:rPr>
                <w:rFonts w:hint="eastAsia"/>
              </w:rPr>
            </w:pPr>
            <w:r>
              <w:rPr>
                <w:rFonts w:hint="eastAsia"/>
              </w:rPr>
              <w:t>1</w:t>
            </w:r>
          </w:p>
        </w:tc>
        <w:tc>
          <w:tcPr>
            <w:tcW w:w="1331" w:type="pct"/>
            <w:vAlign w:val="center"/>
          </w:tcPr>
          <w:p w14:paraId="076FB04A">
            <w:pPr>
              <w:pStyle w:val="13"/>
              <w:jc w:val="center"/>
              <w:rPr>
                <w:rFonts w:hint="eastAsia"/>
              </w:rPr>
            </w:pPr>
            <w:r>
              <w:rPr>
                <w:rFonts w:hint="eastAsia"/>
              </w:rPr>
              <w:t>4037</w:t>
            </w:r>
          </w:p>
        </w:tc>
        <w:tc>
          <w:tcPr>
            <w:tcW w:w="1054" w:type="pct"/>
            <w:vAlign w:val="center"/>
          </w:tcPr>
          <w:p w14:paraId="4E1C0058">
            <w:pPr>
              <w:pStyle w:val="13"/>
              <w:jc w:val="center"/>
              <w:rPr>
                <w:rFonts w:hint="eastAsia"/>
              </w:rPr>
            </w:pPr>
            <w:r>
              <w:rPr>
                <w:rFonts w:hint="eastAsia"/>
              </w:rPr>
              <w:t>4037</w:t>
            </w:r>
          </w:p>
        </w:tc>
      </w:tr>
      <w:tr w14:paraId="0BE36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0" w:type="pct"/>
            <w:vAlign w:val="center"/>
          </w:tcPr>
          <w:p w14:paraId="44CD9A5D">
            <w:pPr>
              <w:pStyle w:val="13"/>
              <w:jc w:val="left"/>
              <w:rPr>
                <w:rFonts w:hint="eastAsia"/>
              </w:rPr>
            </w:pPr>
            <w:r>
              <w:rPr>
                <w:rFonts w:hint="eastAsia"/>
              </w:rPr>
              <w:t>17、电力生产及供应业</w:t>
            </w:r>
          </w:p>
        </w:tc>
        <w:tc>
          <w:tcPr>
            <w:tcW w:w="995" w:type="pct"/>
            <w:vAlign w:val="center"/>
          </w:tcPr>
          <w:p w14:paraId="323075F3">
            <w:pPr>
              <w:pStyle w:val="13"/>
              <w:jc w:val="center"/>
              <w:rPr>
                <w:rFonts w:hint="eastAsia"/>
              </w:rPr>
            </w:pPr>
            <w:r>
              <w:rPr>
                <w:rFonts w:hint="eastAsia"/>
              </w:rPr>
              <w:t>2</w:t>
            </w:r>
          </w:p>
        </w:tc>
        <w:tc>
          <w:tcPr>
            <w:tcW w:w="1331" w:type="pct"/>
            <w:vAlign w:val="center"/>
          </w:tcPr>
          <w:p w14:paraId="73FE856E">
            <w:pPr>
              <w:pStyle w:val="13"/>
              <w:jc w:val="center"/>
              <w:rPr>
                <w:rFonts w:hint="eastAsia"/>
              </w:rPr>
            </w:pPr>
            <w:r>
              <w:rPr>
                <w:rFonts w:hint="eastAsia"/>
              </w:rPr>
              <w:t>22963</w:t>
            </w:r>
          </w:p>
        </w:tc>
        <w:tc>
          <w:tcPr>
            <w:tcW w:w="1054" w:type="pct"/>
            <w:vAlign w:val="center"/>
          </w:tcPr>
          <w:p w14:paraId="50A6475D">
            <w:pPr>
              <w:pStyle w:val="13"/>
              <w:jc w:val="center"/>
              <w:rPr>
                <w:rFonts w:hint="eastAsia"/>
              </w:rPr>
            </w:pPr>
            <w:r>
              <w:rPr>
                <w:rFonts w:hint="eastAsia"/>
              </w:rPr>
              <w:t>22964</w:t>
            </w:r>
          </w:p>
        </w:tc>
      </w:tr>
    </w:tbl>
    <w:p w14:paraId="250C0A14">
      <w:pPr>
        <w:pStyle w:val="4"/>
        <w:rPr>
          <w:rFonts w:hint="eastAsia"/>
        </w:rPr>
      </w:pPr>
      <w:r>
        <w:t>表</w:t>
      </w:r>
      <w:r>
        <w:rPr>
          <w:rFonts w:hint="eastAsia"/>
        </w:rPr>
        <w:t>34-26  规模以上工业主要经济指标</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04"/>
        <w:gridCol w:w="2630"/>
        <w:gridCol w:w="2628"/>
      </w:tblGrid>
      <w:tr w14:paraId="10895D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7E89BA11">
            <w:pPr>
              <w:pStyle w:val="13"/>
              <w:jc w:val="center"/>
              <w:rPr>
                <w:rFonts w:hint="eastAsia"/>
                <w:b/>
              </w:rPr>
            </w:pPr>
            <w:r>
              <w:rPr>
                <w:rFonts w:hint="eastAsia"/>
                <w:b/>
              </w:rPr>
              <w:t>指标名称</w:t>
            </w:r>
          </w:p>
        </w:tc>
        <w:tc>
          <w:tcPr>
            <w:tcW w:w="1320" w:type="pct"/>
            <w:vAlign w:val="center"/>
          </w:tcPr>
          <w:p w14:paraId="28C05DE3">
            <w:pPr>
              <w:pStyle w:val="13"/>
              <w:jc w:val="center"/>
              <w:rPr>
                <w:rFonts w:hint="eastAsia"/>
                <w:b/>
              </w:rPr>
            </w:pPr>
            <w:r>
              <w:rPr>
                <w:rFonts w:hint="eastAsia"/>
                <w:b/>
              </w:rPr>
              <w:t>计算单位</w:t>
            </w:r>
          </w:p>
        </w:tc>
        <w:tc>
          <w:tcPr>
            <w:tcW w:w="1320" w:type="pct"/>
            <w:vAlign w:val="center"/>
          </w:tcPr>
          <w:p w14:paraId="7A58487F">
            <w:pPr>
              <w:pStyle w:val="13"/>
              <w:jc w:val="center"/>
              <w:rPr>
                <w:rFonts w:hint="eastAsia"/>
                <w:b/>
              </w:rPr>
            </w:pPr>
            <w:r>
              <w:rPr>
                <w:rFonts w:hint="eastAsia"/>
                <w:b/>
              </w:rPr>
              <w:t>2010年</w:t>
            </w:r>
          </w:p>
        </w:tc>
      </w:tr>
      <w:tr w14:paraId="63863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5E4EE3D6">
            <w:pPr>
              <w:pStyle w:val="13"/>
              <w:jc w:val="left"/>
              <w:rPr>
                <w:rFonts w:hint="eastAsia"/>
              </w:rPr>
            </w:pPr>
            <w:r>
              <w:rPr>
                <w:rFonts w:hint="eastAsia"/>
              </w:rPr>
              <w:t>企业单位数</w:t>
            </w:r>
          </w:p>
        </w:tc>
        <w:tc>
          <w:tcPr>
            <w:tcW w:w="1320" w:type="pct"/>
            <w:vAlign w:val="center"/>
          </w:tcPr>
          <w:p w14:paraId="36DA168A">
            <w:pPr>
              <w:pStyle w:val="13"/>
              <w:jc w:val="center"/>
              <w:rPr>
                <w:rFonts w:hint="eastAsia"/>
              </w:rPr>
            </w:pPr>
            <w:r>
              <w:rPr>
                <w:rFonts w:hint="eastAsia"/>
              </w:rPr>
              <w:t>个</w:t>
            </w:r>
          </w:p>
        </w:tc>
        <w:tc>
          <w:tcPr>
            <w:tcW w:w="1320" w:type="pct"/>
            <w:vAlign w:val="center"/>
          </w:tcPr>
          <w:p w14:paraId="15C0240C">
            <w:pPr>
              <w:pStyle w:val="13"/>
              <w:jc w:val="center"/>
              <w:rPr>
                <w:rFonts w:hint="eastAsia"/>
              </w:rPr>
            </w:pPr>
            <w:r>
              <w:rPr>
                <w:rFonts w:hint="eastAsia"/>
              </w:rPr>
              <w:t>46</w:t>
            </w:r>
          </w:p>
        </w:tc>
      </w:tr>
      <w:tr w14:paraId="7CE68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73B9D4E6">
            <w:pPr>
              <w:pStyle w:val="13"/>
              <w:ind w:firstLine="420" w:firstLineChars="200"/>
              <w:jc w:val="left"/>
              <w:rPr>
                <w:rFonts w:hint="eastAsia"/>
              </w:rPr>
            </w:pPr>
            <w:r>
              <w:rPr>
                <w:rFonts w:hint="eastAsia"/>
              </w:rPr>
              <w:t>其中：亏损企业</w:t>
            </w:r>
          </w:p>
        </w:tc>
        <w:tc>
          <w:tcPr>
            <w:tcW w:w="1320" w:type="pct"/>
            <w:vAlign w:val="center"/>
          </w:tcPr>
          <w:p w14:paraId="3511CD18">
            <w:pPr>
              <w:pStyle w:val="13"/>
              <w:jc w:val="center"/>
              <w:rPr>
                <w:rFonts w:hint="eastAsia"/>
              </w:rPr>
            </w:pPr>
            <w:r>
              <w:rPr>
                <w:rFonts w:hint="eastAsia"/>
              </w:rPr>
              <w:t>个</w:t>
            </w:r>
          </w:p>
        </w:tc>
        <w:tc>
          <w:tcPr>
            <w:tcW w:w="1320" w:type="pct"/>
            <w:vAlign w:val="center"/>
          </w:tcPr>
          <w:p w14:paraId="353DE543">
            <w:pPr>
              <w:pStyle w:val="13"/>
              <w:jc w:val="center"/>
              <w:rPr>
                <w:rFonts w:hint="eastAsia"/>
              </w:rPr>
            </w:pPr>
            <w:r>
              <w:rPr>
                <w:rFonts w:hint="eastAsia"/>
              </w:rPr>
              <w:t>3</w:t>
            </w:r>
          </w:p>
        </w:tc>
      </w:tr>
      <w:tr w14:paraId="22698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073545EF">
            <w:pPr>
              <w:pStyle w:val="13"/>
              <w:ind w:firstLine="210" w:firstLineChars="100"/>
              <w:jc w:val="left"/>
              <w:rPr>
                <w:rFonts w:hint="eastAsia"/>
              </w:rPr>
            </w:pPr>
            <w:r>
              <w:rPr>
                <w:rFonts w:hint="eastAsia"/>
              </w:rPr>
              <w:t>工业增加值</w:t>
            </w:r>
          </w:p>
        </w:tc>
        <w:tc>
          <w:tcPr>
            <w:tcW w:w="1320" w:type="pct"/>
            <w:vAlign w:val="center"/>
          </w:tcPr>
          <w:p w14:paraId="5BD70C05">
            <w:pPr>
              <w:pStyle w:val="13"/>
              <w:jc w:val="center"/>
              <w:rPr>
                <w:rFonts w:hint="eastAsia"/>
              </w:rPr>
            </w:pPr>
            <w:r>
              <w:rPr>
                <w:rFonts w:hint="eastAsia"/>
              </w:rPr>
              <w:t>万元</w:t>
            </w:r>
          </w:p>
        </w:tc>
        <w:tc>
          <w:tcPr>
            <w:tcW w:w="1320" w:type="pct"/>
            <w:vAlign w:val="center"/>
          </w:tcPr>
          <w:p w14:paraId="1BC3F707">
            <w:pPr>
              <w:pStyle w:val="13"/>
              <w:jc w:val="center"/>
              <w:rPr>
                <w:rFonts w:hint="eastAsia"/>
              </w:rPr>
            </w:pPr>
            <w:r>
              <w:rPr>
                <w:rFonts w:hint="eastAsia"/>
              </w:rPr>
              <w:t>81356</w:t>
            </w:r>
          </w:p>
        </w:tc>
      </w:tr>
      <w:tr w14:paraId="11282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0341F1E1">
            <w:pPr>
              <w:pStyle w:val="13"/>
              <w:jc w:val="left"/>
              <w:rPr>
                <w:rFonts w:hint="eastAsia"/>
              </w:rPr>
            </w:pPr>
            <w:r>
              <w:rPr>
                <w:rFonts w:hint="eastAsia"/>
              </w:rPr>
              <w:t>资产总计</w:t>
            </w:r>
          </w:p>
        </w:tc>
        <w:tc>
          <w:tcPr>
            <w:tcW w:w="1320" w:type="pct"/>
            <w:vAlign w:val="center"/>
          </w:tcPr>
          <w:p w14:paraId="1CCCF1FC">
            <w:pPr>
              <w:pStyle w:val="13"/>
              <w:jc w:val="center"/>
              <w:rPr>
                <w:rFonts w:hint="eastAsia"/>
              </w:rPr>
            </w:pPr>
            <w:r>
              <w:rPr>
                <w:rFonts w:hint="eastAsia"/>
              </w:rPr>
              <w:t>万元</w:t>
            </w:r>
          </w:p>
        </w:tc>
        <w:tc>
          <w:tcPr>
            <w:tcW w:w="1320" w:type="pct"/>
            <w:vAlign w:val="center"/>
          </w:tcPr>
          <w:p w14:paraId="7FD68C34">
            <w:pPr>
              <w:pStyle w:val="13"/>
              <w:jc w:val="center"/>
              <w:rPr>
                <w:rFonts w:hint="eastAsia"/>
              </w:rPr>
            </w:pPr>
            <w:r>
              <w:rPr>
                <w:rFonts w:hint="eastAsia"/>
              </w:rPr>
              <w:t>205881</w:t>
            </w:r>
          </w:p>
        </w:tc>
      </w:tr>
      <w:tr w14:paraId="06315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24303F6B">
            <w:pPr>
              <w:pStyle w:val="13"/>
              <w:ind w:firstLine="210" w:firstLineChars="100"/>
              <w:jc w:val="left"/>
              <w:rPr>
                <w:rFonts w:hint="eastAsia"/>
              </w:rPr>
            </w:pPr>
            <w:r>
              <w:rPr>
                <w:rFonts w:hint="eastAsia"/>
              </w:rPr>
              <w:t>流动资产合计</w:t>
            </w:r>
          </w:p>
        </w:tc>
        <w:tc>
          <w:tcPr>
            <w:tcW w:w="1320" w:type="pct"/>
            <w:vAlign w:val="center"/>
          </w:tcPr>
          <w:p w14:paraId="1C77FE78">
            <w:pPr>
              <w:pStyle w:val="13"/>
              <w:jc w:val="center"/>
              <w:rPr>
                <w:rFonts w:hint="eastAsia"/>
              </w:rPr>
            </w:pPr>
            <w:r>
              <w:rPr>
                <w:rFonts w:hint="eastAsia"/>
              </w:rPr>
              <w:t>万元</w:t>
            </w:r>
          </w:p>
        </w:tc>
        <w:tc>
          <w:tcPr>
            <w:tcW w:w="1320" w:type="pct"/>
            <w:vAlign w:val="center"/>
          </w:tcPr>
          <w:p w14:paraId="73EEB7A2">
            <w:pPr>
              <w:pStyle w:val="13"/>
              <w:jc w:val="center"/>
              <w:rPr>
                <w:rFonts w:hint="eastAsia"/>
              </w:rPr>
            </w:pPr>
            <w:r>
              <w:rPr>
                <w:rFonts w:hint="eastAsia"/>
              </w:rPr>
              <w:t>43477</w:t>
            </w:r>
          </w:p>
        </w:tc>
      </w:tr>
      <w:tr w14:paraId="1028E947">
        <w:tblPrEx>
          <w:tblCellMar>
            <w:top w:w="0" w:type="dxa"/>
            <w:left w:w="108" w:type="dxa"/>
            <w:bottom w:w="0" w:type="dxa"/>
            <w:right w:w="108" w:type="dxa"/>
          </w:tblCellMar>
        </w:tblPrEx>
        <w:tc>
          <w:tcPr>
            <w:tcW w:w="2361" w:type="pct"/>
            <w:vAlign w:val="center"/>
          </w:tcPr>
          <w:p w14:paraId="2C1251C6">
            <w:pPr>
              <w:pStyle w:val="13"/>
              <w:ind w:firstLine="420" w:firstLineChars="200"/>
              <w:jc w:val="left"/>
              <w:rPr>
                <w:rFonts w:hint="eastAsia"/>
              </w:rPr>
            </w:pPr>
            <w:r>
              <w:rPr>
                <w:rFonts w:hint="eastAsia"/>
              </w:rPr>
              <w:t>其中：存货</w:t>
            </w:r>
          </w:p>
        </w:tc>
        <w:tc>
          <w:tcPr>
            <w:tcW w:w="1320" w:type="pct"/>
            <w:vAlign w:val="center"/>
          </w:tcPr>
          <w:p w14:paraId="2F3D9477">
            <w:pPr>
              <w:pStyle w:val="13"/>
              <w:jc w:val="center"/>
              <w:rPr>
                <w:rFonts w:hint="eastAsia"/>
              </w:rPr>
            </w:pPr>
            <w:r>
              <w:rPr>
                <w:rFonts w:hint="eastAsia"/>
              </w:rPr>
              <w:t>万元</w:t>
            </w:r>
          </w:p>
        </w:tc>
        <w:tc>
          <w:tcPr>
            <w:tcW w:w="1320" w:type="pct"/>
            <w:vAlign w:val="center"/>
          </w:tcPr>
          <w:p w14:paraId="7C6C8603">
            <w:pPr>
              <w:pStyle w:val="13"/>
              <w:jc w:val="center"/>
              <w:rPr>
                <w:rFonts w:hint="eastAsia"/>
              </w:rPr>
            </w:pPr>
            <w:r>
              <w:rPr>
                <w:rFonts w:hint="eastAsia"/>
              </w:rPr>
              <w:t>15138</w:t>
            </w:r>
          </w:p>
        </w:tc>
      </w:tr>
      <w:tr w14:paraId="572D73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75C1C3AF">
            <w:pPr>
              <w:pStyle w:val="13"/>
              <w:ind w:firstLine="210" w:firstLineChars="100"/>
              <w:jc w:val="left"/>
              <w:rPr>
                <w:rFonts w:hint="eastAsia"/>
              </w:rPr>
            </w:pPr>
            <w:r>
              <w:rPr>
                <w:rFonts w:hint="eastAsia"/>
              </w:rPr>
              <w:t>固定资产原值</w:t>
            </w:r>
          </w:p>
        </w:tc>
        <w:tc>
          <w:tcPr>
            <w:tcW w:w="1320" w:type="pct"/>
            <w:vAlign w:val="center"/>
          </w:tcPr>
          <w:p w14:paraId="600373B1">
            <w:pPr>
              <w:pStyle w:val="13"/>
              <w:jc w:val="center"/>
              <w:rPr>
                <w:rFonts w:hint="eastAsia"/>
              </w:rPr>
            </w:pPr>
            <w:r>
              <w:rPr>
                <w:rFonts w:hint="eastAsia"/>
              </w:rPr>
              <w:t>万元</w:t>
            </w:r>
          </w:p>
        </w:tc>
        <w:tc>
          <w:tcPr>
            <w:tcW w:w="1320" w:type="pct"/>
            <w:vAlign w:val="center"/>
          </w:tcPr>
          <w:p w14:paraId="45261A79">
            <w:pPr>
              <w:pStyle w:val="13"/>
              <w:jc w:val="center"/>
              <w:rPr>
                <w:rFonts w:hint="eastAsia"/>
              </w:rPr>
            </w:pPr>
            <w:r>
              <w:rPr>
                <w:rFonts w:hint="eastAsia"/>
              </w:rPr>
              <w:t>161333</w:t>
            </w:r>
          </w:p>
        </w:tc>
      </w:tr>
      <w:tr w14:paraId="1137F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08B46CDC">
            <w:pPr>
              <w:pStyle w:val="13"/>
              <w:ind w:firstLine="210" w:firstLineChars="100"/>
              <w:jc w:val="left"/>
              <w:rPr>
                <w:rFonts w:hint="eastAsia"/>
              </w:rPr>
            </w:pPr>
            <w:r>
              <w:rPr>
                <w:rFonts w:hint="eastAsia"/>
              </w:rPr>
              <w:t>固定资产净值</w:t>
            </w:r>
          </w:p>
        </w:tc>
        <w:tc>
          <w:tcPr>
            <w:tcW w:w="1320" w:type="pct"/>
            <w:vAlign w:val="center"/>
          </w:tcPr>
          <w:p w14:paraId="79C1DF67">
            <w:pPr>
              <w:pStyle w:val="13"/>
              <w:jc w:val="center"/>
              <w:rPr>
                <w:rFonts w:hint="eastAsia"/>
              </w:rPr>
            </w:pPr>
            <w:r>
              <w:rPr>
                <w:rFonts w:hint="eastAsia"/>
              </w:rPr>
              <w:t>万元</w:t>
            </w:r>
          </w:p>
        </w:tc>
        <w:tc>
          <w:tcPr>
            <w:tcW w:w="1320" w:type="pct"/>
            <w:vAlign w:val="center"/>
          </w:tcPr>
          <w:p w14:paraId="5F2C2B85">
            <w:pPr>
              <w:pStyle w:val="13"/>
              <w:jc w:val="center"/>
              <w:rPr>
                <w:rFonts w:hint="eastAsia"/>
              </w:rPr>
            </w:pPr>
            <w:r>
              <w:rPr>
                <w:rFonts w:hint="eastAsia"/>
              </w:rPr>
              <w:t>123664</w:t>
            </w:r>
          </w:p>
        </w:tc>
      </w:tr>
      <w:tr w14:paraId="65397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7407DC93">
            <w:pPr>
              <w:pStyle w:val="13"/>
              <w:ind w:firstLine="210" w:firstLineChars="100"/>
              <w:jc w:val="left"/>
              <w:rPr>
                <w:rFonts w:hint="eastAsia"/>
              </w:rPr>
            </w:pPr>
            <w:r>
              <w:rPr>
                <w:rFonts w:hint="eastAsia"/>
              </w:rPr>
              <w:t>流动负债合计</w:t>
            </w:r>
          </w:p>
        </w:tc>
        <w:tc>
          <w:tcPr>
            <w:tcW w:w="1320" w:type="pct"/>
            <w:vAlign w:val="center"/>
          </w:tcPr>
          <w:p w14:paraId="49019F53">
            <w:pPr>
              <w:pStyle w:val="13"/>
              <w:jc w:val="center"/>
              <w:rPr>
                <w:rFonts w:hint="eastAsia"/>
              </w:rPr>
            </w:pPr>
            <w:r>
              <w:rPr>
                <w:rFonts w:hint="eastAsia"/>
              </w:rPr>
              <w:t>万元</w:t>
            </w:r>
          </w:p>
        </w:tc>
        <w:tc>
          <w:tcPr>
            <w:tcW w:w="1320" w:type="pct"/>
            <w:vAlign w:val="center"/>
          </w:tcPr>
          <w:p w14:paraId="575A2229">
            <w:pPr>
              <w:pStyle w:val="13"/>
              <w:jc w:val="center"/>
              <w:rPr>
                <w:rFonts w:hint="eastAsia"/>
              </w:rPr>
            </w:pPr>
            <w:r>
              <w:rPr>
                <w:rFonts w:hint="eastAsia"/>
              </w:rPr>
              <w:t>76700</w:t>
            </w:r>
          </w:p>
        </w:tc>
      </w:tr>
      <w:tr w14:paraId="6819C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5870CA45">
            <w:pPr>
              <w:pStyle w:val="13"/>
              <w:ind w:firstLine="210" w:firstLineChars="100"/>
              <w:jc w:val="left"/>
              <w:rPr>
                <w:rFonts w:hint="eastAsia"/>
              </w:rPr>
            </w:pPr>
            <w:r>
              <w:rPr>
                <w:rFonts w:hint="eastAsia"/>
              </w:rPr>
              <w:t>实收资本</w:t>
            </w:r>
          </w:p>
        </w:tc>
        <w:tc>
          <w:tcPr>
            <w:tcW w:w="1320" w:type="pct"/>
            <w:vAlign w:val="center"/>
          </w:tcPr>
          <w:p w14:paraId="634E3A52">
            <w:pPr>
              <w:pStyle w:val="13"/>
              <w:jc w:val="center"/>
              <w:rPr>
                <w:rFonts w:hint="eastAsia"/>
              </w:rPr>
            </w:pPr>
            <w:r>
              <w:rPr>
                <w:rFonts w:hint="eastAsia"/>
              </w:rPr>
              <w:t>万元</w:t>
            </w:r>
          </w:p>
        </w:tc>
        <w:tc>
          <w:tcPr>
            <w:tcW w:w="1320" w:type="pct"/>
            <w:vAlign w:val="center"/>
          </w:tcPr>
          <w:p w14:paraId="543E0864">
            <w:pPr>
              <w:pStyle w:val="13"/>
              <w:jc w:val="center"/>
              <w:rPr>
                <w:rFonts w:hint="eastAsia"/>
              </w:rPr>
            </w:pPr>
            <w:r>
              <w:rPr>
                <w:rFonts w:hint="eastAsia"/>
              </w:rPr>
              <w:t>52750</w:t>
            </w:r>
          </w:p>
        </w:tc>
      </w:tr>
      <w:tr w14:paraId="50CD1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41E1B33B">
            <w:pPr>
              <w:pStyle w:val="13"/>
              <w:ind w:firstLine="210" w:firstLineChars="100"/>
              <w:jc w:val="left"/>
              <w:rPr>
                <w:rFonts w:hint="eastAsia"/>
              </w:rPr>
            </w:pPr>
            <w:r>
              <w:rPr>
                <w:rFonts w:hint="eastAsia"/>
              </w:rPr>
              <w:t>主营业务收入</w:t>
            </w:r>
          </w:p>
        </w:tc>
        <w:tc>
          <w:tcPr>
            <w:tcW w:w="1320" w:type="pct"/>
            <w:vAlign w:val="center"/>
          </w:tcPr>
          <w:p w14:paraId="27B35BB4">
            <w:pPr>
              <w:pStyle w:val="13"/>
              <w:jc w:val="center"/>
              <w:rPr>
                <w:rFonts w:hint="eastAsia"/>
              </w:rPr>
            </w:pPr>
            <w:r>
              <w:rPr>
                <w:rFonts w:hint="eastAsia"/>
              </w:rPr>
              <w:t>万元</w:t>
            </w:r>
          </w:p>
        </w:tc>
        <w:tc>
          <w:tcPr>
            <w:tcW w:w="1320" w:type="pct"/>
            <w:vAlign w:val="center"/>
          </w:tcPr>
          <w:p w14:paraId="1FE2A7BD">
            <w:pPr>
              <w:pStyle w:val="13"/>
              <w:jc w:val="center"/>
              <w:rPr>
                <w:rFonts w:hint="eastAsia"/>
              </w:rPr>
            </w:pPr>
            <w:r>
              <w:rPr>
                <w:rFonts w:hint="eastAsia"/>
              </w:rPr>
              <w:t>289108</w:t>
            </w:r>
          </w:p>
        </w:tc>
      </w:tr>
      <w:tr w14:paraId="4064C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21C3158E">
            <w:pPr>
              <w:pStyle w:val="13"/>
              <w:ind w:firstLine="420" w:firstLineChars="200"/>
              <w:jc w:val="left"/>
              <w:rPr>
                <w:rFonts w:hint="eastAsia"/>
              </w:rPr>
            </w:pPr>
            <w:r>
              <w:rPr>
                <w:rFonts w:hint="eastAsia"/>
              </w:rPr>
              <w:t>其中：主营业务税金及附加</w:t>
            </w:r>
          </w:p>
        </w:tc>
        <w:tc>
          <w:tcPr>
            <w:tcW w:w="1320" w:type="pct"/>
            <w:vAlign w:val="center"/>
          </w:tcPr>
          <w:p w14:paraId="726F845B">
            <w:pPr>
              <w:pStyle w:val="13"/>
              <w:jc w:val="center"/>
              <w:rPr>
                <w:rFonts w:hint="eastAsia"/>
              </w:rPr>
            </w:pPr>
            <w:r>
              <w:rPr>
                <w:rFonts w:hint="eastAsia"/>
              </w:rPr>
              <w:t>万元</w:t>
            </w:r>
          </w:p>
        </w:tc>
        <w:tc>
          <w:tcPr>
            <w:tcW w:w="1320" w:type="pct"/>
            <w:vAlign w:val="center"/>
          </w:tcPr>
          <w:p w14:paraId="403ADCF4">
            <w:pPr>
              <w:pStyle w:val="13"/>
              <w:jc w:val="center"/>
              <w:rPr>
                <w:rFonts w:hint="eastAsia"/>
              </w:rPr>
            </w:pPr>
            <w:r>
              <w:rPr>
                <w:rFonts w:hint="eastAsia"/>
              </w:rPr>
              <w:t>1467</w:t>
            </w:r>
          </w:p>
        </w:tc>
      </w:tr>
      <w:tr w14:paraId="49697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0C50CE03">
            <w:pPr>
              <w:pStyle w:val="13"/>
              <w:jc w:val="left"/>
              <w:rPr>
                <w:rFonts w:hint="eastAsia"/>
              </w:rPr>
            </w:pPr>
            <w:r>
              <w:rPr>
                <w:rFonts w:hint="eastAsia"/>
              </w:rPr>
              <w:t>经营费用</w:t>
            </w:r>
          </w:p>
        </w:tc>
        <w:tc>
          <w:tcPr>
            <w:tcW w:w="1320" w:type="pct"/>
            <w:vAlign w:val="center"/>
          </w:tcPr>
          <w:p w14:paraId="47877B71">
            <w:pPr>
              <w:pStyle w:val="13"/>
              <w:jc w:val="center"/>
              <w:rPr>
                <w:rFonts w:hint="eastAsia"/>
              </w:rPr>
            </w:pPr>
            <w:r>
              <w:rPr>
                <w:rFonts w:hint="eastAsia"/>
              </w:rPr>
              <w:t>万元</w:t>
            </w:r>
          </w:p>
        </w:tc>
        <w:tc>
          <w:tcPr>
            <w:tcW w:w="1320" w:type="pct"/>
            <w:vAlign w:val="center"/>
          </w:tcPr>
          <w:p w14:paraId="547F6507">
            <w:pPr>
              <w:pStyle w:val="13"/>
              <w:jc w:val="center"/>
              <w:rPr>
                <w:rFonts w:hint="eastAsia"/>
              </w:rPr>
            </w:pPr>
            <w:r>
              <w:rPr>
                <w:rFonts w:hint="eastAsia"/>
              </w:rPr>
              <w:t>6650</w:t>
            </w:r>
          </w:p>
        </w:tc>
      </w:tr>
      <w:tr w14:paraId="2DFEE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71F5EB74">
            <w:pPr>
              <w:pStyle w:val="13"/>
              <w:ind w:firstLine="210" w:firstLineChars="100"/>
              <w:jc w:val="left"/>
              <w:rPr>
                <w:rFonts w:hint="eastAsia"/>
              </w:rPr>
            </w:pPr>
            <w:r>
              <w:rPr>
                <w:rFonts w:hint="eastAsia"/>
              </w:rPr>
              <w:t>管理费用</w:t>
            </w:r>
          </w:p>
        </w:tc>
        <w:tc>
          <w:tcPr>
            <w:tcW w:w="1320" w:type="pct"/>
            <w:vAlign w:val="center"/>
          </w:tcPr>
          <w:p w14:paraId="5A0E05D7">
            <w:pPr>
              <w:pStyle w:val="13"/>
              <w:jc w:val="center"/>
              <w:rPr>
                <w:rFonts w:hint="eastAsia"/>
              </w:rPr>
            </w:pPr>
            <w:r>
              <w:rPr>
                <w:rFonts w:hint="eastAsia"/>
              </w:rPr>
              <w:t>万元</w:t>
            </w:r>
          </w:p>
        </w:tc>
        <w:tc>
          <w:tcPr>
            <w:tcW w:w="1320" w:type="pct"/>
            <w:vAlign w:val="center"/>
          </w:tcPr>
          <w:p w14:paraId="553CE1D7">
            <w:pPr>
              <w:pStyle w:val="13"/>
              <w:jc w:val="center"/>
              <w:rPr>
                <w:rFonts w:hint="eastAsia"/>
              </w:rPr>
            </w:pPr>
            <w:r>
              <w:rPr>
                <w:rFonts w:hint="eastAsia"/>
              </w:rPr>
              <w:t>24724</w:t>
            </w:r>
          </w:p>
        </w:tc>
      </w:tr>
      <w:tr w14:paraId="00CDB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080A4292">
            <w:pPr>
              <w:pStyle w:val="13"/>
              <w:ind w:firstLine="210" w:firstLineChars="100"/>
              <w:jc w:val="left"/>
              <w:rPr>
                <w:rFonts w:hint="eastAsia"/>
              </w:rPr>
            </w:pPr>
            <w:r>
              <w:rPr>
                <w:rFonts w:hint="eastAsia"/>
              </w:rPr>
              <w:t>财务费用</w:t>
            </w:r>
          </w:p>
        </w:tc>
        <w:tc>
          <w:tcPr>
            <w:tcW w:w="1320" w:type="pct"/>
            <w:vAlign w:val="center"/>
          </w:tcPr>
          <w:p w14:paraId="097DDE44">
            <w:pPr>
              <w:pStyle w:val="13"/>
              <w:jc w:val="center"/>
              <w:rPr>
                <w:rFonts w:hint="eastAsia"/>
              </w:rPr>
            </w:pPr>
            <w:r>
              <w:rPr>
                <w:rFonts w:hint="eastAsia"/>
              </w:rPr>
              <w:t>万元</w:t>
            </w:r>
          </w:p>
        </w:tc>
        <w:tc>
          <w:tcPr>
            <w:tcW w:w="1320" w:type="pct"/>
            <w:vAlign w:val="center"/>
          </w:tcPr>
          <w:p w14:paraId="257153FC">
            <w:pPr>
              <w:pStyle w:val="13"/>
              <w:jc w:val="center"/>
              <w:rPr>
                <w:rFonts w:hint="eastAsia"/>
              </w:rPr>
            </w:pPr>
            <w:r>
              <w:rPr>
                <w:rFonts w:hint="eastAsia"/>
              </w:rPr>
              <w:t>4611</w:t>
            </w:r>
          </w:p>
        </w:tc>
      </w:tr>
      <w:tr w14:paraId="4B7C0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7B29D192">
            <w:pPr>
              <w:pStyle w:val="13"/>
              <w:ind w:firstLine="210" w:firstLineChars="100"/>
              <w:jc w:val="left"/>
              <w:rPr>
                <w:rFonts w:hint="eastAsia"/>
              </w:rPr>
            </w:pPr>
            <w:r>
              <w:rPr>
                <w:rFonts w:hint="eastAsia"/>
              </w:rPr>
              <w:t>利润总额</w:t>
            </w:r>
          </w:p>
        </w:tc>
        <w:tc>
          <w:tcPr>
            <w:tcW w:w="1320" w:type="pct"/>
            <w:vAlign w:val="center"/>
          </w:tcPr>
          <w:p w14:paraId="0C4235B7">
            <w:pPr>
              <w:pStyle w:val="13"/>
              <w:jc w:val="center"/>
              <w:rPr>
                <w:rFonts w:hint="eastAsia"/>
              </w:rPr>
            </w:pPr>
            <w:r>
              <w:rPr>
                <w:rFonts w:hint="eastAsia"/>
              </w:rPr>
              <w:t>万元</w:t>
            </w:r>
          </w:p>
        </w:tc>
        <w:tc>
          <w:tcPr>
            <w:tcW w:w="1320" w:type="pct"/>
            <w:vAlign w:val="center"/>
          </w:tcPr>
          <w:p w14:paraId="4F58D72D">
            <w:pPr>
              <w:pStyle w:val="13"/>
              <w:jc w:val="center"/>
              <w:rPr>
                <w:rFonts w:hint="eastAsia"/>
              </w:rPr>
            </w:pPr>
            <w:r>
              <w:rPr>
                <w:rFonts w:hint="eastAsia"/>
              </w:rPr>
              <w:t>26517</w:t>
            </w:r>
          </w:p>
        </w:tc>
      </w:tr>
      <w:tr w14:paraId="65080E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6DAFD167">
            <w:pPr>
              <w:pStyle w:val="13"/>
              <w:ind w:firstLine="210" w:firstLineChars="100"/>
              <w:jc w:val="left"/>
              <w:rPr>
                <w:rFonts w:hint="eastAsia"/>
              </w:rPr>
            </w:pPr>
            <w:r>
              <w:rPr>
                <w:rFonts w:hint="eastAsia"/>
              </w:rPr>
              <w:t>亏损企业亏损额</w:t>
            </w:r>
          </w:p>
        </w:tc>
        <w:tc>
          <w:tcPr>
            <w:tcW w:w="1320" w:type="pct"/>
            <w:vAlign w:val="center"/>
          </w:tcPr>
          <w:p w14:paraId="1023DBCE">
            <w:pPr>
              <w:pStyle w:val="13"/>
              <w:jc w:val="center"/>
              <w:rPr>
                <w:rFonts w:hint="eastAsia"/>
              </w:rPr>
            </w:pPr>
            <w:r>
              <w:rPr>
                <w:rFonts w:hint="eastAsia"/>
              </w:rPr>
              <w:t>万元</w:t>
            </w:r>
          </w:p>
        </w:tc>
        <w:tc>
          <w:tcPr>
            <w:tcW w:w="1320" w:type="pct"/>
            <w:vAlign w:val="center"/>
          </w:tcPr>
          <w:p w14:paraId="06CF209F">
            <w:pPr>
              <w:pStyle w:val="13"/>
              <w:jc w:val="center"/>
              <w:rPr>
                <w:rFonts w:hint="eastAsia"/>
              </w:rPr>
            </w:pPr>
            <w:r>
              <w:rPr>
                <w:rFonts w:hint="eastAsia"/>
              </w:rPr>
              <w:t>2307</w:t>
            </w:r>
          </w:p>
        </w:tc>
      </w:tr>
      <w:tr w14:paraId="696AC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1" w:type="pct"/>
            <w:vAlign w:val="center"/>
          </w:tcPr>
          <w:p w14:paraId="55A5051F">
            <w:pPr>
              <w:pStyle w:val="13"/>
              <w:ind w:firstLine="210" w:firstLineChars="100"/>
              <w:jc w:val="left"/>
              <w:rPr>
                <w:rFonts w:hint="eastAsia"/>
              </w:rPr>
            </w:pPr>
            <w:r>
              <w:rPr>
                <w:rFonts w:hint="eastAsia"/>
              </w:rPr>
              <w:t>应交增值税</w:t>
            </w:r>
          </w:p>
        </w:tc>
        <w:tc>
          <w:tcPr>
            <w:tcW w:w="1320" w:type="pct"/>
            <w:vAlign w:val="center"/>
          </w:tcPr>
          <w:p w14:paraId="289E112F">
            <w:pPr>
              <w:pStyle w:val="13"/>
              <w:jc w:val="center"/>
              <w:rPr>
                <w:rFonts w:hint="eastAsia"/>
              </w:rPr>
            </w:pPr>
            <w:r>
              <w:rPr>
                <w:rFonts w:hint="eastAsia"/>
              </w:rPr>
              <w:t>万元</w:t>
            </w:r>
          </w:p>
        </w:tc>
        <w:tc>
          <w:tcPr>
            <w:tcW w:w="1320" w:type="pct"/>
            <w:vAlign w:val="center"/>
          </w:tcPr>
          <w:p w14:paraId="29759C5F">
            <w:pPr>
              <w:pStyle w:val="13"/>
              <w:jc w:val="center"/>
              <w:rPr>
                <w:rFonts w:hint="eastAsia"/>
              </w:rPr>
            </w:pPr>
            <w:r>
              <w:rPr>
                <w:rFonts w:hint="eastAsia"/>
              </w:rPr>
              <w:t>11567</w:t>
            </w:r>
          </w:p>
        </w:tc>
      </w:tr>
    </w:tbl>
    <w:p w14:paraId="2C2713B2">
      <w:pPr>
        <w:pStyle w:val="4"/>
        <w:rPr>
          <w:rFonts w:hint="eastAsia"/>
        </w:rPr>
      </w:pPr>
      <w:r>
        <w:t>表</w:t>
      </w:r>
      <w:r>
        <w:rPr>
          <w:rFonts w:hint="eastAsia"/>
        </w:rPr>
        <w:t>34-27  主要工业产品产量</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89"/>
        <w:gridCol w:w="1891"/>
        <w:gridCol w:w="1891"/>
        <w:gridCol w:w="1891"/>
      </w:tblGrid>
      <w:tr w14:paraId="715407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261D5F08">
            <w:pPr>
              <w:pStyle w:val="13"/>
              <w:jc w:val="center"/>
              <w:rPr>
                <w:rFonts w:hint="eastAsia"/>
                <w:b/>
              </w:rPr>
            </w:pPr>
            <w:r>
              <w:rPr>
                <w:rFonts w:hint="eastAsia"/>
                <w:b/>
              </w:rPr>
              <w:t>指标名称</w:t>
            </w:r>
          </w:p>
        </w:tc>
        <w:tc>
          <w:tcPr>
            <w:tcW w:w="949" w:type="pct"/>
            <w:vAlign w:val="center"/>
          </w:tcPr>
          <w:p w14:paraId="2C0F1D6C">
            <w:pPr>
              <w:pStyle w:val="13"/>
              <w:jc w:val="center"/>
              <w:rPr>
                <w:rFonts w:hint="eastAsia"/>
                <w:b/>
              </w:rPr>
            </w:pPr>
            <w:r>
              <w:rPr>
                <w:rFonts w:hint="eastAsia"/>
                <w:b/>
              </w:rPr>
              <w:t>计量单位</w:t>
            </w:r>
          </w:p>
        </w:tc>
        <w:tc>
          <w:tcPr>
            <w:tcW w:w="949" w:type="pct"/>
            <w:vAlign w:val="center"/>
          </w:tcPr>
          <w:p w14:paraId="38791FC5">
            <w:pPr>
              <w:pStyle w:val="13"/>
              <w:jc w:val="center"/>
              <w:rPr>
                <w:rFonts w:hint="eastAsia"/>
                <w:b/>
              </w:rPr>
            </w:pPr>
            <w:r>
              <w:rPr>
                <w:rFonts w:hint="eastAsia"/>
                <w:b/>
              </w:rPr>
              <w:t>2010年</w:t>
            </w:r>
          </w:p>
        </w:tc>
        <w:tc>
          <w:tcPr>
            <w:tcW w:w="949" w:type="pct"/>
            <w:vAlign w:val="center"/>
          </w:tcPr>
          <w:p w14:paraId="6ABF126E">
            <w:pPr>
              <w:pStyle w:val="13"/>
              <w:jc w:val="center"/>
              <w:rPr>
                <w:rFonts w:hint="eastAsia"/>
                <w:b/>
              </w:rPr>
            </w:pPr>
            <w:r>
              <w:rPr>
                <w:rFonts w:hint="eastAsia"/>
                <w:b/>
              </w:rPr>
              <w:t>比上年(%)</w:t>
            </w:r>
          </w:p>
        </w:tc>
      </w:tr>
      <w:tr w14:paraId="615B23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29DEC859">
            <w:pPr>
              <w:pStyle w:val="13"/>
              <w:jc w:val="left"/>
              <w:rPr>
                <w:rFonts w:hint="eastAsia"/>
              </w:rPr>
            </w:pPr>
            <w:r>
              <w:rPr>
                <w:rFonts w:hint="eastAsia"/>
              </w:rPr>
              <w:t>钨精矿折合量（折三氧化钨６５％）</w:t>
            </w:r>
          </w:p>
        </w:tc>
        <w:tc>
          <w:tcPr>
            <w:tcW w:w="949" w:type="pct"/>
            <w:vAlign w:val="center"/>
          </w:tcPr>
          <w:p w14:paraId="165463BE">
            <w:pPr>
              <w:pStyle w:val="13"/>
              <w:jc w:val="center"/>
              <w:rPr>
                <w:rFonts w:hint="eastAsia"/>
              </w:rPr>
            </w:pPr>
            <w:r>
              <w:rPr>
                <w:rFonts w:hint="eastAsia"/>
              </w:rPr>
              <w:t>吨</w:t>
            </w:r>
          </w:p>
        </w:tc>
        <w:tc>
          <w:tcPr>
            <w:tcW w:w="949" w:type="pct"/>
            <w:vAlign w:val="center"/>
          </w:tcPr>
          <w:p w14:paraId="167A319E">
            <w:pPr>
              <w:pStyle w:val="13"/>
              <w:jc w:val="center"/>
              <w:rPr>
                <w:rFonts w:hint="eastAsia"/>
              </w:rPr>
            </w:pPr>
            <w:r>
              <w:rPr>
                <w:rFonts w:hint="eastAsia"/>
              </w:rPr>
              <w:t>218.82</w:t>
            </w:r>
          </w:p>
        </w:tc>
        <w:tc>
          <w:tcPr>
            <w:tcW w:w="949" w:type="pct"/>
            <w:vAlign w:val="center"/>
          </w:tcPr>
          <w:p w14:paraId="368D8940">
            <w:pPr>
              <w:pStyle w:val="13"/>
              <w:jc w:val="center"/>
              <w:rPr>
                <w:rFonts w:hint="eastAsia"/>
              </w:rPr>
            </w:pPr>
            <w:r>
              <w:rPr>
                <w:rFonts w:hint="eastAsia"/>
              </w:rPr>
              <w:t>18.74</w:t>
            </w:r>
          </w:p>
        </w:tc>
      </w:tr>
      <w:tr w14:paraId="0DE03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19073223">
            <w:pPr>
              <w:pStyle w:val="13"/>
              <w:jc w:val="left"/>
              <w:rPr>
                <w:rFonts w:hint="eastAsia"/>
              </w:rPr>
            </w:pPr>
            <w:r>
              <w:rPr>
                <w:rFonts w:hint="eastAsia"/>
              </w:rPr>
              <w:t>钼精矿折合量（折纯钼４５％）</w:t>
            </w:r>
          </w:p>
        </w:tc>
        <w:tc>
          <w:tcPr>
            <w:tcW w:w="949" w:type="pct"/>
            <w:vAlign w:val="center"/>
          </w:tcPr>
          <w:p w14:paraId="6231666F">
            <w:pPr>
              <w:pStyle w:val="13"/>
              <w:jc w:val="center"/>
              <w:rPr>
                <w:rFonts w:hint="eastAsia"/>
              </w:rPr>
            </w:pPr>
            <w:r>
              <w:rPr>
                <w:rFonts w:hint="eastAsia"/>
              </w:rPr>
              <w:t>吨</w:t>
            </w:r>
          </w:p>
        </w:tc>
        <w:tc>
          <w:tcPr>
            <w:tcW w:w="949" w:type="pct"/>
            <w:vAlign w:val="center"/>
          </w:tcPr>
          <w:p w14:paraId="673AE4DD">
            <w:pPr>
              <w:pStyle w:val="13"/>
              <w:jc w:val="center"/>
              <w:rPr>
                <w:rFonts w:hint="eastAsia"/>
              </w:rPr>
            </w:pPr>
            <w:r>
              <w:rPr>
                <w:rFonts w:hint="eastAsia"/>
              </w:rPr>
              <w:t>102.57</w:t>
            </w:r>
          </w:p>
        </w:tc>
        <w:tc>
          <w:tcPr>
            <w:tcW w:w="949" w:type="pct"/>
            <w:vAlign w:val="center"/>
          </w:tcPr>
          <w:p w14:paraId="1720D4EB">
            <w:pPr>
              <w:pStyle w:val="13"/>
              <w:jc w:val="center"/>
              <w:rPr>
                <w:rFonts w:hint="eastAsia"/>
              </w:rPr>
            </w:pPr>
            <w:r>
              <w:rPr>
                <w:rFonts w:hint="eastAsia"/>
              </w:rPr>
              <w:t>9.47</w:t>
            </w:r>
          </w:p>
        </w:tc>
      </w:tr>
      <w:tr w14:paraId="3F76E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3D75B07E">
            <w:pPr>
              <w:pStyle w:val="13"/>
              <w:jc w:val="left"/>
              <w:rPr>
                <w:rFonts w:hint="eastAsia"/>
              </w:rPr>
            </w:pPr>
            <w:r>
              <w:rPr>
                <w:rFonts w:hint="eastAsia"/>
              </w:rPr>
              <w:t>鲜、冷藏肉</w:t>
            </w:r>
          </w:p>
        </w:tc>
        <w:tc>
          <w:tcPr>
            <w:tcW w:w="949" w:type="pct"/>
            <w:vAlign w:val="center"/>
          </w:tcPr>
          <w:p w14:paraId="0E749FBD">
            <w:pPr>
              <w:pStyle w:val="13"/>
              <w:jc w:val="center"/>
              <w:rPr>
                <w:rFonts w:hint="eastAsia"/>
              </w:rPr>
            </w:pPr>
            <w:r>
              <w:rPr>
                <w:rFonts w:hint="eastAsia"/>
              </w:rPr>
              <w:t>吨</w:t>
            </w:r>
          </w:p>
        </w:tc>
        <w:tc>
          <w:tcPr>
            <w:tcW w:w="949" w:type="pct"/>
            <w:vAlign w:val="center"/>
          </w:tcPr>
          <w:p w14:paraId="2CFA99D4">
            <w:pPr>
              <w:pStyle w:val="13"/>
              <w:jc w:val="center"/>
              <w:rPr>
                <w:rFonts w:hint="eastAsia"/>
              </w:rPr>
            </w:pPr>
            <w:r>
              <w:rPr>
                <w:rFonts w:hint="eastAsia"/>
              </w:rPr>
              <w:t>4060.00</w:t>
            </w:r>
          </w:p>
        </w:tc>
        <w:tc>
          <w:tcPr>
            <w:tcW w:w="949" w:type="pct"/>
            <w:vAlign w:val="center"/>
          </w:tcPr>
          <w:p w14:paraId="26900FB4">
            <w:pPr>
              <w:pStyle w:val="13"/>
              <w:jc w:val="center"/>
              <w:rPr>
                <w:rFonts w:hint="eastAsia"/>
              </w:rPr>
            </w:pPr>
            <w:r>
              <w:rPr>
                <w:rFonts w:hint="eastAsia"/>
              </w:rPr>
              <w:t>10.72</w:t>
            </w:r>
          </w:p>
        </w:tc>
      </w:tr>
      <w:tr w14:paraId="52C8C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1B86234D">
            <w:pPr>
              <w:pStyle w:val="13"/>
              <w:jc w:val="left"/>
              <w:rPr>
                <w:rFonts w:hint="eastAsia"/>
              </w:rPr>
            </w:pPr>
            <w:r>
              <w:rPr>
                <w:rFonts w:hint="eastAsia"/>
              </w:rPr>
              <w:t>机制纸及纸板(外购原纸加工除外)</w:t>
            </w:r>
          </w:p>
        </w:tc>
        <w:tc>
          <w:tcPr>
            <w:tcW w:w="949" w:type="pct"/>
            <w:vAlign w:val="center"/>
          </w:tcPr>
          <w:p w14:paraId="48FF2CED">
            <w:pPr>
              <w:pStyle w:val="13"/>
              <w:jc w:val="center"/>
              <w:rPr>
                <w:rFonts w:hint="eastAsia"/>
              </w:rPr>
            </w:pPr>
            <w:r>
              <w:rPr>
                <w:rFonts w:hint="eastAsia"/>
              </w:rPr>
              <w:t>吨</w:t>
            </w:r>
          </w:p>
        </w:tc>
        <w:tc>
          <w:tcPr>
            <w:tcW w:w="949" w:type="pct"/>
            <w:vAlign w:val="center"/>
          </w:tcPr>
          <w:p w14:paraId="7FBAC312">
            <w:pPr>
              <w:pStyle w:val="13"/>
              <w:jc w:val="center"/>
              <w:rPr>
                <w:rFonts w:hint="eastAsia"/>
              </w:rPr>
            </w:pPr>
            <w:r>
              <w:rPr>
                <w:rFonts w:hint="eastAsia"/>
              </w:rPr>
              <w:t>31907.63</w:t>
            </w:r>
          </w:p>
        </w:tc>
        <w:tc>
          <w:tcPr>
            <w:tcW w:w="949" w:type="pct"/>
            <w:vAlign w:val="center"/>
          </w:tcPr>
          <w:p w14:paraId="13D47479">
            <w:pPr>
              <w:pStyle w:val="13"/>
              <w:jc w:val="center"/>
              <w:rPr>
                <w:rFonts w:hint="eastAsia"/>
              </w:rPr>
            </w:pPr>
            <w:r>
              <w:rPr>
                <w:rFonts w:hint="eastAsia"/>
              </w:rPr>
              <w:t>44.03</w:t>
            </w:r>
          </w:p>
        </w:tc>
      </w:tr>
      <w:tr w14:paraId="198C6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7723A2C6">
            <w:pPr>
              <w:pStyle w:val="13"/>
              <w:jc w:val="left"/>
              <w:rPr>
                <w:rFonts w:hint="eastAsia"/>
              </w:rPr>
            </w:pPr>
            <w:r>
              <w:rPr>
                <w:rFonts w:hint="eastAsia"/>
              </w:rPr>
              <w:t>纸制品</w:t>
            </w:r>
          </w:p>
        </w:tc>
        <w:tc>
          <w:tcPr>
            <w:tcW w:w="949" w:type="pct"/>
            <w:vAlign w:val="center"/>
          </w:tcPr>
          <w:p w14:paraId="41EB92B7">
            <w:pPr>
              <w:pStyle w:val="13"/>
              <w:jc w:val="center"/>
              <w:rPr>
                <w:rFonts w:hint="eastAsia"/>
              </w:rPr>
            </w:pPr>
            <w:r>
              <w:rPr>
                <w:rFonts w:hint="eastAsia"/>
              </w:rPr>
              <w:t>吨</w:t>
            </w:r>
          </w:p>
        </w:tc>
        <w:tc>
          <w:tcPr>
            <w:tcW w:w="949" w:type="pct"/>
            <w:vAlign w:val="center"/>
          </w:tcPr>
          <w:p w14:paraId="35EF4519">
            <w:pPr>
              <w:pStyle w:val="13"/>
              <w:jc w:val="center"/>
              <w:rPr>
                <w:rFonts w:hint="eastAsia"/>
              </w:rPr>
            </w:pPr>
            <w:r>
              <w:rPr>
                <w:rFonts w:hint="eastAsia"/>
              </w:rPr>
              <w:t>5152.93</w:t>
            </w:r>
          </w:p>
        </w:tc>
        <w:tc>
          <w:tcPr>
            <w:tcW w:w="949" w:type="pct"/>
            <w:vAlign w:val="center"/>
          </w:tcPr>
          <w:p w14:paraId="76B0A357">
            <w:pPr>
              <w:pStyle w:val="13"/>
              <w:jc w:val="center"/>
              <w:rPr>
                <w:rFonts w:hint="eastAsia"/>
              </w:rPr>
            </w:pPr>
            <w:r>
              <w:rPr>
                <w:rFonts w:hint="eastAsia"/>
              </w:rPr>
              <w:t>19.16</w:t>
            </w:r>
          </w:p>
        </w:tc>
      </w:tr>
      <w:tr w14:paraId="53CD6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204840FD">
            <w:pPr>
              <w:pStyle w:val="13"/>
              <w:jc w:val="left"/>
              <w:rPr>
                <w:rFonts w:hint="eastAsia"/>
              </w:rPr>
            </w:pPr>
            <w:r>
              <w:rPr>
                <w:rFonts w:hint="eastAsia"/>
              </w:rPr>
              <w:t>涂料</w:t>
            </w:r>
          </w:p>
        </w:tc>
        <w:tc>
          <w:tcPr>
            <w:tcW w:w="949" w:type="pct"/>
            <w:vAlign w:val="center"/>
          </w:tcPr>
          <w:p w14:paraId="77A4BBBB">
            <w:pPr>
              <w:pStyle w:val="13"/>
              <w:jc w:val="center"/>
              <w:rPr>
                <w:rFonts w:hint="eastAsia"/>
              </w:rPr>
            </w:pPr>
            <w:r>
              <w:rPr>
                <w:rFonts w:hint="eastAsia"/>
              </w:rPr>
              <w:t>吨</w:t>
            </w:r>
          </w:p>
        </w:tc>
        <w:tc>
          <w:tcPr>
            <w:tcW w:w="949" w:type="pct"/>
            <w:vAlign w:val="center"/>
          </w:tcPr>
          <w:p w14:paraId="1F7519FD">
            <w:pPr>
              <w:pStyle w:val="13"/>
              <w:jc w:val="center"/>
              <w:rPr>
                <w:rFonts w:hint="eastAsia"/>
              </w:rPr>
            </w:pPr>
            <w:r>
              <w:rPr>
                <w:rFonts w:hint="eastAsia"/>
              </w:rPr>
              <w:t>22558.60</w:t>
            </w:r>
          </w:p>
        </w:tc>
        <w:tc>
          <w:tcPr>
            <w:tcW w:w="949" w:type="pct"/>
            <w:vAlign w:val="center"/>
          </w:tcPr>
          <w:p w14:paraId="5764321D">
            <w:pPr>
              <w:pStyle w:val="13"/>
              <w:jc w:val="center"/>
              <w:rPr>
                <w:rFonts w:hint="eastAsia"/>
              </w:rPr>
            </w:pPr>
            <w:r>
              <w:rPr>
                <w:rFonts w:hint="eastAsia"/>
              </w:rPr>
              <w:t>215.42</w:t>
            </w:r>
          </w:p>
        </w:tc>
      </w:tr>
      <w:tr w14:paraId="16EC8C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42086495">
            <w:pPr>
              <w:pStyle w:val="13"/>
              <w:jc w:val="left"/>
              <w:rPr>
                <w:rFonts w:hint="eastAsia"/>
              </w:rPr>
            </w:pPr>
            <w:r>
              <w:rPr>
                <w:rFonts w:hint="eastAsia"/>
              </w:rPr>
              <w:t>初级形态的塑料</w:t>
            </w:r>
          </w:p>
        </w:tc>
        <w:tc>
          <w:tcPr>
            <w:tcW w:w="949" w:type="pct"/>
            <w:vAlign w:val="center"/>
          </w:tcPr>
          <w:p w14:paraId="43FA1287">
            <w:pPr>
              <w:pStyle w:val="13"/>
              <w:jc w:val="center"/>
              <w:rPr>
                <w:rFonts w:hint="eastAsia"/>
              </w:rPr>
            </w:pPr>
            <w:r>
              <w:rPr>
                <w:rFonts w:hint="eastAsia"/>
              </w:rPr>
              <w:t>吨</w:t>
            </w:r>
          </w:p>
        </w:tc>
        <w:tc>
          <w:tcPr>
            <w:tcW w:w="949" w:type="pct"/>
            <w:vAlign w:val="center"/>
          </w:tcPr>
          <w:p w14:paraId="4EE200D8">
            <w:pPr>
              <w:pStyle w:val="13"/>
              <w:jc w:val="center"/>
              <w:rPr>
                <w:rFonts w:hint="eastAsia"/>
              </w:rPr>
            </w:pPr>
            <w:r>
              <w:rPr>
                <w:rFonts w:hint="eastAsia"/>
              </w:rPr>
              <w:t>3303.00</w:t>
            </w:r>
          </w:p>
        </w:tc>
        <w:tc>
          <w:tcPr>
            <w:tcW w:w="949" w:type="pct"/>
            <w:vAlign w:val="center"/>
          </w:tcPr>
          <w:p w14:paraId="0F39439A">
            <w:pPr>
              <w:pStyle w:val="13"/>
              <w:jc w:val="center"/>
              <w:rPr>
                <w:rFonts w:hint="eastAsia"/>
              </w:rPr>
            </w:pPr>
          </w:p>
        </w:tc>
      </w:tr>
      <w:tr w14:paraId="4F3E0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2B5A2F25">
            <w:pPr>
              <w:pStyle w:val="13"/>
              <w:jc w:val="left"/>
              <w:rPr>
                <w:rFonts w:hint="eastAsia"/>
              </w:rPr>
            </w:pPr>
            <w:r>
              <w:rPr>
                <w:rFonts w:hint="eastAsia"/>
              </w:rPr>
              <w:t>瓷质砖</w:t>
            </w:r>
          </w:p>
        </w:tc>
        <w:tc>
          <w:tcPr>
            <w:tcW w:w="949" w:type="pct"/>
            <w:vAlign w:val="center"/>
          </w:tcPr>
          <w:p w14:paraId="1FB558B6">
            <w:pPr>
              <w:pStyle w:val="13"/>
              <w:jc w:val="center"/>
              <w:rPr>
                <w:rFonts w:hint="eastAsia"/>
              </w:rPr>
            </w:pPr>
            <w:r>
              <w:rPr>
                <w:rFonts w:hint="eastAsia"/>
              </w:rPr>
              <w:t>平方米</w:t>
            </w:r>
          </w:p>
        </w:tc>
        <w:tc>
          <w:tcPr>
            <w:tcW w:w="949" w:type="pct"/>
            <w:vAlign w:val="center"/>
          </w:tcPr>
          <w:p w14:paraId="7E2A1DF3">
            <w:pPr>
              <w:pStyle w:val="13"/>
              <w:jc w:val="center"/>
              <w:rPr>
                <w:rFonts w:hint="eastAsia"/>
              </w:rPr>
            </w:pPr>
            <w:r>
              <w:rPr>
                <w:rFonts w:hint="eastAsia"/>
              </w:rPr>
              <w:t>1924707.00</w:t>
            </w:r>
          </w:p>
        </w:tc>
        <w:tc>
          <w:tcPr>
            <w:tcW w:w="949" w:type="pct"/>
            <w:vAlign w:val="center"/>
          </w:tcPr>
          <w:p w14:paraId="1A34C2CB">
            <w:pPr>
              <w:pStyle w:val="13"/>
              <w:jc w:val="center"/>
              <w:rPr>
                <w:rFonts w:hint="eastAsia"/>
              </w:rPr>
            </w:pPr>
          </w:p>
        </w:tc>
      </w:tr>
      <w:tr w14:paraId="7D95F0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2D12FBD7">
            <w:pPr>
              <w:pStyle w:val="13"/>
              <w:jc w:val="left"/>
              <w:rPr>
                <w:rFonts w:hint="eastAsia"/>
              </w:rPr>
            </w:pPr>
            <w:r>
              <w:rPr>
                <w:rFonts w:hint="eastAsia"/>
              </w:rPr>
              <w:t>发电量</w:t>
            </w:r>
          </w:p>
        </w:tc>
        <w:tc>
          <w:tcPr>
            <w:tcW w:w="949" w:type="pct"/>
            <w:vAlign w:val="center"/>
          </w:tcPr>
          <w:p w14:paraId="42A35929">
            <w:pPr>
              <w:pStyle w:val="13"/>
              <w:jc w:val="center"/>
              <w:rPr>
                <w:rFonts w:hint="eastAsia"/>
              </w:rPr>
            </w:pPr>
            <w:r>
              <w:rPr>
                <w:rFonts w:hint="eastAsia"/>
              </w:rPr>
              <w:t>万千瓦小时</w:t>
            </w:r>
          </w:p>
        </w:tc>
        <w:tc>
          <w:tcPr>
            <w:tcW w:w="949" w:type="pct"/>
            <w:vAlign w:val="center"/>
          </w:tcPr>
          <w:p w14:paraId="2C620F65">
            <w:pPr>
              <w:pStyle w:val="13"/>
              <w:jc w:val="center"/>
              <w:rPr>
                <w:rFonts w:hint="eastAsia"/>
              </w:rPr>
            </w:pPr>
            <w:r>
              <w:rPr>
                <w:rFonts w:hint="eastAsia"/>
              </w:rPr>
              <w:t>11043.00</w:t>
            </w:r>
          </w:p>
        </w:tc>
        <w:tc>
          <w:tcPr>
            <w:tcW w:w="949" w:type="pct"/>
            <w:vAlign w:val="center"/>
          </w:tcPr>
          <w:p w14:paraId="2536677A">
            <w:pPr>
              <w:pStyle w:val="13"/>
              <w:jc w:val="center"/>
              <w:rPr>
                <w:rFonts w:hint="eastAsia"/>
              </w:rPr>
            </w:pPr>
            <w:r>
              <w:rPr>
                <w:rFonts w:hint="eastAsia"/>
              </w:rPr>
              <w:t>65.41</w:t>
            </w:r>
          </w:p>
        </w:tc>
      </w:tr>
    </w:tbl>
    <w:p w14:paraId="318A3716">
      <w:pPr>
        <w:pStyle w:val="4"/>
        <w:rPr>
          <w:rFonts w:hint="eastAsia"/>
        </w:rPr>
      </w:pPr>
      <w:r>
        <w:t>表</w:t>
      </w:r>
      <w:r>
        <w:rPr>
          <w:rFonts w:hint="eastAsia"/>
        </w:rPr>
        <w:t>34-28  规模以上工业企业能源消费量</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2490"/>
        <w:gridCol w:w="2491"/>
        <w:gridCol w:w="2491"/>
      </w:tblGrid>
      <w:tr w14:paraId="5754E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11CFE46">
            <w:pPr>
              <w:pStyle w:val="13"/>
              <w:jc w:val="center"/>
              <w:rPr>
                <w:rFonts w:hint="eastAsia"/>
                <w:b/>
              </w:rPr>
            </w:pPr>
            <w:r>
              <w:rPr>
                <w:rFonts w:hint="eastAsia"/>
                <w:b/>
              </w:rPr>
              <w:t>指标名称</w:t>
            </w:r>
          </w:p>
        </w:tc>
        <w:tc>
          <w:tcPr>
            <w:tcW w:w="1250" w:type="pct"/>
            <w:vAlign w:val="center"/>
          </w:tcPr>
          <w:p w14:paraId="330AD004">
            <w:pPr>
              <w:pStyle w:val="13"/>
              <w:jc w:val="center"/>
              <w:rPr>
                <w:rFonts w:hint="eastAsia"/>
                <w:b/>
              </w:rPr>
            </w:pPr>
            <w:r>
              <w:rPr>
                <w:rFonts w:hint="eastAsia"/>
                <w:b/>
              </w:rPr>
              <w:t>计算单位</w:t>
            </w:r>
          </w:p>
        </w:tc>
        <w:tc>
          <w:tcPr>
            <w:tcW w:w="1250" w:type="pct"/>
            <w:vAlign w:val="center"/>
          </w:tcPr>
          <w:p w14:paraId="23D0576E">
            <w:pPr>
              <w:pStyle w:val="13"/>
              <w:jc w:val="center"/>
              <w:rPr>
                <w:rFonts w:hint="eastAsia"/>
                <w:b/>
              </w:rPr>
            </w:pPr>
            <w:r>
              <w:rPr>
                <w:rFonts w:hint="eastAsia"/>
                <w:b/>
              </w:rPr>
              <w:t>2010年</w:t>
            </w:r>
          </w:p>
        </w:tc>
        <w:tc>
          <w:tcPr>
            <w:tcW w:w="1250" w:type="pct"/>
            <w:vAlign w:val="center"/>
          </w:tcPr>
          <w:p w14:paraId="5663FFE7">
            <w:pPr>
              <w:pStyle w:val="13"/>
              <w:jc w:val="center"/>
              <w:rPr>
                <w:rFonts w:hint="eastAsia"/>
                <w:b/>
              </w:rPr>
            </w:pPr>
            <w:r>
              <w:rPr>
                <w:rFonts w:hint="eastAsia"/>
                <w:b/>
              </w:rPr>
              <w:t>比上年±%</w:t>
            </w:r>
          </w:p>
        </w:tc>
      </w:tr>
      <w:tr w14:paraId="27AFCB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5497CB1">
            <w:pPr>
              <w:pStyle w:val="13"/>
              <w:jc w:val="left"/>
              <w:rPr>
                <w:rFonts w:hint="eastAsia"/>
              </w:rPr>
            </w:pPr>
            <w:r>
              <w:rPr>
                <w:rFonts w:hint="eastAsia"/>
              </w:rPr>
              <w:t>原煤</w:t>
            </w:r>
          </w:p>
        </w:tc>
        <w:tc>
          <w:tcPr>
            <w:tcW w:w="1250" w:type="pct"/>
            <w:vAlign w:val="center"/>
          </w:tcPr>
          <w:p w14:paraId="71BF7B71">
            <w:pPr>
              <w:pStyle w:val="13"/>
              <w:jc w:val="center"/>
              <w:rPr>
                <w:rFonts w:hint="eastAsia"/>
              </w:rPr>
            </w:pPr>
            <w:r>
              <w:rPr>
                <w:rFonts w:hint="eastAsia"/>
              </w:rPr>
              <w:t>吨</w:t>
            </w:r>
          </w:p>
        </w:tc>
        <w:tc>
          <w:tcPr>
            <w:tcW w:w="1250" w:type="pct"/>
            <w:vAlign w:val="center"/>
          </w:tcPr>
          <w:p w14:paraId="7BE02B91">
            <w:pPr>
              <w:pStyle w:val="13"/>
              <w:jc w:val="center"/>
              <w:rPr>
                <w:rFonts w:hint="eastAsia"/>
              </w:rPr>
            </w:pPr>
            <w:r>
              <w:rPr>
                <w:rFonts w:hint="eastAsia"/>
              </w:rPr>
              <w:t>66462.57</w:t>
            </w:r>
          </w:p>
        </w:tc>
        <w:tc>
          <w:tcPr>
            <w:tcW w:w="1250" w:type="pct"/>
            <w:vAlign w:val="center"/>
          </w:tcPr>
          <w:p w14:paraId="62598D86">
            <w:pPr>
              <w:pStyle w:val="13"/>
              <w:jc w:val="center"/>
              <w:rPr>
                <w:rFonts w:hint="eastAsia"/>
              </w:rPr>
            </w:pPr>
            <w:r>
              <w:rPr>
                <w:rFonts w:hint="eastAsia"/>
              </w:rPr>
              <w:t>13.94</w:t>
            </w:r>
          </w:p>
        </w:tc>
      </w:tr>
      <w:tr w14:paraId="6A3ABE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580C0D7E">
            <w:pPr>
              <w:pStyle w:val="13"/>
              <w:jc w:val="left"/>
              <w:rPr>
                <w:rFonts w:hint="eastAsia"/>
              </w:rPr>
            </w:pPr>
            <w:r>
              <w:rPr>
                <w:rFonts w:hint="eastAsia"/>
              </w:rPr>
              <w:t>汽油</w:t>
            </w:r>
          </w:p>
        </w:tc>
        <w:tc>
          <w:tcPr>
            <w:tcW w:w="1250" w:type="pct"/>
            <w:vAlign w:val="center"/>
          </w:tcPr>
          <w:p w14:paraId="24708D14">
            <w:pPr>
              <w:pStyle w:val="13"/>
              <w:jc w:val="center"/>
              <w:rPr>
                <w:rFonts w:hint="eastAsia"/>
              </w:rPr>
            </w:pPr>
            <w:r>
              <w:rPr>
                <w:rFonts w:hint="eastAsia"/>
              </w:rPr>
              <w:t>吨</w:t>
            </w:r>
          </w:p>
        </w:tc>
        <w:tc>
          <w:tcPr>
            <w:tcW w:w="1250" w:type="pct"/>
            <w:vAlign w:val="center"/>
          </w:tcPr>
          <w:p w14:paraId="3670E7F3">
            <w:pPr>
              <w:pStyle w:val="13"/>
              <w:jc w:val="center"/>
              <w:rPr>
                <w:rFonts w:hint="eastAsia"/>
              </w:rPr>
            </w:pPr>
            <w:r>
              <w:rPr>
                <w:rFonts w:hint="eastAsia"/>
              </w:rPr>
              <w:t>1800.11</w:t>
            </w:r>
          </w:p>
        </w:tc>
        <w:tc>
          <w:tcPr>
            <w:tcW w:w="1250" w:type="pct"/>
            <w:vAlign w:val="center"/>
          </w:tcPr>
          <w:p w14:paraId="1EBED859">
            <w:pPr>
              <w:pStyle w:val="13"/>
              <w:jc w:val="center"/>
              <w:rPr>
                <w:rFonts w:hint="eastAsia"/>
              </w:rPr>
            </w:pPr>
            <w:r>
              <w:rPr>
                <w:rFonts w:hint="eastAsia"/>
              </w:rPr>
              <w:t>47.04</w:t>
            </w:r>
          </w:p>
        </w:tc>
      </w:tr>
      <w:tr w14:paraId="51089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023A73A">
            <w:pPr>
              <w:pStyle w:val="13"/>
              <w:jc w:val="left"/>
              <w:rPr>
                <w:rFonts w:hint="eastAsia"/>
              </w:rPr>
            </w:pPr>
            <w:r>
              <w:rPr>
                <w:rFonts w:hint="eastAsia"/>
              </w:rPr>
              <w:t>煤油</w:t>
            </w:r>
          </w:p>
        </w:tc>
        <w:tc>
          <w:tcPr>
            <w:tcW w:w="1250" w:type="pct"/>
            <w:vAlign w:val="center"/>
          </w:tcPr>
          <w:p w14:paraId="5EC79923">
            <w:pPr>
              <w:pStyle w:val="13"/>
              <w:jc w:val="center"/>
              <w:rPr>
                <w:rFonts w:hint="eastAsia"/>
              </w:rPr>
            </w:pPr>
            <w:r>
              <w:rPr>
                <w:rFonts w:hint="eastAsia"/>
              </w:rPr>
              <w:t>吨</w:t>
            </w:r>
          </w:p>
        </w:tc>
        <w:tc>
          <w:tcPr>
            <w:tcW w:w="1250" w:type="pct"/>
            <w:vAlign w:val="center"/>
          </w:tcPr>
          <w:p w14:paraId="2C36423E">
            <w:pPr>
              <w:pStyle w:val="13"/>
              <w:jc w:val="center"/>
              <w:rPr>
                <w:rFonts w:hint="eastAsia"/>
              </w:rPr>
            </w:pPr>
            <w:r>
              <w:rPr>
                <w:rFonts w:hint="eastAsia"/>
              </w:rPr>
              <w:t>0.99</w:t>
            </w:r>
          </w:p>
        </w:tc>
        <w:tc>
          <w:tcPr>
            <w:tcW w:w="1250" w:type="pct"/>
            <w:vAlign w:val="center"/>
          </w:tcPr>
          <w:p w14:paraId="53FBFA43">
            <w:pPr>
              <w:pStyle w:val="13"/>
              <w:jc w:val="center"/>
              <w:rPr>
                <w:rFonts w:hint="eastAsia"/>
              </w:rPr>
            </w:pPr>
            <w:r>
              <w:rPr>
                <w:rFonts w:hint="eastAsia"/>
              </w:rPr>
              <w:t>-0.74</w:t>
            </w:r>
          </w:p>
        </w:tc>
      </w:tr>
      <w:tr w14:paraId="72FB2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5BFEFD6">
            <w:pPr>
              <w:pStyle w:val="13"/>
              <w:jc w:val="left"/>
              <w:rPr>
                <w:rFonts w:hint="eastAsia"/>
              </w:rPr>
            </w:pPr>
            <w:r>
              <w:rPr>
                <w:rFonts w:hint="eastAsia"/>
              </w:rPr>
              <w:t>柴油</w:t>
            </w:r>
          </w:p>
        </w:tc>
        <w:tc>
          <w:tcPr>
            <w:tcW w:w="1250" w:type="pct"/>
            <w:vAlign w:val="center"/>
          </w:tcPr>
          <w:p w14:paraId="4B733281">
            <w:pPr>
              <w:pStyle w:val="13"/>
              <w:jc w:val="center"/>
              <w:rPr>
                <w:rFonts w:hint="eastAsia"/>
              </w:rPr>
            </w:pPr>
            <w:r>
              <w:rPr>
                <w:rFonts w:hint="eastAsia"/>
              </w:rPr>
              <w:t>吨</w:t>
            </w:r>
          </w:p>
        </w:tc>
        <w:tc>
          <w:tcPr>
            <w:tcW w:w="1250" w:type="pct"/>
            <w:vAlign w:val="center"/>
          </w:tcPr>
          <w:p w14:paraId="497332A0">
            <w:pPr>
              <w:pStyle w:val="13"/>
              <w:jc w:val="center"/>
              <w:rPr>
                <w:rFonts w:hint="eastAsia"/>
              </w:rPr>
            </w:pPr>
            <w:r>
              <w:rPr>
                <w:rFonts w:hint="eastAsia"/>
              </w:rPr>
              <w:t>4481.13</w:t>
            </w:r>
          </w:p>
        </w:tc>
        <w:tc>
          <w:tcPr>
            <w:tcW w:w="1250" w:type="pct"/>
            <w:vAlign w:val="center"/>
          </w:tcPr>
          <w:p w14:paraId="01F385B2">
            <w:pPr>
              <w:pStyle w:val="13"/>
              <w:jc w:val="center"/>
              <w:rPr>
                <w:rFonts w:hint="eastAsia"/>
              </w:rPr>
            </w:pPr>
            <w:r>
              <w:rPr>
                <w:rFonts w:hint="eastAsia"/>
              </w:rPr>
              <w:t>47.53</w:t>
            </w:r>
          </w:p>
        </w:tc>
      </w:tr>
      <w:tr w14:paraId="2AF0B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A638D0F">
            <w:pPr>
              <w:pStyle w:val="13"/>
              <w:jc w:val="left"/>
              <w:rPr>
                <w:rFonts w:hint="eastAsia"/>
              </w:rPr>
            </w:pPr>
            <w:r>
              <w:rPr>
                <w:rFonts w:hint="eastAsia"/>
              </w:rPr>
              <w:t>电力</w:t>
            </w:r>
          </w:p>
        </w:tc>
        <w:tc>
          <w:tcPr>
            <w:tcW w:w="1250" w:type="pct"/>
            <w:vAlign w:val="center"/>
          </w:tcPr>
          <w:p w14:paraId="785EBF76">
            <w:pPr>
              <w:pStyle w:val="13"/>
              <w:jc w:val="center"/>
              <w:rPr>
                <w:rFonts w:hint="eastAsia"/>
              </w:rPr>
            </w:pPr>
            <w:r>
              <w:rPr>
                <w:rFonts w:hint="eastAsia"/>
              </w:rPr>
              <w:t>万千瓦时</w:t>
            </w:r>
          </w:p>
        </w:tc>
        <w:tc>
          <w:tcPr>
            <w:tcW w:w="1250" w:type="pct"/>
            <w:vAlign w:val="center"/>
          </w:tcPr>
          <w:p w14:paraId="47CAE136">
            <w:pPr>
              <w:pStyle w:val="13"/>
              <w:jc w:val="center"/>
              <w:rPr>
                <w:rFonts w:hint="eastAsia"/>
              </w:rPr>
            </w:pPr>
            <w:r>
              <w:rPr>
                <w:rFonts w:hint="eastAsia"/>
              </w:rPr>
              <w:t>12272.98</w:t>
            </w:r>
          </w:p>
        </w:tc>
        <w:tc>
          <w:tcPr>
            <w:tcW w:w="1250" w:type="pct"/>
            <w:vAlign w:val="center"/>
          </w:tcPr>
          <w:p w14:paraId="4F3AC181">
            <w:pPr>
              <w:pStyle w:val="13"/>
              <w:jc w:val="center"/>
              <w:rPr>
                <w:rFonts w:hint="eastAsia"/>
              </w:rPr>
            </w:pPr>
            <w:r>
              <w:rPr>
                <w:rFonts w:hint="eastAsia"/>
              </w:rPr>
              <w:t>29.97</w:t>
            </w:r>
          </w:p>
        </w:tc>
      </w:tr>
      <w:tr w14:paraId="63C9A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4E550AD">
            <w:pPr>
              <w:pStyle w:val="13"/>
              <w:jc w:val="left"/>
              <w:rPr>
                <w:rFonts w:hint="eastAsia"/>
              </w:rPr>
            </w:pPr>
            <w:r>
              <w:rPr>
                <w:rFonts w:hint="eastAsia"/>
              </w:rPr>
              <w:t>能源合计</w:t>
            </w:r>
          </w:p>
        </w:tc>
        <w:tc>
          <w:tcPr>
            <w:tcW w:w="1250" w:type="pct"/>
            <w:vAlign w:val="center"/>
          </w:tcPr>
          <w:p w14:paraId="7F301ACB">
            <w:pPr>
              <w:pStyle w:val="13"/>
              <w:jc w:val="center"/>
              <w:rPr>
                <w:rFonts w:hint="eastAsia"/>
              </w:rPr>
            </w:pPr>
            <w:r>
              <w:rPr>
                <w:rFonts w:hint="eastAsia"/>
              </w:rPr>
              <w:t>吨标准煤</w:t>
            </w:r>
          </w:p>
        </w:tc>
        <w:tc>
          <w:tcPr>
            <w:tcW w:w="1250" w:type="pct"/>
            <w:vAlign w:val="center"/>
          </w:tcPr>
          <w:p w14:paraId="33844411">
            <w:pPr>
              <w:pStyle w:val="13"/>
              <w:jc w:val="center"/>
              <w:rPr>
                <w:rFonts w:hint="eastAsia"/>
              </w:rPr>
            </w:pPr>
            <w:r>
              <w:rPr>
                <w:rFonts w:hint="eastAsia"/>
              </w:rPr>
              <w:t>71909.08</w:t>
            </w:r>
          </w:p>
        </w:tc>
        <w:tc>
          <w:tcPr>
            <w:tcW w:w="1250" w:type="pct"/>
            <w:vAlign w:val="center"/>
          </w:tcPr>
          <w:p w14:paraId="705BB3EB">
            <w:pPr>
              <w:pStyle w:val="13"/>
              <w:jc w:val="center"/>
              <w:rPr>
                <w:rFonts w:hint="eastAsia"/>
              </w:rPr>
            </w:pPr>
            <w:r>
              <w:rPr>
                <w:rFonts w:hint="eastAsia"/>
              </w:rPr>
              <w:t>20.54</w:t>
            </w:r>
          </w:p>
        </w:tc>
      </w:tr>
    </w:tbl>
    <w:p w14:paraId="0937898D">
      <w:pPr>
        <w:pStyle w:val="4"/>
        <w:rPr>
          <w:rFonts w:hint="eastAsia"/>
        </w:rPr>
      </w:pPr>
      <w:r>
        <w:t>表</w:t>
      </w:r>
      <w:r>
        <w:rPr>
          <w:rFonts w:hint="eastAsia"/>
        </w:rPr>
        <w:t>34-29  交通运输情况</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62"/>
        <w:gridCol w:w="2100"/>
        <w:gridCol w:w="2100"/>
        <w:gridCol w:w="2100"/>
      </w:tblGrid>
      <w:tr w14:paraId="2E8D8C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pct"/>
            <w:vAlign w:val="center"/>
          </w:tcPr>
          <w:p w14:paraId="1DB92F47">
            <w:pPr>
              <w:pStyle w:val="13"/>
              <w:jc w:val="center"/>
              <w:rPr>
                <w:rFonts w:hint="eastAsia"/>
                <w:b/>
              </w:rPr>
            </w:pPr>
            <w:r>
              <w:rPr>
                <w:rFonts w:hint="eastAsia"/>
                <w:b/>
              </w:rPr>
              <w:t>指标名称</w:t>
            </w:r>
          </w:p>
        </w:tc>
        <w:tc>
          <w:tcPr>
            <w:tcW w:w="1054" w:type="pct"/>
            <w:vAlign w:val="center"/>
          </w:tcPr>
          <w:p w14:paraId="6C1AF2B9">
            <w:pPr>
              <w:pStyle w:val="13"/>
              <w:jc w:val="center"/>
              <w:rPr>
                <w:rFonts w:hint="eastAsia"/>
                <w:b/>
              </w:rPr>
            </w:pPr>
            <w:r>
              <w:rPr>
                <w:rFonts w:hint="eastAsia"/>
                <w:b/>
              </w:rPr>
              <w:t>计算单位</w:t>
            </w:r>
          </w:p>
        </w:tc>
        <w:tc>
          <w:tcPr>
            <w:tcW w:w="1054" w:type="pct"/>
            <w:vAlign w:val="center"/>
          </w:tcPr>
          <w:p w14:paraId="59B0C657">
            <w:pPr>
              <w:pStyle w:val="13"/>
              <w:jc w:val="center"/>
              <w:rPr>
                <w:rFonts w:hint="eastAsia"/>
                <w:b/>
              </w:rPr>
            </w:pPr>
            <w:r>
              <w:rPr>
                <w:rFonts w:hint="eastAsia"/>
                <w:b/>
              </w:rPr>
              <w:t>2010年</w:t>
            </w:r>
          </w:p>
        </w:tc>
        <w:tc>
          <w:tcPr>
            <w:tcW w:w="1054" w:type="pct"/>
            <w:vAlign w:val="center"/>
          </w:tcPr>
          <w:p w14:paraId="3EE01E7E">
            <w:pPr>
              <w:pStyle w:val="13"/>
              <w:jc w:val="center"/>
              <w:rPr>
                <w:rFonts w:hint="eastAsia"/>
                <w:b/>
              </w:rPr>
            </w:pPr>
            <w:r>
              <w:rPr>
                <w:rFonts w:hint="eastAsia"/>
                <w:b/>
              </w:rPr>
              <w:t>比上年±%</w:t>
            </w:r>
          </w:p>
        </w:tc>
      </w:tr>
      <w:tr w14:paraId="627FBD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pct"/>
            <w:vAlign w:val="center"/>
          </w:tcPr>
          <w:p w14:paraId="1B07B946">
            <w:pPr>
              <w:pStyle w:val="13"/>
              <w:jc w:val="left"/>
              <w:rPr>
                <w:rFonts w:hint="eastAsia"/>
              </w:rPr>
            </w:pPr>
            <w:r>
              <w:rPr>
                <w:rFonts w:hint="eastAsia"/>
              </w:rPr>
              <w:t>一、民用汽车</w:t>
            </w:r>
          </w:p>
        </w:tc>
        <w:tc>
          <w:tcPr>
            <w:tcW w:w="1054" w:type="pct"/>
            <w:vAlign w:val="center"/>
          </w:tcPr>
          <w:p w14:paraId="560B3E61">
            <w:pPr>
              <w:pStyle w:val="13"/>
              <w:jc w:val="center"/>
              <w:rPr>
                <w:rFonts w:hint="eastAsia"/>
              </w:rPr>
            </w:pPr>
            <w:r>
              <w:rPr>
                <w:rFonts w:hint="eastAsia"/>
              </w:rPr>
              <w:t>辆</w:t>
            </w:r>
          </w:p>
        </w:tc>
        <w:tc>
          <w:tcPr>
            <w:tcW w:w="1054" w:type="pct"/>
            <w:vAlign w:val="center"/>
          </w:tcPr>
          <w:p w14:paraId="2116EE8A">
            <w:pPr>
              <w:pStyle w:val="13"/>
              <w:jc w:val="center"/>
              <w:rPr>
                <w:rFonts w:hint="eastAsia"/>
              </w:rPr>
            </w:pPr>
            <w:r>
              <w:rPr>
                <w:rFonts w:hint="eastAsia"/>
              </w:rPr>
              <w:t>4980</w:t>
            </w:r>
          </w:p>
        </w:tc>
        <w:tc>
          <w:tcPr>
            <w:tcW w:w="1054" w:type="pct"/>
            <w:vAlign w:val="center"/>
          </w:tcPr>
          <w:p w14:paraId="1A8FDCAF">
            <w:pPr>
              <w:pStyle w:val="13"/>
              <w:jc w:val="center"/>
              <w:rPr>
                <w:rFonts w:hint="eastAsia"/>
              </w:rPr>
            </w:pPr>
            <w:r>
              <w:rPr>
                <w:rFonts w:hint="eastAsia"/>
              </w:rPr>
              <w:t>30.9</w:t>
            </w:r>
          </w:p>
        </w:tc>
      </w:tr>
      <w:tr w14:paraId="010DC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pct"/>
            <w:vAlign w:val="center"/>
          </w:tcPr>
          <w:p w14:paraId="73F448D9">
            <w:pPr>
              <w:pStyle w:val="13"/>
              <w:ind w:firstLine="420" w:firstLineChars="200"/>
              <w:jc w:val="left"/>
              <w:rPr>
                <w:rFonts w:hint="eastAsia"/>
              </w:rPr>
            </w:pPr>
            <w:r>
              <w:rPr>
                <w:rFonts w:hint="eastAsia"/>
              </w:rPr>
              <w:t>1、载客汽车</w:t>
            </w:r>
          </w:p>
        </w:tc>
        <w:tc>
          <w:tcPr>
            <w:tcW w:w="1054" w:type="pct"/>
            <w:vAlign w:val="center"/>
          </w:tcPr>
          <w:p w14:paraId="16CFF698">
            <w:pPr>
              <w:pStyle w:val="13"/>
              <w:jc w:val="center"/>
              <w:rPr>
                <w:rFonts w:hint="eastAsia"/>
              </w:rPr>
            </w:pPr>
            <w:r>
              <w:rPr>
                <w:rFonts w:hint="eastAsia"/>
              </w:rPr>
              <w:t>辆</w:t>
            </w:r>
          </w:p>
        </w:tc>
        <w:tc>
          <w:tcPr>
            <w:tcW w:w="1054" w:type="pct"/>
            <w:vAlign w:val="center"/>
          </w:tcPr>
          <w:p w14:paraId="2B589BFF">
            <w:pPr>
              <w:pStyle w:val="13"/>
              <w:jc w:val="center"/>
              <w:rPr>
                <w:rFonts w:hint="eastAsia"/>
              </w:rPr>
            </w:pPr>
            <w:r>
              <w:rPr>
                <w:rFonts w:hint="eastAsia"/>
              </w:rPr>
              <w:t>3718</w:t>
            </w:r>
          </w:p>
        </w:tc>
        <w:tc>
          <w:tcPr>
            <w:tcW w:w="1054" w:type="pct"/>
            <w:vAlign w:val="center"/>
          </w:tcPr>
          <w:p w14:paraId="55888232">
            <w:pPr>
              <w:pStyle w:val="13"/>
              <w:jc w:val="center"/>
              <w:rPr>
                <w:rFonts w:hint="eastAsia"/>
              </w:rPr>
            </w:pPr>
            <w:r>
              <w:rPr>
                <w:rFonts w:hint="eastAsia"/>
              </w:rPr>
              <w:t>33.4</w:t>
            </w:r>
          </w:p>
        </w:tc>
      </w:tr>
      <w:tr w14:paraId="29B17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pct"/>
            <w:vAlign w:val="center"/>
          </w:tcPr>
          <w:p w14:paraId="00F9D947">
            <w:pPr>
              <w:pStyle w:val="13"/>
              <w:ind w:firstLine="420" w:firstLineChars="200"/>
              <w:jc w:val="left"/>
              <w:rPr>
                <w:rFonts w:hint="eastAsia"/>
              </w:rPr>
            </w:pPr>
            <w:r>
              <w:rPr>
                <w:rFonts w:hint="eastAsia"/>
              </w:rPr>
              <w:t>2、普通载货汽车</w:t>
            </w:r>
          </w:p>
        </w:tc>
        <w:tc>
          <w:tcPr>
            <w:tcW w:w="1054" w:type="pct"/>
            <w:vAlign w:val="center"/>
          </w:tcPr>
          <w:p w14:paraId="4E6E9717">
            <w:pPr>
              <w:pStyle w:val="13"/>
              <w:jc w:val="center"/>
              <w:rPr>
                <w:rFonts w:hint="eastAsia"/>
              </w:rPr>
            </w:pPr>
            <w:r>
              <w:rPr>
                <w:rFonts w:hint="eastAsia"/>
              </w:rPr>
              <w:t>辆</w:t>
            </w:r>
          </w:p>
        </w:tc>
        <w:tc>
          <w:tcPr>
            <w:tcW w:w="1054" w:type="pct"/>
            <w:vAlign w:val="center"/>
          </w:tcPr>
          <w:p w14:paraId="2ADF4323">
            <w:pPr>
              <w:pStyle w:val="13"/>
              <w:jc w:val="center"/>
              <w:rPr>
                <w:rFonts w:hint="eastAsia"/>
              </w:rPr>
            </w:pPr>
            <w:r>
              <w:rPr>
                <w:rFonts w:hint="eastAsia"/>
              </w:rPr>
              <w:t>1308</w:t>
            </w:r>
          </w:p>
        </w:tc>
        <w:tc>
          <w:tcPr>
            <w:tcW w:w="1054" w:type="pct"/>
            <w:vAlign w:val="center"/>
          </w:tcPr>
          <w:p w14:paraId="5CFA75E7">
            <w:pPr>
              <w:pStyle w:val="13"/>
              <w:jc w:val="center"/>
              <w:rPr>
                <w:rFonts w:hint="eastAsia"/>
              </w:rPr>
            </w:pPr>
            <w:r>
              <w:rPr>
                <w:rFonts w:hint="eastAsia"/>
              </w:rPr>
              <w:t>23</w:t>
            </w:r>
          </w:p>
        </w:tc>
      </w:tr>
      <w:tr w14:paraId="6A522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pct"/>
            <w:vAlign w:val="center"/>
          </w:tcPr>
          <w:p w14:paraId="53C6E812">
            <w:pPr>
              <w:pStyle w:val="13"/>
              <w:jc w:val="left"/>
              <w:rPr>
                <w:rFonts w:hint="eastAsia"/>
              </w:rPr>
            </w:pPr>
            <w:r>
              <w:rPr>
                <w:rFonts w:hint="eastAsia"/>
              </w:rPr>
              <w:t>二、拖拉机</w:t>
            </w:r>
          </w:p>
        </w:tc>
        <w:tc>
          <w:tcPr>
            <w:tcW w:w="1054" w:type="pct"/>
            <w:vAlign w:val="center"/>
          </w:tcPr>
          <w:p w14:paraId="2F6F27CC">
            <w:pPr>
              <w:pStyle w:val="13"/>
              <w:jc w:val="center"/>
              <w:rPr>
                <w:rFonts w:hint="eastAsia"/>
              </w:rPr>
            </w:pPr>
            <w:r>
              <w:rPr>
                <w:rFonts w:hint="eastAsia"/>
              </w:rPr>
              <w:t>辆</w:t>
            </w:r>
          </w:p>
        </w:tc>
        <w:tc>
          <w:tcPr>
            <w:tcW w:w="1054" w:type="pct"/>
            <w:vAlign w:val="center"/>
          </w:tcPr>
          <w:p w14:paraId="25B22776">
            <w:pPr>
              <w:pStyle w:val="13"/>
              <w:jc w:val="center"/>
              <w:rPr>
                <w:rFonts w:hint="eastAsia"/>
              </w:rPr>
            </w:pPr>
            <w:r>
              <w:rPr>
                <w:rFonts w:hint="eastAsia"/>
              </w:rPr>
              <w:t>7122</w:t>
            </w:r>
          </w:p>
        </w:tc>
        <w:tc>
          <w:tcPr>
            <w:tcW w:w="1054" w:type="pct"/>
            <w:vAlign w:val="center"/>
          </w:tcPr>
          <w:p w14:paraId="7ADCE78E">
            <w:pPr>
              <w:pStyle w:val="13"/>
              <w:jc w:val="center"/>
              <w:rPr>
                <w:rFonts w:hint="eastAsia"/>
              </w:rPr>
            </w:pPr>
          </w:p>
        </w:tc>
      </w:tr>
      <w:tr w14:paraId="33359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pct"/>
            <w:vAlign w:val="center"/>
          </w:tcPr>
          <w:p w14:paraId="51221340">
            <w:pPr>
              <w:pStyle w:val="13"/>
              <w:jc w:val="left"/>
              <w:rPr>
                <w:rFonts w:hint="eastAsia"/>
              </w:rPr>
            </w:pPr>
            <w:r>
              <w:rPr>
                <w:rFonts w:hint="eastAsia"/>
              </w:rPr>
              <w:t>三、摩托车</w:t>
            </w:r>
          </w:p>
        </w:tc>
        <w:tc>
          <w:tcPr>
            <w:tcW w:w="1054" w:type="pct"/>
            <w:vAlign w:val="center"/>
          </w:tcPr>
          <w:p w14:paraId="70A9AD17">
            <w:pPr>
              <w:pStyle w:val="13"/>
              <w:jc w:val="center"/>
              <w:rPr>
                <w:rFonts w:hint="eastAsia"/>
              </w:rPr>
            </w:pPr>
            <w:r>
              <w:rPr>
                <w:rFonts w:hint="eastAsia"/>
              </w:rPr>
              <w:t>辆</w:t>
            </w:r>
          </w:p>
        </w:tc>
        <w:tc>
          <w:tcPr>
            <w:tcW w:w="1054" w:type="pct"/>
            <w:vAlign w:val="center"/>
          </w:tcPr>
          <w:p w14:paraId="37E50688">
            <w:pPr>
              <w:pStyle w:val="13"/>
              <w:jc w:val="center"/>
              <w:rPr>
                <w:rFonts w:hint="eastAsia"/>
              </w:rPr>
            </w:pPr>
            <w:r>
              <w:rPr>
                <w:rFonts w:hint="eastAsia"/>
              </w:rPr>
              <w:t>36716</w:t>
            </w:r>
          </w:p>
        </w:tc>
        <w:tc>
          <w:tcPr>
            <w:tcW w:w="1054" w:type="pct"/>
            <w:vAlign w:val="center"/>
          </w:tcPr>
          <w:p w14:paraId="0E589B0A">
            <w:pPr>
              <w:pStyle w:val="13"/>
              <w:jc w:val="center"/>
              <w:rPr>
                <w:rFonts w:hint="eastAsia"/>
              </w:rPr>
            </w:pPr>
            <w:r>
              <w:rPr>
                <w:rFonts w:hint="eastAsia"/>
              </w:rPr>
              <w:t>7.6</w:t>
            </w:r>
          </w:p>
        </w:tc>
      </w:tr>
      <w:tr w14:paraId="2C790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pct"/>
            <w:vAlign w:val="center"/>
          </w:tcPr>
          <w:p w14:paraId="0DBDA415">
            <w:pPr>
              <w:pStyle w:val="13"/>
              <w:jc w:val="left"/>
              <w:rPr>
                <w:rFonts w:hint="eastAsia"/>
              </w:rPr>
            </w:pPr>
            <w:r>
              <w:rPr>
                <w:rFonts w:hint="eastAsia"/>
              </w:rPr>
              <w:t>四、其他机动车</w:t>
            </w:r>
          </w:p>
        </w:tc>
        <w:tc>
          <w:tcPr>
            <w:tcW w:w="1054" w:type="pct"/>
            <w:vAlign w:val="center"/>
          </w:tcPr>
          <w:p w14:paraId="67FEC841">
            <w:pPr>
              <w:pStyle w:val="13"/>
              <w:jc w:val="center"/>
              <w:rPr>
                <w:rFonts w:hint="eastAsia"/>
              </w:rPr>
            </w:pPr>
            <w:r>
              <w:rPr>
                <w:rFonts w:hint="eastAsia"/>
              </w:rPr>
              <w:t>辆</w:t>
            </w:r>
          </w:p>
        </w:tc>
        <w:tc>
          <w:tcPr>
            <w:tcW w:w="1054" w:type="pct"/>
            <w:vAlign w:val="center"/>
          </w:tcPr>
          <w:p w14:paraId="2237484A">
            <w:pPr>
              <w:pStyle w:val="13"/>
              <w:jc w:val="center"/>
              <w:rPr>
                <w:rFonts w:hint="eastAsia"/>
              </w:rPr>
            </w:pPr>
            <w:r>
              <w:rPr>
                <w:rFonts w:hint="eastAsia"/>
              </w:rPr>
              <w:t>155</w:t>
            </w:r>
          </w:p>
        </w:tc>
        <w:tc>
          <w:tcPr>
            <w:tcW w:w="1054" w:type="pct"/>
            <w:vAlign w:val="center"/>
          </w:tcPr>
          <w:p w14:paraId="5C99FEEC">
            <w:pPr>
              <w:pStyle w:val="13"/>
              <w:jc w:val="center"/>
              <w:rPr>
                <w:rFonts w:hint="eastAsia"/>
              </w:rPr>
            </w:pPr>
          </w:p>
        </w:tc>
      </w:tr>
      <w:tr w14:paraId="65650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pct"/>
            <w:vAlign w:val="center"/>
          </w:tcPr>
          <w:p w14:paraId="47FBDC50">
            <w:pPr>
              <w:pStyle w:val="13"/>
              <w:jc w:val="left"/>
              <w:rPr>
                <w:rFonts w:hint="eastAsia"/>
              </w:rPr>
            </w:pPr>
            <w:r>
              <w:rPr>
                <w:rFonts w:hint="eastAsia"/>
              </w:rPr>
              <w:t>五、货运量</w:t>
            </w:r>
          </w:p>
        </w:tc>
        <w:tc>
          <w:tcPr>
            <w:tcW w:w="1054" w:type="pct"/>
            <w:vAlign w:val="center"/>
          </w:tcPr>
          <w:p w14:paraId="39FF5F3F">
            <w:pPr>
              <w:pStyle w:val="13"/>
              <w:jc w:val="center"/>
              <w:rPr>
                <w:rFonts w:hint="eastAsia"/>
              </w:rPr>
            </w:pPr>
            <w:r>
              <w:rPr>
                <w:rFonts w:hint="eastAsia"/>
              </w:rPr>
              <w:t>万吨</w:t>
            </w:r>
          </w:p>
        </w:tc>
        <w:tc>
          <w:tcPr>
            <w:tcW w:w="1054" w:type="pct"/>
            <w:vAlign w:val="center"/>
          </w:tcPr>
          <w:p w14:paraId="2FA9207E">
            <w:pPr>
              <w:pStyle w:val="13"/>
              <w:jc w:val="center"/>
              <w:rPr>
                <w:rFonts w:hint="eastAsia"/>
              </w:rPr>
            </w:pPr>
            <w:r>
              <w:rPr>
                <w:rFonts w:hint="eastAsia"/>
              </w:rPr>
              <w:t>13605</w:t>
            </w:r>
          </w:p>
        </w:tc>
        <w:tc>
          <w:tcPr>
            <w:tcW w:w="1054" w:type="pct"/>
            <w:vAlign w:val="center"/>
          </w:tcPr>
          <w:p w14:paraId="32E6A214">
            <w:pPr>
              <w:pStyle w:val="13"/>
              <w:jc w:val="center"/>
              <w:rPr>
                <w:rFonts w:hint="eastAsia"/>
              </w:rPr>
            </w:pPr>
            <w:r>
              <w:rPr>
                <w:rFonts w:hint="eastAsia"/>
              </w:rPr>
              <w:t>13</w:t>
            </w:r>
          </w:p>
        </w:tc>
      </w:tr>
      <w:tr w14:paraId="58897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pct"/>
            <w:vAlign w:val="center"/>
          </w:tcPr>
          <w:p w14:paraId="01FAC38B">
            <w:pPr>
              <w:pStyle w:val="13"/>
              <w:jc w:val="left"/>
              <w:rPr>
                <w:rFonts w:hint="eastAsia"/>
              </w:rPr>
            </w:pPr>
            <w:r>
              <w:rPr>
                <w:rFonts w:hint="eastAsia"/>
              </w:rPr>
              <w:t>六、货物周转量</w:t>
            </w:r>
          </w:p>
        </w:tc>
        <w:tc>
          <w:tcPr>
            <w:tcW w:w="1054" w:type="pct"/>
            <w:vAlign w:val="center"/>
          </w:tcPr>
          <w:p w14:paraId="59931B46">
            <w:pPr>
              <w:pStyle w:val="13"/>
              <w:jc w:val="center"/>
              <w:rPr>
                <w:rFonts w:hint="eastAsia"/>
              </w:rPr>
            </w:pPr>
            <w:r>
              <w:rPr>
                <w:rFonts w:hint="eastAsia"/>
              </w:rPr>
              <w:t>万吨公里</w:t>
            </w:r>
          </w:p>
        </w:tc>
        <w:tc>
          <w:tcPr>
            <w:tcW w:w="1054" w:type="pct"/>
            <w:vAlign w:val="center"/>
          </w:tcPr>
          <w:p w14:paraId="6C90E5BB">
            <w:pPr>
              <w:pStyle w:val="13"/>
              <w:jc w:val="center"/>
              <w:rPr>
                <w:rFonts w:hint="eastAsia"/>
              </w:rPr>
            </w:pPr>
            <w:r>
              <w:rPr>
                <w:rFonts w:hint="eastAsia"/>
              </w:rPr>
              <w:t>14433</w:t>
            </w:r>
          </w:p>
        </w:tc>
        <w:tc>
          <w:tcPr>
            <w:tcW w:w="1054" w:type="pct"/>
            <w:vAlign w:val="center"/>
          </w:tcPr>
          <w:p w14:paraId="2DB92246">
            <w:pPr>
              <w:pStyle w:val="13"/>
              <w:jc w:val="center"/>
              <w:rPr>
                <w:rFonts w:hint="eastAsia"/>
              </w:rPr>
            </w:pPr>
            <w:r>
              <w:rPr>
                <w:rFonts w:hint="eastAsia"/>
              </w:rPr>
              <w:t>13.2</w:t>
            </w:r>
          </w:p>
        </w:tc>
      </w:tr>
      <w:tr w14:paraId="0CB1DF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pct"/>
            <w:vAlign w:val="center"/>
          </w:tcPr>
          <w:p w14:paraId="49DA7087">
            <w:pPr>
              <w:pStyle w:val="13"/>
              <w:jc w:val="left"/>
              <w:rPr>
                <w:rFonts w:hint="eastAsia"/>
              </w:rPr>
            </w:pPr>
            <w:r>
              <w:rPr>
                <w:rFonts w:hint="eastAsia"/>
              </w:rPr>
              <w:t>七、客运量</w:t>
            </w:r>
          </w:p>
        </w:tc>
        <w:tc>
          <w:tcPr>
            <w:tcW w:w="1054" w:type="pct"/>
            <w:vAlign w:val="center"/>
          </w:tcPr>
          <w:p w14:paraId="36D8504A">
            <w:pPr>
              <w:pStyle w:val="13"/>
              <w:jc w:val="center"/>
              <w:rPr>
                <w:rFonts w:hint="eastAsia"/>
              </w:rPr>
            </w:pPr>
            <w:r>
              <w:rPr>
                <w:rFonts w:hint="eastAsia"/>
              </w:rPr>
              <w:t>万人</w:t>
            </w:r>
          </w:p>
        </w:tc>
        <w:tc>
          <w:tcPr>
            <w:tcW w:w="1054" w:type="pct"/>
            <w:vAlign w:val="center"/>
          </w:tcPr>
          <w:p w14:paraId="4CBEDD26">
            <w:pPr>
              <w:pStyle w:val="13"/>
              <w:jc w:val="center"/>
              <w:rPr>
                <w:rFonts w:hint="eastAsia"/>
              </w:rPr>
            </w:pPr>
            <w:r>
              <w:rPr>
                <w:rFonts w:hint="eastAsia"/>
              </w:rPr>
              <w:t>284</w:t>
            </w:r>
          </w:p>
        </w:tc>
        <w:tc>
          <w:tcPr>
            <w:tcW w:w="1054" w:type="pct"/>
            <w:vAlign w:val="center"/>
          </w:tcPr>
          <w:p w14:paraId="4AC6D0C3">
            <w:pPr>
              <w:pStyle w:val="13"/>
              <w:jc w:val="center"/>
              <w:rPr>
                <w:rFonts w:hint="eastAsia"/>
              </w:rPr>
            </w:pPr>
            <w:r>
              <w:rPr>
                <w:rFonts w:hint="eastAsia"/>
              </w:rPr>
              <w:t>10.2</w:t>
            </w:r>
          </w:p>
        </w:tc>
      </w:tr>
      <w:tr w14:paraId="78C25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8" w:type="pct"/>
            <w:vAlign w:val="center"/>
          </w:tcPr>
          <w:p w14:paraId="621E9F93">
            <w:pPr>
              <w:pStyle w:val="13"/>
              <w:jc w:val="left"/>
              <w:rPr>
                <w:rFonts w:hint="eastAsia"/>
              </w:rPr>
            </w:pPr>
            <w:r>
              <w:rPr>
                <w:rFonts w:hint="eastAsia"/>
              </w:rPr>
              <w:t>八、旅客周转量</w:t>
            </w:r>
          </w:p>
        </w:tc>
        <w:tc>
          <w:tcPr>
            <w:tcW w:w="1054" w:type="pct"/>
            <w:vAlign w:val="center"/>
          </w:tcPr>
          <w:p w14:paraId="733B27DF">
            <w:pPr>
              <w:pStyle w:val="13"/>
              <w:jc w:val="center"/>
              <w:rPr>
                <w:rFonts w:hint="eastAsia"/>
              </w:rPr>
            </w:pPr>
            <w:r>
              <w:rPr>
                <w:rFonts w:hint="eastAsia"/>
              </w:rPr>
              <w:t>万人公里</w:t>
            </w:r>
          </w:p>
        </w:tc>
        <w:tc>
          <w:tcPr>
            <w:tcW w:w="1054" w:type="pct"/>
            <w:vAlign w:val="center"/>
          </w:tcPr>
          <w:p w14:paraId="5AB66215">
            <w:pPr>
              <w:pStyle w:val="13"/>
              <w:jc w:val="center"/>
              <w:rPr>
                <w:rFonts w:hint="eastAsia"/>
              </w:rPr>
            </w:pPr>
            <w:r>
              <w:rPr>
                <w:rFonts w:hint="eastAsia"/>
              </w:rPr>
              <w:t>19327</w:t>
            </w:r>
          </w:p>
        </w:tc>
        <w:tc>
          <w:tcPr>
            <w:tcW w:w="1054" w:type="pct"/>
            <w:vAlign w:val="center"/>
          </w:tcPr>
          <w:p w14:paraId="0CD094D2">
            <w:pPr>
              <w:pStyle w:val="13"/>
              <w:jc w:val="center"/>
            </w:pPr>
            <w:r>
              <w:rPr>
                <w:rFonts w:hint="eastAsia"/>
              </w:rPr>
              <w:t>9.6</w:t>
            </w:r>
          </w:p>
        </w:tc>
      </w:tr>
    </w:tbl>
    <w:p w14:paraId="3097F4E2">
      <w:pPr>
        <w:pStyle w:val="4"/>
        <w:rPr>
          <w:rFonts w:hint="eastAsia"/>
        </w:rPr>
      </w:pPr>
      <w:r>
        <w:t>表</w:t>
      </w:r>
      <w:r>
        <w:rPr>
          <w:rFonts w:hint="eastAsia"/>
        </w:rPr>
        <w:t>34-30  固定资产投资总额及构成情况（一）</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54"/>
        <w:gridCol w:w="2170"/>
        <w:gridCol w:w="2170"/>
        <w:gridCol w:w="2168"/>
      </w:tblGrid>
      <w:tr w14:paraId="5984BA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34" w:type="pct"/>
            <w:vAlign w:val="center"/>
          </w:tcPr>
          <w:p w14:paraId="5D05358C">
            <w:pPr>
              <w:pStyle w:val="13"/>
              <w:jc w:val="center"/>
              <w:rPr>
                <w:rFonts w:hint="eastAsia"/>
                <w:b/>
              </w:rPr>
            </w:pPr>
            <w:r>
              <w:rPr>
                <w:rFonts w:hint="eastAsia"/>
                <w:b/>
              </w:rPr>
              <w:t>指标名称</w:t>
            </w:r>
          </w:p>
        </w:tc>
        <w:tc>
          <w:tcPr>
            <w:tcW w:w="1089" w:type="pct"/>
            <w:vAlign w:val="center"/>
          </w:tcPr>
          <w:p w14:paraId="68343511">
            <w:pPr>
              <w:pStyle w:val="13"/>
              <w:jc w:val="center"/>
              <w:rPr>
                <w:rFonts w:hint="eastAsia"/>
                <w:b/>
              </w:rPr>
            </w:pPr>
            <w:r>
              <w:rPr>
                <w:rFonts w:hint="eastAsia"/>
                <w:b/>
              </w:rPr>
              <w:t>单位</w:t>
            </w:r>
          </w:p>
        </w:tc>
        <w:tc>
          <w:tcPr>
            <w:tcW w:w="1089" w:type="pct"/>
            <w:vAlign w:val="center"/>
          </w:tcPr>
          <w:p w14:paraId="0E51614A">
            <w:pPr>
              <w:pStyle w:val="13"/>
              <w:jc w:val="center"/>
              <w:rPr>
                <w:rFonts w:hint="eastAsia"/>
                <w:b/>
              </w:rPr>
            </w:pPr>
            <w:r>
              <w:rPr>
                <w:rFonts w:hint="eastAsia"/>
                <w:b/>
              </w:rPr>
              <w:t>合计</w:t>
            </w:r>
          </w:p>
        </w:tc>
        <w:tc>
          <w:tcPr>
            <w:tcW w:w="1088" w:type="pct"/>
            <w:vAlign w:val="center"/>
          </w:tcPr>
          <w:p w14:paraId="114D87DB">
            <w:pPr>
              <w:pStyle w:val="13"/>
              <w:jc w:val="center"/>
              <w:rPr>
                <w:rFonts w:hint="eastAsia"/>
                <w:b/>
              </w:rPr>
            </w:pPr>
            <w:r>
              <w:rPr>
                <w:rFonts w:hint="eastAsia"/>
                <w:b/>
              </w:rPr>
              <w:t>建筑工程</w:t>
            </w:r>
          </w:p>
        </w:tc>
      </w:tr>
      <w:tr w14:paraId="28373A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4" w:type="pct"/>
            <w:vAlign w:val="center"/>
          </w:tcPr>
          <w:p w14:paraId="2D7ECC62">
            <w:pPr>
              <w:pStyle w:val="13"/>
              <w:jc w:val="left"/>
              <w:rPr>
                <w:rFonts w:hint="eastAsia"/>
              </w:rPr>
            </w:pPr>
            <w:r>
              <w:rPr>
                <w:rFonts w:hint="eastAsia"/>
              </w:rPr>
              <w:t>合计</w:t>
            </w:r>
          </w:p>
        </w:tc>
        <w:tc>
          <w:tcPr>
            <w:tcW w:w="1089" w:type="pct"/>
            <w:vAlign w:val="center"/>
          </w:tcPr>
          <w:p w14:paraId="4EB4F682">
            <w:pPr>
              <w:pStyle w:val="13"/>
              <w:jc w:val="center"/>
              <w:rPr>
                <w:rFonts w:hint="eastAsia"/>
              </w:rPr>
            </w:pPr>
            <w:r>
              <w:rPr>
                <w:rFonts w:hint="eastAsia"/>
              </w:rPr>
              <w:t>万元</w:t>
            </w:r>
          </w:p>
        </w:tc>
        <w:tc>
          <w:tcPr>
            <w:tcW w:w="1089" w:type="pct"/>
            <w:vAlign w:val="center"/>
          </w:tcPr>
          <w:p w14:paraId="7F981022">
            <w:pPr>
              <w:pStyle w:val="13"/>
              <w:jc w:val="center"/>
              <w:rPr>
                <w:rFonts w:hint="eastAsia"/>
              </w:rPr>
            </w:pPr>
            <w:r>
              <w:rPr>
                <w:rFonts w:hint="eastAsia"/>
              </w:rPr>
              <w:t>580336</w:t>
            </w:r>
          </w:p>
        </w:tc>
        <w:tc>
          <w:tcPr>
            <w:tcW w:w="1088" w:type="pct"/>
            <w:vAlign w:val="center"/>
          </w:tcPr>
          <w:p w14:paraId="2FC0813E">
            <w:pPr>
              <w:pStyle w:val="13"/>
              <w:jc w:val="center"/>
              <w:rPr>
                <w:rFonts w:hint="eastAsia"/>
              </w:rPr>
            </w:pPr>
            <w:r>
              <w:rPr>
                <w:rFonts w:hint="eastAsia"/>
              </w:rPr>
              <w:t>471636</w:t>
            </w:r>
          </w:p>
        </w:tc>
      </w:tr>
      <w:tr w14:paraId="65B03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4" w:type="pct"/>
            <w:vAlign w:val="center"/>
          </w:tcPr>
          <w:p w14:paraId="16D6912C">
            <w:pPr>
              <w:pStyle w:val="13"/>
              <w:ind w:firstLine="420" w:firstLineChars="200"/>
              <w:jc w:val="left"/>
              <w:rPr>
                <w:rFonts w:hint="eastAsia"/>
              </w:rPr>
            </w:pPr>
            <w:r>
              <w:rPr>
                <w:rFonts w:hint="eastAsia"/>
              </w:rPr>
              <w:t>其中：建安工程</w:t>
            </w:r>
          </w:p>
        </w:tc>
        <w:tc>
          <w:tcPr>
            <w:tcW w:w="1089" w:type="pct"/>
            <w:vAlign w:val="center"/>
          </w:tcPr>
          <w:p w14:paraId="0BE2A4FB">
            <w:pPr>
              <w:pStyle w:val="13"/>
              <w:jc w:val="center"/>
              <w:rPr>
                <w:rFonts w:hint="eastAsia"/>
              </w:rPr>
            </w:pPr>
            <w:r>
              <w:rPr>
                <w:rFonts w:hint="eastAsia"/>
              </w:rPr>
              <w:t>万元</w:t>
            </w:r>
          </w:p>
        </w:tc>
        <w:tc>
          <w:tcPr>
            <w:tcW w:w="1089" w:type="pct"/>
            <w:vAlign w:val="center"/>
          </w:tcPr>
          <w:p w14:paraId="3B36BA84">
            <w:pPr>
              <w:pStyle w:val="13"/>
              <w:jc w:val="center"/>
              <w:rPr>
                <w:rFonts w:hint="eastAsia"/>
              </w:rPr>
            </w:pPr>
            <w:r>
              <w:rPr>
                <w:rFonts w:hint="eastAsia"/>
              </w:rPr>
              <w:t>505849</w:t>
            </w:r>
          </w:p>
        </w:tc>
        <w:tc>
          <w:tcPr>
            <w:tcW w:w="1088" w:type="pct"/>
            <w:vAlign w:val="center"/>
          </w:tcPr>
          <w:p w14:paraId="173A1C86">
            <w:pPr>
              <w:pStyle w:val="13"/>
              <w:jc w:val="center"/>
              <w:rPr>
                <w:rFonts w:hint="eastAsia"/>
              </w:rPr>
            </w:pPr>
            <w:r>
              <w:rPr>
                <w:rFonts w:hint="eastAsia"/>
              </w:rPr>
              <w:t>471636</w:t>
            </w:r>
          </w:p>
        </w:tc>
      </w:tr>
      <w:tr w14:paraId="24E80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4" w:type="pct"/>
            <w:vAlign w:val="center"/>
          </w:tcPr>
          <w:p w14:paraId="6B6AA47E">
            <w:pPr>
              <w:pStyle w:val="13"/>
              <w:jc w:val="left"/>
              <w:rPr>
                <w:rFonts w:hint="eastAsia"/>
              </w:rPr>
            </w:pPr>
            <w:r>
              <w:rPr>
                <w:rFonts w:hint="eastAsia"/>
              </w:rPr>
              <w:t>一、按产业分</w:t>
            </w:r>
          </w:p>
        </w:tc>
        <w:tc>
          <w:tcPr>
            <w:tcW w:w="1089" w:type="pct"/>
            <w:vAlign w:val="center"/>
          </w:tcPr>
          <w:p w14:paraId="67C95D8D">
            <w:pPr>
              <w:pStyle w:val="13"/>
              <w:jc w:val="center"/>
              <w:rPr>
                <w:rFonts w:hint="eastAsia"/>
              </w:rPr>
            </w:pPr>
          </w:p>
        </w:tc>
        <w:tc>
          <w:tcPr>
            <w:tcW w:w="1089" w:type="pct"/>
            <w:vAlign w:val="center"/>
          </w:tcPr>
          <w:p w14:paraId="5BD5A545">
            <w:pPr>
              <w:pStyle w:val="13"/>
              <w:jc w:val="center"/>
              <w:rPr>
                <w:rFonts w:hint="eastAsia"/>
              </w:rPr>
            </w:pPr>
          </w:p>
        </w:tc>
        <w:tc>
          <w:tcPr>
            <w:tcW w:w="1088" w:type="pct"/>
            <w:vAlign w:val="center"/>
          </w:tcPr>
          <w:p w14:paraId="53403612">
            <w:pPr>
              <w:pStyle w:val="13"/>
              <w:jc w:val="center"/>
              <w:rPr>
                <w:rFonts w:hint="eastAsia"/>
              </w:rPr>
            </w:pPr>
          </w:p>
        </w:tc>
      </w:tr>
      <w:tr w14:paraId="037260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4" w:type="pct"/>
            <w:vAlign w:val="center"/>
          </w:tcPr>
          <w:p w14:paraId="15690C27">
            <w:pPr>
              <w:pStyle w:val="13"/>
              <w:ind w:firstLine="420" w:firstLineChars="200"/>
              <w:jc w:val="left"/>
              <w:rPr>
                <w:rFonts w:hint="eastAsia"/>
              </w:rPr>
            </w:pPr>
            <w:r>
              <w:rPr>
                <w:rFonts w:hint="eastAsia"/>
              </w:rPr>
              <w:t>1、第一产业</w:t>
            </w:r>
          </w:p>
        </w:tc>
        <w:tc>
          <w:tcPr>
            <w:tcW w:w="1089" w:type="pct"/>
            <w:vAlign w:val="center"/>
          </w:tcPr>
          <w:p w14:paraId="6060A907">
            <w:pPr>
              <w:pStyle w:val="13"/>
              <w:jc w:val="center"/>
              <w:rPr>
                <w:rFonts w:hint="eastAsia"/>
              </w:rPr>
            </w:pPr>
            <w:r>
              <w:rPr>
                <w:rFonts w:hint="eastAsia"/>
              </w:rPr>
              <w:t>万元</w:t>
            </w:r>
          </w:p>
        </w:tc>
        <w:tc>
          <w:tcPr>
            <w:tcW w:w="1089" w:type="pct"/>
            <w:vAlign w:val="center"/>
          </w:tcPr>
          <w:p w14:paraId="6B355361">
            <w:pPr>
              <w:pStyle w:val="13"/>
              <w:jc w:val="center"/>
              <w:rPr>
                <w:rFonts w:hint="eastAsia"/>
              </w:rPr>
            </w:pPr>
            <w:r>
              <w:rPr>
                <w:rFonts w:hint="eastAsia"/>
              </w:rPr>
              <w:t>20165</w:t>
            </w:r>
          </w:p>
        </w:tc>
        <w:tc>
          <w:tcPr>
            <w:tcW w:w="1088" w:type="pct"/>
            <w:vAlign w:val="center"/>
          </w:tcPr>
          <w:p w14:paraId="45386CD5">
            <w:pPr>
              <w:pStyle w:val="13"/>
              <w:jc w:val="center"/>
              <w:rPr>
                <w:rFonts w:hint="eastAsia"/>
              </w:rPr>
            </w:pPr>
            <w:r>
              <w:rPr>
                <w:rFonts w:hint="eastAsia"/>
              </w:rPr>
              <w:t>18351</w:t>
            </w:r>
          </w:p>
        </w:tc>
      </w:tr>
      <w:tr w14:paraId="595CE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4" w:type="pct"/>
            <w:vAlign w:val="center"/>
          </w:tcPr>
          <w:p w14:paraId="0AC6692B">
            <w:pPr>
              <w:pStyle w:val="13"/>
              <w:ind w:firstLine="420" w:firstLineChars="200"/>
              <w:jc w:val="left"/>
              <w:rPr>
                <w:rFonts w:hint="eastAsia"/>
              </w:rPr>
            </w:pPr>
            <w:r>
              <w:rPr>
                <w:rFonts w:hint="eastAsia"/>
              </w:rPr>
              <w:t>2、第二产业</w:t>
            </w:r>
          </w:p>
        </w:tc>
        <w:tc>
          <w:tcPr>
            <w:tcW w:w="1089" w:type="pct"/>
            <w:vAlign w:val="center"/>
          </w:tcPr>
          <w:p w14:paraId="230B086B">
            <w:pPr>
              <w:pStyle w:val="13"/>
              <w:jc w:val="center"/>
              <w:rPr>
                <w:rFonts w:hint="eastAsia"/>
              </w:rPr>
            </w:pPr>
            <w:r>
              <w:rPr>
                <w:rFonts w:hint="eastAsia"/>
              </w:rPr>
              <w:t>万元</w:t>
            </w:r>
          </w:p>
        </w:tc>
        <w:tc>
          <w:tcPr>
            <w:tcW w:w="1089" w:type="pct"/>
            <w:vAlign w:val="center"/>
          </w:tcPr>
          <w:p w14:paraId="4E095E81">
            <w:pPr>
              <w:pStyle w:val="13"/>
              <w:jc w:val="center"/>
              <w:rPr>
                <w:rFonts w:hint="eastAsia"/>
              </w:rPr>
            </w:pPr>
            <w:r>
              <w:rPr>
                <w:rFonts w:hint="eastAsia"/>
              </w:rPr>
              <w:t>215889</w:t>
            </w:r>
          </w:p>
        </w:tc>
        <w:tc>
          <w:tcPr>
            <w:tcW w:w="1088" w:type="pct"/>
            <w:vAlign w:val="center"/>
          </w:tcPr>
          <w:p w14:paraId="601DD96F">
            <w:pPr>
              <w:pStyle w:val="13"/>
              <w:jc w:val="center"/>
              <w:rPr>
                <w:rFonts w:hint="eastAsia"/>
              </w:rPr>
            </w:pPr>
            <w:r>
              <w:rPr>
                <w:rFonts w:hint="eastAsia"/>
              </w:rPr>
              <w:t>138193</w:t>
            </w:r>
          </w:p>
        </w:tc>
      </w:tr>
      <w:tr w14:paraId="32512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4" w:type="pct"/>
            <w:vAlign w:val="center"/>
          </w:tcPr>
          <w:p w14:paraId="745C31B1">
            <w:pPr>
              <w:pStyle w:val="13"/>
              <w:ind w:firstLine="420" w:firstLineChars="200"/>
              <w:jc w:val="left"/>
              <w:rPr>
                <w:rFonts w:hint="eastAsia"/>
              </w:rPr>
            </w:pPr>
            <w:r>
              <w:rPr>
                <w:rFonts w:hint="eastAsia"/>
              </w:rPr>
              <w:t>3、第三产业</w:t>
            </w:r>
          </w:p>
        </w:tc>
        <w:tc>
          <w:tcPr>
            <w:tcW w:w="1089" w:type="pct"/>
            <w:vAlign w:val="center"/>
          </w:tcPr>
          <w:p w14:paraId="06CC4D6A">
            <w:pPr>
              <w:pStyle w:val="13"/>
              <w:jc w:val="center"/>
              <w:rPr>
                <w:rFonts w:hint="eastAsia"/>
              </w:rPr>
            </w:pPr>
            <w:r>
              <w:rPr>
                <w:rFonts w:hint="eastAsia"/>
              </w:rPr>
              <w:t>万元</w:t>
            </w:r>
          </w:p>
        </w:tc>
        <w:tc>
          <w:tcPr>
            <w:tcW w:w="1089" w:type="pct"/>
            <w:vAlign w:val="center"/>
          </w:tcPr>
          <w:p w14:paraId="3B72651A">
            <w:pPr>
              <w:pStyle w:val="13"/>
              <w:jc w:val="center"/>
              <w:rPr>
                <w:rFonts w:hint="eastAsia"/>
              </w:rPr>
            </w:pPr>
            <w:r>
              <w:rPr>
                <w:rFonts w:hint="eastAsia"/>
              </w:rPr>
              <w:t>344282</w:t>
            </w:r>
          </w:p>
        </w:tc>
        <w:tc>
          <w:tcPr>
            <w:tcW w:w="1088" w:type="pct"/>
            <w:vAlign w:val="center"/>
          </w:tcPr>
          <w:p w14:paraId="0F07FC3B">
            <w:pPr>
              <w:pStyle w:val="13"/>
              <w:jc w:val="center"/>
              <w:rPr>
                <w:rFonts w:hint="eastAsia"/>
              </w:rPr>
            </w:pPr>
            <w:r>
              <w:rPr>
                <w:rFonts w:hint="eastAsia"/>
              </w:rPr>
              <w:t>315092</w:t>
            </w:r>
          </w:p>
        </w:tc>
      </w:tr>
    </w:tbl>
    <w:p w14:paraId="35C1921F">
      <w:pPr>
        <w:pStyle w:val="4"/>
        <w:rPr>
          <w:rFonts w:hint="eastAsia"/>
        </w:rPr>
      </w:pPr>
      <w:r>
        <w:t>表</w:t>
      </w:r>
      <w:r>
        <w:rPr>
          <w:rFonts w:hint="eastAsia"/>
        </w:rPr>
        <w:t>34-31  固定资产投资总额及构成情况（二）</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54"/>
        <w:gridCol w:w="2170"/>
        <w:gridCol w:w="2170"/>
        <w:gridCol w:w="2168"/>
      </w:tblGrid>
      <w:tr w14:paraId="186B5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4" w:type="pct"/>
            <w:vAlign w:val="center"/>
          </w:tcPr>
          <w:p w14:paraId="2C1A6613">
            <w:pPr>
              <w:pStyle w:val="13"/>
              <w:jc w:val="center"/>
              <w:rPr>
                <w:rFonts w:hint="eastAsia"/>
                <w:b/>
              </w:rPr>
            </w:pPr>
            <w:r>
              <w:rPr>
                <w:rFonts w:hint="eastAsia"/>
                <w:b/>
              </w:rPr>
              <w:t>指标名称</w:t>
            </w:r>
          </w:p>
        </w:tc>
        <w:tc>
          <w:tcPr>
            <w:tcW w:w="1089" w:type="pct"/>
            <w:vAlign w:val="center"/>
          </w:tcPr>
          <w:p w14:paraId="33874939">
            <w:pPr>
              <w:pStyle w:val="13"/>
              <w:jc w:val="center"/>
              <w:rPr>
                <w:rFonts w:hint="eastAsia"/>
                <w:b/>
              </w:rPr>
            </w:pPr>
            <w:r>
              <w:rPr>
                <w:rFonts w:hint="eastAsia"/>
                <w:b/>
              </w:rPr>
              <w:t>单位</w:t>
            </w:r>
          </w:p>
        </w:tc>
        <w:tc>
          <w:tcPr>
            <w:tcW w:w="1089" w:type="pct"/>
            <w:vAlign w:val="center"/>
          </w:tcPr>
          <w:p w14:paraId="6628BB47">
            <w:pPr>
              <w:pStyle w:val="13"/>
              <w:jc w:val="center"/>
              <w:rPr>
                <w:rFonts w:hint="eastAsia"/>
                <w:b/>
              </w:rPr>
            </w:pPr>
            <w:r>
              <w:rPr>
                <w:rFonts w:hint="eastAsia"/>
                <w:b/>
              </w:rPr>
              <w:t>安装工程</w:t>
            </w:r>
          </w:p>
        </w:tc>
        <w:tc>
          <w:tcPr>
            <w:tcW w:w="1088" w:type="pct"/>
            <w:vAlign w:val="center"/>
          </w:tcPr>
          <w:p w14:paraId="6E51CFF1">
            <w:pPr>
              <w:pStyle w:val="13"/>
              <w:jc w:val="center"/>
              <w:rPr>
                <w:rFonts w:hint="eastAsia"/>
                <w:b/>
              </w:rPr>
            </w:pPr>
            <w:r>
              <w:rPr>
                <w:rFonts w:hint="eastAsia"/>
                <w:b/>
              </w:rPr>
              <w:t>其他费用</w:t>
            </w:r>
          </w:p>
        </w:tc>
      </w:tr>
      <w:tr w14:paraId="3FCA24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4" w:type="pct"/>
            <w:vAlign w:val="center"/>
          </w:tcPr>
          <w:p w14:paraId="32E231AB">
            <w:pPr>
              <w:pStyle w:val="13"/>
              <w:jc w:val="left"/>
              <w:rPr>
                <w:rFonts w:hint="eastAsia"/>
              </w:rPr>
            </w:pPr>
            <w:r>
              <w:rPr>
                <w:rFonts w:hint="eastAsia"/>
              </w:rPr>
              <w:t>合计</w:t>
            </w:r>
          </w:p>
        </w:tc>
        <w:tc>
          <w:tcPr>
            <w:tcW w:w="1089" w:type="pct"/>
            <w:vAlign w:val="center"/>
          </w:tcPr>
          <w:p w14:paraId="3C2AE3CD">
            <w:pPr>
              <w:pStyle w:val="13"/>
              <w:jc w:val="center"/>
              <w:rPr>
                <w:rFonts w:hint="eastAsia"/>
              </w:rPr>
            </w:pPr>
            <w:r>
              <w:rPr>
                <w:rFonts w:hint="eastAsia"/>
              </w:rPr>
              <w:t>万元</w:t>
            </w:r>
          </w:p>
        </w:tc>
        <w:tc>
          <w:tcPr>
            <w:tcW w:w="1089" w:type="pct"/>
            <w:vAlign w:val="center"/>
          </w:tcPr>
          <w:p w14:paraId="3F99B7BE">
            <w:pPr>
              <w:pStyle w:val="13"/>
              <w:jc w:val="center"/>
              <w:rPr>
                <w:rFonts w:hint="eastAsia"/>
              </w:rPr>
            </w:pPr>
            <w:r>
              <w:rPr>
                <w:rFonts w:hint="eastAsia"/>
              </w:rPr>
              <w:t>34213</w:t>
            </w:r>
          </w:p>
        </w:tc>
        <w:tc>
          <w:tcPr>
            <w:tcW w:w="1088" w:type="pct"/>
            <w:vAlign w:val="center"/>
          </w:tcPr>
          <w:p w14:paraId="21CB7646">
            <w:pPr>
              <w:pStyle w:val="13"/>
              <w:jc w:val="center"/>
              <w:rPr>
                <w:rFonts w:hint="eastAsia"/>
              </w:rPr>
            </w:pPr>
            <w:r>
              <w:rPr>
                <w:rFonts w:hint="eastAsia"/>
              </w:rPr>
              <w:t>32046</w:t>
            </w:r>
          </w:p>
        </w:tc>
      </w:tr>
      <w:tr w14:paraId="6770E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4" w:type="pct"/>
            <w:vAlign w:val="center"/>
          </w:tcPr>
          <w:p w14:paraId="4BA82F22">
            <w:pPr>
              <w:pStyle w:val="13"/>
              <w:ind w:firstLine="420" w:firstLineChars="200"/>
              <w:jc w:val="left"/>
              <w:rPr>
                <w:rFonts w:hint="eastAsia"/>
              </w:rPr>
            </w:pPr>
            <w:r>
              <w:rPr>
                <w:rFonts w:hint="eastAsia"/>
              </w:rPr>
              <w:t>其中：建安工程</w:t>
            </w:r>
          </w:p>
        </w:tc>
        <w:tc>
          <w:tcPr>
            <w:tcW w:w="1089" w:type="pct"/>
            <w:vAlign w:val="center"/>
          </w:tcPr>
          <w:p w14:paraId="4FE3643A">
            <w:pPr>
              <w:pStyle w:val="13"/>
              <w:jc w:val="center"/>
              <w:rPr>
                <w:rFonts w:hint="eastAsia"/>
              </w:rPr>
            </w:pPr>
            <w:r>
              <w:rPr>
                <w:rFonts w:hint="eastAsia"/>
              </w:rPr>
              <w:t>万元</w:t>
            </w:r>
          </w:p>
        </w:tc>
        <w:tc>
          <w:tcPr>
            <w:tcW w:w="1089" w:type="pct"/>
            <w:vAlign w:val="center"/>
          </w:tcPr>
          <w:p w14:paraId="5CF77614">
            <w:pPr>
              <w:pStyle w:val="13"/>
              <w:jc w:val="center"/>
              <w:rPr>
                <w:rFonts w:hint="eastAsia"/>
              </w:rPr>
            </w:pPr>
            <w:r>
              <w:rPr>
                <w:rFonts w:hint="eastAsia"/>
              </w:rPr>
              <w:t>34213</w:t>
            </w:r>
          </w:p>
        </w:tc>
        <w:tc>
          <w:tcPr>
            <w:tcW w:w="1088" w:type="pct"/>
            <w:vAlign w:val="center"/>
          </w:tcPr>
          <w:p w14:paraId="7922265A">
            <w:pPr>
              <w:pStyle w:val="13"/>
              <w:jc w:val="center"/>
              <w:rPr>
                <w:rFonts w:hint="eastAsia"/>
              </w:rPr>
            </w:pPr>
          </w:p>
        </w:tc>
      </w:tr>
      <w:tr w14:paraId="68D51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4" w:type="pct"/>
            <w:vAlign w:val="center"/>
          </w:tcPr>
          <w:p w14:paraId="6AD5E4CD">
            <w:pPr>
              <w:pStyle w:val="13"/>
              <w:jc w:val="left"/>
              <w:rPr>
                <w:rFonts w:hint="eastAsia"/>
              </w:rPr>
            </w:pPr>
            <w:r>
              <w:rPr>
                <w:rFonts w:hint="eastAsia"/>
              </w:rPr>
              <w:t>一、按产业分</w:t>
            </w:r>
          </w:p>
        </w:tc>
        <w:tc>
          <w:tcPr>
            <w:tcW w:w="1089" w:type="pct"/>
            <w:vAlign w:val="center"/>
          </w:tcPr>
          <w:p w14:paraId="61A6E59E">
            <w:pPr>
              <w:pStyle w:val="13"/>
              <w:jc w:val="center"/>
              <w:rPr>
                <w:rFonts w:hint="eastAsia"/>
              </w:rPr>
            </w:pPr>
          </w:p>
        </w:tc>
        <w:tc>
          <w:tcPr>
            <w:tcW w:w="1089" w:type="pct"/>
            <w:vAlign w:val="center"/>
          </w:tcPr>
          <w:p w14:paraId="596E9DDF">
            <w:pPr>
              <w:pStyle w:val="13"/>
              <w:jc w:val="center"/>
              <w:rPr>
                <w:rFonts w:hint="eastAsia"/>
              </w:rPr>
            </w:pPr>
          </w:p>
        </w:tc>
        <w:tc>
          <w:tcPr>
            <w:tcW w:w="1088" w:type="pct"/>
            <w:vAlign w:val="center"/>
          </w:tcPr>
          <w:p w14:paraId="62B80EA6">
            <w:pPr>
              <w:pStyle w:val="13"/>
              <w:jc w:val="center"/>
              <w:rPr>
                <w:rFonts w:hint="eastAsia"/>
              </w:rPr>
            </w:pPr>
          </w:p>
        </w:tc>
      </w:tr>
      <w:tr w14:paraId="71439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4" w:type="pct"/>
            <w:vAlign w:val="center"/>
          </w:tcPr>
          <w:p w14:paraId="7571C776">
            <w:pPr>
              <w:pStyle w:val="13"/>
              <w:ind w:firstLine="420" w:firstLineChars="200"/>
              <w:jc w:val="left"/>
              <w:rPr>
                <w:rFonts w:hint="eastAsia"/>
              </w:rPr>
            </w:pPr>
            <w:r>
              <w:rPr>
                <w:rFonts w:hint="eastAsia"/>
              </w:rPr>
              <w:t>1、第一产业</w:t>
            </w:r>
          </w:p>
        </w:tc>
        <w:tc>
          <w:tcPr>
            <w:tcW w:w="1089" w:type="pct"/>
            <w:vAlign w:val="center"/>
          </w:tcPr>
          <w:p w14:paraId="26E86E84">
            <w:pPr>
              <w:pStyle w:val="13"/>
              <w:jc w:val="center"/>
              <w:rPr>
                <w:rFonts w:hint="eastAsia"/>
              </w:rPr>
            </w:pPr>
            <w:r>
              <w:rPr>
                <w:rFonts w:hint="eastAsia"/>
              </w:rPr>
              <w:t>万元</w:t>
            </w:r>
          </w:p>
        </w:tc>
        <w:tc>
          <w:tcPr>
            <w:tcW w:w="1089" w:type="pct"/>
            <w:vAlign w:val="center"/>
          </w:tcPr>
          <w:p w14:paraId="5B160468">
            <w:pPr>
              <w:pStyle w:val="13"/>
              <w:jc w:val="center"/>
              <w:rPr>
                <w:rFonts w:hint="eastAsia"/>
              </w:rPr>
            </w:pPr>
            <w:r>
              <w:rPr>
                <w:rFonts w:hint="eastAsia"/>
              </w:rPr>
              <w:t>167</w:t>
            </w:r>
          </w:p>
        </w:tc>
        <w:tc>
          <w:tcPr>
            <w:tcW w:w="1088" w:type="pct"/>
            <w:vAlign w:val="center"/>
          </w:tcPr>
          <w:p w14:paraId="582F5C4C">
            <w:pPr>
              <w:pStyle w:val="13"/>
              <w:jc w:val="center"/>
              <w:rPr>
                <w:rFonts w:hint="eastAsia"/>
              </w:rPr>
            </w:pPr>
            <w:r>
              <w:rPr>
                <w:rFonts w:hint="eastAsia"/>
              </w:rPr>
              <w:t>1040</w:t>
            </w:r>
          </w:p>
        </w:tc>
      </w:tr>
      <w:tr w14:paraId="6F99F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4" w:type="pct"/>
            <w:vAlign w:val="center"/>
          </w:tcPr>
          <w:p w14:paraId="79F7178E">
            <w:pPr>
              <w:pStyle w:val="13"/>
              <w:ind w:firstLine="420" w:firstLineChars="200"/>
              <w:jc w:val="left"/>
              <w:rPr>
                <w:rFonts w:hint="eastAsia"/>
              </w:rPr>
            </w:pPr>
            <w:r>
              <w:rPr>
                <w:rFonts w:hint="eastAsia"/>
              </w:rPr>
              <w:t>2、第二产业</w:t>
            </w:r>
          </w:p>
        </w:tc>
        <w:tc>
          <w:tcPr>
            <w:tcW w:w="1089" w:type="pct"/>
            <w:vAlign w:val="center"/>
          </w:tcPr>
          <w:p w14:paraId="563A0254">
            <w:pPr>
              <w:pStyle w:val="13"/>
              <w:jc w:val="center"/>
              <w:rPr>
                <w:rFonts w:hint="eastAsia"/>
              </w:rPr>
            </w:pPr>
            <w:r>
              <w:rPr>
                <w:rFonts w:hint="eastAsia"/>
              </w:rPr>
              <w:t>万元</w:t>
            </w:r>
          </w:p>
        </w:tc>
        <w:tc>
          <w:tcPr>
            <w:tcW w:w="1089" w:type="pct"/>
            <w:vAlign w:val="center"/>
          </w:tcPr>
          <w:p w14:paraId="2E45FC2A">
            <w:pPr>
              <w:pStyle w:val="13"/>
              <w:jc w:val="center"/>
              <w:rPr>
                <w:rFonts w:hint="eastAsia"/>
              </w:rPr>
            </w:pPr>
            <w:r>
              <w:rPr>
                <w:rFonts w:hint="eastAsia"/>
              </w:rPr>
              <w:t>27126</w:t>
            </w:r>
          </w:p>
        </w:tc>
        <w:tc>
          <w:tcPr>
            <w:tcW w:w="1088" w:type="pct"/>
            <w:vAlign w:val="center"/>
          </w:tcPr>
          <w:p w14:paraId="69BEE769">
            <w:pPr>
              <w:pStyle w:val="13"/>
              <w:jc w:val="center"/>
              <w:rPr>
                <w:rFonts w:hint="eastAsia"/>
              </w:rPr>
            </w:pPr>
            <w:r>
              <w:rPr>
                <w:rFonts w:hint="eastAsia"/>
              </w:rPr>
              <w:t>18851</w:t>
            </w:r>
          </w:p>
        </w:tc>
      </w:tr>
      <w:tr w14:paraId="524EB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4" w:type="pct"/>
            <w:vAlign w:val="center"/>
          </w:tcPr>
          <w:p w14:paraId="291801B2">
            <w:pPr>
              <w:pStyle w:val="13"/>
              <w:ind w:firstLine="420" w:firstLineChars="200"/>
              <w:jc w:val="left"/>
              <w:rPr>
                <w:rFonts w:hint="eastAsia"/>
              </w:rPr>
            </w:pPr>
            <w:r>
              <w:rPr>
                <w:rFonts w:hint="eastAsia"/>
              </w:rPr>
              <w:t>3、第三产业</w:t>
            </w:r>
          </w:p>
        </w:tc>
        <w:tc>
          <w:tcPr>
            <w:tcW w:w="1089" w:type="pct"/>
            <w:vAlign w:val="center"/>
          </w:tcPr>
          <w:p w14:paraId="04EA938F">
            <w:pPr>
              <w:pStyle w:val="13"/>
              <w:jc w:val="center"/>
              <w:rPr>
                <w:rFonts w:hint="eastAsia"/>
              </w:rPr>
            </w:pPr>
            <w:r>
              <w:rPr>
                <w:rFonts w:hint="eastAsia"/>
              </w:rPr>
              <w:t>万元</w:t>
            </w:r>
          </w:p>
        </w:tc>
        <w:tc>
          <w:tcPr>
            <w:tcW w:w="1089" w:type="pct"/>
            <w:vAlign w:val="center"/>
          </w:tcPr>
          <w:p w14:paraId="6FACB92B">
            <w:pPr>
              <w:pStyle w:val="13"/>
              <w:jc w:val="center"/>
              <w:rPr>
                <w:rFonts w:hint="eastAsia"/>
              </w:rPr>
            </w:pPr>
            <w:r>
              <w:rPr>
                <w:rFonts w:hint="eastAsia"/>
              </w:rPr>
              <w:t>6920</w:t>
            </w:r>
          </w:p>
        </w:tc>
        <w:tc>
          <w:tcPr>
            <w:tcW w:w="1088" w:type="pct"/>
            <w:vAlign w:val="center"/>
          </w:tcPr>
          <w:p w14:paraId="6F6627C1">
            <w:pPr>
              <w:pStyle w:val="13"/>
              <w:jc w:val="center"/>
              <w:rPr>
                <w:rFonts w:hint="eastAsia"/>
              </w:rPr>
            </w:pPr>
            <w:r>
              <w:rPr>
                <w:rFonts w:hint="eastAsia"/>
              </w:rPr>
              <w:t>12155</w:t>
            </w:r>
          </w:p>
        </w:tc>
      </w:tr>
    </w:tbl>
    <w:p w14:paraId="67356AD3">
      <w:pPr>
        <w:pStyle w:val="4"/>
        <w:rPr>
          <w:rFonts w:hint="eastAsia"/>
        </w:rPr>
      </w:pPr>
      <w:r>
        <w:t>表</w:t>
      </w:r>
      <w:r>
        <w:rPr>
          <w:rFonts w:hint="eastAsia"/>
        </w:rPr>
        <w:t>34-32  固定资产投资总额及构成情况（三）</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71"/>
        <w:gridCol w:w="2030"/>
        <w:gridCol w:w="2030"/>
        <w:gridCol w:w="2031"/>
      </w:tblGrid>
      <w:tr w14:paraId="0DCBE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66F99413">
            <w:pPr>
              <w:ind w:firstLine="0" w:firstLineChars="0"/>
              <w:jc w:val="center"/>
              <w:rPr>
                <w:rFonts w:hint="eastAsia"/>
                <w:b/>
              </w:rPr>
            </w:pPr>
            <w:r>
              <w:rPr>
                <w:rFonts w:hint="eastAsia"/>
                <w:b/>
              </w:rPr>
              <w:t>指标名称</w:t>
            </w:r>
          </w:p>
        </w:tc>
        <w:tc>
          <w:tcPr>
            <w:tcW w:w="1019" w:type="pct"/>
            <w:vAlign w:val="center"/>
          </w:tcPr>
          <w:p w14:paraId="1AD76F5D">
            <w:pPr>
              <w:ind w:firstLine="0" w:firstLineChars="0"/>
              <w:jc w:val="center"/>
              <w:rPr>
                <w:rFonts w:hint="eastAsia"/>
                <w:b/>
              </w:rPr>
            </w:pPr>
            <w:r>
              <w:rPr>
                <w:rFonts w:hint="eastAsia"/>
                <w:b/>
              </w:rPr>
              <w:t>单位</w:t>
            </w:r>
          </w:p>
        </w:tc>
        <w:tc>
          <w:tcPr>
            <w:tcW w:w="1019" w:type="pct"/>
            <w:vAlign w:val="center"/>
          </w:tcPr>
          <w:p w14:paraId="734A872B">
            <w:pPr>
              <w:ind w:firstLine="0" w:firstLineChars="0"/>
              <w:jc w:val="center"/>
              <w:rPr>
                <w:rFonts w:hint="eastAsia"/>
                <w:b/>
              </w:rPr>
            </w:pPr>
            <w:r>
              <w:rPr>
                <w:rFonts w:hint="eastAsia"/>
                <w:b/>
              </w:rPr>
              <w:t>2010年</w:t>
            </w:r>
          </w:p>
        </w:tc>
        <w:tc>
          <w:tcPr>
            <w:tcW w:w="1019" w:type="pct"/>
            <w:vAlign w:val="center"/>
          </w:tcPr>
          <w:p w14:paraId="31972FD5">
            <w:pPr>
              <w:ind w:firstLine="0" w:firstLineChars="0"/>
              <w:jc w:val="center"/>
              <w:rPr>
                <w:rFonts w:hint="eastAsia"/>
                <w:b/>
              </w:rPr>
            </w:pPr>
            <w:r>
              <w:rPr>
                <w:rFonts w:hint="eastAsia"/>
                <w:b/>
              </w:rPr>
              <w:t>2009年</w:t>
            </w:r>
          </w:p>
        </w:tc>
      </w:tr>
      <w:tr w14:paraId="55B599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73918319">
            <w:pPr>
              <w:ind w:firstLine="0" w:firstLineChars="0"/>
              <w:jc w:val="left"/>
              <w:rPr>
                <w:rFonts w:hint="eastAsia"/>
              </w:rPr>
            </w:pPr>
            <w:r>
              <w:rPr>
                <w:rFonts w:hint="eastAsia"/>
              </w:rPr>
              <w:t>合计</w:t>
            </w:r>
          </w:p>
        </w:tc>
        <w:tc>
          <w:tcPr>
            <w:tcW w:w="1019" w:type="pct"/>
            <w:vAlign w:val="center"/>
          </w:tcPr>
          <w:p w14:paraId="10C8603E">
            <w:pPr>
              <w:ind w:firstLine="0" w:firstLineChars="0"/>
              <w:jc w:val="center"/>
              <w:rPr>
                <w:rFonts w:hint="eastAsia"/>
              </w:rPr>
            </w:pPr>
            <w:r>
              <w:rPr>
                <w:rFonts w:hint="eastAsia"/>
              </w:rPr>
              <w:t>万元</w:t>
            </w:r>
          </w:p>
        </w:tc>
        <w:tc>
          <w:tcPr>
            <w:tcW w:w="1019" w:type="pct"/>
            <w:vAlign w:val="center"/>
          </w:tcPr>
          <w:p w14:paraId="186C8996">
            <w:pPr>
              <w:ind w:firstLine="0" w:firstLineChars="0"/>
              <w:jc w:val="center"/>
              <w:rPr>
                <w:rFonts w:hint="eastAsia"/>
              </w:rPr>
            </w:pPr>
            <w:r>
              <w:rPr>
                <w:rFonts w:hint="eastAsia"/>
              </w:rPr>
              <w:t>580336</w:t>
            </w:r>
          </w:p>
        </w:tc>
        <w:tc>
          <w:tcPr>
            <w:tcW w:w="1019" w:type="pct"/>
            <w:vAlign w:val="center"/>
          </w:tcPr>
          <w:p w14:paraId="7980D03F">
            <w:pPr>
              <w:ind w:firstLine="0" w:firstLineChars="0"/>
              <w:jc w:val="center"/>
              <w:rPr>
                <w:rFonts w:hint="eastAsia"/>
              </w:rPr>
            </w:pPr>
            <w:r>
              <w:rPr>
                <w:rFonts w:hint="eastAsia"/>
              </w:rPr>
              <w:t>429685</w:t>
            </w:r>
          </w:p>
        </w:tc>
      </w:tr>
      <w:tr w14:paraId="51006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1521898D">
            <w:pPr>
              <w:ind w:firstLine="0" w:firstLineChars="0"/>
              <w:jc w:val="left"/>
              <w:rPr>
                <w:rFonts w:hint="eastAsia"/>
              </w:rPr>
            </w:pPr>
            <w:r>
              <w:rPr>
                <w:rFonts w:hint="eastAsia"/>
              </w:rPr>
              <w:t>1、城镇投资完成额</w:t>
            </w:r>
          </w:p>
        </w:tc>
        <w:tc>
          <w:tcPr>
            <w:tcW w:w="1019" w:type="pct"/>
            <w:vAlign w:val="center"/>
          </w:tcPr>
          <w:p w14:paraId="3F88D905">
            <w:pPr>
              <w:ind w:firstLine="0" w:firstLineChars="0"/>
              <w:jc w:val="center"/>
              <w:rPr>
                <w:rFonts w:hint="eastAsia"/>
              </w:rPr>
            </w:pPr>
            <w:r>
              <w:rPr>
                <w:rFonts w:hint="eastAsia"/>
              </w:rPr>
              <w:t>万元</w:t>
            </w:r>
          </w:p>
        </w:tc>
        <w:tc>
          <w:tcPr>
            <w:tcW w:w="1019" w:type="pct"/>
            <w:vAlign w:val="center"/>
          </w:tcPr>
          <w:p w14:paraId="6CD3D962">
            <w:pPr>
              <w:ind w:firstLine="0" w:firstLineChars="0"/>
              <w:jc w:val="center"/>
              <w:rPr>
                <w:rFonts w:hint="eastAsia"/>
              </w:rPr>
            </w:pPr>
            <w:r>
              <w:rPr>
                <w:rFonts w:hint="eastAsia"/>
              </w:rPr>
              <w:t>520281</w:t>
            </w:r>
          </w:p>
        </w:tc>
        <w:tc>
          <w:tcPr>
            <w:tcW w:w="1019" w:type="pct"/>
            <w:vAlign w:val="center"/>
          </w:tcPr>
          <w:p w14:paraId="4C8BEF09">
            <w:pPr>
              <w:ind w:firstLine="0" w:firstLineChars="0"/>
              <w:jc w:val="center"/>
              <w:rPr>
                <w:rFonts w:hint="eastAsia"/>
              </w:rPr>
            </w:pPr>
            <w:r>
              <w:rPr>
                <w:rFonts w:hint="eastAsia"/>
              </w:rPr>
              <w:t>371729</w:t>
            </w:r>
          </w:p>
        </w:tc>
      </w:tr>
      <w:tr w14:paraId="124F84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69F948A1">
            <w:pPr>
              <w:ind w:firstLine="0" w:firstLineChars="0"/>
              <w:jc w:val="left"/>
              <w:rPr>
                <w:rFonts w:hint="eastAsia"/>
              </w:rPr>
            </w:pPr>
            <w:r>
              <w:rPr>
                <w:rFonts w:hint="eastAsia"/>
              </w:rPr>
              <w:t>其中：固定资产投资项目</w:t>
            </w:r>
          </w:p>
        </w:tc>
        <w:tc>
          <w:tcPr>
            <w:tcW w:w="1019" w:type="pct"/>
            <w:vAlign w:val="center"/>
          </w:tcPr>
          <w:p w14:paraId="657C5238">
            <w:pPr>
              <w:ind w:firstLine="0" w:firstLineChars="0"/>
              <w:jc w:val="center"/>
              <w:rPr>
                <w:rFonts w:hint="eastAsia"/>
              </w:rPr>
            </w:pPr>
            <w:r>
              <w:rPr>
                <w:rFonts w:hint="eastAsia"/>
              </w:rPr>
              <w:t>万元</w:t>
            </w:r>
          </w:p>
        </w:tc>
        <w:tc>
          <w:tcPr>
            <w:tcW w:w="1019" w:type="pct"/>
            <w:vAlign w:val="center"/>
          </w:tcPr>
          <w:p w14:paraId="0A03BC07">
            <w:pPr>
              <w:ind w:firstLine="0" w:firstLineChars="0"/>
              <w:jc w:val="center"/>
              <w:rPr>
                <w:rFonts w:hint="eastAsia"/>
              </w:rPr>
            </w:pPr>
            <w:r>
              <w:rPr>
                <w:rFonts w:hint="eastAsia"/>
              </w:rPr>
              <w:t>450068</w:t>
            </w:r>
          </w:p>
        </w:tc>
        <w:tc>
          <w:tcPr>
            <w:tcW w:w="1019" w:type="pct"/>
            <w:vAlign w:val="center"/>
          </w:tcPr>
          <w:p w14:paraId="3B7A46AF">
            <w:pPr>
              <w:ind w:firstLine="0" w:firstLineChars="0"/>
              <w:jc w:val="center"/>
              <w:rPr>
                <w:rFonts w:hint="eastAsia"/>
              </w:rPr>
            </w:pPr>
            <w:r>
              <w:rPr>
                <w:rFonts w:hint="eastAsia"/>
              </w:rPr>
              <w:t>242938</w:t>
            </w:r>
          </w:p>
        </w:tc>
      </w:tr>
      <w:tr w14:paraId="2DC88E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79B6B0BA">
            <w:pPr>
              <w:ind w:firstLine="630" w:firstLineChars="300"/>
              <w:jc w:val="left"/>
              <w:rPr>
                <w:rFonts w:hint="eastAsia"/>
              </w:rPr>
            </w:pPr>
            <w:r>
              <w:rPr>
                <w:rFonts w:hint="eastAsia"/>
              </w:rPr>
              <w:t>房地产开发</w:t>
            </w:r>
          </w:p>
        </w:tc>
        <w:tc>
          <w:tcPr>
            <w:tcW w:w="1019" w:type="pct"/>
            <w:vAlign w:val="center"/>
          </w:tcPr>
          <w:p w14:paraId="6044440B">
            <w:pPr>
              <w:ind w:firstLine="0" w:firstLineChars="0"/>
              <w:jc w:val="center"/>
              <w:rPr>
                <w:rFonts w:hint="eastAsia"/>
              </w:rPr>
            </w:pPr>
            <w:r>
              <w:rPr>
                <w:rFonts w:hint="eastAsia"/>
              </w:rPr>
              <w:t>万元</w:t>
            </w:r>
          </w:p>
        </w:tc>
        <w:tc>
          <w:tcPr>
            <w:tcW w:w="1019" w:type="pct"/>
            <w:vAlign w:val="center"/>
          </w:tcPr>
          <w:p w14:paraId="1ACAA17B">
            <w:pPr>
              <w:ind w:firstLine="0" w:firstLineChars="0"/>
              <w:jc w:val="center"/>
              <w:rPr>
                <w:rFonts w:hint="eastAsia"/>
              </w:rPr>
            </w:pPr>
            <w:r>
              <w:rPr>
                <w:rFonts w:hint="eastAsia"/>
              </w:rPr>
              <w:t>33155</w:t>
            </w:r>
          </w:p>
        </w:tc>
        <w:tc>
          <w:tcPr>
            <w:tcW w:w="1019" w:type="pct"/>
            <w:vAlign w:val="center"/>
          </w:tcPr>
          <w:p w14:paraId="16AA7D5B">
            <w:pPr>
              <w:ind w:firstLine="0" w:firstLineChars="0"/>
              <w:jc w:val="center"/>
              <w:rPr>
                <w:rFonts w:hint="eastAsia"/>
              </w:rPr>
            </w:pPr>
            <w:r>
              <w:rPr>
                <w:rFonts w:hint="eastAsia"/>
              </w:rPr>
              <w:t>28565</w:t>
            </w:r>
          </w:p>
        </w:tc>
      </w:tr>
      <w:tr w14:paraId="24F27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752264FF">
            <w:pPr>
              <w:ind w:firstLine="630" w:firstLineChars="300"/>
              <w:jc w:val="left"/>
              <w:rPr>
                <w:rFonts w:hint="eastAsia"/>
              </w:rPr>
            </w:pPr>
            <w:r>
              <w:rPr>
                <w:rFonts w:hint="eastAsia"/>
              </w:rPr>
              <w:t>韶赣高速</w:t>
            </w:r>
          </w:p>
        </w:tc>
        <w:tc>
          <w:tcPr>
            <w:tcW w:w="1019" w:type="pct"/>
            <w:vAlign w:val="center"/>
          </w:tcPr>
          <w:p w14:paraId="76CB67DF">
            <w:pPr>
              <w:ind w:firstLine="0" w:firstLineChars="0"/>
              <w:jc w:val="center"/>
              <w:rPr>
                <w:rFonts w:hint="eastAsia"/>
              </w:rPr>
            </w:pPr>
            <w:r>
              <w:rPr>
                <w:rFonts w:hint="eastAsia"/>
              </w:rPr>
              <w:t>万元</w:t>
            </w:r>
          </w:p>
        </w:tc>
        <w:tc>
          <w:tcPr>
            <w:tcW w:w="1019" w:type="pct"/>
            <w:vAlign w:val="center"/>
          </w:tcPr>
          <w:p w14:paraId="3B141B14">
            <w:pPr>
              <w:ind w:firstLine="0" w:firstLineChars="0"/>
              <w:jc w:val="center"/>
              <w:rPr>
                <w:rFonts w:hint="eastAsia"/>
              </w:rPr>
            </w:pPr>
            <w:r>
              <w:rPr>
                <w:rFonts w:hint="eastAsia"/>
              </w:rPr>
              <w:t>52744</w:t>
            </w:r>
          </w:p>
        </w:tc>
        <w:tc>
          <w:tcPr>
            <w:tcW w:w="1019" w:type="pct"/>
            <w:vAlign w:val="center"/>
          </w:tcPr>
          <w:p w14:paraId="51A2E9F8">
            <w:pPr>
              <w:ind w:firstLine="0" w:firstLineChars="0"/>
              <w:jc w:val="center"/>
              <w:rPr>
                <w:rFonts w:hint="eastAsia"/>
              </w:rPr>
            </w:pPr>
            <w:r>
              <w:rPr>
                <w:rFonts w:hint="eastAsia"/>
              </w:rPr>
              <w:t>79514</w:t>
            </w:r>
          </w:p>
        </w:tc>
      </w:tr>
      <w:tr w14:paraId="5FDC0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1F15721B">
            <w:pPr>
              <w:ind w:firstLine="630" w:firstLineChars="300"/>
              <w:jc w:val="left"/>
              <w:rPr>
                <w:rFonts w:hint="eastAsia"/>
              </w:rPr>
            </w:pPr>
            <w:r>
              <w:rPr>
                <w:rFonts w:hint="eastAsia"/>
              </w:rPr>
              <w:t>韶赣铁路</w:t>
            </w:r>
          </w:p>
        </w:tc>
        <w:tc>
          <w:tcPr>
            <w:tcW w:w="1019" w:type="pct"/>
            <w:vAlign w:val="center"/>
          </w:tcPr>
          <w:p w14:paraId="345CD4A7">
            <w:pPr>
              <w:ind w:firstLine="0" w:firstLineChars="0"/>
              <w:jc w:val="center"/>
              <w:rPr>
                <w:rFonts w:hint="eastAsia"/>
              </w:rPr>
            </w:pPr>
            <w:r>
              <w:rPr>
                <w:rFonts w:hint="eastAsia"/>
              </w:rPr>
              <w:t>万元</w:t>
            </w:r>
          </w:p>
        </w:tc>
        <w:tc>
          <w:tcPr>
            <w:tcW w:w="1019" w:type="pct"/>
            <w:vAlign w:val="center"/>
          </w:tcPr>
          <w:p w14:paraId="24930E6F">
            <w:pPr>
              <w:ind w:firstLine="0" w:firstLineChars="0"/>
              <w:jc w:val="center"/>
              <w:rPr>
                <w:rFonts w:hint="eastAsia"/>
              </w:rPr>
            </w:pPr>
            <w:r>
              <w:rPr>
                <w:rFonts w:hint="eastAsia"/>
              </w:rPr>
              <w:t>44369</w:t>
            </w:r>
          </w:p>
        </w:tc>
        <w:tc>
          <w:tcPr>
            <w:tcW w:w="1019" w:type="pct"/>
            <w:vAlign w:val="center"/>
          </w:tcPr>
          <w:p w14:paraId="2ED79735">
            <w:pPr>
              <w:ind w:firstLine="0" w:firstLineChars="0"/>
              <w:jc w:val="center"/>
              <w:rPr>
                <w:rFonts w:hint="eastAsia"/>
              </w:rPr>
            </w:pPr>
            <w:r>
              <w:rPr>
                <w:rFonts w:hint="eastAsia"/>
              </w:rPr>
              <w:t>20712</w:t>
            </w:r>
          </w:p>
        </w:tc>
      </w:tr>
      <w:tr w14:paraId="3504A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7D33191C">
            <w:pPr>
              <w:ind w:firstLine="0" w:firstLineChars="0"/>
              <w:jc w:val="left"/>
              <w:rPr>
                <w:rFonts w:hint="eastAsia"/>
              </w:rPr>
            </w:pPr>
            <w:r>
              <w:rPr>
                <w:rFonts w:hint="eastAsia"/>
              </w:rPr>
              <w:t>2、农村投资</w:t>
            </w:r>
          </w:p>
        </w:tc>
        <w:tc>
          <w:tcPr>
            <w:tcW w:w="1019" w:type="pct"/>
            <w:vAlign w:val="center"/>
          </w:tcPr>
          <w:p w14:paraId="2F13AD51">
            <w:pPr>
              <w:ind w:firstLine="0" w:firstLineChars="0"/>
              <w:jc w:val="center"/>
              <w:rPr>
                <w:rFonts w:hint="eastAsia"/>
              </w:rPr>
            </w:pPr>
            <w:r>
              <w:rPr>
                <w:rFonts w:hint="eastAsia"/>
              </w:rPr>
              <w:t>万元</w:t>
            </w:r>
          </w:p>
        </w:tc>
        <w:tc>
          <w:tcPr>
            <w:tcW w:w="1019" w:type="pct"/>
            <w:vAlign w:val="center"/>
          </w:tcPr>
          <w:p w14:paraId="50F4E283">
            <w:pPr>
              <w:ind w:firstLine="0" w:firstLineChars="0"/>
              <w:jc w:val="center"/>
              <w:rPr>
                <w:rFonts w:hint="eastAsia"/>
              </w:rPr>
            </w:pPr>
            <w:r>
              <w:rPr>
                <w:rFonts w:hint="eastAsia"/>
              </w:rPr>
              <w:t>60055</w:t>
            </w:r>
          </w:p>
        </w:tc>
        <w:tc>
          <w:tcPr>
            <w:tcW w:w="1019" w:type="pct"/>
            <w:vAlign w:val="center"/>
          </w:tcPr>
          <w:p w14:paraId="609E5496">
            <w:pPr>
              <w:ind w:firstLine="0" w:firstLineChars="0"/>
              <w:jc w:val="center"/>
              <w:rPr>
                <w:rFonts w:hint="eastAsia"/>
              </w:rPr>
            </w:pPr>
            <w:r>
              <w:rPr>
                <w:rFonts w:hint="eastAsia"/>
              </w:rPr>
              <w:t>57956</w:t>
            </w:r>
          </w:p>
        </w:tc>
      </w:tr>
      <w:tr w14:paraId="4EFB4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140362B1">
            <w:pPr>
              <w:ind w:firstLine="0" w:firstLineChars="0"/>
              <w:jc w:val="left"/>
              <w:rPr>
                <w:rFonts w:hint="eastAsia"/>
              </w:rPr>
            </w:pPr>
            <w:r>
              <w:rPr>
                <w:rFonts w:hint="eastAsia"/>
              </w:rPr>
              <w:t>登记注册类型分</w:t>
            </w:r>
          </w:p>
        </w:tc>
        <w:tc>
          <w:tcPr>
            <w:tcW w:w="1019" w:type="pct"/>
            <w:vAlign w:val="center"/>
          </w:tcPr>
          <w:p w14:paraId="09999D81">
            <w:pPr>
              <w:ind w:firstLine="0" w:firstLineChars="0"/>
              <w:jc w:val="center"/>
              <w:rPr>
                <w:rFonts w:hint="eastAsia"/>
              </w:rPr>
            </w:pPr>
            <w:r>
              <w:rPr>
                <w:rFonts w:hint="eastAsia"/>
              </w:rPr>
              <w:t>——</w:t>
            </w:r>
          </w:p>
        </w:tc>
        <w:tc>
          <w:tcPr>
            <w:tcW w:w="1019" w:type="pct"/>
            <w:vAlign w:val="center"/>
          </w:tcPr>
          <w:p w14:paraId="61FB7248">
            <w:pPr>
              <w:ind w:firstLine="0" w:firstLineChars="0"/>
              <w:jc w:val="center"/>
              <w:rPr>
                <w:rFonts w:hint="eastAsia"/>
              </w:rPr>
            </w:pPr>
            <w:r>
              <w:rPr>
                <w:rFonts w:hint="eastAsia"/>
              </w:rPr>
              <w:t>——</w:t>
            </w:r>
          </w:p>
        </w:tc>
        <w:tc>
          <w:tcPr>
            <w:tcW w:w="1019" w:type="pct"/>
            <w:vAlign w:val="center"/>
          </w:tcPr>
          <w:p w14:paraId="07B9038C">
            <w:pPr>
              <w:ind w:firstLine="0" w:firstLineChars="0"/>
              <w:jc w:val="center"/>
              <w:rPr>
                <w:rFonts w:hint="eastAsia"/>
              </w:rPr>
            </w:pPr>
          </w:p>
        </w:tc>
      </w:tr>
      <w:tr w14:paraId="0E9CE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5558C214">
            <w:pPr>
              <w:ind w:firstLine="0" w:firstLineChars="0"/>
              <w:jc w:val="left"/>
              <w:rPr>
                <w:rFonts w:hint="eastAsia"/>
              </w:rPr>
            </w:pPr>
            <w:r>
              <w:rPr>
                <w:rFonts w:hint="eastAsia"/>
              </w:rPr>
              <w:t>国有及国有控股经济</w:t>
            </w:r>
          </w:p>
        </w:tc>
        <w:tc>
          <w:tcPr>
            <w:tcW w:w="1019" w:type="pct"/>
            <w:vAlign w:val="center"/>
          </w:tcPr>
          <w:p w14:paraId="41736DE6">
            <w:pPr>
              <w:ind w:firstLine="0" w:firstLineChars="0"/>
              <w:jc w:val="center"/>
              <w:rPr>
                <w:rFonts w:hint="eastAsia"/>
              </w:rPr>
            </w:pPr>
            <w:r>
              <w:rPr>
                <w:rFonts w:hint="eastAsia"/>
              </w:rPr>
              <w:t>万元</w:t>
            </w:r>
          </w:p>
        </w:tc>
        <w:tc>
          <w:tcPr>
            <w:tcW w:w="1019" w:type="pct"/>
            <w:vAlign w:val="center"/>
          </w:tcPr>
          <w:p w14:paraId="0246CC77">
            <w:pPr>
              <w:ind w:firstLine="0" w:firstLineChars="0"/>
              <w:jc w:val="center"/>
              <w:rPr>
                <w:rFonts w:hint="eastAsia"/>
              </w:rPr>
            </w:pPr>
            <w:r>
              <w:rPr>
                <w:rFonts w:hint="eastAsia"/>
              </w:rPr>
              <w:t>279028</w:t>
            </w:r>
          </w:p>
        </w:tc>
        <w:tc>
          <w:tcPr>
            <w:tcW w:w="1019" w:type="pct"/>
            <w:vAlign w:val="center"/>
          </w:tcPr>
          <w:p w14:paraId="03FC8DE8">
            <w:pPr>
              <w:ind w:firstLine="0" w:firstLineChars="0"/>
              <w:jc w:val="center"/>
              <w:rPr>
                <w:rFonts w:hint="eastAsia"/>
              </w:rPr>
            </w:pPr>
            <w:r>
              <w:rPr>
                <w:rFonts w:hint="eastAsia"/>
              </w:rPr>
              <w:t>198562</w:t>
            </w:r>
          </w:p>
        </w:tc>
      </w:tr>
      <w:tr w14:paraId="362BB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1D2CC4B7">
            <w:pPr>
              <w:ind w:firstLine="0" w:firstLineChars="0"/>
              <w:jc w:val="left"/>
              <w:rPr>
                <w:rFonts w:hint="eastAsia"/>
              </w:rPr>
            </w:pPr>
            <w:r>
              <w:rPr>
                <w:rFonts w:hint="eastAsia"/>
              </w:rPr>
              <w:t>民营经济</w:t>
            </w:r>
          </w:p>
        </w:tc>
        <w:tc>
          <w:tcPr>
            <w:tcW w:w="1019" w:type="pct"/>
            <w:vAlign w:val="center"/>
          </w:tcPr>
          <w:p w14:paraId="5763701B">
            <w:pPr>
              <w:ind w:firstLine="0" w:firstLineChars="0"/>
              <w:jc w:val="center"/>
              <w:rPr>
                <w:rFonts w:hint="eastAsia"/>
              </w:rPr>
            </w:pPr>
            <w:r>
              <w:rPr>
                <w:rFonts w:hint="eastAsia"/>
              </w:rPr>
              <w:t>万元</w:t>
            </w:r>
          </w:p>
        </w:tc>
        <w:tc>
          <w:tcPr>
            <w:tcW w:w="1019" w:type="pct"/>
            <w:vAlign w:val="center"/>
          </w:tcPr>
          <w:p w14:paraId="31014489">
            <w:pPr>
              <w:ind w:firstLine="0" w:firstLineChars="0"/>
              <w:jc w:val="center"/>
              <w:rPr>
                <w:rFonts w:hint="eastAsia"/>
              </w:rPr>
            </w:pPr>
            <w:r>
              <w:rPr>
                <w:rFonts w:hint="eastAsia"/>
              </w:rPr>
              <w:t>301308</w:t>
            </w:r>
          </w:p>
        </w:tc>
        <w:tc>
          <w:tcPr>
            <w:tcW w:w="1019" w:type="pct"/>
            <w:vAlign w:val="center"/>
          </w:tcPr>
          <w:p w14:paraId="31AC8776">
            <w:pPr>
              <w:ind w:firstLine="0" w:firstLineChars="0"/>
              <w:jc w:val="center"/>
              <w:rPr>
                <w:rFonts w:hint="eastAsia"/>
              </w:rPr>
            </w:pPr>
            <w:r>
              <w:rPr>
                <w:rFonts w:hint="eastAsia"/>
              </w:rPr>
              <w:t>230124</w:t>
            </w:r>
          </w:p>
        </w:tc>
      </w:tr>
      <w:tr w14:paraId="46126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62304DB4">
            <w:pPr>
              <w:ind w:firstLine="0" w:firstLineChars="0"/>
              <w:jc w:val="left"/>
              <w:rPr>
                <w:rFonts w:hint="eastAsia"/>
              </w:rPr>
            </w:pPr>
            <w:r>
              <w:rPr>
                <w:rFonts w:hint="eastAsia"/>
              </w:rPr>
              <w:t>外商及港澳台经济</w:t>
            </w:r>
          </w:p>
        </w:tc>
        <w:tc>
          <w:tcPr>
            <w:tcW w:w="1019" w:type="pct"/>
            <w:vAlign w:val="center"/>
          </w:tcPr>
          <w:p w14:paraId="5DF56516">
            <w:pPr>
              <w:ind w:firstLine="0" w:firstLineChars="0"/>
              <w:jc w:val="center"/>
              <w:rPr>
                <w:rFonts w:hint="eastAsia"/>
              </w:rPr>
            </w:pPr>
            <w:r>
              <w:rPr>
                <w:rFonts w:hint="eastAsia"/>
              </w:rPr>
              <w:t>万元</w:t>
            </w:r>
          </w:p>
        </w:tc>
        <w:tc>
          <w:tcPr>
            <w:tcW w:w="1019" w:type="pct"/>
            <w:vAlign w:val="center"/>
          </w:tcPr>
          <w:p w14:paraId="33908C4E">
            <w:pPr>
              <w:ind w:firstLine="0" w:firstLineChars="0"/>
              <w:jc w:val="center"/>
              <w:rPr>
                <w:rFonts w:hint="eastAsia"/>
              </w:rPr>
            </w:pPr>
            <w:r>
              <w:rPr>
                <w:rFonts w:hint="eastAsia"/>
              </w:rPr>
              <w:t>999</w:t>
            </w:r>
          </w:p>
        </w:tc>
        <w:tc>
          <w:tcPr>
            <w:tcW w:w="1019" w:type="pct"/>
            <w:vAlign w:val="center"/>
          </w:tcPr>
          <w:p w14:paraId="3C9C4CEB">
            <w:pPr>
              <w:ind w:firstLine="0" w:firstLineChars="0"/>
              <w:jc w:val="center"/>
              <w:rPr>
                <w:rFonts w:hint="eastAsia"/>
              </w:rPr>
            </w:pPr>
          </w:p>
        </w:tc>
      </w:tr>
      <w:tr w14:paraId="0941A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16ED069B">
            <w:pPr>
              <w:ind w:firstLine="0" w:firstLineChars="0"/>
              <w:jc w:val="left"/>
              <w:rPr>
                <w:rFonts w:hint="eastAsia"/>
              </w:rPr>
            </w:pPr>
            <w:r>
              <w:rPr>
                <w:rFonts w:hint="eastAsia"/>
              </w:rPr>
              <w:t>2010年韶关市政府重点项目</w:t>
            </w:r>
          </w:p>
        </w:tc>
        <w:tc>
          <w:tcPr>
            <w:tcW w:w="1019" w:type="pct"/>
            <w:vAlign w:val="center"/>
          </w:tcPr>
          <w:p w14:paraId="75B90D80">
            <w:pPr>
              <w:ind w:firstLine="0" w:firstLineChars="0"/>
              <w:jc w:val="center"/>
              <w:rPr>
                <w:rFonts w:hint="eastAsia"/>
              </w:rPr>
            </w:pPr>
            <w:r>
              <w:rPr>
                <w:rFonts w:hint="eastAsia"/>
              </w:rPr>
              <w:t>万元</w:t>
            </w:r>
          </w:p>
        </w:tc>
        <w:tc>
          <w:tcPr>
            <w:tcW w:w="1019" w:type="pct"/>
            <w:vAlign w:val="center"/>
          </w:tcPr>
          <w:p w14:paraId="23E41516">
            <w:pPr>
              <w:ind w:firstLine="0" w:firstLineChars="0"/>
              <w:jc w:val="center"/>
              <w:rPr>
                <w:rFonts w:hint="eastAsia"/>
              </w:rPr>
            </w:pPr>
            <w:r>
              <w:rPr>
                <w:rFonts w:hint="eastAsia"/>
              </w:rPr>
              <w:t>62172</w:t>
            </w:r>
          </w:p>
        </w:tc>
        <w:tc>
          <w:tcPr>
            <w:tcW w:w="1019" w:type="pct"/>
            <w:vAlign w:val="center"/>
          </w:tcPr>
          <w:p w14:paraId="7F29918E">
            <w:pPr>
              <w:ind w:firstLine="0" w:firstLineChars="0"/>
              <w:jc w:val="center"/>
              <w:rPr>
                <w:rFonts w:hint="eastAsia"/>
              </w:rPr>
            </w:pPr>
            <w:r>
              <w:rPr>
                <w:rFonts w:hint="eastAsia"/>
              </w:rPr>
              <w:t>57136</w:t>
            </w:r>
          </w:p>
        </w:tc>
      </w:tr>
      <w:tr w14:paraId="6CABE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6BC7641D">
            <w:pPr>
              <w:ind w:firstLine="0" w:firstLineChars="0"/>
              <w:jc w:val="left"/>
              <w:rPr>
                <w:rFonts w:hint="eastAsia"/>
              </w:rPr>
            </w:pPr>
            <w:r>
              <w:rPr>
                <w:rFonts w:hint="eastAsia"/>
              </w:rPr>
              <w:t>东莞大岭山（南雄）产业转移园</w:t>
            </w:r>
          </w:p>
        </w:tc>
        <w:tc>
          <w:tcPr>
            <w:tcW w:w="1019" w:type="pct"/>
            <w:vAlign w:val="center"/>
          </w:tcPr>
          <w:p w14:paraId="1D451F55">
            <w:pPr>
              <w:ind w:firstLine="0" w:firstLineChars="0"/>
              <w:jc w:val="center"/>
              <w:rPr>
                <w:rFonts w:hint="eastAsia"/>
              </w:rPr>
            </w:pPr>
            <w:r>
              <w:rPr>
                <w:rFonts w:hint="eastAsia"/>
              </w:rPr>
              <w:t>万元</w:t>
            </w:r>
          </w:p>
        </w:tc>
        <w:tc>
          <w:tcPr>
            <w:tcW w:w="1019" w:type="pct"/>
            <w:vAlign w:val="center"/>
          </w:tcPr>
          <w:p w14:paraId="1F12E7E6">
            <w:pPr>
              <w:ind w:firstLine="0" w:firstLineChars="0"/>
              <w:jc w:val="center"/>
              <w:rPr>
                <w:rFonts w:hint="eastAsia"/>
              </w:rPr>
            </w:pPr>
            <w:r>
              <w:rPr>
                <w:rFonts w:hint="eastAsia"/>
              </w:rPr>
              <w:t>220859</w:t>
            </w:r>
          </w:p>
        </w:tc>
        <w:tc>
          <w:tcPr>
            <w:tcW w:w="1019" w:type="pct"/>
            <w:vAlign w:val="center"/>
          </w:tcPr>
          <w:p w14:paraId="265F25AE">
            <w:pPr>
              <w:ind w:firstLine="0" w:firstLineChars="0"/>
              <w:jc w:val="center"/>
              <w:rPr>
                <w:rFonts w:hint="eastAsia"/>
              </w:rPr>
            </w:pPr>
            <w:r>
              <w:rPr>
                <w:rFonts w:hint="eastAsia"/>
              </w:rPr>
              <w:t>114363</w:t>
            </w:r>
          </w:p>
        </w:tc>
      </w:tr>
      <w:tr w14:paraId="443C8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2D84D3BA">
            <w:pPr>
              <w:ind w:firstLine="0" w:firstLineChars="0"/>
              <w:jc w:val="left"/>
              <w:rPr>
                <w:rFonts w:hint="eastAsia"/>
              </w:rPr>
            </w:pPr>
            <w:r>
              <w:rPr>
                <w:rFonts w:hint="eastAsia"/>
              </w:rPr>
              <w:t>其中：工业投资完成额</w:t>
            </w:r>
          </w:p>
        </w:tc>
        <w:tc>
          <w:tcPr>
            <w:tcW w:w="1019" w:type="pct"/>
            <w:vAlign w:val="center"/>
          </w:tcPr>
          <w:p w14:paraId="11E3E7EE">
            <w:pPr>
              <w:ind w:firstLine="0" w:firstLineChars="0"/>
              <w:jc w:val="center"/>
              <w:rPr>
                <w:rFonts w:hint="eastAsia"/>
              </w:rPr>
            </w:pPr>
            <w:r>
              <w:rPr>
                <w:rFonts w:hint="eastAsia"/>
              </w:rPr>
              <w:t>万元</w:t>
            </w:r>
          </w:p>
        </w:tc>
        <w:tc>
          <w:tcPr>
            <w:tcW w:w="1019" w:type="pct"/>
            <w:vAlign w:val="center"/>
          </w:tcPr>
          <w:p w14:paraId="125FD2A7">
            <w:pPr>
              <w:ind w:firstLine="0" w:firstLineChars="0"/>
              <w:jc w:val="center"/>
              <w:rPr>
                <w:rFonts w:hint="eastAsia"/>
              </w:rPr>
            </w:pPr>
            <w:r>
              <w:rPr>
                <w:rFonts w:hint="eastAsia"/>
              </w:rPr>
              <w:t>162120</w:t>
            </w:r>
          </w:p>
        </w:tc>
        <w:tc>
          <w:tcPr>
            <w:tcW w:w="1019" w:type="pct"/>
            <w:vAlign w:val="center"/>
          </w:tcPr>
          <w:p w14:paraId="2D53F544">
            <w:pPr>
              <w:ind w:firstLine="0" w:firstLineChars="0"/>
              <w:jc w:val="center"/>
              <w:rPr>
                <w:rFonts w:hint="eastAsia"/>
              </w:rPr>
            </w:pPr>
            <w:r>
              <w:rPr>
                <w:rFonts w:hint="eastAsia"/>
              </w:rPr>
              <w:t>68419</w:t>
            </w:r>
          </w:p>
        </w:tc>
      </w:tr>
      <w:tr w14:paraId="1258C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48C88DA0">
            <w:pPr>
              <w:ind w:firstLine="630" w:firstLineChars="300"/>
              <w:jc w:val="left"/>
              <w:rPr>
                <w:rFonts w:hint="eastAsia"/>
              </w:rPr>
            </w:pPr>
            <w:r>
              <w:rPr>
                <w:rFonts w:hint="eastAsia"/>
              </w:rPr>
              <w:t>基础设施完成额</w:t>
            </w:r>
          </w:p>
        </w:tc>
        <w:tc>
          <w:tcPr>
            <w:tcW w:w="1019" w:type="pct"/>
            <w:vAlign w:val="center"/>
          </w:tcPr>
          <w:p w14:paraId="26A0D39A">
            <w:pPr>
              <w:ind w:firstLine="0" w:firstLineChars="0"/>
              <w:jc w:val="center"/>
              <w:rPr>
                <w:rFonts w:hint="eastAsia"/>
              </w:rPr>
            </w:pPr>
            <w:r>
              <w:rPr>
                <w:rFonts w:hint="eastAsia"/>
              </w:rPr>
              <w:t>万元</w:t>
            </w:r>
          </w:p>
        </w:tc>
        <w:tc>
          <w:tcPr>
            <w:tcW w:w="1019" w:type="pct"/>
            <w:vAlign w:val="center"/>
          </w:tcPr>
          <w:p w14:paraId="168A562C">
            <w:pPr>
              <w:ind w:firstLine="0" w:firstLineChars="0"/>
              <w:jc w:val="center"/>
              <w:rPr>
                <w:rFonts w:hint="eastAsia"/>
              </w:rPr>
            </w:pPr>
            <w:r>
              <w:rPr>
                <w:rFonts w:hint="eastAsia"/>
              </w:rPr>
              <w:t>58739</w:t>
            </w:r>
          </w:p>
        </w:tc>
        <w:tc>
          <w:tcPr>
            <w:tcW w:w="1019" w:type="pct"/>
            <w:vAlign w:val="center"/>
          </w:tcPr>
          <w:p w14:paraId="0EFD349D">
            <w:pPr>
              <w:ind w:firstLine="0" w:firstLineChars="0"/>
              <w:jc w:val="center"/>
            </w:pPr>
            <w:r>
              <w:rPr>
                <w:rFonts w:hint="eastAsia"/>
              </w:rPr>
              <w:t>45944</w:t>
            </w:r>
          </w:p>
        </w:tc>
      </w:tr>
    </w:tbl>
    <w:p w14:paraId="137A205C">
      <w:pPr>
        <w:pStyle w:val="4"/>
        <w:rPr>
          <w:rFonts w:hint="eastAsia"/>
        </w:rPr>
      </w:pPr>
      <w:r>
        <w:rPr>
          <w:rFonts w:hint="eastAsia"/>
        </w:rPr>
        <w:t>表34-33  放电动车投资、施工、竣工情况</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71"/>
        <w:gridCol w:w="2030"/>
        <w:gridCol w:w="2030"/>
        <w:gridCol w:w="2031"/>
      </w:tblGrid>
      <w:tr w14:paraId="2267D2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2640AF98">
            <w:pPr>
              <w:pStyle w:val="13"/>
              <w:jc w:val="center"/>
              <w:rPr>
                <w:rFonts w:hint="eastAsia"/>
                <w:b/>
              </w:rPr>
            </w:pPr>
            <w:r>
              <w:rPr>
                <w:rFonts w:hint="eastAsia"/>
                <w:b/>
              </w:rPr>
              <w:t>指标名称</w:t>
            </w:r>
          </w:p>
        </w:tc>
        <w:tc>
          <w:tcPr>
            <w:tcW w:w="1019" w:type="pct"/>
            <w:vAlign w:val="center"/>
          </w:tcPr>
          <w:p w14:paraId="1FAF566B">
            <w:pPr>
              <w:pStyle w:val="13"/>
              <w:jc w:val="center"/>
              <w:rPr>
                <w:rFonts w:hint="eastAsia"/>
                <w:b/>
              </w:rPr>
            </w:pPr>
            <w:r>
              <w:rPr>
                <w:rFonts w:hint="eastAsia"/>
                <w:b/>
              </w:rPr>
              <w:t>单位</w:t>
            </w:r>
          </w:p>
        </w:tc>
        <w:tc>
          <w:tcPr>
            <w:tcW w:w="1019" w:type="pct"/>
            <w:vAlign w:val="center"/>
          </w:tcPr>
          <w:p w14:paraId="4ACF1EE6">
            <w:pPr>
              <w:pStyle w:val="13"/>
              <w:jc w:val="center"/>
              <w:rPr>
                <w:rFonts w:hint="eastAsia"/>
                <w:b/>
              </w:rPr>
            </w:pPr>
            <w:r>
              <w:rPr>
                <w:rFonts w:hint="eastAsia"/>
                <w:b/>
              </w:rPr>
              <w:t>2010年</w:t>
            </w:r>
          </w:p>
        </w:tc>
        <w:tc>
          <w:tcPr>
            <w:tcW w:w="1019" w:type="pct"/>
            <w:vAlign w:val="center"/>
          </w:tcPr>
          <w:p w14:paraId="431F59CB">
            <w:pPr>
              <w:pStyle w:val="13"/>
              <w:jc w:val="center"/>
              <w:rPr>
                <w:rFonts w:hint="eastAsia"/>
                <w:b/>
              </w:rPr>
            </w:pPr>
            <w:r>
              <w:rPr>
                <w:rFonts w:hint="eastAsia"/>
                <w:b/>
              </w:rPr>
              <w:t>2009年</w:t>
            </w:r>
          </w:p>
        </w:tc>
      </w:tr>
      <w:tr w14:paraId="494F0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4B55AC74">
            <w:pPr>
              <w:pStyle w:val="13"/>
              <w:jc w:val="left"/>
              <w:rPr>
                <w:rFonts w:hint="eastAsia"/>
              </w:rPr>
            </w:pPr>
            <w:r>
              <w:rPr>
                <w:rFonts w:hint="eastAsia"/>
              </w:rPr>
              <w:t>房地产投资</w:t>
            </w:r>
          </w:p>
        </w:tc>
        <w:tc>
          <w:tcPr>
            <w:tcW w:w="1019" w:type="pct"/>
            <w:vAlign w:val="center"/>
          </w:tcPr>
          <w:p w14:paraId="553AA7F0">
            <w:pPr>
              <w:pStyle w:val="13"/>
              <w:jc w:val="center"/>
              <w:rPr>
                <w:rFonts w:hint="eastAsia"/>
              </w:rPr>
            </w:pPr>
            <w:r>
              <w:rPr>
                <w:rFonts w:hint="eastAsia"/>
              </w:rPr>
              <w:t>万元</w:t>
            </w:r>
          </w:p>
        </w:tc>
        <w:tc>
          <w:tcPr>
            <w:tcW w:w="1019" w:type="pct"/>
            <w:vAlign w:val="center"/>
          </w:tcPr>
          <w:p w14:paraId="0D6D5105">
            <w:pPr>
              <w:pStyle w:val="13"/>
              <w:jc w:val="center"/>
              <w:rPr>
                <w:rFonts w:hint="eastAsia"/>
              </w:rPr>
            </w:pPr>
            <w:r>
              <w:rPr>
                <w:rFonts w:hint="eastAsia"/>
              </w:rPr>
              <w:t>33155</w:t>
            </w:r>
          </w:p>
        </w:tc>
        <w:tc>
          <w:tcPr>
            <w:tcW w:w="1019" w:type="pct"/>
            <w:vAlign w:val="center"/>
          </w:tcPr>
          <w:p w14:paraId="72F5DEC5">
            <w:pPr>
              <w:pStyle w:val="13"/>
              <w:jc w:val="center"/>
              <w:rPr>
                <w:rFonts w:hint="eastAsia"/>
              </w:rPr>
            </w:pPr>
            <w:r>
              <w:rPr>
                <w:rFonts w:hint="eastAsia"/>
              </w:rPr>
              <w:t>28565</w:t>
            </w:r>
          </w:p>
        </w:tc>
      </w:tr>
      <w:tr w14:paraId="2F063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755BA6A2">
            <w:pPr>
              <w:pStyle w:val="13"/>
              <w:ind w:firstLine="210" w:firstLineChars="100"/>
              <w:jc w:val="left"/>
              <w:rPr>
                <w:rFonts w:hint="eastAsia"/>
              </w:rPr>
            </w:pPr>
            <w:r>
              <w:rPr>
                <w:rFonts w:hint="eastAsia"/>
              </w:rPr>
              <w:t>房屋施工面积</w:t>
            </w:r>
          </w:p>
        </w:tc>
        <w:tc>
          <w:tcPr>
            <w:tcW w:w="1019" w:type="pct"/>
            <w:vAlign w:val="center"/>
          </w:tcPr>
          <w:p w14:paraId="215EC56E">
            <w:pPr>
              <w:pStyle w:val="13"/>
              <w:jc w:val="center"/>
              <w:rPr>
                <w:rFonts w:hint="eastAsia"/>
              </w:rPr>
            </w:pPr>
            <w:r>
              <w:rPr>
                <w:rFonts w:hint="eastAsia"/>
              </w:rPr>
              <w:t>平方米</w:t>
            </w:r>
          </w:p>
        </w:tc>
        <w:tc>
          <w:tcPr>
            <w:tcW w:w="1019" w:type="pct"/>
            <w:vAlign w:val="center"/>
          </w:tcPr>
          <w:p w14:paraId="4A360547">
            <w:pPr>
              <w:pStyle w:val="13"/>
              <w:jc w:val="center"/>
              <w:rPr>
                <w:rFonts w:hint="eastAsia"/>
              </w:rPr>
            </w:pPr>
            <w:r>
              <w:rPr>
                <w:rFonts w:hint="eastAsia"/>
              </w:rPr>
              <w:t>48.09</w:t>
            </w:r>
          </w:p>
        </w:tc>
        <w:tc>
          <w:tcPr>
            <w:tcW w:w="1019" w:type="pct"/>
            <w:vAlign w:val="center"/>
          </w:tcPr>
          <w:p w14:paraId="328092C8">
            <w:pPr>
              <w:pStyle w:val="13"/>
              <w:jc w:val="center"/>
              <w:rPr>
                <w:rFonts w:hint="eastAsia"/>
              </w:rPr>
            </w:pPr>
            <w:r>
              <w:rPr>
                <w:rFonts w:hint="eastAsia"/>
              </w:rPr>
              <w:t>42.9</w:t>
            </w:r>
          </w:p>
        </w:tc>
      </w:tr>
      <w:tr w14:paraId="15461B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380D2FA2">
            <w:pPr>
              <w:pStyle w:val="13"/>
              <w:ind w:firstLine="420" w:firstLineChars="200"/>
              <w:jc w:val="left"/>
              <w:rPr>
                <w:rFonts w:hint="eastAsia"/>
              </w:rPr>
            </w:pPr>
            <w:r>
              <w:rPr>
                <w:rFonts w:hint="eastAsia"/>
              </w:rPr>
              <w:t>其中：新开工面积</w:t>
            </w:r>
          </w:p>
        </w:tc>
        <w:tc>
          <w:tcPr>
            <w:tcW w:w="1019" w:type="pct"/>
            <w:vAlign w:val="center"/>
          </w:tcPr>
          <w:p w14:paraId="4C2681CA">
            <w:pPr>
              <w:pStyle w:val="13"/>
              <w:jc w:val="center"/>
              <w:rPr>
                <w:rFonts w:hint="eastAsia"/>
              </w:rPr>
            </w:pPr>
            <w:r>
              <w:rPr>
                <w:rFonts w:hint="eastAsia"/>
              </w:rPr>
              <w:t>平方米</w:t>
            </w:r>
          </w:p>
        </w:tc>
        <w:tc>
          <w:tcPr>
            <w:tcW w:w="1019" w:type="pct"/>
            <w:vAlign w:val="center"/>
          </w:tcPr>
          <w:p w14:paraId="4376F096">
            <w:pPr>
              <w:pStyle w:val="13"/>
              <w:jc w:val="center"/>
              <w:rPr>
                <w:rFonts w:hint="eastAsia"/>
              </w:rPr>
            </w:pPr>
            <w:r>
              <w:rPr>
                <w:rFonts w:hint="eastAsia"/>
              </w:rPr>
              <w:t>31.36</w:t>
            </w:r>
          </w:p>
        </w:tc>
        <w:tc>
          <w:tcPr>
            <w:tcW w:w="1019" w:type="pct"/>
            <w:vAlign w:val="center"/>
          </w:tcPr>
          <w:p w14:paraId="007D4693">
            <w:pPr>
              <w:pStyle w:val="13"/>
              <w:jc w:val="center"/>
              <w:rPr>
                <w:rFonts w:hint="eastAsia"/>
              </w:rPr>
            </w:pPr>
            <w:r>
              <w:rPr>
                <w:rFonts w:hint="eastAsia"/>
              </w:rPr>
              <w:t>26.79</w:t>
            </w:r>
          </w:p>
        </w:tc>
      </w:tr>
      <w:tr w14:paraId="1FFAC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582814F3">
            <w:pPr>
              <w:pStyle w:val="13"/>
              <w:ind w:firstLine="210" w:firstLineChars="100"/>
              <w:jc w:val="left"/>
              <w:rPr>
                <w:rFonts w:hint="eastAsia"/>
              </w:rPr>
            </w:pPr>
            <w:r>
              <w:rPr>
                <w:rFonts w:hint="eastAsia"/>
              </w:rPr>
              <w:t>房屋竣工面积</w:t>
            </w:r>
          </w:p>
        </w:tc>
        <w:tc>
          <w:tcPr>
            <w:tcW w:w="1019" w:type="pct"/>
            <w:vAlign w:val="center"/>
          </w:tcPr>
          <w:p w14:paraId="46C919A5">
            <w:pPr>
              <w:pStyle w:val="13"/>
              <w:jc w:val="center"/>
              <w:rPr>
                <w:rFonts w:hint="eastAsia"/>
              </w:rPr>
            </w:pPr>
            <w:r>
              <w:rPr>
                <w:rFonts w:hint="eastAsia"/>
              </w:rPr>
              <w:t>平方米</w:t>
            </w:r>
          </w:p>
        </w:tc>
        <w:tc>
          <w:tcPr>
            <w:tcW w:w="1019" w:type="pct"/>
            <w:vAlign w:val="center"/>
          </w:tcPr>
          <w:p w14:paraId="1B938FBF">
            <w:pPr>
              <w:pStyle w:val="13"/>
              <w:jc w:val="center"/>
              <w:rPr>
                <w:rFonts w:hint="eastAsia"/>
              </w:rPr>
            </w:pPr>
            <w:r>
              <w:rPr>
                <w:rFonts w:hint="eastAsia"/>
              </w:rPr>
              <w:t>23.19</w:t>
            </w:r>
          </w:p>
        </w:tc>
        <w:tc>
          <w:tcPr>
            <w:tcW w:w="1019" w:type="pct"/>
            <w:vAlign w:val="center"/>
          </w:tcPr>
          <w:p w14:paraId="0323DA76">
            <w:pPr>
              <w:pStyle w:val="13"/>
              <w:jc w:val="center"/>
              <w:rPr>
                <w:rFonts w:hint="eastAsia"/>
              </w:rPr>
            </w:pPr>
            <w:r>
              <w:rPr>
                <w:rFonts w:hint="eastAsia"/>
              </w:rPr>
              <w:t>12.45</w:t>
            </w:r>
          </w:p>
        </w:tc>
      </w:tr>
      <w:tr w14:paraId="0E59F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38FF500C">
            <w:pPr>
              <w:pStyle w:val="13"/>
              <w:ind w:firstLine="210" w:firstLineChars="100"/>
              <w:jc w:val="left"/>
              <w:rPr>
                <w:rFonts w:hint="eastAsia"/>
              </w:rPr>
            </w:pPr>
            <w:r>
              <w:rPr>
                <w:rFonts w:hint="eastAsia"/>
              </w:rPr>
              <w:t>商品房销售面积</w:t>
            </w:r>
          </w:p>
        </w:tc>
        <w:tc>
          <w:tcPr>
            <w:tcW w:w="1019" w:type="pct"/>
            <w:vAlign w:val="center"/>
          </w:tcPr>
          <w:p w14:paraId="0C1D0F22">
            <w:pPr>
              <w:pStyle w:val="13"/>
              <w:jc w:val="center"/>
              <w:rPr>
                <w:rFonts w:hint="eastAsia"/>
              </w:rPr>
            </w:pPr>
            <w:r>
              <w:rPr>
                <w:rFonts w:hint="eastAsia"/>
              </w:rPr>
              <w:t>平方米</w:t>
            </w:r>
          </w:p>
        </w:tc>
        <w:tc>
          <w:tcPr>
            <w:tcW w:w="1019" w:type="pct"/>
            <w:vAlign w:val="center"/>
          </w:tcPr>
          <w:p w14:paraId="7C6642F0">
            <w:pPr>
              <w:pStyle w:val="13"/>
              <w:jc w:val="center"/>
              <w:rPr>
                <w:rFonts w:hint="eastAsia"/>
              </w:rPr>
            </w:pPr>
            <w:r>
              <w:rPr>
                <w:rFonts w:hint="eastAsia"/>
              </w:rPr>
              <w:t>27.36</w:t>
            </w:r>
          </w:p>
        </w:tc>
        <w:tc>
          <w:tcPr>
            <w:tcW w:w="1019" w:type="pct"/>
            <w:vAlign w:val="center"/>
          </w:tcPr>
          <w:p w14:paraId="7425F33C">
            <w:pPr>
              <w:pStyle w:val="13"/>
              <w:jc w:val="center"/>
              <w:rPr>
                <w:rFonts w:hint="eastAsia"/>
              </w:rPr>
            </w:pPr>
            <w:r>
              <w:rPr>
                <w:rFonts w:hint="eastAsia"/>
              </w:rPr>
              <w:t>22.7</w:t>
            </w:r>
          </w:p>
        </w:tc>
      </w:tr>
      <w:tr w14:paraId="2B428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3F779DF7">
            <w:pPr>
              <w:pStyle w:val="13"/>
              <w:ind w:firstLine="420" w:firstLineChars="200"/>
              <w:jc w:val="left"/>
              <w:rPr>
                <w:rFonts w:hint="eastAsia"/>
              </w:rPr>
            </w:pPr>
            <w:r>
              <w:rPr>
                <w:rFonts w:hint="eastAsia"/>
              </w:rPr>
              <w:t>其中：住宅面积</w:t>
            </w:r>
          </w:p>
        </w:tc>
        <w:tc>
          <w:tcPr>
            <w:tcW w:w="1019" w:type="pct"/>
            <w:vAlign w:val="center"/>
          </w:tcPr>
          <w:p w14:paraId="2115A8D0">
            <w:pPr>
              <w:pStyle w:val="13"/>
              <w:jc w:val="center"/>
              <w:rPr>
                <w:rFonts w:hint="eastAsia"/>
              </w:rPr>
            </w:pPr>
            <w:r>
              <w:rPr>
                <w:rFonts w:hint="eastAsia"/>
              </w:rPr>
              <w:t>平方米</w:t>
            </w:r>
          </w:p>
        </w:tc>
        <w:tc>
          <w:tcPr>
            <w:tcW w:w="1019" w:type="pct"/>
            <w:vAlign w:val="center"/>
          </w:tcPr>
          <w:p w14:paraId="72318007">
            <w:pPr>
              <w:pStyle w:val="13"/>
              <w:jc w:val="center"/>
              <w:rPr>
                <w:rFonts w:hint="eastAsia"/>
              </w:rPr>
            </w:pPr>
            <w:r>
              <w:rPr>
                <w:rFonts w:hint="eastAsia"/>
              </w:rPr>
              <w:t>25.31</w:t>
            </w:r>
          </w:p>
        </w:tc>
        <w:tc>
          <w:tcPr>
            <w:tcW w:w="1019" w:type="pct"/>
            <w:vAlign w:val="center"/>
          </w:tcPr>
          <w:p w14:paraId="0988F3B5">
            <w:pPr>
              <w:pStyle w:val="13"/>
              <w:jc w:val="center"/>
              <w:rPr>
                <w:rFonts w:hint="eastAsia"/>
              </w:rPr>
            </w:pPr>
            <w:r>
              <w:rPr>
                <w:rFonts w:hint="eastAsia"/>
              </w:rPr>
              <w:t>20.03</w:t>
            </w:r>
          </w:p>
        </w:tc>
      </w:tr>
      <w:tr w14:paraId="55CFDD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322C4F1D">
            <w:pPr>
              <w:pStyle w:val="13"/>
              <w:jc w:val="left"/>
              <w:rPr>
                <w:rFonts w:hint="eastAsia"/>
              </w:rPr>
            </w:pPr>
            <w:r>
              <w:rPr>
                <w:rFonts w:hint="eastAsia"/>
              </w:rPr>
              <w:t>商品房空置面积</w:t>
            </w:r>
          </w:p>
        </w:tc>
        <w:tc>
          <w:tcPr>
            <w:tcW w:w="1019" w:type="pct"/>
            <w:vAlign w:val="center"/>
          </w:tcPr>
          <w:p w14:paraId="16EDE212">
            <w:pPr>
              <w:pStyle w:val="13"/>
              <w:jc w:val="center"/>
              <w:rPr>
                <w:rFonts w:hint="eastAsia"/>
              </w:rPr>
            </w:pPr>
            <w:r>
              <w:rPr>
                <w:rFonts w:hint="eastAsia"/>
              </w:rPr>
              <w:t>平方米</w:t>
            </w:r>
          </w:p>
        </w:tc>
        <w:tc>
          <w:tcPr>
            <w:tcW w:w="1019" w:type="pct"/>
            <w:vAlign w:val="center"/>
          </w:tcPr>
          <w:p w14:paraId="57DDBA70">
            <w:pPr>
              <w:pStyle w:val="13"/>
              <w:jc w:val="center"/>
              <w:rPr>
                <w:rFonts w:hint="eastAsia"/>
              </w:rPr>
            </w:pPr>
            <w:r>
              <w:rPr>
                <w:rFonts w:hint="eastAsia"/>
              </w:rPr>
              <w:t>0.1</w:t>
            </w:r>
          </w:p>
        </w:tc>
        <w:tc>
          <w:tcPr>
            <w:tcW w:w="1019" w:type="pct"/>
            <w:vAlign w:val="center"/>
          </w:tcPr>
          <w:p w14:paraId="4E2E2022">
            <w:pPr>
              <w:pStyle w:val="13"/>
              <w:jc w:val="center"/>
              <w:rPr>
                <w:rFonts w:hint="eastAsia"/>
              </w:rPr>
            </w:pPr>
            <w:r>
              <w:rPr>
                <w:rFonts w:hint="eastAsia"/>
              </w:rPr>
              <w:t>1.3</w:t>
            </w:r>
          </w:p>
        </w:tc>
      </w:tr>
    </w:tbl>
    <w:p w14:paraId="589FAFC2">
      <w:pPr>
        <w:pStyle w:val="4"/>
        <w:rPr>
          <w:rFonts w:hint="eastAsia"/>
        </w:rPr>
      </w:pPr>
      <w:r>
        <w:rPr>
          <w:rFonts w:hint="eastAsia"/>
        </w:rPr>
        <w:t>表34-34  社会从业人员情况</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88"/>
        <w:gridCol w:w="2837"/>
        <w:gridCol w:w="2837"/>
      </w:tblGrid>
      <w:tr w14:paraId="3EFD6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5C884712">
            <w:pPr>
              <w:pStyle w:val="13"/>
              <w:jc w:val="center"/>
              <w:rPr>
                <w:rFonts w:hint="eastAsia"/>
                <w:b/>
              </w:rPr>
            </w:pPr>
            <w:r>
              <w:rPr>
                <w:rFonts w:hint="eastAsia"/>
                <w:b/>
              </w:rPr>
              <w:t>指标名称</w:t>
            </w:r>
          </w:p>
        </w:tc>
        <w:tc>
          <w:tcPr>
            <w:tcW w:w="1424" w:type="pct"/>
            <w:vAlign w:val="center"/>
          </w:tcPr>
          <w:p w14:paraId="4F9DD56E">
            <w:pPr>
              <w:pStyle w:val="13"/>
              <w:jc w:val="center"/>
              <w:rPr>
                <w:rFonts w:hint="eastAsia"/>
                <w:b/>
              </w:rPr>
            </w:pPr>
            <w:r>
              <w:rPr>
                <w:rFonts w:hint="eastAsia"/>
                <w:b/>
              </w:rPr>
              <w:t>从业人员期末人数（人）</w:t>
            </w:r>
          </w:p>
        </w:tc>
        <w:tc>
          <w:tcPr>
            <w:tcW w:w="1424" w:type="pct"/>
            <w:vAlign w:val="center"/>
          </w:tcPr>
          <w:p w14:paraId="24F4752C">
            <w:pPr>
              <w:pStyle w:val="13"/>
              <w:jc w:val="center"/>
              <w:rPr>
                <w:rFonts w:hint="eastAsia"/>
                <w:b/>
              </w:rPr>
            </w:pPr>
            <w:r>
              <w:rPr>
                <w:rFonts w:hint="eastAsia"/>
                <w:b/>
              </w:rPr>
              <w:t>从业人员劳动报酬（千元）</w:t>
            </w:r>
          </w:p>
        </w:tc>
      </w:tr>
      <w:tr w14:paraId="4D672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2B5A2932">
            <w:pPr>
              <w:pStyle w:val="13"/>
              <w:jc w:val="left"/>
              <w:rPr>
                <w:rFonts w:hint="eastAsia"/>
              </w:rPr>
            </w:pPr>
            <w:r>
              <w:rPr>
                <w:rFonts w:hint="eastAsia"/>
              </w:rPr>
              <w:t>总计</w:t>
            </w:r>
          </w:p>
        </w:tc>
        <w:tc>
          <w:tcPr>
            <w:tcW w:w="1424" w:type="pct"/>
            <w:vAlign w:val="center"/>
          </w:tcPr>
          <w:p w14:paraId="113F583D">
            <w:pPr>
              <w:pStyle w:val="13"/>
              <w:jc w:val="center"/>
              <w:rPr>
                <w:rFonts w:hint="eastAsia"/>
              </w:rPr>
            </w:pPr>
            <w:r>
              <w:rPr>
                <w:rFonts w:hint="eastAsia"/>
              </w:rPr>
              <w:t>178818</w:t>
            </w:r>
          </w:p>
        </w:tc>
        <w:tc>
          <w:tcPr>
            <w:tcW w:w="1424" w:type="pct"/>
            <w:vAlign w:val="center"/>
          </w:tcPr>
          <w:p w14:paraId="68CB0905">
            <w:pPr>
              <w:pStyle w:val="13"/>
              <w:jc w:val="center"/>
              <w:rPr>
                <w:rFonts w:hint="eastAsia"/>
              </w:rPr>
            </w:pPr>
            <w:r>
              <w:rPr>
                <w:rFonts w:hint="eastAsia"/>
              </w:rPr>
              <w:t>1698002</w:t>
            </w:r>
          </w:p>
        </w:tc>
      </w:tr>
      <w:tr w14:paraId="62225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432C5966">
            <w:pPr>
              <w:pStyle w:val="13"/>
              <w:jc w:val="left"/>
              <w:rPr>
                <w:rFonts w:hint="eastAsia"/>
              </w:rPr>
            </w:pPr>
            <w:r>
              <w:rPr>
                <w:rFonts w:hint="eastAsia"/>
              </w:rPr>
              <w:t>1、农、林、牧、渔业</w:t>
            </w:r>
          </w:p>
        </w:tc>
        <w:tc>
          <w:tcPr>
            <w:tcW w:w="1424" w:type="pct"/>
            <w:vAlign w:val="center"/>
          </w:tcPr>
          <w:p w14:paraId="621275F5">
            <w:pPr>
              <w:pStyle w:val="13"/>
              <w:jc w:val="center"/>
              <w:rPr>
                <w:rFonts w:hint="eastAsia"/>
              </w:rPr>
            </w:pPr>
            <w:r>
              <w:rPr>
                <w:rFonts w:hint="eastAsia"/>
              </w:rPr>
              <w:t>99138</w:t>
            </w:r>
          </w:p>
        </w:tc>
        <w:tc>
          <w:tcPr>
            <w:tcW w:w="1424" w:type="pct"/>
            <w:vAlign w:val="center"/>
          </w:tcPr>
          <w:p w14:paraId="5A354EFE">
            <w:pPr>
              <w:pStyle w:val="13"/>
              <w:jc w:val="center"/>
              <w:rPr>
                <w:rFonts w:hint="eastAsia"/>
              </w:rPr>
            </w:pPr>
            <w:r>
              <w:rPr>
                <w:rFonts w:hint="eastAsia"/>
              </w:rPr>
              <w:t>545684</w:t>
            </w:r>
          </w:p>
        </w:tc>
      </w:tr>
      <w:tr w14:paraId="3F576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4ACA88A8">
            <w:pPr>
              <w:pStyle w:val="13"/>
              <w:jc w:val="left"/>
              <w:rPr>
                <w:rFonts w:hint="eastAsia"/>
              </w:rPr>
            </w:pPr>
            <w:r>
              <w:rPr>
                <w:rFonts w:hint="eastAsia"/>
              </w:rPr>
              <w:t>2、采矿业</w:t>
            </w:r>
          </w:p>
        </w:tc>
        <w:tc>
          <w:tcPr>
            <w:tcW w:w="1424" w:type="pct"/>
            <w:vAlign w:val="center"/>
          </w:tcPr>
          <w:p w14:paraId="4BE4A17C">
            <w:pPr>
              <w:pStyle w:val="13"/>
              <w:jc w:val="center"/>
              <w:rPr>
                <w:rFonts w:hint="eastAsia"/>
              </w:rPr>
            </w:pPr>
            <w:r>
              <w:rPr>
                <w:rFonts w:hint="eastAsia"/>
              </w:rPr>
              <w:t>1683</w:t>
            </w:r>
          </w:p>
        </w:tc>
        <w:tc>
          <w:tcPr>
            <w:tcW w:w="1424" w:type="pct"/>
            <w:vAlign w:val="center"/>
          </w:tcPr>
          <w:p w14:paraId="3C582DFD">
            <w:pPr>
              <w:pStyle w:val="13"/>
              <w:jc w:val="center"/>
              <w:rPr>
                <w:rFonts w:hint="eastAsia"/>
              </w:rPr>
            </w:pPr>
            <w:r>
              <w:rPr>
                <w:rFonts w:hint="eastAsia"/>
              </w:rPr>
              <w:t>26042</w:t>
            </w:r>
          </w:p>
        </w:tc>
      </w:tr>
      <w:tr w14:paraId="2EA063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72EE86DB">
            <w:pPr>
              <w:pStyle w:val="13"/>
              <w:jc w:val="left"/>
              <w:rPr>
                <w:rFonts w:hint="eastAsia"/>
              </w:rPr>
            </w:pPr>
            <w:r>
              <w:rPr>
                <w:rFonts w:hint="eastAsia"/>
              </w:rPr>
              <w:t>3、制造业</w:t>
            </w:r>
          </w:p>
        </w:tc>
        <w:tc>
          <w:tcPr>
            <w:tcW w:w="1424" w:type="pct"/>
            <w:vAlign w:val="center"/>
          </w:tcPr>
          <w:p w14:paraId="5164D38E">
            <w:pPr>
              <w:pStyle w:val="13"/>
              <w:jc w:val="center"/>
              <w:rPr>
                <w:rFonts w:hint="eastAsia"/>
              </w:rPr>
            </w:pPr>
            <w:r>
              <w:rPr>
                <w:rFonts w:hint="eastAsia"/>
              </w:rPr>
              <w:t>15017</w:t>
            </w:r>
          </w:p>
        </w:tc>
        <w:tc>
          <w:tcPr>
            <w:tcW w:w="1424" w:type="pct"/>
            <w:vAlign w:val="center"/>
          </w:tcPr>
          <w:p w14:paraId="24E2AAD0">
            <w:pPr>
              <w:pStyle w:val="13"/>
              <w:jc w:val="center"/>
              <w:rPr>
                <w:rFonts w:hint="eastAsia"/>
              </w:rPr>
            </w:pPr>
            <w:r>
              <w:rPr>
                <w:rFonts w:hint="eastAsia"/>
              </w:rPr>
              <w:t>207965</w:t>
            </w:r>
          </w:p>
        </w:tc>
      </w:tr>
      <w:tr w14:paraId="20D15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355AA881">
            <w:pPr>
              <w:pStyle w:val="13"/>
              <w:jc w:val="left"/>
              <w:rPr>
                <w:rFonts w:hint="eastAsia"/>
              </w:rPr>
            </w:pPr>
            <w:r>
              <w:rPr>
                <w:rFonts w:hint="eastAsia"/>
              </w:rPr>
              <w:t>4、电力、燃气及水生产和供应业</w:t>
            </w:r>
          </w:p>
        </w:tc>
        <w:tc>
          <w:tcPr>
            <w:tcW w:w="1424" w:type="pct"/>
            <w:vAlign w:val="center"/>
          </w:tcPr>
          <w:p w14:paraId="3FDAA3B5">
            <w:pPr>
              <w:pStyle w:val="13"/>
              <w:jc w:val="center"/>
              <w:rPr>
                <w:rFonts w:hint="eastAsia"/>
              </w:rPr>
            </w:pPr>
            <w:r>
              <w:rPr>
                <w:rFonts w:hint="eastAsia"/>
              </w:rPr>
              <w:t>2370</w:t>
            </w:r>
          </w:p>
        </w:tc>
        <w:tc>
          <w:tcPr>
            <w:tcW w:w="1424" w:type="pct"/>
            <w:vAlign w:val="center"/>
          </w:tcPr>
          <w:p w14:paraId="5123480E">
            <w:pPr>
              <w:pStyle w:val="13"/>
              <w:jc w:val="center"/>
              <w:rPr>
                <w:rFonts w:hint="eastAsia"/>
              </w:rPr>
            </w:pPr>
            <w:r>
              <w:rPr>
                <w:rFonts w:hint="eastAsia"/>
              </w:rPr>
              <w:t>39197</w:t>
            </w:r>
          </w:p>
        </w:tc>
      </w:tr>
      <w:tr w14:paraId="66118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1E12CE08">
            <w:pPr>
              <w:pStyle w:val="13"/>
              <w:jc w:val="left"/>
              <w:rPr>
                <w:rFonts w:hint="eastAsia"/>
              </w:rPr>
            </w:pPr>
            <w:r>
              <w:rPr>
                <w:rFonts w:hint="eastAsia"/>
              </w:rPr>
              <w:t>5、建筑业</w:t>
            </w:r>
          </w:p>
        </w:tc>
        <w:tc>
          <w:tcPr>
            <w:tcW w:w="1424" w:type="pct"/>
            <w:vAlign w:val="center"/>
          </w:tcPr>
          <w:p w14:paraId="5C0F27C3">
            <w:pPr>
              <w:pStyle w:val="13"/>
              <w:jc w:val="center"/>
              <w:rPr>
                <w:rFonts w:hint="eastAsia"/>
              </w:rPr>
            </w:pPr>
            <w:r>
              <w:rPr>
                <w:rFonts w:hint="eastAsia"/>
              </w:rPr>
              <w:t>9768</w:t>
            </w:r>
          </w:p>
        </w:tc>
        <w:tc>
          <w:tcPr>
            <w:tcW w:w="1424" w:type="pct"/>
            <w:vAlign w:val="center"/>
          </w:tcPr>
          <w:p w14:paraId="58B5B58F">
            <w:pPr>
              <w:pStyle w:val="13"/>
              <w:jc w:val="center"/>
              <w:rPr>
                <w:rFonts w:hint="eastAsia"/>
              </w:rPr>
            </w:pPr>
            <w:r>
              <w:rPr>
                <w:rFonts w:hint="eastAsia"/>
              </w:rPr>
              <w:t>115639</w:t>
            </w:r>
          </w:p>
        </w:tc>
      </w:tr>
      <w:tr w14:paraId="2078B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040C6053">
            <w:pPr>
              <w:pStyle w:val="13"/>
              <w:jc w:val="left"/>
              <w:rPr>
                <w:rFonts w:hint="eastAsia"/>
              </w:rPr>
            </w:pPr>
            <w:r>
              <w:rPr>
                <w:rFonts w:hint="eastAsia"/>
              </w:rPr>
              <w:t>6、交通运输、仓储和邮政业</w:t>
            </w:r>
          </w:p>
        </w:tc>
        <w:tc>
          <w:tcPr>
            <w:tcW w:w="1424" w:type="pct"/>
            <w:vAlign w:val="center"/>
          </w:tcPr>
          <w:p w14:paraId="7568D90A">
            <w:pPr>
              <w:pStyle w:val="13"/>
              <w:jc w:val="center"/>
              <w:rPr>
                <w:rFonts w:hint="eastAsia"/>
              </w:rPr>
            </w:pPr>
            <w:r>
              <w:rPr>
                <w:rFonts w:hint="eastAsia"/>
              </w:rPr>
              <w:t>4931</w:t>
            </w:r>
          </w:p>
        </w:tc>
        <w:tc>
          <w:tcPr>
            <w:tcW w:w="1424" w:type="pct"/>
            <w:vAlign w:val="center"/>
          </w:tcPr>
          <w:p w14:paraId="45A6CC9C">
            <w:pPr>
              <w:pStyle w:val="13"/>
              <w:jc w:val="center"/>
              <w:rPr>
                <w:rFonts w:hint="eastAsia"/>
              </w:rPr>
            </w:pPr>
            <w:r>
              <w:rPr>
                <w:rFonts w:hint="eastAsia"/>
              </w:rPr>
              <w:t>60900</w:t>
            </w:r>
          </w:p>
        </w:tc>
      </w:tr>
      <w:tr w14:paraId="39A1D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3855C04A">
            <w:pPr>
              <w:pStyle w:val="13"/>
              <w:jc w:val="left"/>
              <w:rPr>
                <w:rFonts w:hint="eastAsia"/>
              </w:rPr>
            </w:pPr>
            <w:r>
              <w:rPr>
                <w:rFonts w:hint="eastAsia"/>
              </w:rPr>
              <w:t>7、信息传输、计算机服务和软件业</w:t>
            </w:r>
          </w:p>
        </w:tc>
        <w:tc>
          <w:tcPr>
            <w:tcW w:w="1424" w:type="pct"/>
            <w:vAlign w:val="center"/>
          </w:tcPr>
          <w:p w14:paraId="24037BEF">
            <w:pPr>
              <w:pStyle w:val="13"/>
              <w:jc w:val="center"/>
              <w:rPr>
                <w:rFonts w:hint="eastAsia"/>
              </w:rPr>
            </w:pPr>
            <w:r>
              <w:rPr>
                <w:rFonts w:hint="eastAsia"/>
              </w:rPr>
              <w:t>1360</w:t>
            </w:r>
          </w:p>
        </w:tc>
        <w:tc>
          <w:tcPr>
            <w:tcW w:w="1424" w:type="pct"/>
            <w:vAlign w:val="center"/>
          </w:tcPr>
          <w:p w14:paraId="2018486B">
            <w:pPr>
              <w:pStyle w:val="13"/>
              <w:jc w:val="center"/>
              <w:rPr>
                <w:rFonts w:hint="eastAsia"/>
              </w:rPr>
            </w:pPr>
            <w:r>
              <w:rPr>
                <w:rFonts w:hint="eastAsia"/>
              </w:rPr>
              <w:t>19459</w:t>
            </w:r>
          </w:p>
        </w:tc>
      </w:tr>
      <w:tr w14:paraId="59218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4D3541E0">
            <w:pPr>
              <w:pStyle w:val="13"/>
              <w:jc w:val="left"/>
              <w:rPr>
                <w:rFonts w:hint="eastAsia"/>
              </w:rPr>
            </w:pPr>
            <w:r>
              <w:rPr>
                <w:rFonts w:hint="eastAsia"/>
              </w:rPr>
              <w:t>8、批发和零售业</w:t>
            </w:r>
          </w:p>
        </w:tc>
        <w:tc>
          <w:tcPr>
            <w:tcW w:w="1424" w:type="pct"/>
            <w:vAlign w:val="center"/>
          </w:tcPr>
          <w:p w14:paraId="3B592199">
            <w:pPr>
              <w:pStyle w:val="13"/>
              <w:jc w:val="center"/>
              <w:rPr>
                <w:rFonts w:hint="eastAsia"/>
              </w:rPr>
            </w:pPr>
            <w:r>
              <w:rPr>
                <w:rFonts w:hint="eastAsia"/>
              </w:rPr>
              <w:t>20052</w:t>
            </w:r>
          </w:p>
        </w:tc>
        <w:tc>
          <w:tcPr>
            <w:tcW w:w="1424" w:type="pct"/>
            <w:vAlign w:val="center"/>
          </w:tcPr>
          <w:p w14:paraId="11C8E2A9">
            <w:pPr>
              <w:pStyle w:val="13"/>
              <w:jc w:val="center"/>
              <w:rPr>
                <w:rFonts w:hint="eastAsia"/>
              </w:rPr>
            </w:pPr>
            <w:r>
              <w:rPr>
                <w:rFonts w:hint="eastAsia"/>
              </w:rPr>
              <w:t>203021</w:t>
            </w:r>
          </w:p>
        </w:tc>
      </w:tr>
      <w:tr w14:paraId="60876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4FEF9DC5">
            <w:pPr>
              <w:pStyle w:val="13"/>
              <w:jc w:val="left"/>
              <w:rPr>
                <w:rFonts w:hint="eastAsia"/>
              </w:rPr>
            </w:pPr>
            <w:r>
              <w:rPr>
                <w:rFonts w:hint="eastAsia"/>
              </w:rPr>
              <w:t>9、住宿和餐饮业</w:t>
            </w:r>
          </w:p>
        </w:tc>
        <w:tc>
          <w:tcPr>
            <w:tcW w:w="1424" w:type="pct"/>
            <w:vAlign w:val="center"/>
          </w:tcPr>
          <w:p w14:paraId="016E4377">
            <w:pPr>
              <w:pStyle w:val="13"/>
              <w:jc w:val="center"/>
              <w:rPr>
                <w:rFonts w:hint="eastAsia"/>
              </w:rPr>
            </w:pPr>
            <w:r>
              <w:rPr>
                <w:rFonts w:hint="eastAsia"/>
              </w:rPr>
              <w:t>3295</w:t>
            </w:r>
          </w:p>
        </w:tc>
        <w:tc>
          <w:tcPr>
            <w:tcW w:w="1424" w:type="pct"/>
            <w:vAlign w:val="center"/>
          </w:tcPr>
          <w:p w14:paraId="71366A3E">
            <w:pPr>
              <w:pStyle w:val="13"/>
              <w:jc w:val="center"/>
              <w:rPr>
                <w:rFonts w:hint="eastAsia"/>
              </w:rPr>
            </w:pPr>
            <w:r>
              <w:rPr>
                <w:rFonts w:hint="eastAsia"/>
              </w:rPr>
              <w:t>32620</w:t>
            </w:r>
          </w:p>
        </w:tc>
      </w:tr>
      <w:tr w14:paraId="6C772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5A6045D1">
            <w:pPr>
              <w:pStyle w:val="13"/>
              <w:jc w:val="left"/>
              <w:rPr>
                <w:rFonts w:hint="eastAsia"/>
              </w:rPr>
            </w:pPr>
            <w:r>
              <w:rPr>
                <w:rFonts w:hint="eastAsia"/>
              </w:rPr>
              <w:t>10、金融业</w:t>
            </w:r>
          </w:p>
        </w:tc>
        <w:tc>
          <w:tcPr>
            <w:tcW w:w="1424" w:type="pct"/>
            <w:vAlign w:val="center"/>
          </w:tcPr>
          <w:p w14:paraId="3ACF32F9">
            <w:pPr>
              <w:pStyle w:val="13"/>
              <w:jc w:val="center"/>
              <w:rPr>
                <w:rFonts w:hint="eastAsia"/>
              </w:rPr>
            </w:pPr>
            <w:r>
              <w:rPr>
                <w:rFonts w:hint="eastAsia"/>
              </w:rPr>
              <w:t>625</w:t>
            </w:r>
          </w:p>
        </w:tc>
        <w:tc>
          <w:tcPr>
            <w:tcW w:w="1424" w:type="pct"/>
            <w:vAlign w:val="center"/>
          </w:tcPr>
          <w:p w14:paraId="4B19F877">
            <w:pPr>
              <w:pStyle w:val="13"/>
              <w:jc w:val="center"/>
              <w:rPr>
                <w:rFonts w:hint="eastAsia"/>
              </w:rPr>
            </w:pPr>
            <w:r>
              <w:rPr>
                <w:rFonts w:hint="eastAsia"/>
              </w:rPr>
              <w:t>22808</w:t>
            </w:r>
          </w:p>
        </w:tc>
      </w:tr>
      <w:tr w14:paraId="0A88F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4A3D1F3E">
            <w:pPr>
              <w:pStyle w:val="13"/>
              <w:jc w:val="left"/>
              <w:rPr>
                <w:rFonts w:hint="eastAsia"/>
              </w:rPr>
            </w:pPr>
            <w:r>
              <w:rPr>
                <w:rFonts w:hint="eastAsia"/>
              </w:rPr>
              <w:t>11、房地产</w:t>
            </w:r>
          </w:p>
        </w:tc>
        <w:tc>
          <w:tcPr>
            <w:tcW w:w="1424" w:type="pct"/>
            <w:vAlign w:val="center"/>
          </w:tcPr>
          <w:p w14:paraId="361104CE">
            <w:pPr>
              <w:pStyle w:val="13"/>
              <w:jc w:val="center"/>
              <w:rPr>
                <w:rFonts w:hint="eastAsia"/>
              </w:rPr>
            </w:pPr>
            <w:r>
              <w:rPr>
                <w:rFonts w:hint="eastAsia"/>
              </w:rPr>
              <w:t>623</w:t>
            </w:r>
          </w:p>
        </w:tc>
        <w:tc>
          <w:tcPr>
            <w:tcW w:w="1424" w:type="pct"/>
            <w:vAlign w:val="center"/>
          </w:tcPr>
          <w:p w14:paraId="3E75AD67">
            <w:pPr>
              <w:pStyle w:val="13"/>
              <w:jc w:val="center"/>
              <w:rPr>
                <w:rFonts w:hint="eastAsia"/>
              </w:rPr>
            </w:pPr>
            <w:r>
              <w:rPr>
                <w:rFonts w:hint="eastAsia"/>
              </w:rPr>
              <w:t>10402</w:t>
            </w:r>
          </w:p>
        </w:tc>
      </w:tr>
      <w:tr w14:paraId="15657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0D5664A3">
            <w:pPr>
              <w:pStyle w:val="13"/>
              <w:jc w:val="left"/>
              <w:rPr>
                <w:rFonts w:hint="eastAsia"/>
              </w:rPr>
            </w:pPr>
            <w:r>
              <w:rPr>
                <w:rFonts w:hint="eastAsia"/>
              </w:rPr>
              <w:t>12、租赁和设备服务业</w:t>
            </w:r>
          </w:p>
        </w:tc>
        <w:tc>
          <w:tcPr>
            <w:tcW w:w="1424" w:type="pct"/>
            <w:vAlign w:val="center"/>
          </w:tcPr>
          <w:p w14:paraId="50239110">
            <w:pPr>
              <w:pStyle w:val="13"/>
              <w:jc w:val="center"/>
              <w:rPr>
                <w:rFonts w:hint="eastAsia"/>
              </w:rPr>
            </w:pPr>
            <w:r>
              <w:rPr>
                <w:rFonts w:hint="eastAsia"/>
              </w:rPr>
              <w:t>1986</w:t>
            </w:r>
          </w:p>
        </w:tc>
        <w:tc>
          <w:tcPr>
            <w:tcW w:w="1424" w:type="pct"/>
            <w:vAlign w:val="center"/>
          </w:tcPr>
          <w:p w14:paraId="28F23C7B">
            <w:pPr>
              <w:pStyle w:val="13"/>
              <w:jc w:val="center"/>
              <w:rPr>
                <w:rFonts w:hint="eastAsia"/>
              </w:rPr>
            </w:pPr>
            <w:r>
              <w:rPr>
                <w:rFonts w:hint="eastAsia"/>
              </w:rPr>
              <w:t>26736</w:t>
            </w:r>
          </w:p>
        </w:tc>
      </w:tr>
      <w:tr w14:paraId="2E47A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57359FDD">
            <w:pPr>
              <w:pStyle w:val="13"/>
              <w:jc w:val="left"/>
              <w:rPr>
                <w:rFonts w:hint="eastAsia"/>
              </w:rPr>
            </w:pPr>
            <w:r>
              <w:rPr>
                <w:rFonts w:hint="eastAsia"/>
              </w:rPr>
              <w:t>13、科学研究、技术服务和地质勘探业</w:t>
            </w:r>
          </w:p>
        </w:tc>
        <w:tc>
          <w:tcPr>
            <w:tcW w:w="1424" w:type="pct"/>
            <w:vAlign w:val="center"/>
          </w:tcPr>
          <w:p w14:paraId="49CD94D4">
            <w:pPr>
              <w:pStyle w:val="13"/>
              <w:jc w:val="center"/>
              <w:rPr>
                <w:rFonts w:hint="eastAsia"/>
              </w:rPr>
            </w:pPr>
            <w:r>
              <w:rPr>
                <w:rFonts w:hint="eastAsia"/>
              </w:rPr>
              <w:t>671</w:t>
            </w:r>
          </w:p>
        </w:tc>
        <w:tc>
          <w:tcPr>
            <w:tcW w:w="1424" w:type="pct"/>
            <w:vAlign w:val="center"/>
          </w:tcPr>
          <w:p w14:paraId="4C6D8FB9">
            <w:pPr>
              <w:pStyle w:val="13"/>
              <w:jc w:val="center"/>
              <w:rPr>
                <w:rFonts w:hint="eastAsia"/>
              </w:rPr>
            </w:pPr>
            <w:r>
              <w:rPr>
                <w:rFonts w:hint="eastAsia"/>
              </w:rPr>
              <w:t>16444</w:t>
            </w:r>
          </w:p>
        </w:tc>
      </w:tr>
      <w:tr w14:paraId="20270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4D230E7B">
            <w:pPr>
              <w:pStyle w:val="13"/>
              <w:jc w:val="left"/>
              <w:rPr>
                <w:rFonts w:hint="eastAsia"/>
              </w:rPr>
            </w:pPr>
            <w:r>
              <w:rPr>
                <w:rFonts w:hint="eastAsia"/>
              </w:rPr>
              <w:t>14、水利、环境和公共设施管理</w:t>
            </w:r>
          </w:p>
        </w:tc>
        <w:tc>
          <w:tcPr>
            <w:tcW w:w="1424" w:type="pct"/>
            <w:vAlign w:val="center"/>
          </w:tcPr>
          <w:p w14:paraId="70A93598">
            <w:pPr>
              <w:pStyle w:val="13"/>
              <w:jc w:val="center"/>
              <w:rPr>
                <w:rFonts w:hint="eastAsia"/>
              </w:rPr>
            </w:pPr>
            <w:r>
              <w:rPr>
                <w:rFonts w:hint="eastAsia"/>
              </w:rPr>
              <w:t>577</w:t>
            </w:r>
          </w:p>
        </w:tc>
        <w:tc>
          <w:tcPr>
            <w:tcW w:w="1424" w:type="pct"/>
            <w:vAlign w:val="center"/>
          </w:tcPr>
          <w:p w14:paraId="4C2CC663">
            <w:pPr>
              <w:pStyle w:val="13"/>
              <w:jc w:val="center"/>
              <w:rPr>
                <w:rFonts w:hint="eastAsia"/>
              </w:rPr>
            </w:pPr>
            <w:r>
              <w:rPr>
                <w:rFonts w:hint="eastAsia"/>
              </w:rPr>
              <w:t>10475</w:t>
            </w:r>
          </w:p>
        </w:tc>
      </w:tr>
      <w:tr w14:paraId="62368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328D0A2A">
            <w:pPr>
              <w:pStyle w:val="13"/>
              <w:jc w:val="left"/>
              <w:rPr>
                <w:rFonts w:hint="eastAsia"/>
              </w:rPr>
            </w:pPr>
            <w:r>
              <w:rPr>
                <w:rFonts w:hint="eastAsia"/>
              </w:rPr>
              <w:t>15、居民服务和其他服务业</w:t>
            </w:r>
          </w:p>
        </w:tc>
        <w:tc>
          <w:tcPr>
            <w:tcW w:w="1424" w:type="pct"/>
            <w:vAlign w:val="center"/>
          </w:tcPr>
          <w:p w14:paraId="3339A302">
            <w:pPr>
              <w:pStyle w:val="13"/>
              <w:jc w:val="center"/>
              <w:rPr>
                <w:rFonts w:hint="eastAsia"/>
              </w:rPr>
            </w:pPr>
            <w:r>
              <w:rPr>
                <w:rFonts w:hint="eastAsia"/>
              </w:rPr>
              <w:t>1418</w:t>
            </w:r>
          </w:p>
        </w:tc>
        <w:tc>
          <w:tcPr>
            <w:tcW w:w="1424" w:type="pct"/>
            <w:vAlign w:val="center"/>
          </w:tcPr>
          <w:p w14:paraId="61BDB9AF">
            <w:pPr>
              <w:pStyle w:val="13"/>
              <w:jc w:val="center"/>
              <w:rPr>
                <w:rFonts w:hint="eastAsia"/>
              </w:rPr>
            </w:pPr>
            <w:r>
              <w:rPr>
                <w:rFonts w:hint="eastAsia"/>
              </w:rPr>
              <w:t>12336</w:t>
            </w:r>
          </w:p>
        </w:tc>
      </w:tr>
      <w:tr w14:paraId="6B286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7345A95D">
            <w:pPr>
              <w:pStyle w:val="13"/>
              <w:jc w:val="left"/>
              <w:rPr>
                <w:rFonts w:hint="eastAsia"/>
              </w:rPr>
            </w:pPr>
            <w:r>
              <w:rPr>
                <w:rFonts w:hint="eastAsia"/>
              </w:rPr>
              <w:t>16、教育</w:t>
            </w:r>
          </w:p>
        </w:tc>
        <w:tc>
          <w:tcPr>
            <w:tcW w:w="1424" w:type="pct"/>
            <w:vAlign w:val="center"/>
          </w:tcPr>
          <w:p w14:paraId="0AEC8063">
            <w:pPr>
              <w:pStyle w:val="13"/>
              <w:jc w:val="center"/>
              <w:rPr>
                <w:rFonts w:hint="eastAsia"/>
              </w:rPr>
            </w:pPr>
            <w:r>
              <w:rPr>
                <w:rFonts w:hint="eastAsia"/>
              </w:rPr>
              <w:t>5594</w:t>
            </w:r>
          </w:p>
        </w:tc>
        <w:tc>
          <w:tcPr>
            <w:tcW w:w="1424" w:type="pct"/>
            <w:vAlign w:val="center"/>
          </w:tcPr>
          <w:p w14:paraId="6C90BB16">
            <w:pPr>
              <w:pStyle w:val="13"/>
              <w:jc w:val="center"/>
              <w:rPr>
                <w:rFonts w:hint="eastAsia"/>
              </w:rPr>
            </w:pPr>
            <w:r>
              <w:rPr>
                <w:rFonts w:hint="eastAsia"/>
              </w:rPr>
              <w:t>161600</w:t>
            </w:r>
          </w:p>
        </w:tc>
      </w:tr>
      <w:tr w14:paraId="328B3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0A9FA524">
            <w:pPr>
              <w:pStyle w:val="13"/>
              <w:jc w:val="left"/>
              <w:rPr>
                <w:rFonts w:hint="eastAsia"/>
              </w:rPr>
            </w:pPr>
            <w:r>
              <w:rPr>
                <w:rFonts w:hint="eastAsia"/>
              </w:rPr>
              <w:t>17、卫生、社会保障和社会福利</w:t>
            </w:r>
          </w:p>
        </w:tc>
        <w:tc>
          <w:tcPr>
            <w:tcW w:w="1424" w:type="pct"/>
            <w:vAlign w:val="center"/>
          </w:tcPr>
          <w:p w14:paraId="01666D5C">
            <w:pPr>
              <w:pStyle w:val="13"/>
              <w:jc w:val="center"/>
              <w:rPr>
                <w:rFonts w:hint="eastAsia"/>
              </w:rPr>
            </w:pPr>
            <w:r>
              <w:rPr>
                <w:rFonts w:hint="eastAsia"/>
              </w:rPr>
              <w:t>1829</w:t>
            </w:r>
          </w:p>
        </w:tc>
        <w:tc>
          <w:tcPr>
            <w:tcW w:w="1424" w:type="pct"/>
            <w:vAlign w:val="center"/>
          </w:tcPr>
          <w:p w14:paraId="581F0BBA">
            <w:pPr>
              <w:pStyle w:val="13"/>
              <w:jc w:val="center"/>
              <w:rPr>
                <w:rFonts w:hint="eastAsia"/>
              </w:rPr>
            </w:pPr>
            <w:r>
              <w:rPr>
                <w:rFonts w:hint="eastAsia"/>
              </w:rPr>
              <w:t>48169</w:t>
            </w:r>
          </w:p>
        </w:tc>
      </w:tr>
      <w:tr w14:paraId="0DCFB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1E187199">
            <w:pPr>
              <w:pStyle w:val="13"/>
              <w:jc w:val="left"/>
              <w:rPr>
                <w:rFonts w:hint="eastAsia"/>
              </w:rPr>
            </w:pPr>
            <w:r>
              <w:rPr>
                <w:rFonts w:hint="eastAsia"/>
              </w:rPr>
              <w:t>18、文化、体育和娱乐业</w:t>
            </w:r>
          </w:p>
        </w:tc>
        <w:tc>
          <w:tcPr>
            <w:tcW w:w="1424" w:type="pct"/>
            <w:vAlign w:val="center"/>
          </w:tcPr>
          <w:p w14:paraId="3713C708">
            <w:pPr>
              <w:pStyle w:val="13"/>
              <w:jc w:val="center"/>
              <w:rPr>
                <w:rFonts w:hint="eastAsia"/>
              </w:rPr>
            </w:pPr>
            <w:r>
              <w:rPr>
                <w:rFonts w:hint="eastAsia"/>
              </w:rPr>
              <w:t>1496</w:t>
            </w:r>
          </w:p>
        </w:tc>
        <w:tc>
          <w:tcPr>
            <w:tcW w:w="1424" w:type="pct"/>
            <w:vAlign w:val="center"/>
          </w:tcPr>
          <w:p w14:paraId="41F995D7">
            <w:pPr>
              <w:pStyle w:val="13"/>
              <w:jc w:val="center"/>
              <w:rPr>
                <w:rFonts w:hint="eastAsia"/>
              </w:rPr>
            </w:pPr>
            <w:r>
              <w:rPr>
                <w:rFonts w:hint="eastAsia"/>
              </w:rPr>
              <w:t>18947</w:t>
            </w:r>
          </w:p>
        </w:tc>
      </w:tr>
      <w:tr w14:paraId="1535C8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2" w:type="pct"/>
            <w:vAlign w:val="center"/>
          </w:tcPr>
          <w:p w14:paraId="20467573">
            <w:pPr>
              <w:pStyle w:val="13"/>
              <w:jc w:val="left"/>
              <w:rPr>
                <w:rFonts w:hint="eastAsia"/>
              </w:rPr>
            </w:pPr>
            <w:r>
              <w:rPr>
                <w:rFonts w:hint="eastAsia"/>
              </w:rPr>
              <w:t>19、公共管理和社会组织</w:t>
            </w:r>
          </w:p>
        </w:tc>
        <w:tc>
          <w:tcPr>
            <w:tcW w:w="1424" w:type="pct"/>
            <w:vAlign w:val="center"/>
          </w:tcPr>
          <w:p w14:paraId="1852B201">
            <w:pPr>
              <w:pStyle w:val="13"/>
              <w:jc w:val="center"/>
              <w:rPr>
                <w:rFonts w:hint="eastAsia"/>
              </w:rPr>
            </w:pPr>
            <w:r>
              <w:rPr>
                <w:rFonts w:hint="eastAsia"/>
              </w:rPr>
              <w:t>6385</w:t>
            </w:r>
          </w:p>
        </w:tc>
        <w:tc>
          <w:tcPr>
            <w:tcW w:w="1424" w:type="pct"/>
            <w:vAlign w:val="center"/>
          </w:tcPr>
          <w:p w14:paraId="25FB58A0">
            <w:pPr>
              <w:pStyle w:val="13"/>
              <w:jc w:val="center"/>
              <w:rPr>
                <w:rFonts w:hint="eastAsia"/>
              </w:rPr>
            </w:pPr>
            <w:r>
              <w:rPr>
                <w:rFonts w:hint="eastAsia"/>
              </w:rPr>
              <w:t>119558</w:t>
            </w:r>
          </w:p>
        </w:tc>
      </w:tr>
    </w:tbl>
    <w:p w14:paraId="40EE3BC9">
      <w:pPr>
        <w:pStyle w:val="4"/>
        <w:rPr>
          <w:rFonts w:hint="eastAsia"/>
        </w:rPr>
      </w:pPr>
      <w:r>
        <w:t>表</w:t>
      </w:r>
      <w:r>
        <w:rPr>
          <w:rFonts w:hint="eastAsia"/>
        </w:rPr>
        <w:t>34-35  在岗职工年均人数与工资</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10"/>
        <w:gridCol w:w="1684"/>
        <w:gridCol w:w="1684"/>
        <w:gridCol w:w="1684"/>
      </w:tblGrid>
      <w:tr w14:paraId="09EAE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35770A87">
            <w:pPr>
              <w:ind w:firstLine="0" w:firstLineChars="0"/>
              <w:jc w:val="center"/>
              <w:rPr>
                <w:rFonts w:hint="eastAsia"/>
                <w:b/>
              </w:rPr>
            </w:pPr>
            <w:r>
              <w:rPr>
                <w:rFonts w:hint="eastAsia"/>
                <w:b/>
              </w:rPr>
              <w:t>指标名称</w:t>
            </w:r>
          </w:p>
        </w:tc>
        <w:tc>
          <w:tcPr>
            <w:tcW w:w="845" w:type="pct"/>
            <w:vAlign w:val="center"/>
          </w:tcPr>
          <w:p w14:paraId="4C9FC792">
            <w:pPr>
              <w:ind w:firstLine="0" w:firstLineChars="0"/>
              <w:jc w:val="center"/>
              <w:rPr>
                <w:rFonts w:hint="eastAsia"/>
                <w:b/>
              </w:rPr>
            </w:pPr>
            <w:r>
              <w:rPr>
                <w:rFonts w:hint="eastAsia"/>
                <w:b/>
              </w:rPr>
              <w:t>在岗职工平均人数（人）</w:t>
            </w:r>
          </w:p>
        </w:tc>
        <w:tc>
          <w:tcPr>
            <w:tcW w:w="845" w:type="pct"/>
            <w:vAlign w:val="center"/>
          </w:tcPr>
          <w:p w14:paraId="181D8842">
            <w:pPr>
              <w:ind w:firstLine="0" w:firstLineChars="0"/>
              <w:jc w:val="center"/>
              <w:rPr>
                <w:rFonts w:hint="eastAsia"/>
                <w:b/>
              </w:rPr>
            </w:pPr>
            <w:r>
              <w:rPr>
                <w:rFonts w:hint="eastAsia"/>
                <w:b/>
              </w:rPr>
              <w:t>在岗职工工资总额（千元）</w:t>
            </w:r>
          </w:p>
        </w:tc>
        <w:tc>
          <w:tcPr>
            <w:tcW w:w="845" w:type="pct"/>
            <w:vAlign w:val="center"/>
          </w:tcPr>
          <w:p w14:paraId="6E287CD4">
            <w:pPr>
              <w:ind w:firstLine="0" w:firstLineChars="0"/>
              <w:jc w:val="center"/>
              <w:rPr>
                <w:rFonts w:hint="eastAsia"/>
                <w:b/>
              </w:rPr>
            </w:pPr>
            <w:r>
              <w:rPr>
                <w:rFonts w:hint="eastAsia"/>
                <w:b/>
              </w:rPr>
              <w:t>年人均工资(元)</w:t>
            </w:r>
          </w:p>
        </w:tc>
      </w:tr>
      <w:tr w14:paraId="4C897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494E3A74">
            <w:pPr>
              <w:pStyle w:val="13"/>
              <w:jc w:val="left"/>
              <w:rPr>
                <w:rFonts w:hint="eastAsia"/>
              </w:rPr>
            </w:pPr>
            <w:r>
              <w:rPr>
                <w:rFonts w:hint="eastAsia"/>
              </w:rPr>
              <w:t>总计</w:t>
            </w:r>
          </w:p>
        </w:tc>
        <w:tc>
          <w:tcPr>
            <w:tcW w:w="845" w:type="pct"/>
            <w:vAlign w:val="center"/>
          </w:tcPr>
          <w:p w14:paraId="3F6B931E">
            <w:pPr>
              <w:pStyle w:val="13"/>
              <w:jc w:val="center"/>
              <w:rPr>
                <w:rFonts w:hint="eastAsia"/>
              </w:rPr>
            </w:pPr>
            <w:r>
              <w:rPr>
                <w:rFonts w:hint="eastAsia"/>
              </w:rPr>
              <w:t>18574</w:t>
            </w:r>
          </w:p>
        </w:tc>
        <w:tc>
          <w:tcPr>
            <w:tcW w:w="845" w:type="pct"/>
            <w:vAlign w:val="center"/>
          </w:tcPr>
          <w:p w14:paraId="701DE779">
            <w:pPr>
              <w:pStyle w:val="13"/>
              <w:jc w:val="center"/>
              <w:rPr>
                <w:rFonts w:hint="eastAsia"/>
              </w:rPr>
            </w:pPr>
            <w:r>
              <w:rPr>
                <w:rFonts w:hint="eastAsia"/>
              </w:rPr>
              <w:t>494214</w:t>
            </w:r>
          </w:p>
        </w:tc>
        <w:tc>
          <w:tcPr>
            <w:tcW w:w="845" w:type="pct"/>
            <w:vAlign w:val="center"/>
          </w:tcPr>
          <w:p w14:paraId="5B00B1FF">
            <w:pPr>
              <w:pStyle w:val="13"/>
              <w:jc w:val="center"/>
              <w:rPr>
                <w:rFonts w:hint="eastAsia"/>
              </w:rPr>
            </w:pPr>
            <w:r>
              <w:rPr>
                <w:rFonts w:hint="eastAsia"/>
              </w:rPr>
              <w:t>26608</w:t>
            </w:r>
          </w:p>
        </w:tc>
      </w:tr>
      <w:tr w14:paraId="2CE3F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5BE0DC3B">
            <w:pPr>
              <w:pStyle w:val="13"/>
              <w:jc w:val="left"/>
              <w:rPr>
                <w:rFonts w:hint="eastAsia"/>
              </w:rPr>
            </w:pPr>
            <w:r>
              <w:rPr>
                <w:rFonts w:hint="eastAsia"/>
              </w:rPr>
              <w:t>一、国有经济单位</w:t>
            </w:r>
          </w:p>
        </w:tc>
        <w:tc>
          <w:tcPr>
            <w:tcW w:w="845" w:type="pct"/>
            <w:vAlign w:val="center"/>
          </w:tcPr>
          <w:p w14:paraId="4CE5ACBD">
            <w:pPr>
              <w:pStyle w:val="13"/>
              <w:jc w:val="center"/>
              <w:rPr>
                <w:rFonts w:hint="eastAsia"/>
              </w:rPr>
            </w:pPr>
            <w:r>
              <w:rPr>
                <w:rFonts w:hint="eastAsia"/>
              </w:rPr>
              <w:t>12469</w:t>
            </w:r>
          </w:p>
        </w:tc>
        <w:tc>
          <w:tcPr>
            <w:tcW w:w="845" w:type="pct"/>
            <w:vAlign w:val="center"/>
          </w:tcPr>
          <w:p w14:paraId="27E7657C">
            <w:pPr>
              <w:pStyle w:val="13"/>
              <w:jc w:val="center"/>
              <w:rPr>
                <w:rFonts w:hint="eastAsia"/>
              </w:rPr>
            </w:pPr>
            <w:r>
              <w:rPr>
                <w:rFonts w:hint="eastAsia"/>
              </w:rPr>
              <w:t>359344</w:t>
            </w:r>
          </w:p>
        </w:tc>
        <w:tc>
          <w:tcPr>
            <w:tcW w:w="845" w:type="pct"/>
            <w:vAlign w:val="center"/>
          </w:tcPr>
          <w:p w14:paraId="3DB2B6D9">
            <w:pPr>
              <w:pStyle w:val="13"/>
              <w:jc w:val="center"/>
              <w:rPr>
                <w:rFonts w:hint="eastAsia"/>
              </w:rPr>
            </w:pPr>
            <w:r>
              <w:rPr>
                <w:rFonts w:hint="eastAsia"/>
              </w:rPr>
              <w:t>28819</w:t>
            </w:r>
          </w:p>
        </w:tc>
      </w:tr>
      <w:tr w14:paraId="3B9D2A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3B9999A9">
            <w:pPr>
              <w:pStyle w:val="13"/>
              <w:ind w:firstLine="210" w:firstLineChars="100"/>
              <w:jc w:val="left"/>
              <w:rPr>
                <w:rFonts w:hint="eastAsia"/>
              </w:rPr>
            </w:pPr>
            <w:r>
              <w:rPr>
                <w:rFonts w:hint="eastAsia"/>
              </w:rPr>
              <w:t>1、农、林、渔、牧业</w:t>
            </w:r>
          </w:p>
        </w:tc>
        <w:tc>
          <w:tcPr>
            <w:tcW w:w="845" w:type="pct"/>
            <w:vAlign w:val="center"/>
          </w:tcPr>
          <w:p w14:paraId="158284EE">
            <w:pPr>
              <w:pStyle w:val="13"/>
              <w:jc w:val="center"/>
              <w:rPr>
                <w:rFonts w:hint="eastAsia"/>
              </w:rPr>
            </w:pPr>
            <w:r>
              <w:rPr>
                <w:rFonts w:hint="eastAsia"/>
              </w:rPr>
              <w:t>229</w:t>
            </w:r>
          </w:p>
        </w:tc>
        <w:tc>
          <w:tcPr>
            <w:tcW w:w="845" w:type="pct"/>
            <w:vAlign w:val="center"/>
          </w:tcPr>
          <w:p w14:paraId="28FE8E1C">
            <w:pPr>
              <w:pStyle w:val="13"/>
              <w:jc w:val="center"/>
              <w:rPr>
                <w:rFonts w:hint="eastAsia"/>
              </w:rPr>
            </w:pPr>
            <w:r>
              <w:rPr>
                <w:rFonts w:hint="eastAsia"/>
              </w:rPr>
              <w:t>3106</w:t>
            </w:r>
          </w:p>
        </w:tc>
        <w:tc>
          <w:tcPr>
            <w:tcW w:w="845" w:type="pct"/>
            <w:vAlign w:val="center"/>
          </w:tcPr>
          <w:p w14:paraId="76669380">
            <w:pPr>
              <w:pStyle w:val="13"/>
              <w:jc w:val="center"/>
              <w:rPr>
                <w:rFonts w:hint="eastAsia"/>
              </w:rPr>
            </w:pPr>
            <w:r>
              <w:rPr>
                <w:rFonts w:hint="eastAsia"/>
              </w:rPr>
              <w:t>13563</w:t>
            </w:r>
          </w:p>
        </w:tc>
      </w:tr>
      <w:tr w14:paraId="7CC2F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591BBC7B">
            <w:pPr>
              <w:pStyle w:val="13"/>
              <w:ind w:firstLine="210" w:firstLineChars="100"/>
              <w:jc w:val="left"/>
              <w:rPr>
                <w:rFonts w:hint="eastAsia"/>
              </w:rPr>
            </w:pPr>
            <w:r>
              <w:rPr>
                <w:rFonts w:hint="eastAsia"/>
              </w:rPr>
              <w:t>2、采矿业</w:t>
            </w:r>
          </w:p>
        </w:tc>
        <w:tc>
          <w:tcPr>
            <w:tcW w:w="845" w:type="pct"/>
            <w:vAlign w:val="center"/>
          </w:tcPr>
          <w:p w14:paraId="7B2121C1">
            <w:pPr>
              <w:pStyle w:val="13"/>
              <w:jc w:val="center"/>
              <w:rPr>
                <w:rFonts w:hint="eastAsia"/>
              </w:rPr>
            </w:pPr>
            <w:r>
              <w:rPr>
                <w:rFonts w:hint="eastAsia"/>
              </w:rPr>
              <w:t>212</w:t>
            </w:r>
          </w:p>
        </w:tc>
        <w:tc>
          <w:tcPr>
            <w:tcW w:w="845" w:type="pct"/>
            <w:vAlign w:val="center"/>
          </w:tcPr>
          <w:p w14:paraId="03CB4E20">
            <w:pPr>
              <w:pStyle w:val="13"/>
              <w:jc w:val="center"/>
              <w:rPr>
                <w:rFonts w:hint="eastAsia"/>
              </w:rPr>
            </w:pPr>
            <w:r>
              <w:rPr>
                <w:rFonts w:hint="eastAsia"/>
              </w:rPr>
              <w:t>6536</w:t>
            </w:r>
          </w:p>
        </w:tc>
        <w:tc>
          <w:tcPr>
            <w:tcW w:w="845" w:type="pct"/>
            <w:vAlign w:val="center"/>
          </w:tcPr>
          <w:p w14:paraId="788EBF8D">
            <w:pPr>
              <w:pStyle w:val="13"/>
              <w:jc w:val="center"/>
              <w:rPr>
                <w:rFonts w:hint="eastAsia"/>
              </w:rPr>
            </w:pPr>
            <w:r>
              <w:rPr>
                <w:rFonts w:hint="eastAsia"/>
              </w:rPr>
              <w:t>30830</w:t>
            </w:r>
          </w:p>
        </w:tc>
      </w:tr>
      <w:tr w14:paraId="5CD050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0BE43F59">
            <w:pPr>
              <w:pStyle w:val="13"/>
              <w:ind w:firstLine="210" w:firstLineChars="100"/>
              <w:jc w:val="left"/>
              <w:rPr>
                <w:rFonts w:hint="eastAsia"/>
              </w:rPr>
            </w:pPr>
            <w:r>
              <w:rPr>
                <w:rFonts w:hint="eastAsia"/>
              </w:rPr>
              <w:t>3、制造业</w:t>
            </w:r>
          </w:p>
        </w:tc>
        <w:tc>
          <w:tcPr>
            <w:tcW w:w="845" w:type="pct"/>
            <w:vAlign w:val="center"/>
          </w:tcPr>
          <w:p w14:paraId="3D154C3D">
            <w:pPr>
              <w:pStyle w:val="13"/>
              <w:jc w:val="center"/>
              <w:rPr>
                <w:rFonts w:hint="eastAsia"/>
              </w:rPr>
            </w:pPr>
            <w:r>
              <w:rPr>
                <w:rFonts w:hint="eastAsia"/>
              </w:rPr>
              <w:t>33</w:t>
            </w:r>
          </w:p>
        </w:tc>
        <w:tc>
          <w:tcPr>
            <w:tcW w:w="845" w:type="pct"/>
            <w:vAlign w:val="center"/>
          </w:tcPr>
          <w:p w14:paraId="3DCB9AD2">
            <w:pPr>
              <w:pStyle w:val="13"/>
              <w:jc w:val="center"/>
              <w:rPr>
                <w:rFonts w:hint="eastAsia"/>
              </w:rPr>
            </w:pPr>
            <w:r>
              <w:rPr>
                <w:rFonts w:hint="eastAsia"/>
              </w:rPr>
              <w:t>392</w:t>
            </w:r>
          </w:p>
        </w:tc>
        <w:tc>
          <w:tcPr>
            <w:tcW w:w="845" w:type="pct"/>
            <w:vAlign w:val="center"/>
          </w:tcPr>
          <w:p w14:paraId="2DBFFAAB">
            <w:pPr>
              <w:pStyle w:val="13"/>
              <w:jc w:val="center"/>
              <w:rPr>
                <w:rFonts w:hint="eastAsia"/>
              </w:rPr>
            </w:pPr>
            <w:r>
              <w:rPr>
                <w:rFonts w:hint="eastAsia"/>
              </w:rPr>
              <w:t>11879</w:t>
            </w:r>
          </w:p>
        </w:tc>
      </w:tr>
      <w:tr w14:paraId="3C320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604D5125">
            <w:pPr>
              <w:pStyle w:val="13"/>
              <w:ind w:firstLine="210" w:firstLineChars="100"/>
              <w:jc w:val="left"/>
              <w:rPr>
                <w:rFonts w:hint="eastAsia"/>
              </w:rPr>
            </w:pPr>
            <w:r>
              <w:rPr>
                <w:rFonts w:hint="eastAsia"/>
              </w:rPr>
              <w:t>4、电力、燃气及水生产和供应业</w:t>
            </w:r>
          </w:p>
        </w:tc>
        <w:tc>
          <w:tcPr>
            <w:tcW w:w="845" w:type="pct"/>
            <w:vAlign w:val="center"/>
          </w:tcPr>
          <w:p w14:paraId="17EA651E">
            <w:pPr>
              <w:pStyle w:val="13"/>
              <w:jc w:val="center"/>
              <w:rPr>
                <w:rFonts w:hint="eastAsia"/>
              </w:rPr>
            </w:pPr>
            <w:r>
              <w:rPr>
                <w:rFonts w:hint="eastAsia"/>
              </w:rPr>
              <w:t>545</w:t>
            </w:r>
          </w:p>
        </w:tc>
        <w:tc>
          <w:tcPr>
            <w:tcW w:w="845" w:type="pct"/>
            <w:vAlign w:val="center"/>
          </w:tcPr>
          <w:p w14:paraId="7BCD3F12">
            <w:pPr>
              <w:pStyle w:val="13"/>
              <w:jc w:val="center"/>
              <w:rPr>
                <w:rFonts w:hint="eastAsia"/>
              </w:rPr>
            </w:pPr>
            <w:r>
              <w:rPr>
                <w:rFonts w:hint="eastAsia"/>
              </w:rPr>
              <w:t>13313</w:t>
            </w:r>
          </w:p>
        </w:tc>
        <w:tc>
          <w:tcPr>
            <w:tcW w:w="845" w:type="pct"/>
            <w:vAlign w:val="center"/>
          </w:tcPr>
          <w:p w14:paraId="62F2335F">
            <w:pPr>
              <w:pStyle w:val="13"/>
              <w:jc w:val="center"/>
              <w:rPr>
                <w:rFonts w:hint="eastAsia"/>
              </w:rPr>
            </w:pPr>
            <w:r>
              <w:rPr>
                <w:rFonts w:hint="eastAsia"/>
              </w:rPr>
              <w:t>24428</w:t>
            </w:r>
          </w:p>
        </w:tc>
      </w:tr>
      <w:tr w14:paraId="1D2A3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49937103">
            <w:pPr>
              <w:pStyle w:val="13"/>
              <w:ind w:firstLine="210" w:firstLineChars="100"/>
              <w:jc w:val="left"/>
              <w:rPr>
                <w:rFonts w:hint="eastAsia"/>
              </w:rPr>
            </w:pPr>
            <w:r>
              <w:rPr>
                <w:rFonts w:hint="eastAsia"/>
              </w:rPr>
              <w:t>5、建筑业</w:t>
            </w:r>
          </w:p>
        </w:tc>
        <w:tc>
          <w:tcPr>
            <w:tcW w:w="845" w:type="pct"/>
            <w:vAlign w:val="center"/>
          </w:tcPr>
          <w:p w14:paraId="4D64915D">
            <w:pPr>
              <w:pStyle w:val="13"/>
              <w:jc w:val="center"/>
              <w:rPr>
                <w:rFonts w:hint="eastAsia"/>
              </w:rPr>
            </w:pPr>
          </w:p>
        </w:tc>
        <w:tc>
          <w:tcPr>
            <w:tcW w:w="845" w:type="pct"/>
            <w:vAlign w:val="center"/>
          </w:tcPr>
          <w:p w14:paraId="3B55CFE7">
            <w:pPr>
              <w:pStyle w:val="13"/>
              <w:jc w:val="center"/>
              <w:rPr>
                <w:rFonts w:hint="eastAsia"/>
              </w:rPr>
            </w:pPr>
          </w:p>
        </w:tc>
        <w:tc>
          <w:tcPr>
            <w:tcW w:w="845" w:type="pct"/>
            <w:vAlign w:val="center"/>
          </w:tcPr>
          <w:p w14:paraId="2F76032F">
            <w:pPr>
              <w:pStyle w:val="13"/>
              <w:jc w:val="center"/>
              <w:rPr>
                <w:rFonts w:hint="eastAsia"/>
              </w:rPr>
            </w:pPr>
          </w:p>
        </w:tc>
      </w:tr>
      <w:tr w14:paraId="164288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08E882D5">
            <w:pPr>
              <w:pStyle w:val="13"/>
              <w:ind w:firstLine="210" w:firstLineChars="100"/>
              <w:jc w:val="left"/>
              <w:rPr>
                <w:rFonts w:hint="eastAsia"/>
              </w:rPr>
            </w:pPr>
            <w:r>
              <w:rPr>
                <w:rFonts w:hint="eastAsia"/>
              </w:rPr>
              <w:t>6、交通运输、仓储和邮政业</w:t>
            </w:r>
          </w:p>
        </w:tc>
        <w:tc>
          <w:tcPr>
            <w:tcW w:w="845" w:type="pct"/>
            <w:vAlign w:val="center"/>
          </w:tcPr>
          <w:p w14:paraId="677E9B54">
            <w:pPr>
              <w:pStyle w:val="13"/>
              <w:jc w:val="center"/>
              <w:rPr>
                <w:rFonts w:hint="eastAsia"/>
              </w:rPr>
            </w:pPr>
            <w:r>
              <w:rPr>
                <w:rFonts w:hint="eastAsia"/>
              </w:rPr>
              <w:t>263</w:t>
            </w:r>
          </w:p>
        </w:tc>
        <w:tc>
          <w:tcPr>
            <w:tcW w:w="845" w:type="pct"/>
            <w:vAlign w:val="center"/>
          </w:tcPr>
          <w:p w14:paraId="456DC8DA">
            <w:pPr>
              <w:pStyle w:val="13"/>
              <w:jc w:val="center"/>
              <w:rPr>
                <w:rFonts w:hint="eastAsia"/>
              </w:rPr>
            </w:pPr>
            <w:r>
              <w:rPr>
                <w:rFonts w:hint="eastAsia"/>
              </w:rPr>
              <w:t>4840</w:t>
            </w:r>
          </w:p>
        </w:tc>
        <w:tc>
          <w:tcPr>
            <w:tcW w:w="845" w:type="pct"/>
            <w:vAlign w:val="center"/>
          </w:tcPr>
          <w:p w14:paraId="0FA4AF6A">
            <w:pPr>
              <w:pStyle w:val="13"/>
              <w:jc w:val="center"/>
              <w:rPr>
                <w:rFonts w:hint="eastAsia"/>
              </w:rPr>
            </w:pPr>
            <w:r>
              <w:rPr>
                <w:rFonts w:hint="eastAsia"/>
              </w:rPr>
              <w:t>18403</w:t>
            </w:r>
          </w:p>
        </w:tc>
      </w:tr>
      <w:tr w14:paraId="27462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4697E08B">
            <w:pPr>
              <w:pStyle w:val="13"/>
              <w:ind w:firstLine="210" w:firstLineChars="100"/>
              <w:jc w:val="left"/>
              <w:rPr>
                <w:rFonts w:hint="eastAsia"/>
              </w:rPr>
            </w:pPr>
            <w:r>
              <w:rPr>
                <w:rFonts w:hint="eastAsia"/>
              </w:rPr>
              <w:t>7、信息传输、计算机服务和软件业</w:t>
            </w:r>
          </w:p>
        </w:tc>
        <w:tc>
          <w:tcPr>
            <w:tcW w:w="845" w:type="pct"/>
            <w:vAlign w:val="center"/>
          </w:tcPr>
          <w:p w14:paraId="0653DC39">
            <w:pPr>
              <w:pStyle w:val="13"/>
              <w:jc w:val="center"/>
              <w:rPr>
                <w:rFonts w:hint="eastAsia"/>
              </w:rPr>
            </w:pPr>
          </w:p>
        </w:tc>
        <w:tc>
          <w:tcPr>
            <w:tcW w:w="845" w:type="pct"/>
            <w:vAlign w:val="center"/>
          </w:tcPr>
          <w:p w14:paraId="4E64D9F6">
            <w:pPr>
              <w:pStyle w:val="13"/>
              <w:jc w:val="center"/>
              <w:rPr>
                <w:rFonts w:hint="eastAsia"/>
              </w:rPr>
            </w:pPr>
          </w:p>
        </w:tc>
        <w:tc>
          <w:tcPr>
            <w:tcW w:w="845" w:type="pct"/>
            <w:vAlign w:val="center"/>
          </w:tcPr>
          <w:p w14:paraId="46113D29">
            <w:pPr>
              <w:pStyle w:val="13"/>
              <w:jc w:val="center"/>
              <w:rPr>
                <w:rFonts w:hint="eastAsia"/>
              </w:rPr>
            </w:pPr>
          </w:p>
        </w:tc>
      </w:tr>
      <w:tr w14:paraId="23DFEA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52623351">
            <w:pPr>
              <w:pStyle w:val="13"/>
              <w:ind w:firstLine="210" w:firstLineChars="100"/>
              <w:jc w:val="left"/>
              <w:rPr>
                <w:rFonts w:hint="eastAsia"/>
              </w:rPr>
            </w:pPr>
            <w:r>
              <w:rPr>
                <w:rFonts w:hint="eastAsia"/>
              </w:rPr>
              <w:t>8、批发和零售业</w:t>
            </w:r>
          </w:p>
        </w:tc>
        <w:tc>
          <w:tcPr>
            <w:tcW w:w="845" w:type="pct"/>
            <w:vAlign w:val="center"/>
          </w:tcPr>
          <w:p w14:paraId="5A02DFF4">
            <w:pPr>
              <w:pStyle w:val="13"/>
              <w:jc w:val="center"/>
              <w:rPr>
                <w:rFonts w:hint="eastAsia"/>
              </w:rPr>
            </w:pPr>
            <w:r>
              <w:rPr>
                <w:rFonts w:hint="eastAsia"/>
              </w:rPr>
              <w:t>56</w:t>
            </w:r>
          </w:p>
        </w:tc>
        <w:tc>
          <w:tcPr>
            <w:tcW w:w="845" w:type="pct"/>
            <w:vAlign w:val="center"/>
          </w:tcPr>
          <w:p w14:paraId="5110F537">
            <w:pPr>
              <w:pStyle w:val="13"/>
              <w:jc w:val="center"/>
              <w:rPr>
                <w:rFonts w:hint="eastAsia"/>
              </w:rPr>
            </w:pPr>
            <w:r>
              <w:rPr>
                <w:rFonts w:hint="eastAsia"/>
              </w:rPr>
              <w:t>982</w:t>
            </w:r>
          </w:p>
        </w:tc>
        <w:tc>
          <w:tcPr>
            <w:tcW w:w="845" w:type="pct"/>
            <w:vAlign w:val="center"/>
          </w:tcPr>
          <w:p w14:paraId="05990EF8">
            <w:pPr>
              <w:pStyle w:val="13"/>
              <w:jc w:val="center"/>
              <w:rPr>
                <w:rFonts w:hint="eastAsia"/>
              </w:rPr>
            </w:pPr>
            <w:r>
              <w:rPr>
                <w:rFonts w:hint="eastAsia"/>
              </w:rPr>
              <w:t>17536</w:t>
            </w:r>
          </w:p>
        </w:tc>
      </w:tr>
      <w:tr w14:paraId="3DB28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611D32CE">
            <w:pPr>
              <w:pStyle w:val="13"/>
              <w:ind w:firstLine="210" w:firstLineChars="100"/>
              <w:jc w:val="left"/>
              <w:rPr>
                <w:rFonts w:hint="eastAsia"/>
              </w:rPr>
            </w:pPr>
            <w:r>
              <w:rPr>
                <w:rFonts w:hint="eastAsia"/>
              </w:rPr>
              <w:t>9、住宿和餐饮业</w:t>
            </w:r>
          </w:p>
        </w:tc>
        <w:tc>
          <w:tcPr>
            <w:tcW w:w="845" w:type="pct"/>
            <w:vAlign w:val="center"/>
          </w:tcPr>
          <w:p w14:paraId="7E95923D">
            <w:pPr>
              <w:pStyle w:val="13"/>
              <w:jc w:val="center"/>
              <w:rPr>
                <w:rFonts w:hint="eastAsia"/>
              </w:rPr>
            </w:pPr>
            <w:r>
              <w:rPr>
                <w:rFonts w:hint="eastAsia"/>
              </w:rPr>
              <w:t>160</w:t>
            </w:r>
          </w:p>
        </w:tc>
        <w:tc>
          <w:tcPr>
            <w:tcW w:w="845" w:type="pct"/>
            <w:vAlign w:val="center"/>
          </w:tcPr>
          <w:p w14:paraId="6C9EEF44">
            <w:pPr>
              <w:pStyle w:val="13"/>
              <w:jc w:val="center"/>
              <w:rPr>
                <w:rFonts w:hint="eastAsia"/>
              </w:rPr>
            </w:pPr>
            <w:r>
              <w:rPr>
                <w:rFonts w:hint="eastAsia"/>
              </w:rPr>
              <w:t>1777</w:t>
            </w:r>
          </w:p>
        </w:tc>
        <w:tc>
          <w:tcPr>
            <w:tcW w:w="845" w:type="pct"/>
            <w:vAlign w:val="center"/>
          </w:tcPr>
          <w:p w14:paraId="60588855">
            <w:pPr>
              <w:pStyle w:val="13"/>
              <w:jc w:val="center"/>
              <w:rPr>
                <w:rFonts w:hint="eastAsia"/>
              </w:rPr>
            </w:pPr>
            <w:r>
              <w:rPr>
                <w:rFonts w:hint="eastAsia"/>
              </w:rPr>
              <w:t>11106</w:t>
            </w:r>
          </w:p>
        </w:tc>
      </w:tr>
      <w:tr w14:paraId="082ED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3565959F">
            <w:pPr>
              <w:pStyle w:val="13"/>
              <w:ind w:firstLine="210" w:firstLineChars="100"/>
              <w:jc w:val="left"/>
              <w:rPr>
                <w:rFonts w:hint="eastAsia"/>
              </w:rPr>
            </w:pPr>
            <w:r>
              <w:rPr>
                <w:rFonts w:hint="eastAsia"/>
              </w:rPr>
              <w:t>10、金融业</w:t>
            </w:r>
          </w:p>
        </w:tc>
        <w:tc>
          <w:tcPr>
            <w:tcW w:w="845" w:type="pct"/>
            <w:vAlign w:val="center"/>
          </w:tcPr>
          <w:p w14:paraId="48A6E516">
            <w:pPr>
              <w:pStyle w:val="13"/>
              <w:jc w:val="center"/>
              <w:rPr>
                <w:rFonts w:hint="eastAsia"/>
              </w:rPr>
            </w:pPr>
            <w:r>
              <w:rPr>
                <w:rFonts w:hint="eastAsia"/>
              </w:rPr>
              <w:t>109</w:t>
            </w:r>
          </w:p>
        </w:tc>
        <w:tc>
          <w:tcPr>
            <w:tcW w:w="845" w:type="pct"/>
            <w:vAlign w:val="center"/>
          </w:tcPr>
          <w:p w14:paraId="7DE65BAD">
            <w:pPr>
              <w:pStyle w:val="13"/>
              <w:jc w:val="center"/>
              <w:rPr>
                <w:rFonts w:hint="eastAsia"/>
              </w:rPr>
            </w:pPr>
            <w:r>
              <w:rPr>
                <w:rFonts w:hint="eastAsia"/>
              </w:rPr>
              <w:t>5314</w:t>
            </w:r>
          </w:p>
        </w:tc>
        <w:tc>
          <w:tcPr>
            <w:tcW w:w="845" w:type="pct"/>
            <w:vAlign w:val="center"/>
          </w:tcPr>
          <w:p w14:paraId="7A0D18E2">
            <w:pPr>
              <w:pStyle w:val="13"/>
              <w:jc w:val="center"/>
              <w:rPr>
                <w:rFonts w:hint="eastAsia"/>
              </w:rPr>
            </w:pPr>
            <w:r>
              <w:rPr>
                <w:rFonts w:hint="eastAsia"/>
              </w:rPr>
              <w:t>48752</w:t>
            </w:r>
          </w:p>
        </w:tc>
      </w:tr>
      <w:tr w14:paraId="57BB0C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64FB03E3">
            <w:pPr>
              <w:pStyle w:val="13"/>
              <w:ind w:firstLine="210" w:firstLineChars="100"/>
              <w:jc w:val="left"/>
              <w:rPr>
                <w:rFonts w:hint="eastAsia"/>
              </w:rPr>
            </w:pPr>
            <w:r>
              <w:rPr>
                <w:rFonts w:hint="eastAsia"/>
              </w:rPr>
              <w:t>11、房地产业</w:t>
            </w:r>
          </w:p>
        </w:tc>
        <w:tc>
          <w:tcPr>
            <w:tcW w:w="845" w:type="pct"/>
            <w:vAlign w:val="center"/>
          </w:tcPr>
          <w:p w14:paraId="7C541D7E">
            <w:pPr>
              <w:pStyle w:val="13"/>
              <w:jc w:val="center"/>
              <w:rPr>
                <w:rFonts w:hint="eastAsia"/>
              </w:rPr>
            </w:pPr>
            <w:r>
              <w:rPr>
                <w:rFonts w:hint="eastAsia"/>
              </w:rPr>
              <w:t>50</w:t>
            </w:r>
          </w:p>
        </w:tc>
        <w:tc>
          <w:tcPr>
            <w:tcW w:w="845" w:type="pct"/>
            <w:vAlign w:val="center"/>
          </w:tcPr>
          <w:p w14:paraId="445D7F1D">
            <w:pPr>
              <w:pStyle w:val="13"/>
              <w:jc w:val="center"/>
              <w:rPr>
                <w:rFonts w:hint="eastAsia"/>
              </w:rPr>
            </w:pPr>
            <w:r>
              <w:rPr>
                <w:rFonts w:hint="eastAsia"/>
              </w:rPr>
              <w:t>3063</w:t>
            </w:r>
          </w:p>
        </w:tc>
        <w:tc>
          <w:tcPr>
            <w:tcW w:w="845" w:type="pct"/>
            <w:vAlign w:val="center"/>
          </w:tcPr>
          <w:p w14:paraId="01B626F9">
            <w:pPr>
              <w:pStyle w:val="13"/>
              <w:jc w:val="center"/>
              <w:rPr>
                <w:rFonts w:hint="eastAsia"/>
              </w:rPr>
            </w:pPr>
            <w:r>
              <w:rPr>
                <w:rFonts w:hint="eastAsia"/>
              </w:rPr>
              <w:t>61260</w:t>
            </w:r>
          </w:p>
        </w:tc>
      </w:tr>
      <w:tr w14:paraId="47E6F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2A7696C5">
            <w:pPr>
              <w:pStyle w:val="13"/>
              <w:ind w:firstLine="210" w:firstLineChars="100"/>
              <w:jc w:val="left"/>
              <w:rPr>
                <w:rFonts w:hint="eastAsia"/>
              </w:rPr>
            </w:pPr>
            <w:r>
              <w:rPr>
                <w:rFonts w:hint="eastAsia"/>
              </w:rPr>
              <w:t>12、租赁和商务服务业</w:t>
            </w:r>
          </w:p>
        </w:tc>
        <w:tc>
          <w:tcPr>
            <w:tcW w:w="845" w:type="pct"/>
            <w:vAlign w:val="center"/>
          </w:tcPr>
          <w:p w14:paraId="46922C0E">
            <w:pPr>
              <w:pStyle w:val="13"/>
              <w:jc w:val="center"/>
              <w:rPr>
                <w:rFonts w:hint="eastAsia"/>
              </w:rPr>
            </w:pPr>
            <w:r>
              <w:rPr>
                <w:rFonts w:hint="eastAsia"/>
              </w:rPr>
              <w:t>116</w:t>
            </w:r>
          </w:p>
        </w:tc>
        <w:tc>
          <w:tcPr>
            <w:tcW w:w="845" w:type="pct"/>
            <w:vAlign w:val="center"/>
          </w:tcPr>
          <w:p w14:paraId="6253AB2C">
            <w:pPr>
              <w:pStyle w:val="13"/>
              <w:jc w:val="center"/>
              <w:rPr>
                <w:rFonts w:hint="eastAsia"/>
              </w:rPr>
            </w:pPr>
            <w:r>
              <w:rPr>
                <w:rFonts w:hint="eastAsia"/>
              </w:rPr>
              <w:t>1976</w:t>
            </w:r>
          </w:p>
        </w:tc>
        <w:tc>
          <w:tcPr>
            <w:tcW w:w="845" w:type="pct"/>
            <w:vAlign w:val="center"/>
          </w:tcPr>
          <w:p w14:paraId="0AC2AED1">
            <w:pPr>
              <w:pStyle w:val="13"/>
              <w:jc w:val="center"/>
              <w:rPr>
                <w:rFonts w:hint="eastAsia"/>
              </w:rPr>
            </w:pPr>
            <w:r>
              <w:rPr>
                <w:rFonts w:hint="eastAsia"/>
              </w:rPr>
              <w:t>17034</w:t>
            </w:r>
          </w:p>
        </w:tc>
      </w:tr>
      <w:tr w14:paraId="0A096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03A0A911">
            <w:pPr>
              <w:pStyle w:val="13"/>
              <w:ind w:firstLine="210" w:firstLineChars="100"/>
              <w:jc w:val="left"/>
              <w:rPr>
                <w:rFonts w:hint="eastAsia"/>
              </w:rPr>
            </w:pPr>
            <w:r>
              <w:rPr>
                <w:rFonts w:hint="eastAsia"/>
              </w:rPr>
              <w:t>13、科学研究、技术服务和地质勘探业</w:t>
            </w:r>
          </w:p>
        </w:tc>
        <w:tc>
          <w:tcPr>
            <w:tcW w:w="845" w:type="pct"/>
            <w:vAlign w:val="center"/>
          </w:tcPr>
          <w:p w14:paraId="3D141538">
            <w:pPr>
              <w:pStyle w:val="13"/>
              <w:jc w:val="center"/>
              <w:rPr>
                <w:rFonts w:hint="eastAsia"/>
              </w:rPr>
            </w:pPr>
            <w:r>
              <w:rPr>
                <w:rFonts w:hint="eastAsia"/>
              </w:rPr>
              <w:t>134</w:t>
            </w:r>
          </w:p>
        </w:tc>
        <w:tc>
          <w:tcPr>
            <w:tcW w:w="845" w:type="pct"/>
            <w:vAlign w:val="center"/>
          </w:tcPr>
          <w:p w14:paraId="6BDC1FF0">
            <w:pPr>
              <w:pStyle w:val="13"/>
              <w:jc w:val="center"/>
              <w:rPr>
                <w:rFonts w:hint="eastAsia"/>
              </w:rPr>
            </w:pPr>
            <w:r>
              <w:rPr>
                <w:rFonts w:hint="eastAsia"/>
              </w:rPr>
              <w:t>9006</w:t>
            </w:r>
          </w:p>
        </w:tc>
        <w:tc>
          <w:tcPr>
            <w:tcW w:w="845" w:type="pct"/>
            <w:vAlign w:val="center"/>
          </w:tcPr>
          <w:p w14:paraId="5968EBCE">
            <w:pPr>
              <w:pStyle w:val="13"/>
              <w:jc w:val="center"/>
              <w:rPr>
                <w:rFonts w:hint="eastAsia"/>
              </w:rPr>
            </w:pPr>
            <w:r>
              <w:rPr>
                <w:rFonts w:hint="eastAsia"/>
              </w:rPr>
              <w:t>67209</w:t>
            </w:r>
          </w:p>
        </w:tc>
      </w:tr>
      <w:tr w14:paraId="1B119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78A1B508">
            <w:pPr>
              <w:pStyle w:val="13"/>
              <w:ind w:firstLine="210" w:firstLineChars="100"/>
              <w:jc w:val="left"/>
              <w:rPr>
                <w:rFonts w:hint="eastAsia"/>
              </w:rPr>
            </w:pPr>
            <w:r>
              <w:rPr>
                <w:rFonts w:hint="eastAsia"/>
              </w:rPr>
              <w:t>14、水利、环境和公共设施管理业</w:t>
            </w:r>
          </w:p>
        </w:tc>
        <w:tc>
          <w:tcPr>
            <w:tcW w:w="845" w:type="pct"/>
            <w:vAlign w:val="center"/>
          </w:tcPr>
          <w:p w14:paraId="07A8C5B4">
            <w:pPr>
              <w:pStyle w:val="13"/>
              <w:jc w:val="center"/>
              <w:rPr>
                <w:rFonts w:hint="eastAsia"/>
              </w:rPr>
            </w:pPr>
            <w:r>
              <w:rPr>
                <w:rFonts w:hint="eastAsia"/>
              </w:rPr>
              <w:t>571</w:t>
            </w:r>
          </w:p>
        </w:tc>
        <w:tc>
          <w:tcPr>
            <w:tcW w:w="845" w:type="pct"/>
            <w:vAlign w:val="center"/>
          </w:tcPr>
          <w:p w14:paraId="56F07655">
            <w:pPr>
              <w:pStyle w:val="13"/>
              <w:jc w:val="center"/>
              <w:rPr>
                <w:rFonts w:hint="eastAsia"/>
              </w:rPr>
            </w:pPr>
            <w:r>
              <w:rPr>
                <w:rFonts w:hint="eastAsia"/>
              </w:rPr>
              <w:t>10410</w:t>
            </w:r>
          </w:p>
        </w:tc>
        <w:tc>
          <w:tcPr>
            <w:tcW w:w="845" w:type="pct"/>
            <w:vAlign w:val="center"/>
          </w:tcPr>
          <w:p w14:paraId="40A6A5A7">
            <w:pPr>
              <w:pStyle w:val="13"/>
              <w:jc w:val="center"/>
              <w:rPr>
                <w:rFonts w:hint="eastAsia"/>
              </w:rPr>
            </w:pPr>
            <w:r>
              <w:rPr>
                <w:rFonts w:hint="eastAsia"/>
              </w:rPr>
              <w:t>18231</w:t>
            </w:r>
          </w:p>
        </w:tc>
      </w:tr>
      <w:tr w14:paraId="4EB08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44AB1392">
            <w:pPr>
              <w:pStyle w:val="13"/>
              <w:ind w:firstLine="210" w:firstLineChars="100"/>
              <w:jc w:val="left"/>
              <w:rPr>
                <w:rFonts w:hint="eastAsia"/>
              </w:rPr>
            </w:pPr>
            <w:r>
              <w:rPr>
                <w:rFonts w:hint="eastAsia"/>
              </w:rPr>
              <w:t>15、居民服务和其他服务业</w:t>
            </w:r>
          </w:p>
        </w:tc>
        <w:tc>
          <w:tcPr>
            <w:tcW w:w="845" w:type="pct"/>
            <w:vAlign w:val="center"/>
          </w:tcPr>
          <w:p w14:paraId="3E34B4AD">
            <w:pPr>
              <w:pStyle w:val="13"/>
              <w:jc w:val="center"/>
              <w:rPr>
                <w:rFonts w:hint="eastAsia"/>
              </w:rPr>
            </w:pPr>
            <w:r>
              <w:rPr>
                <w:rFonts w:hint="eastAsia"/>
              </w:rPr>
              <w:t>25</w:t>
            </w:r>
          </w:p>
        </w:tc>
        <w:tc>
          <w:tcPr>
            <w:tcW w:w="845" w:type="pct"/>
            <w:vAlign w:val="center"/>
          </w:tcPr>
          <w:p w14:paraId="5D32E1A0">
            <w:pPr>
              <w:pStyle w:val="13"/>
              <w:jc w:val="center"/>
              <w:rPr>
                <w:rFonts w:hint="eastAsia"/>
              </w:rPr>
            </w:pPr>
            <w:r>
              <w:rPr>
                <w:rFonts w:hint="eastAsia"/>
              </w:rPr>
              <w:t>318</w:t>
            </w:r>
          </w:p>
        </w:tc>
        <w:tc>
          <w:tcPr>
            <w:tcW w:w="845" w:type="pct"/>
            <w:vAlign w:val="center"/>
          </w:tcPr>
          <w:p w14:paraId="57DCC242">
            <w:pPr>
              <w:pStyle w:val="13"/>
              <w:jc w:val="center"/>
              <w:rPr>
                <w:rFonts w:hint="eastAsia"/>
              </w:rPr>
            </w:pPr>
            <w:r>
              <w:rPr>
                <w:rFonts w:hint="eastAsia"/>
              </w:rPr>
              <w:t>12720</w:t>
            </w:r>
          </w:p>
        </w:tc>
      </w:tr>
      <w:tr w14:paraId="15916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14D20117">
            <w:pPr>
              <w:pStyle w:val="13"/>
              <w:ind w:firstLine="210" w:firstLineChars="100"/>
              <w:jc w:val="left"/>
              <w:rPr>
                <w:rFonts w:hint="eastAsia"/>
              </w:rPr>
            </w:pPr>
            <w:r>
              <w:rPr>
                <w:rFonts w:hint="eastAsia"/>
              </w:rPr>
              <w:t>16、教育</w:t>
            </w:r>
          </w:p>
        </w:tc>
        <w:tc>
          <w:tcPr>
            <w:tcW w:w="845" w:type="pct"/>
            <w:vAlign w:val="center"/>
          </w:tcPr>
          <w:p w14:paraId="257B83E7">
            <w:pPr>
              <w:pStyle w:val="13"/>
              <w:jc w:val="center"/>
              <w:rPr>
                <w:rFonts w:hint="eastAsia"/>
              </w:rPr>
            </w:pPr>
            <w:r>
              <w:rPr>
                <w:rFonts w:hint="eastAsia"/>
              </w:rPr>
              <w:t>4835</w:t>
            </w:r>
          </w:p>
        </w:tc>
        <w:tc>
          <w:tcPr>
            <w:tcW w:w="845" w:type="pct"/>
            <w:vAlign w:val="center"/>
          </w:tcPr>
          <w:p w14:paraId="4FF9FD17">
            <w:pPr>
              <w:pStyle w:val="13"/>
              <w:jc w:val="center"/>
              <w:rPr>
                <w:rFonts w:hint="eastAsia"/>
              </w:rPr>
            </w:pPr>
            <w:r>
              <w:rPr>
                <w:rFonts w:hint="eastAsia"/>
              </w:rPr>
              <w:t>155024</w:t>
            </w:r>
          </w:p>
        </w:tc>
        <w:tc>
          <w:tcPr>
            <w:tcW w:w="845" w:type="pct"/>
            <w:vAlign w:val="center"/>
          </w:tcPr>
          <w:p w14:paraId="4364C560">
            <w:pPr>
              <w:pStyle w:val="13"/>
              <w:jc w:val="center"/>
              <w:rPr>
                <w:rFonts w:hint="eastAsia"/>
              </w:rPr>
            </w:pPr>
            <w:r>
              <w:rPr>
                <w:rFonts w:hint="eastAsia"/>
              </w:rPr>
              <w:t>32063</w:t>
            </w:r>
          </w:p>
        </w:tc>
      </w:tr>
      <w:tr w14:paraId="4FCCB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4750F7FE">
            <w:pPr>
              <w:pStyle w:val="13"/>
              <w:ind w:firstLine="210" w:firstLineChars="100"/>
              <w:jc w:val="left"/>
              <w:rPr>
                <w:rFonts w:hint="eastAsia"/>
              </w:rPr>
            </w:pPr>
            <w:r>
              <w:rPr>
                <w:rFonts w:hint="eastAsia"/>
              </w:rPr>
              <w:t>17、卫生、社会保障和社会福利业</w:t>
            </w:r>
          </w:p>
        </w:tc>
        <w:tc>
          <w:tcPr>
            <w:tcW w:w="845" w:type="pct"/>
            <w:vAlign w:val="center"/>
          </w:tcPr>
          <w:p w14:paraId="4B95ED0B">
            <w:pPr>
              <w:pStyle w:val="13"/>
              <w:jc w:val="center"/>
              <w:rPr>
                <w:rFonts w:hint="eastAsia"/>
              </w:rPr>
            </w:pPr>
            <w:r>
              <w:rPr>
                <w:rFonts w:hint="eastAsia"/>
              </w:rPr>
              <w:t>1436</w:t>
            </w:r>
          </w:p>
        </w:tc>
        <w:tc>
          <w:tcPr>
            <w:tcW w:w="845" w:type="pct"/>
            <w:vAlign w:val="center"/>
          </w:tcPr>
          <w:p w14:paraId="745F3F1C">
            <w:pPr>
              <w:pStyle w:val="13"/>
              <w:jc w:val="center"/>
              <w:rPr>
                <w:rFonts w:hint="eastAsia"/>
              </w:rPr>
            </w:pPr>
            <w:r>
              <w:rPr>
                <w:rFonts w:hint="eastAsia"/>
              </w:rPr>
              <w:t>42963</w:t>
            </w:r>
          </w:p>
        </w:tc>
        <w:tc>
          <w:tcPr>
            <w:tcW w:w="845" w:type="pct"/>
            <w:vAlign w:val="center"/>
          </w:tcPr>
          <w:p w14:paraId="2A046298">
            <w:pPr>
              <w:pStyle w:val="13"/>
              <w:jc w:val="center"/>
              <w:rPr>
                <w:rFonts w:hint="eastAsia"/>
              </w:rPr>
            </w:pPr>
            <w:r>
              <w:rPr>
                <w:rFonts w:hint="eastAsia"/>
              </w:rPr>
              <w:t>29919</w:t>
            </w:r>
          </w:p>
        </w:tc>
      </w:tr>
      <w:tr w14:paraId="5F39C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3FC55B04">
            <w:pPr>
              <w:pStyle w:val="13"/>
              <w:ind w:firstLine="210" w:firstLineChars="100"/>
              <w:jc w:val="left"/>
              <w:rPr>
                <w:rFonts w:hint="eastAsia"/>
              </w:rPr>
            </w:pPr>
            <w:r>
              <w:rPr>
                <w:rFonts w:hint="eastAsia"/>
              </w:rPr>
              <w:t>18、文化、体育和娱乐业</w:t>
            </w:r>
          </w:p>
        </w:tc>
        <w:tc>
          <w:tcPr>
            <w:tcW w:w="845" w:type="pct"/>
            <w:vAlign w:val="center"/>
          </w:tcPr>
          <w:p w14:paraId="262723C9">
            <w:pPr>
              <w:pStyle w:val="13"/>
              <w:jc w:val="center"/>
              <w:rPr>
                <w:rFonts w:hint="eastAsia"/>
              </w:rPr>
            </w:pPr>
            <w:r>
              <w:rPr>
                <w:rFonts w:hint="eastAsia"/>
              </w:rPr>
              <w:t>144</w:t>
            </w:r>
          </w:p>
        </w:tc>
        <w:tc>
          <w:tcPr>
            <w:tcW w:w="845" w:type="pct"/>
            <w:vAlign w:val="center"/>
          </w:tcPr>
          <w:p w14:paraId="52D7798B">
            <w:pPr>
              <w:pStyle w:val="13"/>
              <w:jc w:val="center"/>
              <w:rPr>
                <w:rFonts w:hint="eastAsia"/>
              </w:rPr>
            </w:pPr>
            <w:r>
              <w:rPr>
                <w:rFonts w:hint="eastAsia"/>
              </w:rPr>
              <w:t>2879</w:t>
            </w:r>
          </w:p>
        </w:tc>
        <w:tc>
          <w:tcPr>
            <w:tcW w:w="845" w:type="pct"/>
            <w:vAlign w:val="center"/>
          </w:tcPr>
          <w:p w14:paraId="2EEF9E9B">
            <w:pPr>
              <w:pStyle w:val="13"/>
              <w:jc w:val="center"/>
              <w:rPr>
                <w:rFonts w:hint="eastAsia"/>
              </w:rPr>
            </w:pPr>
            <w:r>
              <w:rPr>
                <w:rFonts w:hint="eastAsia"/>
              </w:rPr>
              <w:t>19993</w:t>
            </w:r>
          </w:p>
        </w:tc>
      </w:tr>
      <w:tr w14:paraId="76627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3DBD6185">
            <w:pPr>
              <w:pStyle w:val="13"/>
              <w:ind w:firstLine="210" w:firstLineChars="100"/>
              <w:jc w:val="left"/>
              <w:rPr>
                <w:rFonts w:hint="eastAsia"/>
              </w:rPr>
            </w:pPr>
            <w:r>
              <w:rPr>
                <w:rFonts w:hint="eastAsia"/>
              </w:rPr>
              <w:t>19、公共管理和社会组织</w:t>
            </w:r>
          </w:p>
        </w:tc>
        <w:tc>
          <w:tcPr>
            <w:tcW w:w="845" w:type="pct"/>
            <w:vAlign w:val="center"/>
          </w:tcPr>
          <w:p w14:paraId="3019537B">
            <w:pPr>
              <w:pStyle w:val="13"/>
              <w:jc w:val="center"/>
              <w:rPr>
                <w:rFonts w:hint="eastAsia"/>
              </w:rPr>
            </w:pPr>
            <w:r>
              <w:rPr>
                <w:rFonts w:hint="eastAsia"/>
              </w:rPr>
              <w:t>3551</w:t>
            </w:r>
          </w:p>
        </w:tc>
        <w:tc>
          <w:tcPr>
            <w:tcW w:w="845" w:type="pct"/>
            <w:vAlign w:val="center"/>
          </w:tcPr>
          <w:p w14:paraId="20594E87">
            <w:pPr>
              <w:pStyle w:val="13"/>
              <w:jc w:val="center"/>
              <w:rPr>
                <w:rFonts w:hint="eastAsia"/>
              </w:rPr>
            </w:pPr>
            <w:r>
              <w:rPr>
                <w:rFonts w:hint="eastAsia"/>
              </w:rPr>
              <w:t>97445</w:t>
            </w:r>
          </w:p>
        </w:tc>
        <w:tc>
          <w:tcPr>
            <w:tcW w:w="845" w:type="pct"/>
            <w:vAlign w:val="center"/>
          </w:tcPr>
          <w:p w14:paraId="1DB5A365">
            <w:pPr>
              <w:pStyle w:val="13"/>
              <w:jc w:val="center"/>
              <w:rPr>
                <w:rFonts w:hint="eastAsia"/>
              </w:rPr>
            </w:pPr>
            <w:r>
              <w:rPr>
                <w:rFonts w:hint="eastAsia"/>
              </w:rPr>
              <w:t>27442</w:t>
            </w:r>
          </w:p>
        </w:tc>
      </w:tr>
      <w:tr w14:paraId="4C128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56A6599D">
            <w:pPr>
              <w:pStyle w:val="13"/>
              <w:jc w:val="left"/>
              <w:rPr>
                <w:rFonts w:hint="eastAsia"/>
              </w:rPr>
            </w:pPr>
            <w:r>
              <w:rPr>
                <w:rFonts w:hint="eastAsia"/>
              </w:rPr>
              <w:t>二、城镇集体单位</w:t>
            </w:r>
          </w:p>
        </w:tc>
        <w:tc>
          <w:tcPr>
            <w:tcW w:w="845" w:type="pct"/>
            <w:vAlign w:val="center"/>
          </w:tcPr>
          <w:p w14:paraId="3117B42C">
            <w:pPr>
              <w:pStyle w:val="13"/>
              <w:jc w:val="center"/>
              <w:rPr>
                <w:rFonts w:hint="eastAsia"/>
              </w:rPr>
            </w:pPr>
            <w:r>
              <w:rPr>
                <w:rFonts w:hint="eastAsia"/>
              </w:rPr>
              <w:t>834</w:t>
            </w:r>
          </w:p>
        </w:tc>
        <w:tc>
          <w:tcPr>
            <w:tcW w:w="845" w:type="pct"/>
            <w:vAlign w:val="center"/>
          </w:tcPr>
          <w:p w14:paraId="48156DDC">
            <w:pPr>
              <w:pStyle w:val="13"/>
              <w:jc w:val="center"/>
              <w:rPr>
                <w:rFonts w:hint="eastAsia"/>
              </w:rPr>
            </w:pPr>
            <w:r>
              <w:rPr>
                <w:rFonts w:hint="eastAsia"/>
              </w:rPr>
              <w:t>12323</w:t>
            </w:r>
          </w:p>
        </w:tc>
        <w:tc>
          <w:tcPr>
            <w:tcW w:w="845" w:type="pct"/>
            <w:vAlign w:val="center"/>
          </w:tcPr>
          <w:p w14:paraId="651A8125">
            <w:pPr>
              <w:pStyle w:val="13"/>
              <w:jc w:val="center"/>
              <w:rPr>
                <w:rFonts w:hint="eastAsia"/>
              </w:rPr>
            </w:pPr>
            <w:r>
              <w:rPr>
                <w:rFonts w:hint="eastAsia"/>
              </w:rPr>
              <w:t>14776</w:t>
            </w:r>
          </w:p>
        </w:tc>
      </w:tr>
      <w:tr w14:paraId="38A2E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2B7F0949">
            <w:pPr>
              <w:pStyle w:val="13"/>
              <w:ind w:firstLine="210" w:firstLineChars="100"/>
              <w:jc w:val="left"/>
              <w:rPr>
                <w:rFonts w:hint="eastAsia"/>
              </w:rPr>
            </w:pPr>
            <w:r>
              <w:rPr>
                <w:rFonts w:hint="eastAsia"/>
              </w:rPr>
              <w:t>1、农业</w:t>
            </w:r>
          </w:p>
        </w:tc>
        <w:tc>
          <w:tcPr>
            <w:tcW w:w="845" w:type="pct"/>
            <w:vAlign w:val="center"/>
          </w:tcPr>
          <w:p w14:paraId="5395C0AE">
            <w:pPr>
              <w:pStyle w:val="13"/>
              <w:jc w:val="center"/>
              <w:rPr>
                <w:rFonts w:hint="eastAsia"/>
              </w:rPr>
            </w:pPr>
            <w:r>
              <w:rPr>
                <w:rFonts w:hint="eastAsia"/>
              </w:rPr>
              <w:t>354</w:t>
            </w:r>
          </w:p>
        </w:tc>
        <w:tc>
          <w:tcPr>
            <w:tcW w:w="845" w:type="pct"/>
            <w:vAlign w:val="center"/>
          </w:tcPr>
          <w:p w14:paraId="0B3E0AF7">
            <w:pPr>
              <w:pStyle w:val="13"/>
              <w:jc w:val="center"/>
              <w:rPr>
                <w:rFonts w:hint="eastAsia"/>
              </w:rPr>
            </w:pPr>
            <w:r>
              <w:rPr>
                <w:rFonts w:hint="eastAsia"/>
              </w:rPr>
              <w:t>3838</w:t>
            </w:r>
          </w:p>
        </w:tc>
        <w:tc>
          <w:tcPr>
            <w:tcW w:w="845" w:type="pct"/>
            <w:vAlign w:val="center"/>
          </w:tcPr>
          <w:p w14:paraId="0462A634">
            <w:pPr>
              <w:pStyle w:val="13"/>
              <w:jc w:val="center"/>
              <w:rPr>
                <w:rFonts w:hint="eastAsia"/>
              </w:rPr>
            </w:pPr>
            <w:r>
              <w:rPr>
                <w:rFonts w:hint="eastAsia"/>
              </w:rPr>
              <w:t>10842</w:t>
            </w:r>
          </w:p>
        </w:tc>
      </w:tr>
      <w:tr w14:paraId="39AA3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5E3BD4BA">
            <w:pPr>
              <w:pStyle w:val="13"/>
              <w:ind w:firstLine="210" w:firstLineChars="100"/>
              <w:jc w:val="left"/>
              <w:rPr>
                <w:rFonts w:hint="eastAsia"/>
              </w:rPr>
            </w:pPr>
            <w:r>
              <w:rPr>
                <w:rFonts w:hint="eastAsia"/>
              </w:rPr>
              <w:t>2、制造业</w:t>
            </w:r>
          </w:p>
        </w:tc>
        <w:tc>
          <w:tcPr>
            <w:tcW w:w="845" w:type="pct"/>
            <w:vAlign w:val="center"/>
          </w:tcPr>
          <w:p w14:paraId="43288BF3">
            <w:pPr>
              <w:pStyle w:val="13"/>
              <w:jc w:val="center"/>
              <w:rPr>
                <w:rFonts w:hint="eastAsia"/>
              </w:rPr>
            </w:pPr>
            <w:r>
              <w:rPr>
                <w:rFonts w:hint="eastAsia"/>
              </w:rPr>
              <w:t>23</w:t>
            </w:r>
          </w:p>
        </w:tc>
        <w:tc>
          <w:tcPr>
            <w:tcW w:w="845" w:type="pct"/>
            <w:vAlign w:val="center"/>
          </w:tcPr>
          <w:p w14:paraId="2424CFF3">
            <w:pPr>
              <w:pStyle w:val="13"/>
              <w:jc w:val="center"/>
              <w:rPr>
                <w:rFonts w:hint="eastAsia"/>
              </w:rPr>
            </w:pPr>
            <w:r>
              <w:rPr>
                <w:rFonts w:hint="eastAsia"/>
              </w:rPr>
              <w:t>172</w:t>
            </w:r>
          </w:p>
        </w:tc>
        <w:tc>
          <w:tcPr>
            <w:tcW w:w="845" w:type="pct"/>
            <w:vAlign w:val="center"/>
          </w:tcPr>
          <w:p w14:paraId="58767BBE">
            <w:pPr>
              <w:pStyle w:val="13"/>
              <w:jc w:val="center"/>
              <w:rPr>
                <w:rFonts w:hint="eastAsia"/>
              </w:rPr>
            </w:pPr>
            <w:r>
              <w:rPr>
                <w:rFonts w:hint="eastAsia"/>
              </w:rPr>
              <w:t>7478</w:t>
            </w:r>
          </w:p>
        </w:tc>
      </w:tr>
      <w:tr w14:paraId="3778A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5EFCA022">
            <w:pPr>
              <w:pStyle w:val="13"/>
              <w:ind w:firstLine="210" w:firstLineChars="100"/>
              <w:jc w:val="left"/>
              <w:rPr>
                <w:rFonts w:hint="eastAsia"/>
              </w:rPr>
            </w:pPr>
            <w:r>
              <w:rPr>
                <w:rFonts w:hint="eastAsia"/>
              </w:rPr>
              <w:t>3、建筑业</w:t>
            </w:r>
          </w:p>
        </w:tc>
        <w:tc>
          <w:tcPr>
            <w:tcW w:w="845" w:type="pct"/>
            <w:vAlign w:val="center"/>
          </w:tcPr>
          <w:p w14:paraId="2965C0B2">
            <w:pPr>
              <w:pStyle w:val="13"/>
              <w:jc w:val="center"/>
              <w:rPr>
                <w:rFonts w:hint="eastAsia"/>
              </w:rPr>
            </w:pPr>
            <w:r>
              <w:rPr>
                <w:rFonts w:hint="eastAsia"/>
              </w:rPr>
              <w:t>419</w:t>
            </w:r>
          </w:p>
        </w:tc>
        <w:tc>
          <w:tcPr>
            <w:tcW w:w="845" w:type="pct"/>
            <w:vAlign w:val="center"/>
          </w:tcPr>
          <w:p w14:paraId="2F4E2821">
            <w:pPr>
              <w:pStyle w:val="13"/>
              <w:jc w:val="center"/>
              <w:rPr>
                <w:rFonts w:hint="eastAsia"/>
              </w:rPr>
            </w:pPr>
            <w:r>
              <w:rPr>
                <w:rFonts w:hint="eastAsia"/>
              </w:rPr>
              <w:t>7641</w:t>
            </w:r>
          </w:p>
        </w:tc>
        <w:tc>
          <w:tcPr>
            <w:tcW w:w="845" w:type="pct"/>
            <w:vAlign w:val="center"/>
          </w:tcPr>
          <w:p w14:paraId="261089C4">
            <w:pPr>
              <w:pStyle w:val="13"/>
              <w:jc w:val="center"/>
              <w:rPr>
                <w:rFonts w:hint="eastAsia"/>
              </w:rPr>
            </w:pPr>
            <w:r>
              <w:rPr>
                <w:rFonts w:hint="eastAsia"/>
              </w:rPr>
              <w:t>18236</w:t>
            </w:r>
          </w:p>
        </w:tc>
      </w:tr>
      <w:tr w14:paraId="303F6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079B8E5B">
            <w:pPr>
              <w:pStyle w:val="13"/>
              <w:ind w:firstLine="210" w:firstLineChars="100"/>
              <w:jc w:val="left"/>
              <w:rPr>
                <w:rFonts w:hint="eastAsia"/>
              </w:rPr>
            </w:pPr>
            <w:r>
              <w:rPr>
                <w:rFonts w:hint="eastAsia"/>
              </w:rPr>
              <w:t>4、交通运输、仓储和邮政业</w:t>
            </w:r>
          </w:p>
        </w:tc>
        <w:tc>
          <w:tcPr>
            <w:tcW w:w="845" w:type="pct"/>
            <w:vAlign w:val="center"/>
          </w:tcPr>
          <w:p w14:paraId="4F95798C">
            <w:pPr>
              <w:pStyle w:val="13"/>
              <w:jc w:val="center"/>
              <w:rPr>
                <w:rFonts w:hint="eastAsia"/>
              </w:rPr>
            </w:pPr>
            <w:r>
              <w:rPr>
                <w:rFonts w:hint="eastAsia"/>
              </w:rPr>
              <w:t>26</w:t>
            </w:r>
          </w:p>
        </w:tc>
        <w:tc>
          <w:tcPr>
            <w:tcW w:w="845" w:type="pct"/>
            <w:vAlign w:val="center"/>
          </w:tcPr>
          <w:p w14:paraId="64F86980">
            <w:pPr>
              <w:pStyle w:val="13"/>
              <w:jc w:val="center"/>
              <w:rPr>
                <w:rFonts w:hint="eastAsia"/>
              </w:rPr>
            </w:pPr>
            <w:r>
              <w:rPr>
                <w:rFonts w:hint="eastAsia"/>
              </w:rPr>
              <w:t>442</w:t>
            </w:r>
          </w:p>
        </w:tc>
        <w:tc>
          <w:tcPr>
            <w:tcW w:w="845" w:type="pct"/>
            <w:vAlign w:val="center"/>
          </w:tcPr>
          <w:p w14:paraId="0583459D">
            <w:pPr>
              <w:pStyle w:val="13"/>
              <w:jc w:val="center"/>
              <w:rPr>
                <w:rFonts w:hint="eastAsia"/>
              </w:rPr>
            </w:pPr>
            <w:r>
              <w:rPr>
                <w:rFonts w:hint="eastAsia"/>
              </w:rPr>
              <w:t>17000</w:t>
            </w:r>
          </w:p>
        </w:tc>
      </w:tr>
      <w:tr w14:paraId="044FB1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5FD117BA">
            <w:pPr>
              <w:pStyle w:val="13"/>
              <w:ind w:firstLine="210" w:firstLineChars="100"/>
              <w:jc w:val="left"/>
              <w:rPr>
                <w:rFonts w:hint="eastAsia"/>
              </w:rPr>
            </w:pPr>
            <w:r>
              <w:rPr>
                <w:rFonts w:hint="eastAsia"/>
              </w:rPr>
              <w:t>5、批发和零售业</w:t>
            </w:r>
          </w:p>
        </w:tc>
        <w:tc>
          <w:tcPr>
            <w:tcW w:w="845" w:type="pct"/>
            <w:vAlign w:val="center"/>
          </w:tcPr>
          <w:p w14:paraId="74E17224">
            <w:pPr>
              <w:pStyle w:val="13"/>
              <w:jc w:val="center"/>
              <w:rPr>
                <w:rFonts w:hint="eastAsia"/>
              </w:rPr>
            </w:pPr>
          </w:p>
        </w:tc>
        <w:tc>
          <w:tcPr>
            <w:tcW w:w="845" w:type="pct"/>
            <w:vAlign w:val="center"/>
          </w:tcPr>
          <w:p w14:paraId="1C66BA79">
            <w:pPr>
              <w:pStyle w:val="13"/>
              <w:jc w:val="center"/>
              <w:rPr>
                <w:rFonts w:hint="eastAsia"/>
              </w:rPr>
            </w:pPr>
          </w:p>
        </w:tc>
        <w:tc>
          <w:tcPr>
            <w:tcW w:w="845" w:type="pct"/>
            <w:vAlign w:val="center"/>
          </w:tcPr>
          <w:p w14:paraId="64844E5A">
            <w:pPr>
              <w:pStyle w:val="13"/>
              <w:jc w:val="center"/>
              <w:rPr>
                <w:rFonts w:hint="eastAsia"/>
              </w:rPr>
            </w:pPr>
          </w:p>
        </w:tc>
      </w:tr>
      <w:tr w14:paraId="7E1E2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5058B7A1">
            <w:pPr>
              <w:pStyle w:val="13"/>
              <w:ind w:firstLine="210" w:firstLineChars="100"/>
              <w:jc w:val="left"/>
              <w:rPr>
                <w:rFonts w:hint="eastAsia"/>
              </w:rPr>
            </w:pPr>
            <w:r>
              <w:rPr>
                <w:rFonts w:hint="eastAsia"/>
              </w:rPr>
              <w:t>6、金融业</w:t>
            </w:r>
          </w:p>
        </w:tc>
        <w:tc>
          <w:tcPr>
            <w:tcW w:w="845" w:type="pct"/>
            <w:vAlign w:val="center"/>
          </w:tcPr>
          <w:p w14:paraId="3211546F">
            <w:pPr>
              <w:pStyle w:val="13"/>
              <w:jc w:val="center"/>
              <w:rPr>
                <w:rFonts w:hint="eastAsia"/>
              </w:rPr>
            </w:pPr>
          </w:p>
        </w:tc>
        <w:tc>
          <w:tcPr>
            <w:tcW w:w="845" w:type="pct"/>
            <w:vAlign w:val="center"/>
          </w:tcPr>
          <w:p w14:paraId="410B876E">
            <w:pPr>
              <w:pStyle w:val="13"/>
              <w:jc w:val="center"/>
              <w:rPr>
                <w:rFonts w:hint="eastAsia"/>
              </w:rPr>
            </w:pPr>
          </w:p>
        </w:tc>
        <w:tc>
          <w:tcPr>
            <w:tcW w:w="845" w:type="pct"/>
            <w:vAlign w:val="center"/>
          </w:tcPr>
          <w:p w14:paraId="532976E1">
            <w:pPr>
              <w:pStyle w:val="13"/>
              <w:jc w:val="center"/>
              <w:rPr>
                <w:rFonts w:hint="eastAsia"/>
              </w:rPr>
            </w:pPr>
          </w:p>
        </w:tc>
      </w:tr>
      <w:tr w14:paraId="44904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0C8A8305">
            <w:pPr>
              <w:pStyle w:val="13"/>
              <w:ind w:firstLine="210" w:firstLineChars="100"/>
              <w:jc w:val="left"/>
              <w:rPr>
                <w:rFonts w:hint="eastAsia"/>
              </w:rPr>
            </w:pPr>
            <w:r>
              <w:rPr>
                <w:rFonts w:hint="eastAsia"/>
              </w:rPr>
              <w:t>7、房地产业</w:t>
            </w:r>
          </w:p>
        </w:tc>
        <w:tc>
          <w:tcPr>
            <w:tcW w:w="845" w:type="pct"/>
            <w:vAlign w:val="center"/>
          </w:tcPr>
          <w:p w14:paraId="58E515BF">
            <w:pPr>
              <w:pStyle w:val="13"/>
              <w:jc w:val="center"/>
              <w:rPr>
                <w:rFonts w:hint="eastAsia"/>
              </w:rPr>
            </w:pPr>
          </w:p>
        </w:tc>
        <w:tc>
          <w:tcPr>
            <w:tcW w:w="845" w:type="pct"/>
            <w:vAlign w:val="center"/>
          </w:tcPr>
          <w:p w14:paraId="71C86506">
            <w:pPr>
              <w:pStyle w:val="13"/>
              <w:jc w:val="center"/>
              <w:rPr>
                <w:rFonts w:hint="eastAsia"/>
              </w:rPr>
            </w:pPr>
          </w:p>
        </w:tc>
        <w:tc>
          <w:tcPr>
            <w:tcW w:w="845" w:type="pct"/>
            <w:vAlign w:val="center"/>
          </w:tcPr>
          <w:p w14:paraId="07D71F55">
            <w:pPr>
              <w:pStyle w:val="13"/>
              <w:jc w:val="center"/>
              <w:rPr>
                <w:rFonts w:hint="eastAsia"/>
              </w:rPr>
            </w:pPr>
          </w:p>
        </w:tc>
      </w:tr>
      <w:tr w14:paraId="2E12DD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28AB2BD8">
            <w:pPr>
              <w:pStyle w:val="13"/>
              <w:ind w:firstLine="210" w:firstLineChars="100"/>
              <w:jc w:val="left"/>
              <w:rPr>
                <w:rFonts w:hint="eastAsia"/>
              </w:rPr>
            </w:pPr>
            <w:r>
              <w:rPr>
                <w:rFonts w:hint="eastAsia"/>
              </w:rPr>
              <w:t>8、租赁和商务服务业</w:t>
            </w:r>
          </w:p>
        </w:tc>
        <w:tc>
          <w:tcPr>
            <w:tcW w:w="845" w:type="pct"/>
            <w:vAlign w:val="center"/>
          </w:tcPr>
          <w:p w14:paraId="7C654FBB">
            <w:pPr>
              <w:pStyle w:val="13"/>
              <w:jc w:val="center"/>
              <w:rPr>
                <w:rFonts w:hint="eastAsia"/>
              </w:rPr>
            </w:pPr>
            <w:r>
              <w:rPr>
                <w:rFonts w:hint="eastAsia"/>
              </w:rPr>
              <w:t>12</w:t>
            </w:r>
          </w:p>
        </w:tc>
        <w:tc>
          <w:tcPr>
            <w:tcW w:w="845" w:type="pct"/>
            <w:vAlign w:val="center"/>
          </w:tcPr>
          <w:p w14:paraId="3AFFFAB5">
            <w:pPr>
              <w:pStyle w:val="13"/>
              <w:jc w:val="center"/>
              <w:rPr>
                <w:rFonts w:hint="eastAsia"/>
              </w:rPr>
            </w:pPr>
            <w:r>
              <w:rPr>
                <w:rFonts w:hint="eastAsia"/>
              </w:rPr>
              <w:t>230</w:t>
            </w:r>
          </w:p>
        </w:tc>
        <w:tc>
          <w:tcPr>
            <w:tcW w:w="845" w:type="pct"/>
            <w:vAlign w:val="center"/>
          </w:tcPr>
          <w:p w14:paraId="220F4A1B">
            <w:pPr>
              <w:pStyle w:val="13"/>
              <w:jc w:val="center"/>
              <w:rPr>
                <w:rFonts w:hint="eastAsia"/>
              </w:rPr>
            </w:pPr>
            <w:r>
              <w:rPr>
                <w:rFonts w:hint="eastAsia"/>
              </w:rPr>
              <w:t>19167</w:t>
            </w:r>
          </w:p>
        </w:tc>
      </w:tr>
      <w:tr w14:paraId="4D40E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3AD2DEE4">
            <w:pPr>
              <w:pStyle w:val="13"/>
              <w:jc w:val="left"/>
              <w:rPr>
                <w:rFonts w:hint="eastAsia"/>
              </w:rPr>
            </w:pPr>
            <w:r>
              <w:rPr>
                <w:rFonts w:hint="eastAsia"/>
              </w:rPr>
              <w:t>三、其他类型单位</w:t>
            </w:r>
          </w:p>
        </w:tc>
        <w:tc>
          <w:tcPr>
            <w:tcW w:w="845" w:type="pct"/>
            <w:vAlign w:val="center"/>
          </w:tcPr>
          <w:p w14:paraId="68FB1F8E">
            <w:pPr>
              <w:pStyle w:val="13"/>
              <w:jc w:val="center"/>
              <w:rPr>
                <w:rFonts w:hint="eastAsia"/>
              </w:rPr>
            </w:pPr>
            <w:r>
              <w:rPr>
                <w:rFonts w:hint="eastAsia"/>
              </w:rPr>
              <w:t>5271</w:t>
            </w:r>
          </w:p>
        </w:tc>
        <w:tc>
          <w:tcPr>
            <w:tcW w:w="845" w:type="pct"/>
            <w:vAlign w:val="center"/>
          </w:tcPr>
          <w:p w14:paraId="66BE9EAC">
            <w:pPr>
              <w:pStyle w:val="13"/>
              <w:jc w:val="center"/>
              <w:rPr>
                <w:rFonts w:hint="eastAsia"/>
              </w:rPr>
            </w:pPr>
            <w:r>
              <w:rPr>
                <w:rFonts w:hint="eastAsia"/>
              </w:rPr>
              <w:t>122547</w:t>
            </w:r>
          </w:p>
        </w:tc>
        <w:tc>
          <w:tcPr>
            <w:tcW w:w="845" w:type="pct"/>
            <w:vAlign w:val="center"/>
          </w:tcPr>
          <w:p w14:paraId="4AC505DF">
            <w:pPr>
              <w:pStyle w:val="13"/>
              <w:jc w:val="center"/>
              <w:rPr>
                <w:rFonts w:hint="eastAsia"/>
              </w:rPr>
            </w:pPr>
            <w:r>
              <w:rPr>
                <w:rFonts w:hint="eastAsia"/>
              </w:rPr>
              <w:t>23249</w:t>
            </w:r>
          </w:p>
        </w:tc>
      </w:tr>
      <w:tr w14:paraId="41C7BA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4674C31D">
            <w:pPr>
              <w:pStyle w:val="13"/>
              <w:ind w:firstLine="210" w:firstLineChars="100"/>
              <w:jc w:val="left"/>
              <w:rPr>
                <w:rFonts w:hint="eastAsia"/>
              </w:rPr>
            </w:pPr>
            <w:r>
              <w:rPr>
                <w:rFonts w:hint="eastAsia"/>
              </w:rPr>
              <w:t>1、农、林、鱼、牧业</w:t>
            </w:r>
          </w:p>
        </w:tc>
        <w:tc>
          <w:tcPr>
            <w:tcW w:w="845" w:type="pct"/>
            <w:vAlign w:val="center"/>
          </w:tcPr>
          <w:p w14:paraId="5061D544">
            <w:pPr>
              <w:pStyle w:val="13"/>
              <w:jc w:val="center"/>
              <w:rPr>
                <w:rFonts w:hint="eastAsia"/>
              </w:rPr>
            </w:pPr>
            <w:r>
              <w:rPr>
                <w:rFonts w:hint="eastAsia"/>
              </w:rPr>
              <w:t>4</w:t>
            </w:r>
          </w:p>
        </w:tc>
        <w:tc>
          <w:tcPr>
            <w:tcW w:w="845" w:type="pct"/>
            <w:vAlign w:val="center"/>
          </w:tcPr>
          <w:p w14:paraId="787D1DE5">
            <w:pPr>
              <w:pStyle w:val="13"/>
              <w:jc w:val="center"/>
              <w:rPr>
                <w:rFonts w:hint="eastAsia"/>
              </w:rPr>
            </w:pPr>
            <w:r>
              <w:rPr>
                <w:rFonts w:hint="eastAsia"/>
              </w:rPr>
              <w:t>62</w:t>
            </w:r>
          </w:p>
        </w:tc>
        <w:tc>
          <w:tcPr>
            <w:tcW w:w="845" w:type="pct"/>
            <w:vAlign w:val="center"/>
          </w:tcPr>
          <w:p w14:paraId="2786C564">
            <w:pPr>
              <w:pStyle w:val="13"/>
              <w:jc w:val="center"/>
              <w:rPr>
                <w:rFonts w:hint="eastAsia"/>
              </w:rPr>
            </w:pPr>
            <w:r>
              <w:rPr>
                <w:rFonts w:hint="eastAsia"/>
              </w:rPr>
              <w:t>15500</w:t>
            </w:r>
          </w:p>
        </w:tc>
      </w:tr>
      <w:tr w14:paraId="6F13F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1B134CBD">
            <w:pPr>
              <w:pStyle w:val="13"/>
              <w:ind w:firstLine="210" w:firstLineChars="100"/>
              <w:jc w:val="left"/>
              <w:rPr>
                <w:rFonts w:hint="eastAsia"/>
              </w:rPr>
            </w:pPr>
            <w:r>
              <w:rPr>
                <w:rFonts w:hint="eastAsia"/>
              </w:rPr>
              <w:t>2、采矿业</w:t>
            </w:r>
          </w:p>
        </w:tc>
        <w:tc>
          <w:tcPr>
            <w:tcW w:w="845" w:type="pct"/>
            <w:vAlign w:val="center"/>
          </w:tcPr>
          <w:p w14:paraId="44A55325">
            <w:pPr>
              <w:pStyle w:val="13"/>
              <w:jc w:val="center"/>
              <w:rPr>
                <w:rFonts w:hint="eastAsia"/>
              </w:rPr>
            </w:pPr>
            <w:r>
              <w:rPr>
                <w:rFonts w:hint="eastAsia"/>
              </w:rPr>
              <w:t>250</w:t>
            </w:r>
          </w:p>
        </w:tc>
        <w:tc>
          <w:tcPr>
            <w:tcW w:w="845" w:type="pct"/>
            <w:vAlign w:val="center"/>
          </w:tcPr>
          <w:p w14:paraId="73C7548A">
            <w:pPr>
              <w:pStyle w:val="13"/>
              <w:jc w:val="center"/>
              <w:rPr>
                <w:rFonts w:hint="eastAsia"/>
              </w:rPr>
            </w:pPr>
            <w:r>
              <w:rPr>
                <w:rFonts w:hint="eastAsia"/>
              </w:rPr>
              <w:t>6275</w:t>
            </w:r>
          </w:p>
        </w:tc>
        <w:tc>
          <w:tcPr>
            <w:tcW w:w="845" w:type="pct"/>
            <w:vAlign w:val="center"/>
          </w:tcPr>
          <w:p w14:paraId="3E8B5D93">
            <w:pPr>
              <w:pStyle w:val="13"/>
              <w:jc w:val="center"/>
              <w:rPr>
                <w:rFonts w:hint="eastAsia"/>
              </w:rPr>
            </w:pPr>
            <w:r>
              <w:rPr>
                <w:rFonts w:hint="eastAsia"/>
              </w:rPr>
              <w:t>25100</w:t>
            </w:r>
          </w:p>
        </w:tc>
      </w:tr>
      <w:tr w14:paraId="31EFA501">
        <w:tblPrEx>
          <w:tblCellMar>
            <w:top w:w="0" w:type="dxa"/>
            <w:left w:w="108" w:type="dxa"/>
            <w:bottom w:w="0" w:type="dxa"/>
            <w:right w:w="108" w:type="dxa"/>
          </w:tblCellMar>
        </w:tblPrEx>
        <w:tc>
          <w:tcPr>
            <w:tcW w:w="2464" w:type="pct"/>
            <w:vAlign w:val="center"/>
          </w:tcPr>
          <w:p w14:paraId="29217435">
            <w:pPr>
              <w:pStyle w:val="13"/>
              <w:ind w:firstLine="210" w:firstLineChars="100"/>
              <w:jc w:val="left"/>
              <w:rPr>
                <w:rFonts w:hint="eastAsia"/>
              </w:rPr>
            </w:pPr>
            <w:r>
              <w:rPr>
                <w:rFonts w:hint="eastAsia"/>
              </w:rPr>
              <w:t>3、制造业</w:t>
            </w:r>
          </w:p>
        </w:tc>
        <w:tc>
          <w:tcPr>
            <w:tcW w:w="845" w:type="pct"/>
            <w:vAlign w:val="center"/>
          </w:tcPr>
          <w:p w14:paraId="3106F581">
            <w:pPr>
              <w:pStyle w:val="13"/>
              <w:jc w:val="center"/>
              <w:rPr>
                <w:rFonts w:hint="eastAsia"/>
              </w:rPr>
            </w:pPr>
            <w:r>
              <w:rPr>
                <w:rFonts w:hint="eastAsia"/>
              </w:rPr>
              <w:t>2982</w:t>
            </w:r>
          </w:p>
        </w:tc>
        <w:tc>
          <w:tcPr>
            <w:tcW w:w="845" w:type="pct"/>
            <w:vAlign w:val="center"/>
          </w:tcPr>
          <w:p w14:paraId="51D21E41">
            <w:pPr>
              <w:pStyle w:val="13"/>
              <w:jc w:val="center"/>
              <w:rPr>
                <w:rFonts w:hint="eastAsia"/>
              </w:rPr>
            </w:pPr>
            <w:r>
              <w:rPr>
                <w:rFonts w:hint="eastAsia"/>
              </w:rPr>
              <w:t>48241</w:t>
            </w:r>
          </w:p>
        </w:tc>
        <w:tc>
          <w:tcPr>
            <w:tcW w:w="845" w:type="pct"/>
            <w:vAlign w:val="center"/>
          </w:tcPr>
          <w:p w14:paraId="18EEEA1E">
            <w:pPr>
              <w:pStyle w:val="13"/>
              <w:jc w:val="center"/>
              <w:rPr>
                <w:rFonts w:hint="eastAsia"/>
              </w:rPr>
            </w:pPr>
            <w:r>
              <w:rPr>
                <w:rFonts w:hint="eastAsia"/>
              </w:rPr>
              <w:t>16177</w:t>
            </w:r>
          </w:p>
        </w:tc>
      </w:tr>
      <w:tr w14:paraId="75C6C8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22D24CC6">
            <w:pPr>
              <w:pStyle w:val="13"/>
              <w:ind w:firstLine="210" w:firstLineChars="100"/>
              <w:jc w:val="left"/>
              <w:rPr>
                <w:rFonts w:hint="eastAsia"/>
              </w:rPr>
            </w:pPr>
            <w:r>
              <w:rPr>
                <w:rFonts w:hint="eastAsia"/>
              </w:rPr>
              <w:t>4、电力、燃气及水生产和供应业</w:t>
            </w:r>
          </w:p>
        </w:tc>
        <w:tc>
          <w:tcPr>
            <w:tcW w:w="845" w:type="pct"/>
            <w:vAlign w:val="center"/>
          </w:tcPr>
          <w:p w14:paraId="766FAD5B">
            <w:pPr>
              <w:pStyle w:val="13"/>
              <w:jc w:val="center"/>
              <w:rPr>
                <w:rFonts w:hint="eastAsia"/>
              </w:rPr>
            </w:pPr>
            <w:r>
              <w:rPr>
                <w:rFonts w:hint="eastAsia"/>
              </w:rPr>
              <w:t>375</w:t>
            </w:r>
          </w:p>
        </w:tc>
        <w:tc>
          <w:tcPr>
            <w:tcW w:w="845" w:type="pct"/>
            <w:vAlign w:val="center"/>
          </w:tcPr>
          <w:p w14:paraId="2B9D91C8">
            <w:pPr>
              <w:pStyle w:val="13"/>
              <w:jc w:val="center"/>
              <w:rPr>
                <w:rFonts w:hint="eastAsia"/>
              </w:rPr>
            </w:pPr>
            <w:r>
              <w:rPr>
                <w:rFonts w:hint="eastAsia"/>
              </w:rPr>
              <w:t>8246</w:t>
            </w:r>
          </w:p>
        </w:tc>
        <w:tc>
          <w:tcPr>
            <w:tcW w:w="845" w:type="pct"/>
            <w:vAlign w:val="center"/>
          </w:tcPr>
          <w:p w14:paraId="368DDFA4">
            <w:pPr>
              <w:pStyle w:val="13"/>
              <w:jc w:val="center"/>
              <w:rPr>
                <w:rFonts w:hint="eastAsia"/>
              </w:rPr>
            </w:pPr>
            <w:r>
              <w:rPr>
                <w:rFonts w:hint="eastAsia"/>
              </w:rPr>
              <w:t>21989</w:t>
            </w:r>
          </w:p>
        </w:tc>
      </w:tr>
      <w:tr w14:paraId="5FF41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42000652">
            <w:pPr>
              <w:pStyle w:val="13"/>
              <w:ind w:firstLine="210" w:firstLineChars="100"/>
              <w:jc w:val="left"/>
              <w:rPr>
                <w:rFonts w:hint="eastAsia"/>
              </w:rPr>
            </w:pPr>
            <w:r>
              <w:rPr>
                <w:rFonts w:hint="eastAsia"/>
              </w:rPr>
              <w:t>5、交通运输、仓储和邮政业</w:t>
            </w:r>
          </w:p>
        </w:tc>
        <w:tc>
          <w:tcPr>
            <w:tcW w:w="845" w:type="pct"/>
            <w:vAlign w:val="center"/>
          </w:tcPr>
          <w:p w14:paraId="239C0E4B">
            <w:pPr>
              <w:pStyle w:val="13"/>
              <w:jc w:val="center"/>
              <w:rPr>
                <w:rFonts w:hint="eastAsia"/>
              </w:rPr>
            </w:pPr>
            <w:r>
              <w:rPr>
                <w:rFonts w:hint="eastAsia"/>
              </w:rPr>
              <w:t>66</w:t>
            </w:r>
          </w:p>
        </w:tc>
        <w:tc>
          <w:tcPr>
            <w:tcW w:w="845" w:type="pct"/>
            <w:vAlign w:val="center"/>
          </w:tcPr>
          <w:p w14:paraId="52BCD5CC">
            <w:pPr>
              <w:pStyle w:val="13"/>
              <w:jc w:val="center"/>
              <w:rPr>
                <w:rFonts w:hint="eastAsia"/>
              </w:rPr>
            </w:pPr>
            <w:r>
              <w:rPr>
                <w:rFonts w:hint="eastAsia"/>
              </w:rPr>
              <w:t>1588</w:t>
            </w:r>
          </w:p>
        </w:tc>
        <w:tc>
          <w:tcPr>
            <w:tcW w:w="845" w:type="pct"/>
            <w:vAlign w:val="center"/>
          </w:tcPr>
          <w:p w14:paraId="2149644A">
            <w:pPr>
              <w:pStyle w:val="13"/>
              <w:jc w:val="center"/>
              <w:rPr>
                <w:rFonts w:hint="eastAsia"/>
              </w:rPr>
            </w:pPr>
            <w:r>
              <w:rPr>
                <w:rFonts w:hint="eastAsia"/>
              </w:rPr>
              <w:t>24061</w:t>
            </w:r>
          </w:p>
        </w:tc>
      </w:tr>
      <w:tr w14:paraId="1F8AEC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7A05D9A8">
            <w:pPr>
              <w:pStyle w:val="13"/>
              <w:ind w:firstLine="210" w:firstLineChars="100"/>
              <w:jc w:val="left"/>
              <w:rPr>
                <w:rFonts w:hint="eastAsia"/>
              </w:rPr>
            </w:pPr>
            <w:r>
              <w:rPr>
                <w:rFonts w:hint="eastAsia"/>
              </w:rPr>
              <w:t>8、批发和零售业</w:t>
            </w:r>
          </w:p>
        </w:tc>
        <w:tc>
          <w:tcPr>
            <w:tcW w:w="845" w:type="pct"/>
            <w:vAlign w:val="center"/>
          </w:tcPr>
          <w:p w14:paraId="36701DE6">
            <w:pPr>
              <w:pStyle w:val="13"/>
              <w:jc w:val="center"/>
              <w:rPr>
                <w:rFonts w:hint="eastAsia"/>
              </w:rPr>
            </w:pPr>
            <w:r>
              <w:rPr>
                <w:rFonts w:hint="eastAsia"/>
              </w:rPr>
              <w:t>801</w:t>
            </w:r>
          </w:p>
        </w:tc>
        <w:tc>
          <w:tcPr>
            <w:tcW w:w="845" w:type="pct"/>
            <w:vAlign w:val="center"/>
          </w:tcPr>
          <w:p w14:paraId="084C3189">
            <w:pPr>
              <w:pStyle w:val="13"/>
              <w:jc w:val="center"/>
              <w:rPr>
                <w:rFonts w:hint="eastAsia"/>
              </w:rPr>
            </w:pPr>
            <w:r>
              <w:rPr>
                <w:rFonts w:hint="eastAsia"/>
              </w:rPr>
              <w:t>31789</w:t>
            </w:r>
          </w:p>
        </w:tc>
        <w:tc>
          <w:tcPr>
            <w:tcW w:w="845" w:type="pct"/>
            <w:vAlign w:val="center"/>
          </w:tcPr>
          <w:p w14:paraId="38341B05">
            <w:pPr>
              <w:pStyle w:val="13"/>
              <w:jc w:val="center"/>
              <w:rPr>
                <w:rFonts w:hint="eastAsia"/>
              </w:rPr>
            </w:pPr>
            <w:r>
              <w:rPr>
                <w:rFonts w:hint="eastAsia"/>
              </w:rPr>
              <w:t>39687</w:t>
            </w:r>
          </w:p>
        </w:tc>
      </w:tr>
      <w:tr w14:paraId="5A5AD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6E8464AB">
            <w:pPr>
              <w:pStyle w:val="13"/>
              <w:ind w:firstLine="210" w:firstLineChars="100"/>
              <w:jc w:val="left"/>
              <w:rPr>
                <w:rFonts w:hint="eastAsia"/>
              </w:rPr>
            </w:pPr>
            <w:r>
              <w:rPr>
                <w:rFonts w:hint="eastAsia"/>
              </w:rPr>
              <w:t>9、住宿和餐饮业</w:t>
            </w:r>
          </w:p>
        </w:tc>
        <w:tc>
          <w:tcPr>
            <w:tcW w:w="845" w:type="pct"/>
            <w:vAlign w:val="center"/>
          </w:tcPr>
          <w:p w14:paraId="283E94E1">
            <w:pPr>
              <w:pStyle w:val="13"/>
              <w:jc w:val="center"/>
              <w:rPr>
                <w:rFonts w:hint="eastAsia"/>
              </w:rPr>
            </w:pPr>
            <w:r>
              <w:rPr>
                <w:rFonts w:hint="eastAsia"/>
              </w:rPr>
              <w:t>148</w:t>
            </w:r>
          </w:p>
        </w:tc>
        <w:tc>
          <w:tcPr>
            <w:tcW w:w="845" w:type="pct"/>
            <w:vAlign w:val="center"/>
          </w:tcPr>
          <w:p w14:paraId="65867F13">
            <w:pPr>
              <w:pStyle w:val="13"/>
              <w:jc w:val="center"/>
              <w:rPr>
                <w:rFonts w:hint="eastAsia"/>
              </w:rPr>
            </w:pPr>
            <w:r>
              <w:rPr>
                <w:rFonts w:hint="eastAsia"/>
              </w:rPr>
              <w:t>1573</w:t>
            </w:r>
          </w:p>
        </w:tc>
        <w:tc>
          <w:tcPr>
            <w:tcW w:w="845" w:type="pct"/>
            <w:vAlign w:val="center"/>
          </w:tcPr>
          <w:p w14:paraId="1423B9A8">
            <w:pPr>
              <w:pStyle w:val="13"/>
              <w:jc w:val="center"/>
              <w:rPr>
                <w:rFonts w:hint="eastAsia"/>
              </w:rPr>
            </w:pPr>
            <w:r>
              <w:rPr>
                <w:rFonts w:hint="eastAsia"/>
              </w:rPr>
              <w:t>10628</w:t>
            </w:r>
          </w:p>
        </w:tc>
      </w:tr>
      <w:tr w14:paraId="47E75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0A2FEBFC">
            <w:pPr>
              <w:pStyle w:val="13"/>
              <w:ind w:firstLine="210" w:firstLineChars="100"/>
              <w:jc w:val="left"/>
              <w:rPr>
                <w:rFonts w:hint="eastAsia"/>
              </w:rPr>
            </w:pPr>
            <w:r>
              <w:rPr>
                <w:rFonts w:hint="eastAsia"/>
              </w:rPr>
              <w:t>11、房地产业</w:t>
            </w:r>
          </w:p>
        </w:tc>
        <w:tc>
          <w:tcPr>
            <w:tcW w:w="845" w:type="pct"/>
            <w:vAlign w:val="center"/>
          </w:tcPr>
          <w:p w14:paraId="14636FBD">
            <w:pPr>
              <w:pStyle w:val="13"/>
              <w:jc w:val="center"/>
              <w:rPr>
                <w:rFonts w:hint="eastAsia"/>
              </w:rPr>
            </w:pPr>
            <w:r>
              <w:rPr>
                <w:rFonts w:hint="eastAsia"/>
              </w:rPr>
              <w:t>133</w:t>
            </w:r>
          </w:p>
        </w:tc>
        <w:tc>
          <w:tcPr>
            <w:tcW w:w="845" w:type="pct"/>
            <w:vAlign w:val="center"/>
          </w:tcPr>
          <w:p w14:paraId="3F6B7983">
            <w:pPr>
              <w:pStyle w:val="13"/>
              <w:jc w:val="center"/>
              <w:rPr>
                <w:rFonts w:hint="eastAsia"/>
              </w:rPr>
            </w:pPr>
            <w:r>
              <w:rPr>
                <w:rFonts w:hint="eastAsia"/>
              </w:rPr>
              <w:t>2339</w:t>
            </w:r>
          </w:p>
        </w:tc>
        <w:tc>
          <w:tcPr>
            <w:tcW w:w="845" w:type="pct"/>
            <w:vAlign w:val="center"/>
          </w:tcPr>
          <w:p w14:paraId="1CD79083">
            <w:pPr>
              <w:pStyle w:val="13"/>
              <w:jc w:val="center"/>
              <w:rPr>
                <w:rFonts w:hint="eastAsia"/>
              </w:rPr>
            </w:pPr>
            <w:r>
              <w:rPr>
                <w:rFonts w:hint="eastAsia"/>
              </w:rPr>
              <w:t>17586</w:t>
            </w:r>
          </w:p>
        </w:tc>
      </w:tr>
      <w:tr w14:paraId="313D6B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26D471D1">
            <w:pPr>
              <w:pStyle w:val="13"/>
              <w:ind w:firstLine="210" w:firstLineChars="100"/>
              <w:jc w:val="left"/>
              <w:rPr>
                <w:rFonts w:hint="eastAsia"/>
              </w:rPr>
            </w:pPr>
            <w:r>
              <w:rPr>
                <w:rFonts w:hint="eastAsia"/>
              </w:rPr>
              <w:t>13、科学研究、技术服务和地质勘探业</w:t>
            </w:r>
          </w:p>
        </w:tc>
        <w:tc>
          <w:tcPr>
            <w:tcW w:w="845" w:type="pct"/>
            <w:vAlign w:val="center"/>
          </w:tcPr>
          <w:p w14:paraId="5C7DB741">
            <w:pPr>
              <w:pStyle w:val="13"/>
              <w:jc w:val="center"/>
              <w:rPr>
                <w:rFonts w:hint="eastAsia"/>
              </w:rPr>
            </w:pPr>
            <w:r>
              <w:rPr>
                <w:rFonts w:hint="eastAsia"/>
              </w:rPr>
              <w:t>19</w:t>
            </w:r>
          </w:p>
        </w:tc>
        <w:tc>
          <w:tcPr>
            <w:tcW w:w="845" w:type="pct"/>
            <w:vAlign w:val="center"/>
          </w:tcPr>
          <w:p w14:paraId="447ED8D5">
            <w:pPr>
              <w:pStyle w:val="13"/>
              <w:jc w:val="center"/>
              <w:rPr>
                <w:rFonts w:hint="eastAsia"/>
              </w:rPr>
            </w:pPr>
            <w:r>
              <w:rPr>
                <w:rFonts w:hint="eastAsia"/>
              </w:rPr>
              <w:t>388</w:t>
            </w:r>
          </w:p>
        </w:tc>
        <w:tc>
          <w:tcPr>
            <w:tcW w:w="845" w:type="pct"/>
            <w:vAlign w:val="center"/>
          </w:tcPr>
          <w:p w14:paraId="3AD46EF3">
            <w:pPr>
              <w:pStyle w:val="13"/>
              <w:jc w:val="center"/>
              <w:rPr>
                <w:rFonts w:hint="eastAsia"/>
              </w:rPr>
            </w:pPr>
            <w:r>
              <w:rPr>
                <w:rFonts w:hint="eastAsia"/>
              </w:rPr>
              <w:t>20421</w:t>
            </w:r>
          </w:p>
        </w:tc>
      </w:tr>
      <w:tr w14:paraId="5EBB4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0AB0E30C">
            <w:pPr>
              <w:pStyle w:val="13"/>
              <w:ind w:firstLine="210" w:firstLineChars="100"/>
              <w:jc w:val="left"/>
              <w:rPr>
                <w:rFonts w:hint="eastAsia"/>
              </w:rPr>
            </w:pPr>
            <w:r>
              <w:rPr>
                <w:rFonts w:hint="eastAsia"/>
              </w:rPr>
              <w:t>14、金融业</w:t>
            </w:r>
          </w:p>
        </w:tc>
        <w:tc>
          <w:tcPr>
            <w:tcW w:w="845" w:type="pct"/>
            <w:vAlign w:val="center"/>
          </w:tcPr>
          <w:p w14:paraId="6ABA83C9">
            <w:pPr>
              <w:pStyle w:val="13"/>
              <w:jc w:val="center"/>
              <w:rPr>
                <w:rFonts w:hint="eastAsia"/>
              </w:rPr>
            </w:pPr>
            <w:r>
              <w:rPr>
                <w:rFonts w:hint="eastAsia"/>
              </w:rPr>
              <w:t>338</w:t>
            </w:r>
          </w:p>
        </w:tc>
        <w:tc>
          <w:tcPr>
            <w:tcW w:w="845" w:type="pct"/>
            <w:vAlign w:val="center"/>
          </w:tcPr>
          <w:p w14:paraId="3BBBE018">
            <w:pPr>
              <w:pStyle w:val="13"/>
              <w:jc w:val="center"/>
              <w:rPr>
                <w:rFonts w:hint="eastAsia"/>
              </w:rPr>
            </w:pPr>
            <w:r>
              <w:rPr>
                <w:rFonts w:hint="eastAsia"/>
              </w:rPr>
              <w:t>13377</w:t>
            </w:r>
          </w:p>
        </w:tc>
        <w:tc>
          <w:tcPr>
            <w:tcW w:w="845" w:type="pct"/>
            <w:vAlign w:val="center"/>
          </w:tcPr>
          <w:p w14:paraId="656FCF0B">
            <w:pPr>
              <w:pStyle w:val="13"/>
              <w:jc w:val="center"/>
              <w:rPr>
                <w:rFonts w:hint="eastAsia"/>
              </w:rPr>
            </w:pPr>
            <w:r>
              <w:rPr>
                <w:rFonts w:hint="eastAsia"/>
              </w:rPr>
              <w:t>39577</w:t>
            </w:r>
          </w:p>
        </w:tc>
      </w:tr>
      <w:tr w14:paraId="00D19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4" w:type="pct"/>
            <w:vAlign w:val="center"/>
          </w:tcPr>
          <w:p w14:paraId="62670A78">
            <w:pPr>
              <w:pStyle w:val="13"/>
              <w:ind w:firstLine="210" w:firstLineChars="100"/>
              <w:jc w:val="left"/>
              <w:rPr>
                <w:rFonts w:hint="eastAsia"/>
              </w:rPr>
            </w:pPr>
            <w:r>
              <w:rPr>
                <w:rFonts w:hint="eastAsia"/>
              </w:rPr>
              <w:t>15、信息传输、计算机服务和软件业</w:t>
            </w:r>
          </w:p>
        </w:tc>
        <w:tc>
          <w:tcPr>
            <w:tcW w:w="845" w:type="pct"/>
            <w:vAlign w:val="center"/>
          </w:tcPr>
          <w:p w14:paraId="652ADFE5">
            <w:pPr>
              <w:pStyle w:val="13"/>
              <w:jc w:val="center"/>
              <w:rPr>
                <w:rFonts w:hint="eastAsia"/>
              </w:rPr>
            </w:pPr>
            <w:r>
              <w:rPr>
                <w:rFonts w:hint="eastAsia"/>
              </w:rPr>
              <w:t>155</w:t>
            </w:r>
          </w:p>
        </w:tc>
        <w:tc>
          <w:tcPr>
            <w:tcW w:w="845" w:type="pct"/>
            <w:vAlign w:val="center"/>
          </w:tcPr>
          <w:p w14:paraId="001E0DF8">
            <w:pPr>
              <w:pStyle w:val="13"/>
              <w:jc w:val="center"/>
              <w:rPr>
                <w:rFonts w:hint="eastAsia"/>
              </w:rPr>
            </w:pPr>
            <w:r>
              <w:rPr>
                <w:rFonts w:hint="eastAsia"/>
              </w:rPr>
              <w:t>8669</w:t>
            </w:r>
          </w:p>
        </w:tc>
        <w:tc>
          <w:tcPr>
            <w:tcW w:w="845" w:type="pct"/>
            <w:vAlign w:val="center"/>
          </w:tcPr>
          <w:p w14:paraId="5B1D6123">
            <w:pPr>
              <w:pStyle w:val="13"/>
              <w:jc w:val="center"/>
              <w:rPr>
                <w:rFonts w:hint="eastAsia"/>
              </w:rPr>
            </w:pPr>
            <w:r>
              <w:rPr>
                <w:rFonts w:hint="eastAsia"/>
              </w:rPr>
              <w:t>55929</w:t>
            </w:r>
          </w:p>
        </w:tc>
      </w:tr>
    </w:tbl>
    <w:p w14:paraId="08C65BE2">
      <w:pPr>
        <w:pStyle w:val="4"/>
        <w:rPr>
          <w:rFonts w:hint="eastAsia"/>
        </w:rPr>
      </w:pPr>
      <w:r>
        <w:t>表</w:t>
      </w:r>
      <w:r>
        <w:rPr>
          <w:rFonts w:hint="eastAsia"/>
        </w:rPr>
        <w:t>34-36  财政收入决算表</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79"/>
        <w:gridCol w:w="1961"/>
        <w:gridCol w:w="1961"/>
        <w:gridCol w:w="1961"/>
      </w:tblGrid>
      <w:tr w14:paraId="5D2C2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pct"/>
            <w:vAlign w:val="center"/>
          </w:tcPr>
          <w:p w14:paraId="3F81D70D">
            <w:pPr>
              <w:pStyle w:val="13"/>
              <w:jc w:val="center"/>
              <w:rPr>
                <w:rFonts w:hint="eastAsia"/>
                <w:b/>
              </w:rPr>
            </w:pPr>
            <w:r>
              <w:rPr>
                <w:rFonts w:hint="eastAsia"/>
                <w:b/>
              </w:rPr>
              <w:t>指标名称</w:t>
            </w:r>
          </w:p>
        </w:tc>
        <w:tc>
          <w:tcPr>
            <w:tcW w:w="984" w:type="pct"/>
            <w:vAlign w:val="center"/>
          </w:tcPr>
          <w:p w14:paraId="7151C4E3">
            <w:pPr>
              <w:pStyle w:val="13"/>
              <w:jc w:val="center"/>
              <w:rPr>
                <w:rFonts w:hint="eastAsia"/>
                <w:b/>
              </w:rPr>
            </w:pPr>
            <w:r>
              <w:rPr>
                <w:rFonts w:hint="eastAsia"/>
                <w:b/>
              </w:rPr>
              <w:t>计算单位</w:t>
            </w:r>
          </w:p>
        </w:tc>
        <w:tc>
          <w:tcPr>
            <w:tcW w:w="984" w:type="pct"/>
            <w:vAlign w:val="center"/>
          </w:tcPr>
          <w:p w14:paraId="37D03115">
            <w:pPr>
              <w:pStyle w:val="13"/>
              <w:jc w:val="center"/>
              <w:rPr>
                <w:rFonts w:hint="eastAsia"/>
                <w:b/>
              </w:rPr>
            </w:pPr>
            <w:r>
              <w:rPr>
                <w:rFonts w:hint="eastAsia"/>
                <w:b/>
              </w:rPr>
              <w:t>2010年</w:t>
            </w:r>
          </w:p>
        </w:tc>
        <w:tc>
          <w:tcPr>
            <w:tcW w:w="984" w:type="pct"/>
            <w:vAlign w:val="center"/>
          </w:tcPr>
          <w:p w14:paraId="65B3F661">
            <w:pPr>
              <w:pStyle w:val="13"/>
              <w:jc w:val="center"/>
              <w:rPr>
                <w:rFonts w:hint="eastAsia"/>
                <w:b/>
              </w:rPr>
            </w:pPr>
            <w:r>
              <w:rPr>
                <w:rFonts w:hint="eastAsia"/>
                <w:b/>
              </w:rPr>
              <w:t>比上年±％</w:t>
            </w:r>
          </w:p>
        </w:tc>
      </w:tr>
      <w:tr w14:paraId="1D523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pct"/>
            <w:vAlign w:val="center"/>
          </w:tcPr>
          <w:p w14:paraId="5F761193">
            <w:pPr>
              <w:pStyle w:val="13"/>
              <w:jc w:val="left"/>
              <w:rPr>
                <w:rFonts w:hint="eastAsia"/>
              </w:rPr>
            </w:pPr>
            <w:r>
              <w:rPr>
                <w:rFonts w:hint="eastAsia"/>
              </w:rPr>
              <w:t>全市总计</w:t>
            </w:r>
          </w:p>
        </w:tc>
        <w:tc>
          <w:tcPr>
            <w:tcW w:w="984" w:type="pct"/>
            <w:vAlign w:val="center"/>
          </w:tcPr>
          <w:p w14:paraId="35CD2913">
            <w:pPr>
              <w:pStyle w:val="13"/>
              <w:jc w:val="center"/>
              <w:rPr>
                <w:rFonts w:hint="eastAsia"/>
              </w:rPr>
            </w:pPr>
            <w:r>
              <w:rPr>
                <w:rFonts w:hint="eastAsia"/>
              </w:rPr>
              <w:t>万元</w:t>
            </w:r>
          </w:p>
        </w:tc>
        <w:tc>
          <w:tcPr>
            <w:tcW w:w="984" w:type="pct"/>
            <w:vAlign w:val="center"/>
          </w:tcPr>
          <w:p w14:paraId="2535D024">
            <w:pPr>
              <w:pStyle w:val="13"/>
              <w:jc w:val="center"/>
              <w:rPr>
                <w:rFonts w:hint="eastAsia"/>
              </w:rPr>
            </w:pPr>
            <w:r>
              <w:rPr>
                <w:rFonts w:hint="eastAsia"/>
              </w:rPr>
              <w:t>93515</w:t>
            </w:r>
          </w:p>
        </w:tc>
        <w:tc>
          <w:tcPr>
            <w:tcW w:w="984" w:type="pct"/>
            <w:vAlign w:val="center"/>
          </w:tcPr>
          <w:p w14:paraId="7A431C50">
            <w:pPr>
              <w:pStyle w:val="13"/>
              <w:jc w:val="center"/>
              <w:rPr>
                <w:rFonts w:hint="eastAsia"/>
              </w:rPr>
            </w:pPr>
            <w:r>
              <w:rPr>
                <w:rFonts w:hint="eastAsia"/>
              </w:rPr>
              <w:t>40.1</w:t>
            </w:r>
          </w:p>
        </w:tc>
      </w:tr>
      <w:tr w14:paraId="4C658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pct"/>
            <w:vAlign w:val="center"/>
          </w:tcPr>
          <w:p w14:paraId="36C60D4E">
            <w:pPr>
              <w:pStyle w:val="13"/>
              <w:jc w:val="left"/>
              <w:rPr>
                <w:rFonts w:hint="eastAsia"/>
              </w:rPr>
            </w:pPr>
            <w:r>
              <w:rPr>
                <w:rFonts w:hint="eastAsia"/>
              </w:rPr>
              <w:t>一、一般预算收入</w:t>
            </w:r>
          </w:p>
        </w:tc>
        <w:tc>
          <w:tcPr>
            <w:tcW w:w="984" w:type="pct"/>
            <w:vAlign w:val="center"/>
          </w:tcPr>
          <w:p w14:paraId="4F8EA50F">
            <w:pPr>
              <w:pStyle w:val="13"/>
              <w:jc w:val="center"/>
              <w:rPr>
                <w:rFonts w:hint="eastAsia"/>
              </w:rPr>
            </w:pPr>
            <w:r>
              <w:rPr>
                <w:rFonts w:hint="eastAsia"/>
              </w:rPr>
              <w:t>万元</w:t>
            </w:r>
          </w:p>
        </w:tc>
        <w:tc>
          <w:tcPr>
            <w:tcW w:w="984" w:type="pct"/>
            <w:vAlign w:val="center"/>
          </w:tcPr>
          <w:p w14:paraId="3FA9F130">
            <w:pPr>
              <w:pStyle w:val="13"/>
              <w:jc w:val="center"/>
              <w:rPr>
                <w:rFonts w:hint="eastAsia"/>
              </w:rPr>
            </w:pPr>
            <w:r>
              <w:rPr>
                <w:rFonts w:hint="eastAsia"/>
              </w:rPr>
              <w:t>28302</w:t>
            </w:r>
          </w:p>
        </w:tc>
        <w:tc>
          <w:tcPr>
            <w:tcW w:w="984" w:type="pct"/>
            <w:vAlign w:val="center"/>
          </w:tcPr>
          <w:p w14:paraId="539ADB53">
            <w:pPr>
              <w:pStyle w:val="13"/>
              <w:jc w:val="center"/>
              <w:rPr>
                <w:rFonts w:hint="eastAsia"/>
              </w:rPr>
            </w:pPr>
            <w:r>
              <w:rPr>
                <w:rFonts w:hint="eastAsia"/>
              </w:rPr>
              <w:t>25.1</w:t>
            </w:r>
          </w:p>
        </w:tc>
      </w:tr>
      <w:tr w14:paraId="25ABDC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pct"/>
            <w:vAlign w:val="center"/>
          </w:tcPr>
          <w:p w14:paraId="5C54C2D8">
            <w:pPr>
              <w:pStyle w:val="13"/>
              <w:ind w:firstLine="420" w:firstLineChars="200"/>
              <w:jc w:val="left"/>
              <w:rPr>
                <w:rFonts w:hint="eastAsia"/>
              </w:rPr>
            </w:pPr>
            <w:r>
              <w:rPr>
                <w:rFonts w:hint="eastAsia"/>
              </w:rPr>
              <w:t>增值税</w:t>
            </w:r>
          </w:p>
        </w:tc>
        <w:tc>
          <w:tcPr>
            <w:tcW w:w="984" w:type="pct"/>
            <w:vAlign w:val="center"/>
          </w:tcPr>
          <w:p w14:paraId="4C69957C">
            <w:pPr>
              <w:pStyle w:val="13"/>
              <w:jc w:val="center"/>
              <w:rPr>
                <w:rFonts w:hint="eastAsia"/>
              </w:rPr>
            </w:pPr>
            <w:r>
              <w:rPr>
                <w:rFonts w:hint="eastAsia"/>
              </w:rPr>
              <w:t>万元</w:t>
            </w:r>
          </w:p>
        </w:tc>
        <w:tc>
          <w:tcPr>
            <w:tcW w:w="984" w:type="pct"/>
            <w:vAlign w:val="center"/>
          </w:tcPr>
          <w:p w14:paraId="5093FC41">
            <w:pPr>
              <w:pStyle w:val="13"/>
              <w:jc w:val="center"/>
              <w:rPr>
                <w:rFonts w:hint="eastAsia"/>
              </w:rPr>
            </w:pPr>
            <w:r>
              <w:rPr>
                <w:rFonts w:hint="eastAsia"/>
              </w:rPr>
              <w:t>2077</w:t>
            </w:r>
          </w:p>
        </w:tc>
        <w:tc>
          <w:tcPr>
            <w:tcW w:w="984" w:type="pct"/>
            <w:vAlign w:val="center"/>
          </w:tcPr>
          <w:p w14:paraId="74D5D29D">
            <w:pPr>
              <w:pStyle w:val="13"/>
              <w:jc w:val="center"/>
              <w:rPr>
                <w:rFonts w:hint="eastAsia"/>
              </w:rPr>
            </w:pPr>
            <w:r>
              <w:rPr>
                <w:rFonts w:hint="eastAsia"/>
              </w:rPr>
              <w:t>-5.6</w:t>
            </w:r>
          </w:p>
        </w:tc>
      </w:tr>
      <w:tr w14:paraId="1D2D5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pct"/>
            <w:vAlign w:val="center"/>
          </w:tcPr>
          <w:p w14:paraId="10158302">
            <w:pPr>
              <w:pStyle w:val="13"/>
              <w:ind w:firstLine="420" w:firstLineChars="200"/>
              <w:jc w:val="left"/>
              <w:rPr>
                <w:rFonts w:hint="eastAsia"/>
              </w:rPr>
            </w:pPr>
            <w:r>
              <w:rPr>
                <w:rFonts w:hint="eastAsia"/>
              </w:rPr>
              <w:t>营业税</w:t>
            </w:r>
          </w:p>
        </w:tc>
        <w:tc>
          <w:tcPr>
            <w:tcW w:w="984" w:type="pct"/>
            <w:vAlign w:val="center"/>
          </w:tcPr>
          <w:p w14:paraId="5A3EECEC">
            <w:pPr>
              <w:pStyle w:val="13"/>
              <w:jc w:val="center"/>
              <w:rPr>
                <w:rFonts w:hint="eastAsia"/>
              </w:rPr>
            </w:pPr>
            <w:r>
              <w:rPr>
                <w:rFonts w:hint="eastAsia"/>
              </w:rPr>
              <w:t>万元</w:t>
            </w:r>
          </w:p>
        </w:tc>
        <w:tc>
          <w:tcPr>
            <w:tcW w:w="984" w:type="pct"/>
            <w:vAlign w:val="center"/>
          </w:tcPr>
          <w:p w14:paraId="57A9DE02">
            <w:pPr>
              <w:pStyle w:val="13"/>
              <w:jc w:val="center"/>
              <w:rPr>
                <w:rFonts w:hint="eastAsia"/>
              </w:rPr>
            </w:pPr>
            <w:r>
              <w:rPr>
                <w:rFonts w:hint="eastAsia"/>
              </w:rPr>
              <w:t>5002</w:t>
            </w:r>
          </w:p>
        </w:tc>
        <w:tc>
          <w:tcPr>
            <w:tcW w:w="984" w:type="pct"/>
            <w:vAlign w:val="center"/>
          </w:tcPr>
          <w:p w14:paraId="348B3354">
            <w:pPr>
              <w:pStyle w:val="13"/>
              <w:jc w:val="center"/>
              <w:rPr>
                <w:rFonts w:hint="eastAsia"/>
              </w:rPr>
            </w:pPr>
            <w:r>
              <w:rPr>
                <w:rFonts w:hint="eastAsia"/>
              </w:rPr>
              <w:t>33.4</w:t>
            </w:r>
          </w:p>
        </w:tc>
      </w:tr>
      <w:tr w14:paraId="6AAC7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pct"/>
            <w:vAlign w:val="center"/>
          </w:tcPr>
          <w:p w14:paraId="20E83F22">
            <w:pPr>
              <w:pStyle w:val="13"/>
              <w:ind w:firstLine="420" w:firstLineChars="200"/>
              <w:jc w:val="left"/>
              <w:rPr>
                <w:rFonts w:hint="eastAsia"/>
              </w:rPr>
            </w:pPr>
            <w:r>
              <w:rPr>
                <w:rFonts w:hint="eastAsia"/>
              </w:rPr>
              <w:t>企业所得税</w:t>
            </w:r>
          </w:p>
        </w:tc>
        <w:tc>
          <w:tcPr>
            <w:tcW w:w="984" w:type="pct"/>
            <w:vAlign w:val="center"/>
          </w:tcPr>
          <w:p w14:paraId="0A1F773A">
            <w:pPr>
              <w:pStyle w:val="13"/>
              <w:jc w:val="center"/>
              <w:rPr>
                <w:rFonts w:hint="eastAsia"/>
              </w:rPr>
            </w:pPr>
            <w:r>
              <w:rPr>
                <w:rFonts w:hint="eastAsia"/>
              </w:rPr>
              <w:t>万元</w:t>
            </w:r>
          </w:p>
        </w:tc>
        <w:tc>
          <w:tcPr>
            <w:tcW w:w="984" w:type="pct"/>
            <w:vAlign w:val="center"/>
          </w:tcPr>
          <w:p w14:paraId="05E9D8E0">
            <w:pPr>
              <w:pStyle w:val="13"/>
              <w:jc w:val="center"/>
              <w:rPr>
                <w:rFonts w:hint="eastAsia"/>
              </w:rPr>
            </w:pPr>
            <w:r>
              <w:rPr>
                <w:rFonts w:hint="eastAsia"/>
              </w:rPr>
              <w:t>1451</w:t>
            </w:r>
          </w:p>
        </w:tc>
        <w:tc>
          <w:tcPr>
            <w:tcW w:w="984" w:type="pct"/>
            <w:vAlign w:val="center"/>
          </w:tcPr>
          <w:p w14:paraId="285545C3">
            <w:pPr>
              <w:pStyle w:val="13"/>
              <w:jc w:val="center"/>
              <w:rPr>
                <w:rFonts w:hint="eastAsia"/>
              </w:rPr>
            </w:pPr>
            <w:r>
              <w:rPr>
                <w:rFonts w:hint="eastAsia"/>
              </w:rPr>
              <w:t>15.8</w:t>
            </w:r>
          </w:p>
        </w:tc>
      </w:tr>
      <w:tr w14:paraId="57FB6F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pct"/>
            <w:vAlign w:val="center"/>
          </w:tcPr>
          <w:p w14:paraId="6A2B0474">
            <w:pPr>
              <w:pStyle w:val="13"/>
              <w:ind w:firstLine="420" w:firstLineChars="200"/>
              <w:jc w:val="left"/>
              <w:rPr>
                <w:rFonts w:hint="eastAsia"/>
              </w:rPr>
            </w:pPr>
            <w:r>
              <w:rPr>
                <w:rFonts w:hint="eastAsia"/>
              </w:rPr>
              <w:t>个人所得税</w:t>
            </w:r>
          </w:p>
        </w:tc>
        <w:tc>
          <w:tcPr>
            <w:tcW w:w="984" w:type="pct"/>
            <w:vAlign w:val="center"/>
          </w:tcPr>
          <w:p w14:paraId="342BDDE5">
            <w:pPr>
              <w:pStyle w:val="13"/>
              <w:jc w:val="center"/>
              <w:rPr>
                <w:rFonts w:hint="eastAsia"/>
              </w:rPr>
            </w:pPr>
            <w:r>
              <w:rPr>
                <w:rFonts w:hint="eastAsia"/>
              </w:rPr>
              <w:t>万元</w:t>
            </w:r>
          </w:p>
        </w:tc>
        <w:tc>
          <w:tcPr>
            <w:tcW w:w="984" w:type="pct"/>
            <w:vAlign w:val="center"/>
          </w:tcPr>
          <w:p w14:paraId="53B9BCF1">
            <w:pPr>
              <w:pStyle w:val="13"/>
              <w:jc w:val="center"/>
              <w:rPr>
                <w:rFonts w:hint="eastAsia"/>
              </w:rPr>
            </w:pPr>
            <w:r>
              <w:rPr>
                <w:rFonts w:hint="eastAsia"/>
              </w:rPr>
              <w:t>599</w:t>
            </w:r>
          </w:p>
        </w:tc>
        <w:tc>
          <w:tcPr>
            <w:tcW w:w="984" w:type="pct"/>
            <w:vAlign w:val="center"/>
          </w:tcPr>
          <w:p w14:paraId="26F4DDAA">
            <w:pPr>
              <w:pStyle w:val="13"/>
              <w:jc w:val="center"/>
              <w:rPr>
                <w:rFonts w:hint="eastAsia"/>
              </w:rPr>
            </w:pPr>
            <w:r>
              <w:rPr>
                <w:rFonts w:hint="eastAsia"/>
              </w:rPr>
              <w:t>20.5</w:t>
            </w:r>
          </w:p>
        </w:tc>
      </w:tr>
      <w:tr w14:paraId="11F08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pct"/>
            <w:vAlign w:val="center"/>
          </w:tcPr>
          <w:p w14:paraId="360F9035">
            <w:pPr>
              <w:pStyle w:val="13"/>
              <w:ind w:firstLine="420" w:firstLineChars="200"/>
              <w:jc w:val="left"/>
              <w:rPr>
                <w:rFonts w:hint="eastAsia"/>
              </w:rPr>
            </w:pPr>
            <w:r>
              <w:rPr>
                <w:rFonts w:hint="eastAsia"/>
              </w:rPr>
              <w:t>城市维护建设税</w:t>
            </w:r>
          </w:p>
        </w:tc>
        <w:tc>
          <w:tcPr>
            <w:tcW w:w="984" w:type="pct"/>
            <w:vAlign w:val="center"/>
          </w:tcPr>
          <w:p w14:paraId="60CCE57E">
            <w:pPr>
              <w:pStyle w:val="13"/>
              <w:jc w:val="center"/>
              <w:rPr>
                <w:rFonts w:hint="eastAsia"/>
              </w:rPr>
            </w:pPr>
            <w:r>
              <w:rPr>
                <w:rFonts w:hint="eastAsia"/>
              </w:rPr>
              <w:t>万元</w:t>
            </w:r>
          </w:p>
        </w:tc>
        <w:tc>
          <w:tcPr>
            <w:tcW w:w="984" w:type="pct"/>
            <w:vAlign w:val="center"/>
          </w:tcPr>
          <w:p w14:paraId="20B9AEC0">
            <w:pPr>
              <w:pStyle w:val="13"/>
              <w:jc w:val="center"/>
              <w:rPr>
                <w:rFonts w:hint="eastAsia"/>
              </w:rPr>
            </w:pPr>
            <w:r>
              <w:rPr>
                <w:rFonts w:hint="eastAsia"/>
              </w:rPr>
              <w:t>1163</w:t>
            </w:r>
          </w:p>
        </w:tc>
        <w:tc>
          <w:tcPr>
            <w:tcW w:w="984" w:type="pct"/>
            <w:vAlign w:val="center"/>
          </w:tcPr>
          <w:p w14:paraId="2260D82A">
            <w:pPr>
              <w:pStyle w:val="13"/>
              <w:jc w:val="center"/>
              <w:rPr>
                <w:rFonts w:hint="eastAsia"/>
              </w:rPr>
            </w:pPr>
            <w:r>
              <w:rPr>
                <w:rFonts w:hint="eastAsia"/>
              </w:rPr>
              <w:t>13.2</w:t>
            </w:r>
          </w:p>
        </w:tc>
      </w:tr>
      <w:tr w14:paraId="6A7A1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pct"/>
            <w:vAlign w:val="center"/>
          </w:tcPr>
          <w:p w14:paraId="0BD18126">
            <w:pPr>
              <w:pStyle w:val="13"/>
              <w:ind w:firstLine="420" w:firstLineChars="200"/>
              <w:jc w:val="left"/>
              <w:rPr>
                <w:rFonts w:hint="eastAsia"/>
              </w:rPr>
            </w:pPr>
            <w:r>
              <w:rPr>
                <w:rFonts w:hint="eastAsia"/>
              </w:rPr>
              <w:t>罚没收入、行政性收费及专项收入</w:t>
            </w:r>
          </w:p>
        </w:tc>
        <w:tc>
          <w:tcPr>
            <w:tcW w:w="984" w:type="pct"/>
            <w:vAlign w:val="center"/>
          </w:tcPr>
          <w:p w14:paraId="5168E36C">
            <w:pPr>
              <w:pStyle w:val="13"/>
              <w:jc w:val="center"/>
              <w:rPr>
                <w:rFonts w:hint="eastAsia"/>
              </w:rPr>
            </w:pPr>
            <w:r>
              <w:rPr>
                <w:rFonts w:hint="eastAsia"/>
              </w:rPr>
              <w:t>万元</w:t>
            </w:r>
          </w:p>
        </w:tc>
        <w:tc>
          <w:tcPr>
            <w:tcW w:w="984" w:type="pct"/>
            <w:vAlign w:val="center"/>
          </w:tcPr>
          <w:p w14:paraId="3986BCCE">
            <w:pPr>
              <w:pStyle w:val="13"/>
              <w:jc w:val="center"/>
              <w:rPr>
                <w:rFonts w:hint="eastAsia"/>
              </w:rPr>
            </w:pPr>
            <w:r>
              <w:rPr>
                <w:rFonts w:hint="eastAsia"/>
              </w:rPr>
              <w:t>4750</w:t>
            </w:r>
          </w:p>
        </w:tc>
        <w:tc>
          <w:tcPr>
            <w:tcW w:w="984" w:type="pct"/>
            <w:vAlign w:val="center"/>
          </w:tcPr>
          <w:p w14:paraId="2EBA30BA">
            <w:pPr>
              <w:pStyle w:val="13"/>
              <w:jc w:val="center"/>
              <w:rPr>
                <w:rFonts w:hint="eastAsia"/>
              </w:rPr>
            </w:pPr>
            <w:r>
              <w:rPr>
                <w:rFonts w:hint="eastAsia"/>
              </w:rPr>
              <w:t>43.2</w:t>
            </w:r>
          </w:p>
        </w:tc>
      </w:tr>
      <w:tr w14:paraId="3B4E2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pct"/>
            <w:vAlign w:val="center"/>
          </w:tcPr>
          <w:p w14:paraId="27B23220">
            <w:pPr>
              <w:pStyle w:val="13"/>
              <w:jc w:val="left"/>
              <w:rPr>
                <w:rFonts w:hint="eastAsia"/>
              </w:rPr>
            </w:pPr>
            <w:r>
              <w:rPr>
                <w:rFonts w:hint="eastAsia"/>
              </w:rPr>
              <w:t>二、上级补助收入</w:t>
            </w:r>
          </w:p>
        </w:tc>
        <w:tc>
          <w:tcPr>
            <w:tcW w:w="984" w:type="pct"/>
            <w:vAlign w:val="center"/>
          </w:tcPr>
          <w:p w14:paraId="68EC2068">
            <w:pPr>
              <w:pStyle w:val="13"/>
              <w:jc w:val="center"/>
              <w:rPr>
                <w:rFonts w:hint="eastAsia"/>
              </w:rPr>
            </w:pPr>
            <w:r>
              <w:rPr>
                <w:rFonts w:hint="eastAsia"/>
              </w:rPr>
              <w:t>万元</w:t>
            </w:r>
          </w:p>
        </w:tc>
        <w:tc>
          <w:tcPr>
            <w:tcW w:w="984" w:type="pct"/>
            <w:vAlign w:val="center"/>
          </w:tcPr>
          <w:p w14:paraId="7FB59A1F">
            <w:pPr>
              <w:pStyle w:val="13"/>
              <w:jc w:val="center"/>
              <w:rPr>
                <w:rFonts w:hint="eastAsia"/>
              </w:rPr>
            </w:pPr>
            <w:r>
              <w:rPr>
                <w:rFonts w:hint="eastAsia"/>
              </w:rPr>
              <w:t>62547</w:t>
            </w:r>
          </w:p>
        </w:tc>
        <w:tc>
          <w:tcPr>
            <w:tcW w:w="984" w:type="pct"/>
            <w:vAlign w:val="center"/>
          </w:tcPr>
          <w:p w14:paraId="3A2DE24B">
            <w:pPr>
              <w:pStyle w:val="13"/>
              <w:jc w:val="center"/>
              <w:rPr>
                <w:rFonts w:hint="eastAsia"/>
              </w:rPr>
            </w:pPr>
            <w:r>
              <w:rPr>
                <w:rFonts w:hint="eastAsia"/>
              </w:rPr>
              <w:t>25.7</w:t>
            </w:r>
          </w:p>
        </w:tc>
      </w:tr>
      <w:tr w14:paraId="52F13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pct"/>
            <w:vAlign w:val="center"/>
          </w:tcPr>
          <w:p w14:paraId="4C67AAF1">
            <w:pPr>
              <w:pStyle w:val="13"/>
              <w:jc w:val="left"/>
              <w:rPr>
                <w:rFonts w:hint="eastAsia"/>
              </w:rPr>
            </w:pPr>
            <w:r>
              <w:rPr>
                <w:rFonts w:hint="eastAsia"/>
              </w:rPr>
              <w:t>三、烟叶税</w:t>
            </w:r>
          </w:p>
        </w:tc>
        <w:tc>
          <w:tcPr>
            <w:tcW w:w="984" w:type="pct"/>
            <w:vAlign w:val="center"/>
          </w:tcPr>
          <w:p w14:paraId="5D864459">
            <w:pPr>
              <w:pStyle w:val="13"/>
              <w:jc w:val="center"/>
              <w:rPr>
                <w:rFonts w:hint="eastAsia"/>
              </w:rPr>
            </w:pPr>
            <w:r>
              <w:rPr>
                <w:rFonts w:hint="eastAsia"/>
              </w:rPr>
              <w:t>万元</w:t>
            </w:r>
          </w:p>
        </w:tc>
        <w:tc>
          <w:tcPr>
            <w:tcW w:w="984" w:type="pct"/>
            <w:vAlign w:val="center"/>
          </w:tcPr>
          <w:p w14:paraId="152B2B02">
            <w:pPr>
              <w:pStyle w:val="13"/>
              <w:jc w:val="center"/>
              <w:rPr>
                <w:rFonts w:hint="eastAsia"/>
              </w:rPr>
            </w:pPr>
            <w:r>
              <w:rPr>
                <w:rFonts w:hint="eastAsia"/>
              </w:rPr>
              <w:t>5167</w:t>
            </w:r>
          </w:p>
        </w:tc>
        <w:tc>
          <w:tcPr>
            <w:tcW w:w="984" w:type="pct"/>
            <w:vAlign w:val="center"/>
          </w:tcPr>
          <w:p w14:paraId="33391566">
            <w:pPr>
              <w:pStyle w:val="13"/>
              <w:jc w:val="center"/>
              <w:rPr>
                <w:rFonts w:hint="eastAsia"/>
              </w:rPr>
            </w:pPr>
            <w:r>
              <w:rPr>
                <w:rFonts w:hint="eastAsia"/>
              </w:rPr>
              <w:t>-4.7</w:t>
            </w:r>
          </w:p>
        </w:tc>
      </w:tr>
      <w:tr w14:paraId="28253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pct"/>
            <w:vAlign w:val="center"/>
          </w:tcPr>
          <w:p w14:paraId="11CBFFF8">
            <w:pPr>
              <w:pStyle w:val="13"/>
              <w:jc w:val="left"/>
              <w:rPr>
                <w:rFonts w:hint="eastAsia"/>
              </w:rPr>
            </w:pPr>
            <w:r>
              <w:rPr>
                <w:rFonts w:hint="eastAsia"/>
              </w:rPr>
              <w:t>四、上年结余收入</w:t>
            </w:r>
          </w:p>
        </w:tc>
        <w:tc>
          <w:tcPr>
            <w:tcW w:w="984" w:type="pct"/>
            <w:vAlign w:val="center"/>
          </w:tcPr>
          <w:p w14:paraId="13163A05">
            <w:pPr>
              <w:pStyle w:val="13"/>
              <w:jc w:val="center"/>
              <w:rPr>
                <w:rFonts w:hint="eastAsia"/>
              </w:rPr>
            </w:pPr>
            <w:r>
              <w:rPr>
                <w:rFonts w:hint="eastAsia"/>
              </w:rPr>
              <w:t>万元</w:t>
            </w:r>
          </w:p>
        </w:tc>
        <w:tc>
          <w:tcPr>
            <w:tcW w:w="984" w:type="pct"/>
            <w:vAlign w:val="center"/>
          </w:tcPr>
          <w:p w14:paraId="46BE01FF">
            <w:pPr>
              <w:pStyle w:val="13"/>
              <w:jc w:val="center"/>
              <w:rPr>
                <w:rFonts w:hint="eastAsia"/>
              </w:rPr>
            </w:pPr>
            <w:r>
              <w:rPr>
                <w:rFonts w:hint="eastAsia"/>
              </w:rPr>
              <w:t>2666</w:t>
            </w:r>
          </w:p>
        </w:tc>
        <w:tc>
          <w:tcPr>
            <w:tcW w:w="984" w:type="pct"/>
            <w:vAlign w:val="center"/>
          </w:tcPr>
          <w:p w14:paraId="627BECCE">
            <w:pPr>
              <w:pStyle w:val="13"/>
              <w:jc w:val="center"/>
              <w:rPr>
                <w:rFonts w:hint="eastAsia"/>
              </w:rPr>
            </w:pPr>
          </w:p>
        </w:tc>
      </w:tr>
      <w:tr w14:paraId="21CC7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pct"/>
            <w:vAlign w:val="center"/>
          </w:tcPr>
          <w:p w14:paraId="7A4EFBDE">
            <w:pPr>
              <w:pStyle w:val="13"/>
              <w:jc w:val="left"/>
              <w:rPr>
                <w:rFonts w:hint="eastAsia"/>
              </w:rPr>
            </w:pPr>
            <w:r>
              <w:rPr>
                <w:rFonts w:hint="eastAsia"/>
              </w:rPr>
              <w:t>全市总计</w:t>
            </w:r>
          </w:p>
        </w:tc>
        <w:tc>
          <w:tcPr>
            <w:tcW w:w="984" w:type="pct"/>
            <w:vAlign w:val="center"/>
          </w:tcPr>
          <w:p w14:paraId="5860D4BB">
            <w:pPr>
              <w:pStyle w:val="13"/>
              <w:jc w:val="center"/>
              <w:rPr>
                <w:rFonts w:hint="eastAsia"/>
              </w:rPr>
            </w:pPr>
            <w:r>
              <w:rPr>
                <w:rFonts w:hint="eastAsia"/>
              </w:rPr>
              <w:t>万元</w:t>
            </w:r>
          </w:p>
        </w:tc>
        <w:tc>
          <w:tcPr>
            <w:tcW w:w="984" w:type="pct"/>
            <w:vAlign w:val="center"/>
          </w:tcPr>
          <w:p w14:paraId="14D82C34">
            <w:pPr>
              <w:pStyle w:val="13"/>
              <w:jc w:val="center"/>
              <w:rPr>
                <w:rFonts w:hint="eastAsia"/>
              </w:rPr>
            </w:pPr>
            <w:r>
              <w:rPr>
                <w:rFonts w:hint="eastAsia"/>
              </w:rPr>
              <w:t>87313</w:t>
            </w:r>
          </w:p>
        </w:tc>
        <w:tc>
          <w:tcPr>
            <w:tcW w:w="984" w:type="pct"/>
            <w:vAlign w:val="center"/>
          </w:tcPr>
          <w:p w14:paraId="02E60526">
            <w:pPr>
              <w:pStyle w:val="13"/>
              <w:jc w:val="center"/>
              <w:rPr>
                <w:rFonts w:hint="eastAsia"/>
              </w:rPr>
            </w:pPr>
            <w:r>
              <w:rPr>
                <w:rFonts w:hint="eastAsia"/>
              </w:rPr>
              <w:t>32.6</w:t>
            </w:r>
          </w:p>
        </w:tc>
      </w:tr>
      <w:tr w14:paraId="2BDC8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pct"/>
            <w:vAlign w:val="center"/>
          </w:tcPr>
          <w:p w14:paraId="2905C9F7">
            <w:pPr>
              <w:pStyle w:val="13"/>
              <w:ind w:firstLine="420" w:firstLineChars="200"/>
              <w:jc w:val="left"/>
              <w:rPr>
                <w:rFonts w:hint="eastAsia"/>
              </w:rPr>
            </w:pPr>
            <w:r>
              <w:rPr>
                <w:rFonts w:hint="eastAsia"/>
              </w:rPr>
              <w:t>其中：一般公共服务</w:t>
            </w:r>
          </w:p>
        </w:tc>
        <w:tc>
          <w:tcPr>
            <w:tcW w:w="984" w:type="pct"/>
            <w:vAlign w:val="center"/>
          </w:tcPr>
          <w:p w14:paraId="540F279D">
            <w:pPr>
              <w:pStyle w:val="13"/>
              <w:jc w:val="center"/>
              <w:rPr>
                <w:rFonts w:hint="eastAsia"/>
              </w:rPr>
            </w:pPr>
            <w:r>
              <w:rPr>
                <w:rFonts w:hint="eastAsia"/>
              </w:rPr>
              <w:t>万元</w:t>
            </w:r>
          </w:p>
        </w:tc>
        <w:tc>
          <w:tcPr>
            <w:tcW w:w="984" w:type="pct"/>
            <w:vAlign w:val="center"/>
          </w:tcPr>
          <w:p w14:paraId="767F5B61">
            <w:pPr>
              <w:pStyle w:val="13"/>
              <w:jc w:val="center"/>
              <w:rPr>
                <w:rFonts w:hint="eastAsia"/>
              </w:rPr>
            </w:pPr>
            <w:r>
              <w:rPr>
                <w:rFonts w:hint="eastAsia"/>
              </w:rPr>
              <w:t>15717</w:t>
            </w:r>
          </w:p>
        </w:tc>
        <w:tc>
          <w:tcPr>
            <w:tcW w:w="984" w:type="pct"/>
            <w:vAlign w:val="center"/>
          </w:tcPr>
          <w:p w14:paraId="76ADF1CD">
            <w:pPr>
              <w:pStyle w:val="13"/>
              <w:jc w:val="center"/>
              <w:rPr>
                <w:rFonts w:hint="eastAsia"/>
              </w:rPr>
            </w:pPr>
            <w:r>
              <w:rPr>
                <w:rFonts w:hint="eastAsia"/>
              </w:rPr>
              <w:t>28.9</w:t>
            </w:r>
          </w:p>
        </w:tc>
      </w:tr>
      <w:tr w14:paraId="1E9EF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pct"/>
            <w:vAlign w:val="center"/>
          </w:tcPr>
          <w:p w14:paraId="7C4C05A7">
            <w:pPr>
              <w:pStyle w:val="13"/>
              <w:ind w:firstLine="1050" w:firstLineChars="500"/>
              <w:jc w:val="left"/>
              <w:rPr>
                <w:rFonts w:hint="eastAsia"/>
              </w:rPr>
            </w:pPr>
            <w:r>
              <w:rPr>
                <w:rFonts w:hint="eastAsia"/>
              </w:rPr>
              <w:t>国防</w:t>
            </w:r>
          </w:p>
        </w:tc>
        <w:tc>
          <w:tcPr>
            <w:tcW w:w="984" w:type="pct"/>
            <w:vAlign w:val="center"/>
          </w:tcPr>
          <w:p w14:paraId="142BDFE7">
            <w:pPr>
              <w:pStyle w:val="13"/>
              <w:jc w:val="center"/>
              <w:rPr>
                <w:rFonts w:hint="eastAsia"/>
              </w:rPr>
            </w:pPr>
            <w:r>
              <w:rPr>
                <w:rFonts w:hint="eastAsia"/>
              </w:rPr>
              <w:t>万元</w:t>
            </w:r>
          </w:p>
        </w:tc>
        <w:tc>
          <w:tcPr>
            <w:tcW w:w="984" w:type="pct"/>
            <w:vAlign w:val="center"/>
          </w:tcPr>
          <w:p w14:paraId="5D18F35C">
            <w:pPr>
              <w:pStyle w:val="13"/>
              <w:jc w:val="center"/>
              <w:rPr>
                <w:rFonts w:hint="eastAsia"/>
              </w:rPr>
            </w:pPr>
            <w:r>
              <w:rPr>
                <w:rFonts w:hint="eastAsia"/>
              </w:rPr>
              <w:t>335</w:t>
            </w:r>
          </w:p>
        </w:tc>
        <w:tc>
          <w:tcPr>
            <w:tcW w:w="984" w:type="pct"/>
            <w:vAlign w:val="center"/>
          </w:tcPr>
          <w:p w14:paraId="57A0816E">
            <w:pPr>
              <w:pStyle w:val="13"/>
              <w:jc w:val="center"/>
              <w:rPr>
                <w:rFonts w:hint="eastAsia"/>
              </w:rPr>
            </w:pPr>
            <w:r>
              <w:rPr>
                <w:rFonts w:hint="eastAsia"/>
              </w:rPr>
              <w:t>7.7</w:t>
            </w:r>
          </w:p>
        </w:tc>
      </w:tr>
      <w:tr w14:paraId="21519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pct"/>
            <w:vAlign w:val="center"/>
          </w:tcPr>
          <w:p w14:paraId="7E12E4A6">
            <w:pPr>
              <w:pStyle w:val="13"/>
              <w:ind w:firstLine="1050" w:firstLineChars="500"/>
              <w:jc w:val="left"/>
              <w:rPr>
                <w:rFonts w:hint="eastAsia"/>
              </w:rPr>
            </w:pPr>
            <w:r>
              <w:rPr>
                <w:rFonts w:hint="eastAsia"/>
              </w:rPr>
              <w:t>公共安全</w:t>
            </w:r>
          </w:p>
        </w:tc>
        <w:tc>
          <w:tcPr>
            <w:tcW w:w="984" w:type="pct"/>
            <w:vAlign w:val="center"/>
          </w:tcPr>
          <w:p w14:paraId="41AAAAF0">
            <w:pPr>
              <w:pStyle w:val="13"/>
              <w:jc w:val="center"/>
              <w:rPr>
                <w:rFonts w:hint="eastAsia"/>
              </w:rPr>
            </w:pPr>
            <w:r>
              <w:rPr>
                <w:rFonts w:hint="eastAsia"/>
              </w:rPr>
              <w:t>万元</w:t>
            </w:r>
          </w:p>
        </w:tc>
        <w:tc>
          <w:tcPr>
            <w:tcW w:w="984" w:type="pct"/>
            <w:vAlign w:val="center"/>
          </w:tcPr>
          <w:p w14:paraId="776E2F2B">
            <w:pPr>
              <w:pStyle w:val="13"/>
              <w:jc w:val="center"/>
              <w:rPr>
                <w:rFonts w:hint="eastAsia"/>
              </w:rPr>
            </w:pPr>
            <w:r>
              <w:rPr>
                <w:rFonts w:hint="eastAsia"/>
              </w:rPr>
              <w:t>5573</w:t>
            </w:r>
          </w:p>
        </w:tc>
        <w:tc>
          <w:tcPr>
            <w:tcW w:w="984" w:type="pct"/>
            <w:vAlign w:val="center"/>
          </w:tcPr>
          <w:p w14:paraId="69A0C87A">
            <w:pPr>
              <w:pStyle w:val="13"/>
              <w:jc w:val="center"/>
              <w:rPr>
                <w:rFonts w:hint="eastAsia"/>
              </w:rPr>
            </w:pPr>
            <w:r>
              <w:rPr>
                <w:rFonts w:hint="eastAsia"/>
              </w:rPr>
              <w:t>33.3</w:t>
            </w:r>
          </w:p>
        </w:tc>
      </w:tr>
      <w:tr w14:paraId="63FA1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pct"/>
            <w:vAlign w:val="center"/>
          </w:tcPr>
          <w:p w14:paraId="296905B6">
            <w:pPr>
              <w:pStyle w:val="13"/>
              <w:ind w:firstLine="1050" w:firstLineChars="500"/>
              <w:jc w:val="left"/>
              <w:rPr>
                <w:rFonts w:hint="eastAsia"/>
              </w:rPr>
            </w:pPr>
            <w:r>
              <w:rPr>
                <w:rFonts w:hint="eastAsia"/>
              </w:rPr>
              <w:t>教育</w:t>
            </w:r>
          </w:p>
        </w:tc>
        <w:tc>
          <w:tcPr>
            <w:tcW w:w="984" w:type="pct"/>
            <w:vAlign w:val="center"/>
          </w:tcPr>
          <w:p w14:paraId="7C22053F">
            <w:pPr>
              <w:pStyle w:val="13"/>
              <w:jc w:val="center"/>
              <w:rPr>
                <w:rFonts w:hint="eastAsia"/>
              </w:rPr>
            </w:pPr>
            <w:r>
              <w:rPr>
                <w:rFonts w:hint="eastAsia"/>
              </w:rPr>
              <w:t>万元</w:t>
            </w:r>
          </w:p>
        </w:tc>
        <w:tc>
          <w:tcPr>
            <w:tcW w:w="984" w:type="pct"/>
            <w:vAlign w:val="center"/>
          </w:tcPr>
          <w:p w14:paraId="2820FB52">
            <w:pPr>
              <w:pStyle w:val="13"/>
              <w:jc w:val="center"/>
              <w:rPr>
                <w:rFonts w:hint="eastAsia"/>
              </w:rPr>
            </w:pPr>
            <w:r>
              <w:rPr>
                <w:rFonts w:hint="eastAsia"/>
              </w:rPr>
              <w:t>20284</w:t>
            </w:r>
          </w:p>
        </w:tc>
        <w:tc>
          <w:tcPr>
            <w:tcW w:w="984" w:type="pct"/>
            <w:vAlign w:val="center"/>
          </w:tcPr>
          <w:p w14:paraId="57B5D2C0">
            <w:pPr>
              <w:pStyle w:val="13"/>
              <w:jc w:val="center"/>
              <w:rPr>
                <w:rFonts w:hint="eastAsia"/>
              </w:rPr>
            </w:pPr>
            <w:r>
              <w:rPr>
                <w:rFonts w:hint="eastAsia"/>
              </w:rPr>
              <w:t>3.6</w:t>
            </w:r>
          </w:p>
        </w:tc>
      </w:tr>
      <w:tr w14:paraId="49ACD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pct"/>
            <w:vAlign w:val="center"/>
          </w:tcPr>
          <w:p w14:paraId="44747977">
            <w:pPr>
              <w:pStyle w:val="13"/>
              <w:ind w:firstLine="1050" w:firstLineChars="500"/>
              <w:jc w:val="left"/>
              <w:rPr>
                <w:rFonts w:hint="eastAsia"/>
              </w:rPr>
            </w:pPr>
            <w:r>
              <w:rPr>
                <w:rFonts w:hint="eastAsia"/>
              </w:rPr>
              <w:t>科学技术</w:t>
            </w:r>
          </w:p>
        </w:tc>
        <w:tc>
          <w:tcPr>
            <w:tcW w:w="984" w:type="pct"/>
            <w:vAlign w:val="center"/>
          </w:tcPr>
          <w:p w14:paraId="03607D05">
            <w:pPr>
              <w:pStyle w:val="13"/>
              <w:jc w:val="center"/>
              <w:rPr>
                <w:rFonts w:hint="eastAsia"/>
              </w:rPr>
            </w:pPr>
            <w:r>
              <w:rPr>
                <w:rFonts w:hint="eastAsia"/>
              </w:rPr>
              <w:t>万元</w:t>
            </w:r>
          </w:p>
        </w:tc>
        <w:tc>
          <w:tcPr>
            <w:tcW w:w="984" w:type="pct"/>
            <w:vAlign w:val="center"/>
          </w:tcPr>
          <w:p w14:paraId="39AC6161">
            <w:pPr>
              <w:pStyle w:val="13"/>
              <w:jc w:val="center"/>
              <w:rPr>
                <w:rFonts w:hint="eastAsia"/>
              </w:rPr>
            </w:pPr>
            <w:r>
              <w:rPr>
                <w:rFonts w:hint="eastAsia"/>
              </w:rPr>
              <w:t>1150</w:t>
            </w:r>
          </w:p>
        </w:tc>
        <w:tc>
          <w:tcPr>
            <w:tcW w:w="984" w:type="pct"/>
            <w:vAlign w:val="center"/>
          </w:tcPr>
          <w:p w14:paraId="79F6D1AA">
            <w:pPr>
              <w:pStyle w:val="13"/>
              <w:jc w:val="center"/>
              <w:rPr>
                <w:rFonts w:hint="eastAsia"/>
              </w:rPr>
            </w:pPr>
            <w:r>
              <w:rPr>
                <w:rFonts w:hint="eastAsia"/>
              </w:rPr>
              <w:t>28.8</w:t>
            </w:r>
          </w:p>
        </w:tc>
      </w:tr>
      <w:tr w14:paraId="500E5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pct"/>
            <w:vAlign w:val="center"/>
          </w:tcPr>
          <w:p w14:paraId="15E54798">
            <w:pPr>
              <w:pStyle w:val="13"/>
              <w:ind w:firstLine="1050" w:firstLineChars="500"/>
              <w:jc w:val="left"/>
              <w:rPr>
                <w:rFonts w:hint="eastAsia"/>
              </w:rPr>
            </w:pPr>
            <w:r>
              <w:rPr>
                <w:rFonts w:hint="eastAsia"/>
              </w:rPr>
              <w:t>文化体育与传媒</w:t>
            </w:r>
          </w:p>
        </w:tc>
        <w:tc>
          <w:tcPr>
            <w:tcW w:w="984" w:type="pct"/>
            <w:vAlign w:val="center"/>
          </w:tcPr>
          <w:p w14:paraId="4FC4A466">
            <w:pPr>
              <w:pStyle w:val="13"/>
              <w:jc w:val="center"/>
              <w:rPr>
                <w:rFonts w:hint="eastAsia"/>
              </w:rPr>
            </w:pPr>
            <w:r>
              <w:rPr>
                <w:rFonts w:hint="eastAsia"/>
              </w:rPr>
              <w:t>万元</w:t>
            </w:r>
          </w:p>
        </w:tc>
        <w:tc>
          <w:tcPr>
            <w:tcW w:w="984" w:type="pct"/>
            <w:vAlign w:val="center"/>
          </w:tcPr>
          <w:p w14:paraId="62989037">
            <w:pPr>
              <w:pStyle w:val="13"/>
              <w:jc w:val="center"/>
              <w:rPr>
                <w:rFonts w:hint="eastAsia"/>
              </w:rPr>
            </w:pPr>
            <w:r>
              <w:rPr>
                <w:rFonts w:hint="eastAsia"/>
              </w:rPr>
              <w:t>1056</w:t>
            </w:r>
          </w:p>
        </w:tc>
        <w:tc>
          <w:tcPr>
            <w:tcW w:w="984" w:type="pct"/>
            <w:vAlign w:val="center"/>
          </w:tcPr>
          <w:p w14:paraId="515C485B">
            <w:pPr>
              <w:pStyle w:val="13"/>
              <w:jc w:val="center"/>
              <w:rPr>
                <w:rFonts w:hint="eastAsia"/>
              </w:rPr>
            </w:pPr>
            <w:r>
              <w:rPr>
                <w:rFonts w:hint="eastAsia"/>
              </w:rPr>
              <w:t>66.3</w:t>
            </w:r>
          </w:p>
        </w:tc>
      </w:tr>
      <w:tr w14:paraId="6D37F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pct"/>
            <w:vAlign w:val="center"/>
          </w:tcPr>
          <w:p w14:paraId="2670F918">
            <w:pPr>
              <w:pStyle w:val="13"/>
              <w:ind w:firstLine="1050" w:firstLineChars="500"/>
              <w:jc w:val="left"/>
              <w:rPr>
                <w:rFonts w:hint="eastAsia"/>
              </w:rPr>
            </w:pPr>
            <w:r>
              <w:rPr>
                <w:rFonts w:hint="eastAsia"/>
              </w:rPr>
              <w:t>社会保障和就业</w:t>
            </w:r>
          </w:p>
        </w:tc>
        <w:tc>
          <w:tcPr>
            <w:tcW w:w="984" w:type="pct"/>
            <w:vAlign w:val="center"/>
          </w:tcPr>
          <w:p w14:paraId="5A761D92">
            <w:pPr>
              <w:pStyle w:val="13"/>
              <w:jc w:val="center"/>
              <w:rPr>
                <w:rFonts w:hint="eastAsia"/>
              </w:rPr>
            </w:pPr>
            <w:r>
              <w:rPr>
                <w:rFonts w:hint="eastAsia"/>
              </w:rPr>
              <w:t>万元</w:t>
            </w:r>
          </w:p>
        </w:tc>
        <w:tc>
          <w:tcPr>
            <w:tcW w:w="984" w:type="pct"/>
            <w:vAlign w:val="center"/>
          </w:tcPr>
          <w:p w14:paraId="490E51A5">
            <w:pPr>
              <w:pStyle w:val="13"/>
              <w:jc w:val="center"/>
              <w:rPr>
                <w:rFonts w:hint="eastAsia"/>
              </w:rPr>
            </w:pPr>
            <w:r>
              <w:rPr>
                <w:rFonts w:hint="eastAsia"/>
              </w:rPr>
              <w:t>5403</w:t>
            </w:r>
          </w:p>
        </w:tc>
        <w:tc>
          <w:tcPr>
            <w:tcW w:w="984" w:type="pct"/>
            <w:vAlign w:val="center"/>
          </w:tcPr>
          <w:p w14:paraId="4D6ADDB5">
            <w:pPr>
              <w:pStyle w:val="13"/>
              <w:jc w:val="center"/>
              <w:rPr>
                <w:rFonts w:hint="eastAsia"/>
              </w:rPr>
            </w:pPr>
            <w:r>
              <w:rPr>
                <w:rFonts w:hint="eastAsia"/>
              </w:rPr>
              <w:t>10.9</w:t>
            </w:r>
          </w:p>
        </w:tc>
      </w:tr>
      <w:tr w14:paraId="10C5B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pct"/>
            <w:vAlign w:val="center"/>
          </w:tcPr>
          <w:p w14:paraId="7EAC7DC0">
            <w:pPr>
              <w:pStyle w:val="13"/>
              <w:ind w:firstLine="1050" w:firstLineChars="500"/>
              <w:jc w:val="left"/>
              <w:rPr>
                <w:rFonts w:hint="eastAsia"/>
              </w:rPr>
            </w:pPr>
            <w:r>
              <w:rPr>
                <w:rFonts w:hint="eastAsia"/>
              </w:rPr>
              <w:t>医疗卫生</w:t>
            </w:r>
          </w:p>
        </w:tc>
        <w:tc>
          <w:tcPr>
            <w:tcW w:w="984" w:type="pct"/>
            <w:vAlign w:val="center"/>
          </w:tcPr>
          <w:p w14:paraId="48866B14">
            <w:pPr>
              <w:pStyle w:val="13"/>
              <w:jc w:val="center"/>
              <w:rPr>
                <w:rFonts w:hint="eastAsia"/>
              </w:rPr>
            </w:pPr>
            <w:r>
              <w:rPr>
                <w:rFonts w:hint="eastAsia"/>
              </w:rPr>
              <w:t>万元</w:t>
            </w:r>
          </w:p>
        </w:tc>
        <w:tc>
          <w:tcPr>
            <w:tcW w:w="984" w:type="pct"/>
            <w:vAlign w:val="center"/>
          </w:tcPr>
          <w:p w14:paraId="0164A887">
            <w:pPr>
              <w:pStyle w:val="13"/>
              <w:jc w:val="center"/>
              <w:rPr>
                <w:rFonts w:hint="eastAsia"/>
              </w:rPr>
            </w:pPr>
            <w:r>
              <w:rPr>
                <w:rFonts w:hint="eastAsia"/>
              </w:rPr>
              <w:t>10784</w:t>
            </w:r>
          </w:p>
        </w:tc>
        <w:tc>
          <w:tcPr>
            <w:tcW w:w="984" w:type="pct"/>
            <w:vAlign w:val="center"/>
          </w:tcPr>
          <w:p w14:paraId="357339B6">
            <w:pPr>
              <w:pStyle w:val="13"/>
              <w:jc w:val="center"/>
              <w:rPr>
                <w:rFonts w:hint="eastAsia"/>
              </w:rPr>
            </w:pPr>
            <w:r>
              <w:rPr>
                <w:rFonts w:hint="eastAsia"/>
              </w:rPr>
              <w:t>35.9</w:t>
            </w:r>
          </w:p>
        </w:tc>
      </w:tr>
      <w:tr w14:paraId="7B407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pct"/>
            <w:vAlign w:val="center"/>
          </w:tcPr>
          <w:p w14:paraId="039908D8">
            <w:pPr>
              <w:pStyle w:val="13"/>
              <w:ind w:firstLine="1050" w:firstLineChars="500"/>
              <w:jc w:val="left"/>
              <w:rPr>
                <w:rFonts w:hint="eastAsia"/>
              </w:rPr>
            </w:pPr>
            <w:r>
              <w:rPr>
                <w:rFonts w:hint="eastAsia"/>
              </w:rPr>
              <w:t>环境保护</w:t>
            </w:r>
          </w:p>
        </w:tc>
        <w:tc>
          <w:tcPr>
            <w:tcW w:w="984" w:type="pct"/>
            <w:vAlign w:val="center"/>
          </w:tcPr>
          <w:p w14:paraId="7D765412">
            <w:pPr>
              <w:pStyle w:val="13"/>
              <w:jc w:val="center"/>
              <w:rPr>
                <w:rFonts w:hint="eastAsia"/>
              </w:rPr>
            </w:pPr>
            <w:r>
              <w:rPr>
                <w:rFonts w:hint="eastAsia"/>
              </w:rPr>
              <w:t>万元</w:t>
            </w:r>
          </w:p>
        </w:tc>
        <w:tc>
          <w:tcPr>
            <w:tcW w:w="984" w:type="pct"/>
            <w:vAlign w:val="center"/>
          </w:tcPr>
          <w:p w14:paraId="2935B49A">
            <w:pPr>
              <w:pStyle w:val="13"/>
              <w:jc w:val="center"/>
              <w:rPr>
                <w:rFonts w:hint="eastAsia"/>
              </w:rPr>
            </w:pPr>
            <w:r>
              <w:rPr>
                <w:rFonts w:hint="eastAsia"/>
              </w:rPr>
              <w:t>1635</w:t>
            </w:r>
          </w:p>
        </w:tc>
        <w:tc>
          <w:tcPr>
            <w:tcW w:w="984" w:type="pct"/>
            <w:vAlign w:val="center"/>
          </w:tcPr>
          <w:p w14:paraId="5148264A">
            <w:pPr>
              <w:pStyle w:val="13"/>
              <w:jc w:val="center"/>
              <w:rPr>
                <w:rFonts w:hint="eastAsia"/>
              </w:rPr>
            </w:pPr>
            <w:r>
              <w:rPr>
                <w:rFonts w:hint="eastAsia"/>
              </w:rPr>
              <w:t>83.1</w:t>
            </w:r>
          </w:p>
        </w:tc>
      </w:tr>
      <w:tr w14:paraId="47505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pct"/>
            <w:vAlign w:val="center"/>
          </w:tcPr>
          <w:p w14:paraId="42F166F0">
            <w:pPr>
              <w:pStyle w:val="13"/>
              <w:ind w:firstLine="1050" w:firstLineChars="500"/>
              <w:jc w:val="left"/>
              <w:rPr>
                <w:rFonts w:hint="eastAsia"/>
              </w:rPr>
            </w:pPr>
            <w:r>
              <w:rPr>
                <w:rFonts w:hint="eastAsia"/>
              </w:rPr>
              <w:t>城乡社区事务</w:t>
            </w:r>
          </w:p>
        </w:tc>
        <w:tc>
          <w:tcPr>
            <w:tcW w:w="984" w:type="pct"/>
            <w:vAlign w:val="center"/>
          </w:tcPr>
          <w:p w14:paraId="5A25337E">
            <w:pPr>
              <w:pStyle w:val="13"/>
              <w:jc w:val="center"/>
              <w:rPr>
                <w:rFonts w:hint="eastAsia"/>
              </w:rPr>
            </w:pPr>
            <w:r>
              <w:rPr>
                <w:rFonts w:hint="eastAsia"/>
              </w:rPr>
              <w:t>万元</w:t>
            </w:r>
          </w:p>
        </w:tc>
        <w:tc>
          <w:tcPr>
            <w:tcW w:w="984" w:type="pct"/>
            <w:vAlign w:val="center"/>
          </w:tcPr>
          <w:p w14:paraId="67E6F2C4">
            <w:pPr>
              <w:pStyle w:val="13"/>
              <w:jc w:val="center"/>
              <w:rPr>
                <w:rFonts w:hint="eastAsia"/>
              </w:rPr>
            </w:pPr>
            <w:r>
              <w:rPr>
                <w:rFonts w:hint="eastAsia"/>
              </w:rPr>
              <w:t>1614</w:t>
            </w:r>
          </w:p>
        </w:tc>
        <w:tc>
          <w:tcPr>
            <w:tcW w:w="984" w:type="pct"/>
            <w:vAlign w:val="center"/>
          </w:tcPr>
          <w:p w14:paraId="2D831DB2">
            <w:pPr>
              <w:pStyle w:val="13"/>
              <w:jc w:val="center"/>
              <w:rPr>
                <w:rFonts w:hint="eastAsia"/>
              </w:rPr>
            </w:pPr>
            <w:r>
              <w:rPr>
                <w:rFonts w:hint="eastAsia"/>
              </w:rPr>
              <w:t>5.6</w:t>
            </w:r>
          </w:p>
        </w:tc>
      </w:tr>
      <w:tr w14:paraId="004A8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pct"/>
            <w:vAlign w:val="center"/>
          </w:tcPr>
          <w:p w14:paraId="0B142F43">
            <w:pPr>
              <w:pStyle w:val="13"/>
              <w:ind w:firstLine="1050" w:firstLineChars="500"/>
              <w:jc w:val="left"/>
              <w:rPr>
                <w:rFonts w:hint="eastAsia"/>
              </w:rPr>
            </w:pPr>
            <w:r>
              <w:rPr>
                <w:rFonts w:hint="eastAsia"/>
              </w:rPr>
              <w:t>农林水事务</w:t>
            </w:r>
          </w:p>
        </w:tc>
        <w:tc>
          <w:tcPr>
            <w:tcW w:w="984" w:type="pct"/>
            <w:vAlign w:val="center"/>
          </w:tcPr>
          <w:p w14:paraId="428BBA34">
            <w:pPr>
              <w:pStyle w:val="13"/>
              <w:jc w:val="center"/>
              <w:rPr>
                <w:rFonts w:hint="eastAsia"/>
              </w:rPr>
            </w:pPr>
            <w:r>
              <w:rPr>
                <w:rFonts w:hint="eastAsia"/>
              </w:rPr>
              <w:t>万元</w:t>
            </w:r>
          </w:p>
        </w:tc>
        <w:tc>
          <w:tcPr>
            <w:tcW w:w="984" w:type="pct"/>
            <w:vAlign w:val="center"/>
          </w:tcPr>
          <w:p w14:paraId="7563495E">
            <w:pPr>
              <w:pStyle w:val="13"/>
              <w:jc w:val="center"/>
              <w:rPr>
                <w:rFonts w:hint="eastAsia"/>
              </w:rPr>
            </w:pPr>
            <w:r>
              <w:rPr>
                <w:rFonts w:hint="eastAsia"/>
              </w:rPr>
              <w:t>13966</w:t>
            </w:r>
          </w:p>
        </w:tc>
        <w:tc>
          <w:tcPr>
            <w:tcW w:w="984" w:type="pct"/>
            <w:vAlign w:val="center"/>
          </w:tcPr>
          <w:p w14:paraId="1122D538">
            <w:pPr>
              <w:pStyle w:val="13"/>
              <w:jc w:val="center"/>
              <w:rPr>
                <w:rFonts w:hint="eastAsia"/>
              </w:rPr>
            </w:pPr>
            <w:r>
              <w:rPr>
                <w:rFonts w:hint="eastAsia"/>
              </w:rPr>
              <w:t>58.1</w:t>
            </w:r>
          </w:p>
        </w:tc>
      </w:tr>
      <w:tr w14:paraId="7046A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pct"/>
            <w:vAlign w:val="center"/>
          </w:tcPr>
          <w:p w14:paraId="36CBB18C">
            <w:pPr>
              <w:pStyle w:val="13"/>
              <w:ind w:firstLine="1050" w:firstLineChars="500"/>
              <w:jc w:val="left"/>
              <w:rPr>
                <w:rFonts w:hint="eastAsia"/>
              </w:rPr>
            </w:pPr>
            <w:r>
              <w:rPr>
                <w:rFonts w:hint="eastAsia"/>
              </w:rPr>
              <w:t>交通运输</w:t>
            </w:r>
          </w:p>
        </w:tc>
        <w:tc>
          <w:tcPr>
            <w:tcW w:w="984" w:type="pct"/>
            <w:vAlign w:val="center"/>
          </w:tcPr>
          <w:p w14:paraId="45B81748">
            <w:pPr>
              <w:pStyle w:val="13"/>
              <w:jc w:val="center"/>
              <w:rPr>
                <w:rFonts w:hint="eastAsia"/>
              </w:rPr>
            </w:pPr>
            <w:r>
              <w:rPr>
                <w:rFonts w:hint="eastAsia"/>
              </w:rPr>
              <w:t>万元</w:t>
            </w:r>
          </w:p>
        </w:tc>
        <w:tc>
          <w:tcPr>
            <w:tcW w:w="984" w:type="pct"/>
            <w:vAlign w:val="center"/>
          </w:tcPr>
          <w:p w14:paraId="6F7E6ED0">
            <w:pPr>
              <w:pStyle w:val="13"/>
              <w:jc w:val="center"/>
              <w:rPr>
                <w:rFonts w:hint="eastAsia"/>
              </w:rPr>
            </w:pPr>
            <w:r>
              <w:rPr>
                <w:rFonts w:hint="eastAsia"/>
              </w:rPr>
              <w:t>956</w:t>
            </w:r>
          </w:p>
        </w:tc>
        <w:tc>
          <w:tcPr>
            <w:tcW w:w="984" w:type="pct"/>
            <w:vAlign w:val="center"/>
          </w:tcPr>
          <w:p w14:paraId="4DBE7924">
            <w:pPr>
              <w:pStyle w:val="13"/>
              <w:jc w:val="center"/>
              <w:rPr>
                <w:rFonts w:hint="eastAsia"/>
              </w:rPr>
            </w:pPr>
            <w:r>
              <w:rPr>
                <w:rFonts w:hint="eastAsia"/>
              </w:rPr>
              <w:t>215.5</w:t>
            </w:r>
          </w:p>
        </w:tc>
      </w:tr>
      <w:tr w14:paraId="50F645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pct"/>
            <w:vAlign w:val="center"/>
          </w:tcPr>
          <w:p w14:paraId="03D72912">
            <w:pPr>
              <w:pStyle w:val="13"/>
              <w:ind w:firstLine="1050" w:firstLineChars="500"/>
              <w:jc w:val="left"/>
              <w:rPr>
                <w:rFonts w:hint="eastAsia"/>
              </w:rPr>
            </w:pPr>
            <w:r>
              <w:rPr>
                <w:rFonts w:hint="eastAsia"/>
              </w:rPr>
              <w:t>商业服务业等事务</w:t>
            </w:r>
          </w:p>
        </w:tc>
        <w:tc>
          <w:tcPr>
            <w:tcW w:w="984" w:type="pct"/>
            <w:vAlign w:val="center"/>
          </w:tcPr>
          <w:p w14:paraId="3BC7759F">
            <w:pPr>
              <w:pStyle w:val="13"/>
              <w:jc w:val="center"/>
              <w:rPr>
                <w:rFonts w:hint="eastAsia"/>
              </w:rPr>
            </w:pPr>
            <w:r>
              <w:rPr>
                <w:rFonts w:hint="eastAsia"/>
              </w:rPr>
              <w:t>万元</w:t>
            </w:r>
          </w:p>
        </w:tc>
        <w:tc>
          <w:tcPr>
            <w:tcW w:w="984" w:type="pct"/>
            <w:vAlign w:val="center"/>
          </w:tcPr>
          <w:p w14:paraId="54C5EC5F">
            <w:pPr>
              <w:pStyle w:val="13"/>
              <w:jc w:val="center"/>
              <w:rPr>
                <w:rFonts w:hint="eastAsia"/>
              </w:rPr>
            </w:pPr>
            <w:r>
              <w:rPr>
                <w:rFonts w:hint="eastAsia"/>
              </w:rPr>
              <w:t>1468</w:t>
            </w:r>
          </w:p>
        </w:tc>
        <w:tc>
          <w:tcPr>
            <w:tcW w:w="984" w:type="pct"/>
            <w:vAlign w:val="center"/>
          </w:tcPr>
          <w:p w14:paraId="7B0941C3">
            <w:pPr>
              <w:pStyle w:val="13"/>
              <w:jc w:val="center"/>
              <w:rPr>
                <w:rFonts w:hint="eastAsia"/>
              </w:rPr>
            </w:pPr>
            <w:r>
              <w:rPr>
                <w:rFonts w:hint="eastAsia"/>
              </w:rPr>
              <w:t>59.9</w:t>
            </w:r>
          </w:p>
        </w:tc>
      </w:tr>
      <w:tr w14:paraId="4955C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pct"/>
            <w:vAlign w:val="center"/>
          </w:tcPr>
          <w:p w14:paraId="3812B729">
            <w:pPr>
              <w:pStyle w:val="13"/>
              <w:ind w:firstLine="1050" w:firstLineChars="500"/>
              <w:jc w:val="left"/>
              <w:rPr>
                <w:rFonts w:hint="eastAsia"/>
              </w:rPr>
            </w:pPr>
            <w:r>
              <w:rPr>
                <w:rFonts w:hint="eastAsia"/>
              </w:rPr>
              <w:t>国土资源气象等事务</w:t>
            </w:r>
          </w:p>
        </w:tc>
        <w:tc>
          <w:tcPr>
            <w:tcW w:w="984" w:type="pct"/>
            <w:vAlign w:val="center"/>
          </w:tcPr>
          <w:p w14:paraId="701BE733">
            <w:pPr>
              <w:pStyle w:val="13"/>
              <w:jc w:val="center"/>
              <w:rPr>
                <w:rFonts w:hint="eastAsia"/>
              </w:rPr>
            </w:pPr>
            <w:r>
              <w:rPr>
                <w:rFonts w:hint="eastAsia"/>
              </w:rPr>
              <w:t>万元</w:t>
            </w:r>
          </w:p>
        </w:tc>
        <w:tc>
          <w:tcPr>
            <w:tcW w:w="984" w:type="pct"/>
            <w:vAlign w:val="center"/>
          </w:tcPr>
          <w:p w14:paraId="33B5826C">
            <w:pPr>
              <w:pStyle w:val="13"/>
              <w:jc w:val="center"/>
              <w:rPr>
                <w:rFonts w:hint="eastAsia"/>
              </w:rPr>
            </w:pPr>
            <w:r>
              <w:rPr>
                <w:rFonts w:hint="eastAsia"/>
              </w:rPr>
              <w:t>308</w:t>
            </w:r>
          </w:p>
        </w:tc>
        <w:tc>
          <w:tcPr>
            <w:tcW w:w="984" w:type="pct"/>
            <w:vAlign w:val="center"/>
          </w:tcPr>
          <w:p w14:paraId="389F012C">
            <w:pPr>
              <w:pStyle w:val="13"/>
              <w:jc w:val="center"/>
              <w:rPr>
                <w:rFonts w:hint="eastAsia"/>
              </w:rPr>
            </w:pPr>
            <w:r>
              <w:rPr>
                <w:rFonts w:hint="eastAsia"/>
              </w:rPr>
              <w:t>-19.4</w:t>
            </w:r>
          </w:p>
        </w:tc>
      </w:tr>
    </w:tbl>
    <w:p w14:paraId="4E294B9E">
      <w:pPr>
        <w:pStyle w:val="4"/>
        <w:rPr>
          <w:rFonts w:hint="eastAsia"/>
        </w:rPr>
      </w:pPr>
      <w:r>
        <w:t>表</w:t>
      </w:r>
      <w:r>
        <w:rPr>
          <w:rFonts w:hint="eastAsia"/>
        </w:rPr>
        <w:t>34-37  金融情况</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89"/>
        <w:gridCol w:w="1825"/>
        <w:gridCol w:w="1825"/>
        <w:gridCol w:w="1823"/>
      </w:tblGrid>
      <w:tr w14:paraId="667C9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3" w:type="pct"/>
            <w:vAlign w:val="center"/>
          </w:tcPr>
          <w:p w14:paraId="2028E628">
            <w:pPr>
              <w:pStyle w:val="13"/>
              <w:jc w:val="center"/>
              <w:rPr>
                <w:rFonts w:hint="eastAsia"/>
                <w:b/>
              </w:rPr>
            </w:pPr>
            <w:r>
              <w:rPr>
                <w:rFonts w:hint="eastAsia"/>
                <w:b/>
              </w:rPr>
              <w:t>指标名称</w:t>
            </w:r>
          </w:p>
        </w:tc>
        <w:tc>
          <w:tcPr>
            <w:tcW w:w="916" w:type="pct"/>
            <w:vAlign w:val="center"/>
          </w:tcPr>
          <w:p w14:paraId="7B5EE6CB">
            <w:pPr>
              <w:pStyle w:val="13"/>
              <w:jc w:val="center"/>
              <w:rPr>
                <w:rFonts w:hint="eastAsia"/>
                <w:b/>
              </w:rPr>
            </w:pPr>
            <w:r>
              <w:rPr>
                <w:rFonts w:hint="eastAsia"/>
                <w:b/>
              </w:rPr>
              <w:t>计算单位</w:t>
            </w:r>
          </w:p>
        </w:tc>
        <w:tc>
          <w:tcPr>
            <w:tcW w:w="916" w:type="pct"/>
            <w:vAlign w:val="center"/>
          </w:tcPr>
          <w:p w14:paraId="5F18D6E5">
            <w:pPr>
              <w:pStyle w:val="13"/>
              <w:jc w:val="center"/>
              <w:rPr>
                <w:rFonts w:hint="eastAsia"/>
                <w:b/>
              </w:rPr>
            </w:pPr>
            <w:r>
              <w:rPr>
                <w:rFonts w:hint="eastAsia"/>
                <w:b/>
              </w:rPr>
              <w:t>2010年</w:t>
            </w:r>
          </w:p>
        </w:tc>
        <w:tc>
          <w:tcPr>
            <w:tcW w:w="916" w:type="pct"/>
            <w:vAlign w:val="center"/>
          </w:tcPr>
          <w:p w14:paraId="3A9CEA0E">
            <w:pPr>
              <w:pStyle w:val="13"/>
              <w:jc w:val="center"/>
              <w:rPr>
                <w:rFonts w:hint="eastAsia"/>
                <w:b/>
              </w:rPr>
            </w:pPr>
            <w:r>
              <w:rPr>
                <w:rFonts w:hint="eastAsia"/>
                <w:b/>
              </w:rPr>
              <w:t>比年初±％</w:t>
            </w:r>
          </w:p>
        </w:tc>
      </w:tr>
      <w:tr w14:paraId="58664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3" w:type="pct"/>
            <w:vAlign w:val="center"/>
          </w:tcPr>
          <w:p w14:paraId="3B0E2EA3">
            <w:pPr>
              <w:pStyle w:val="13"/>
              <w:jc w:val="left"/>
              <w:rPr>
                <w:rFonts w:hint="eastAsia"/>
              </w:rPr>
            </w:pPr>
            <w:r>
              <w:rPr>
                <w:rFonts w:hint="eastAsia"/>
              </w:rPr>
              <w:t>一、人民币存款年末余额</w:t>
            </w:r>
          </w:p>
        </w:tc>
        <w:tc>
          <w:tcPr>
            <w:tcW w:w="916" w:type="pct"/>
            <w:vAlign w:val="center"/>
          </w:tcPr>
          <w:p w14:paraId="1FC6AF25">
            <w:pPr>
              <w:pStyle w:val="13"/>
              <w:jc w:val="center"/>
              <w:rPr>
                <w:rFonts w:hint="eastAsia"/>
              </w:rPr>
            </w:pPr>
            <w:r>
              <w:rPr>
                <w:rFonts w:hint="eastAsia"/>
              </w:rPr>
              <w:t>万元</w:t>
            </w:r>
          </w:p>
        </w:tc>
        <w:tc>
          <w:tcPr>
            <w:tcW w:w="916" w:type="pct"/>
            <w:vAlign w:val="center"/>
          </w:tcPr>
          <w:p w14:paraId="737EE80E">
            <w:pPr>
              <w:pStyle w:val="13"/>
              <w:jc w:val="center"/>
              <w:rPr>
                <w:rFonts w:hint="eastAsia"/>
              </w:rPr>
            </w:pPr>
            <w:r>
              <w:rPr>
                <w:rFonts w:hint="eastAsia"/>
              </w:rPr>
              <w:t>565063</w:t>
            </w:r>
          </w:p>
        </w:tc>
        <w:tc>
          <w:tcPr>
            <w:tcW w:w="916" w:type="pct"/>
            <w:vAlign w:val="center"/>
          </w:tcPr>
          <w:p w14:paraId="3FC022BF">
            <w:pPr>
              <w:pStyle w:val="13"/>
              <w:jc w:val="center"/>
              <w:rPr>
                <w:rFonts w:hint="eastAsia"/>
              </w:rPr>
            </w:pPr>
            <w:r>
              <w:rPr>
                <w:rFonts w:hint="eastAsia"/>
              </w:rPr>
              <w:t>17.1</w:t>
            </w:r>
          </w:p>
        </w:tc>
      </w:tr>
      <w:tr w14:paraId="2A10B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3" w:type="pct"/>
            <w:vAlign w:val="center"/>
          </w:tcPr>
          <w:p w14:paraId="35015481">
            <w:pPr>
              <w:pStyle w:val="13"/>
              <w:ind w:firstLine="420" w:firstLineChars="200"/>
              <w:jc w:val="left"/>
              <w:rPr>
                <w:rFonts w:hint="eastAsia"/>
              </w:rPr>
            </w:pPr>
            <w:r>
              <w:rPr>
                <w:rFonts w:hint="eastAsia"/>
              </w:rPr>
              <w:t>其中：储蓄存款余额</w:t>
            </w:r>
          </w:p>
        </w:tc>
        <w:tc>
          <w:tcPr>
            <w:tcW w:w="916" w:type="pct"/>
            <w:vAlign w:val="center"/>
          </w:tcPr>
          <w:p w14:paraId="10BA4D43">
            <w:pPr>
              <w:pStyle w:val="13"/>
              <w:jc w:val="center"/>
              <w:rPr>
                <w:rFonts w:hint="eastAsia"/>
              </w:rPr>
            </w:pPr>
            <w:r>
              <w:rPr>
                <w:rFonts w:hint="eastAsia"/>
              </w:rPr>
              <w:t>万元</w:t>
            </w:r>
          </w:p>
        </w:tc>
        <w:tc>
          <w:tcPr>
            <w:tcW w:w="916" w:type="pct"/>
            <w:vAlign w:val="center"/>
          </w:tcPr>
          <w:p w14:paraId="585BB829">
            <w:pPr>
              <w:pStyle w:val="13"/>
              <w:jc w:val="center"/>
              <w:rPr>
                <w:rFonts w:hint="eastAsia"/>
              </w:rPr>
            </w:pPr>
            <w:r>
              <w:rPr>
                <w:rFonts w:hint="eastAsia"/>
              </w:rPr>
              <w:t>448866</w:t>
            </w:r>
          </w:p>
        </w:tc>
        <w:tc>
          <w:tcPr>
            <w:tcW w:w="916" w:type="pct"/>
            <w:vAlign w:val="center"/>
          </w:tcPr>
          <w:p w14:paraId="62274C81">
            <w:pPr>
              <w:pStyle w:val="13"/>
              <w:jc w:val="center"/>
              <w:rPr>
                <w:rFonts w:hint="eastAsia"/>
              </w:rPr>
            </w:pPr>
            <w:r>
              <w:rPr>
                <w:rFonts w:hint="eastAsia"/>
              </w:rPr>
              <w:t>15.3</w:t>
            </w:r>
          </w:p>
        </w:tc>
      </w:tr>
      <w:tr w14:paraId="60976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3" w:type="pct"/>
            <w:vAlign w:val="center"/>
          </w:tcPr>
          <w:p w14:paraId="5BF8EC93">
            <w:pPr>
              <w:pStyle w:val="13"/>
              <w:ind w:firstLine="1050" w:firstLineChars="500"/>
              <w:jc w:val="left"/>
              <w:rPr>
                <w:rFonts w:hint="eastAsia"/>
              </w:rPr>
            </w:pPr>
            <w:r>
              <w:rPr>
                <w:rFonts w:hint="eastAsia"/>
              </w:rPr>
              <w:t>企业存款</w:t>
            </w:r>
          </w:p>
        </w:tc>
        <w:tc>
          <w:tcPr>
            <w:tcW w:w="916" w:type="pct"/>
            <w:vAlign w:val="center"/>
          </w:tcPr>
          <w:p w14:paraId="5173CDC4">
            <w:pPr>
              <w:pStyle w:val="13"/>
              <w:jc w:val="center"/>
              <w:rPr>
                <w:rFonts w:hint="eastAsia"/>
              </w:rPr>
            </w:pPr>
            <w:r>
              <w:rPr>
                <w:rFonts w:hint="eastAsia"/>
              </w:rPr>
              <w:t>万元</w:t>
            </w:r>
          </w:p>
        </w:tc>
        <w:tc>
          <w:tcPr>
            <w:tcW w:w="916" w:type="pct"/>
            <w:vAlign w:val="center"/>
          </w:tcPr>
          <w:p w14:paraId="6B773AFD">
            <w:pPr>
              <w:pStyle w:val="13"/>
              <w:jc w:val="center"/>
              <w:rPr>
                <w:rFonts w:hint="eastAsia"/>
              </w:rPr>
            </w:pPr>
            <w:r>
              <w:rPr>
                <w:rFonts w:hint="eastAsia"/>
              </w:rPr>
              <w:t>44883</w:t>
            </w:r>
          </w:p>
        </w:tc>
        <w:tc>
          <w:tcPr>
            <w:tcW w:w="916" w:type="pct"/>
            <w:vAlign w:val="center"/>
          </w:tcPr>
          <w:p w14:paraId="2F9BBDC1">
            <w:pPr>
              <w:pStyle w:val="13"/>
              <w:jc w:val="center"/>
              <w:rPr>
                <w:rFonts w:hint="eastAsia"/>
              </w:rPr>
            </w:pPr>
            <w:r>
              <w:rPr>
                <w:rFonts w:hint="eastAsia"/>
              </w:rPr>
              <w:t>40.7</w:t>
            </w:r>
          </w:p>
        </w:tc>
      </w:tr>
      <w:tr w14:paraId="3F9F7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3" w:type="pct"/>
            <w:vAlign w:val="center"/>
          </w:tcPr>
          <w:p w14:paraId="37B51405">
            <w:pPr>
              <w:pStyle w:val="13"/>
              <w:ind w:firstLine="1050" w:firstLineChars="500"/>
              <w:jc w:val="left"/>
              <w:rPr>
                <w:rFonts w:hint="eastAsia"/>
              </w:rPr>
            </w:pPr>
            <w:r>
              <w:rPr>
                <w:rFonts w:hint="eastAsia"/>
              </w:rPr>
              <w:t>财政存款</w:t>
            </w:r>
          </w:p>
        </w:tc>
        <w:tc>
          <w:tcPr>
            <w:tcW w:w="916" w:type="pct"/>
            <w:vAlign w:val="center"/>
          </w:tcPr>
          <w:p w14:paraId="71CDAFEF">
            <w:pPr>
              <w:pStyle w:val="13"/>
              <w:jc w:val="center"/>
              <w:rPr>
                <w:rFonts w:hint="eastAsia"/>
              </w:rPr>
            </w:pPr>
            <w:r>
              <w:rPr>
                <w:rFonts w:hint="eastAsia"/>
              </w:rPr>
              <w:t>万元</w:t>
            </w:r>
          </w:p>
        </w:tc>
        <w:tc>
          <w:tcPr>
            <w:tcW w:w="916" w:type="pct"/>
            <w:vAlign w:val="center"/>
          </w:tcPr>
          <w:p w14:paraId="5D7DB8E8">
            <w:pPr>
              <w:pStyle w:val="13"/>
              <w:jc w:val="center"/>
              <w:rPr>
                <w:rFonts w:hint="eastAsia"/>
              </w:rPr>
            </w:pPr>
            <w:r>
              <w:rPr>
                <w:rFonts w:hint="eastAsia"/>
              </w:rPr>
              <w:t>9423</w:t>
            </w:r>
          </w:p>
        </w:tc>
        <w:tc>
          <w:tcPr>
            <w:tcW w:w="916" w:type="pct"/>
            <w:vAlign w:val="center"/>
          </w:tcPr>
          <w:p w14:paraId="0DA8B09A">
            <w:pPr>
              <w:pStyle w:val="13"/>
              <w:jc w:val="center"/>
              <w:rPr>
                <w:rFonts w:hint="eastAsia"/>
              </w:rPr>
            </w:pPr>
            <w:r>
              <w:rPr>
                <w:rFonts w:hint="eastAsia"/>
              </w:rPr>
              <w:t>-37.5</w:t>
            </w:r>
          </w:p>
        </w:tc>
      </w:tr>
      <w:tr w14:paraId="503D3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3" w:type="pct"/>
            <w:vAlign w:val="center"/>
          </w:tcPr>
          <w:p w14:paraId="4EF9234F">
            <w:pPr>
              <w:pStyle w:val="13"/>
              <w:ind w:firstLine="1050" w:firstLineChars="500"/>
              <w:jc w:val="left"/>
              <w:rPr>
                <w:rFonts w:hint="eastAsia"/>
              </w:rPr>
            </w:pPr>
            <w:r>
              <w:rPr>
                <w:rFonts w:hint="eastAsia"/>
              </w:rPr>
              <w:t>机关团体存款</w:t>
            </w:r>
          </w:p>
        </w:tc>
        <w:tc>
          <w:tcPr>
            <w:tcW w:w="916" w:type="pct"/>
            <w:vAlign w:val="center"/>
          </w:tcPr>
          <w:p w14:paraId="4172CC0E">
            <w:pPr>
              <w:pStyle w:val="13"/>
              <w:jc w:val="center"/>
              <w:rPr>
                <w:rFonts w:hint="eastAsia"/>
              </w:rPr>
            </w:pPr>
            <w:r>
              <w:rPr>
                <w:rFonts w:hint="eastAsia"/>
              </w:rPr>
              <w:t>万元</w:t>
            </w:r>
          </w:p>
        </w:tc>
        <w:tc>
          <w:tcPr>
            <w:tcW w:w="916" w:type="pct"/>
            <w:vAlign w:val="center"/>
          </w:tcPr>
          <w:p w14:paraId="6F34F5B4">
            <w:pPr>
              <w:pStyle w:val="13"/>
              <w:jc w:val="center"/>
              <w:rPr>
                <w:rFonts w:hint="eastAsia"/>
              </w:rPr>
            </w:pPr>
            <w:r>
              <w:rPr>
                <w:rFonts w:hint="eastAsia"/>
              </w:rPr>
              <w:t>31086</w:t>
            </w:r>
          </w:p>
        </w:tc>
        <w:tc>
          <w:tcPr>
            <w:tcW w:w="916" w:type="pct"/>
            <w:vAlign w:val="center"/>
          </w:tcPr>
          <w:p w14:paraId="07237DFB">
            <w:pPr>
              <w:pStyle w:val="13"/>
              <w:jc w:val="center"/>
              <w:rPr>
                <w:rFonts w:hint="eastAsia"/>
              </w:rPr>
            </w:pPr>
            <w:r>
              <w:rPr>
                <w:rFonts w:hint="eastAsia"/>
              </w:rPr>
              <w:t>17.2</w:t>
            </w:r>
          </w:p>
        </w:tc>
      </w:tr>
      <w:tr w14:paraId="41D42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3" w:type="pct"/>
            <w:vAlign w:val="center"/>
          </w:tcPr>
          <w:p w14:paraId="1912F987">
            <w:pPr>
              <w:pStyle w:val="13"/>
              <w:ind w:firstLine="1050" w:firstLineChars="500"/>
              <w:jc w:val="left"/>
              <w:rPr>
                <w:rFonts w:hint="eastAsia"/>
              </w:rPr>
            </w:pPr>
            <w:r>
              <w:rPr>
                <w:rFonts w:hint="eastAsia"/>
              </w:rPr>
              <w:t>农业存款</w:t>
            </w:r>
          </w:p>
        </w:tc>
        <w:tc>
          <w:tcPr>
            <w:tcW w:w="916" w:type="pct"/>
            <w:vAlign w:val="center"/>
          </w:tcPr>
          <w:p w14:paraId="6BB9FFA3">
            <w:pPr>
              <w:pStyle w:val="13"/>
              <w:jc w:val="center"/>
              <w:rPr>
                <w:rFonts w:hint="eastAsia"/>
              </w:rPr>
            </w:pPr>
            <w:r>
              <w:rPr>
                <w:rFonts w:hint="eastAsia"/>
              </w:rPr>
              <w:t>万元</w:t>
            </w:r>
          </w:p>
        </w:tc>
        <w:tc>
          <w:tcPr>
            <w:tcW w:w="916" w:type="pct"/>
            <w:vAlign w:val="center"/>
          </w:tcPr>
          <w:p w14:paraId="5E18F412">
            <w:pPr>
              <w:pStyle w:val="13"/>
              <w:jc w:val="center"/>
              <w:rPr>
                <w:rFonts w:hint="eastAsia"/>
              </w:rPr>
            </w:pPr>
            <w:r>
              <w:rPr>
                <w:rFonts w:hint="eastAsia"/>
              </w:rPr>
              <w:t>23755</w:t>
            </w:r>
          </w:p>
        </w:tc>
        <w:tc>
          <w:tcPr>
            <w:tcW w:w="916" w:type="pct"/>
            <w:vAlign w:val="center"/>
          </w:tcPr>
          <w:p w14:paraId="3BD6BC58">
            <w:pPr>
              <w:pStyle w:val="13"/>
              <w:jc w:val="center"/>
              <w:rPr>
                <w:rFonts w:hint="eastAsia"/>
              </w:rPr>
            </w:pPr>
            <w:r>
              <w:rPr>
                <w:rFonts w:hint="eastAsia"/>
              </w:rPr>
              <w:t>40.3</w:t>
            </w:r>
          </w:p>
        </w:tc>
      </w:tr>
      <w:tr w14:paraId="2D106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3" w:type="pct"/>
            <w:vAlign w:val="center"/>
          </w:tcPr>
          <w:p w14:paraId="7EF88DD0">
            <w:pPr>
              <w:pStyle w:val="13"/>
              <w:ind w:firstLine="1050" w:firstLineChars="500"/>
              <w:jc w:val="left"/>
              <w:rPr>
                <w:rFonts w:hint="eastAsia"/>
              </w:rPr>
            </w:pPr>
            <w:r>
              <w:rPr>
                <w:rFonts w:hint="eastAsia"/>
              </w:rPr>
              <w:t>其它存款</w:t>
            </w:r>
          </w:p>
        </w:tc>
        <w:tc>
          <w:tcPr>
            <w:tcW w:w="916" w:type="pct"/>
            <w:vAlign w:val="center"/>
          </w:tcPr>
          <w:p w14:paraId="543BB0E1">
            <w:pPr>
              <w:pStyle w:val="13"/>
              <w:jc w:val="center"/>
              <w:rPr>
                <w:rFonts w:hint="eastAsia"/>
              </w:rPr>
            </w:pPr>
            <w:r>
              <w:rPr>
                <w:rFonts w:hint="eastAsia"/>
              </w:rPr>
              <w:t>万元</w:t>
            </w:r>
          </w:p>
        </w:tc>
        <w:tc>
          <w:tcPr>
            <w:tcW w:w="916" w:type="pct"/>
            <w:vAlign w:val="center"/>
          </w:tcPr>
          <w:p w14:paraId="1854806E">
            <w:pPr>
              <w:pStyle w:val="13"/>
              <w:jc w:val="center"/>
              <w:rPr>
                <w:rFonts w:hint="eastAsia"/>
              </w:rPr>
            </w:pPr>
            <w:r>
              <w:rPr>
                <w:rFonts w:hint="eastAsia"/>
              </w:rPr>
              <w:t>7028</w:t>
            </w:r>
          </w:p>
        </w:tc>
        <w:tc>
          <w:tcPr>
            <w:tcW w:w="916" w:type="pct"/>
            <w:vAlign w:val="center"/>
          </w:tcPr>
          <w:p w14:paraId="17EA6177">
            <w:pPr>
              <w:pStyle w:val="13"/>
              <w:jc w:val="center"/>
              <w:rPr>
                <w:rFonts w:hint="eastAsia"/>
              </w:rPr>
            </w:pPr>
            <w:r>
              <w:rPr>
                <w:rFonts w:hint="eastAsia"/>
              </w:rPr>
              <w:t>151.8</w:t>
            </w:r>
          </w:p>
        </w:tc>
      </w:tr>
      <w:tr w14:paraId="2D624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3" w:type="pct"/>
            <w:vAlign w:val="center"/>
          </w:tcPr>
          <w:p w14:paraId="0366B102">
            <w:pPr>
              <w:pStyle w:val="13"/>
              <w:jc w:val="left"/>
              <w:rPr>
                <w:rFonts w:hint="eastAsia"/>
              </w:rPr>
            </w:pPr>
            <w:r>
              <w:rPr>
                <w:rFonts w:hint="eastAsia"/>
              </w:rPr>
              <w:t>二、金融机构各项贷款年末余额</w:t>
            </w:r>
          </w:p>
        </w:tc>
        <w:tc>
          <w:tcPr>
            <w:tcW w:w="916" w:type="pct"/>
            <w:vAlign w:val="center"/>
          </w:tcPr>
          <w:p w14:paraId="6AAFDE8E">
            <w:pPr>
              <w:pStyle w:val="13"/>
              <w:jc w:val="center"/>
              <w:rPr>
                <w:rFonts w:hint="eastAsia"/>
              </w:rPr>
            </w:pPr>
            <w:r>
              <w:rPr>
                <w:rFonts w:hint="eastAsia"/>
              </w:rPr>
              <w:t>万元</w:t>
            </w:r>
          </w:p>
        </w:tc>
        <w:tc>
          <w:tcPr>
            <w:tcW w:w="916" w:type="pct"/>
            <w:vAlign w:val="center"/>
          </w:tcPr>
          <w:p w14:paraId="4874E197">
            <w:pPr>
              <w:pStyle w:val="13"/>
              <w:jc w:val="center"/>
              <w:rPr>
                <w:rFonts w:hint="eastAsia"/>
              </w:rPr>
            </w:pPr>
            <w:r>
              <w:rPr>
                <w:rFonts w:hint="eastAsia"/>
              </w:rPr>
              <w:t>149442</w:t>
            </w:r>
          </w:p>
        </w:tc>
        <w:tc>
          <w:tcPr>
            <w:tcW w:w="916" w:type="pct"/>
            <w:vAlign w:val="center"/>
          </w:tcPr>
          <w:p w14:paraId="55EF308A">
            <w:pPr>
              <w:pStyle w:val="13"/>
              <w:jc w:val="center"/>
              <w:rPr>
                <w:rFonts w:hint="eastAsia"/>
              </w:rPr>
            </w:pPr>
            <w:r>
              <w:rPr>
                <w:rFonts w:hint="eastAsia"/>
              </w:rPr>
              <w:t>28.4</w:t>
            </w:r>
          </w:p>
        </w:tc>
      </w:tr>
      <w:tr w14:paraId="5AC43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3" w:type="pct"/>
            <w:vAlign w:val="center"/>
          </w:tcPr>
          <w:p w14:paraId="1012C24B">
            <w:pPr>
              <w:pStyle w:val="13"/>
              <w:ind w:firstLine="420" w:firstLineChars="200"/>
              <w:jc w:val="left"/>
              <w:rPr>
                <w:rFonts w:hint="eastAsia"/>
              </w:rPr>
            </w:pPr>
            <w:r>
              <w:rPr>
                <w:rFonts w:hint="eastAsia"/>
              </w:rPr>
              <w:t>其中：短期贷款</w:t>
            </w:r>
          </w:p>
        </w:tc>
        <w:tc>
          <w:tcPr>
            <w:tcW w:w="916" w:type="pct"/>
            <w:vAlign w:val="center"/>
          </w:tcPr>
          <w:p w14:paraId="200396EE">
            <w:pPr>
              <w:pStyle w:val="13"/>
              <w:jc w:val="center"/>
              <w:rPr>
                <w:rFonts w:hint="eastAsia"/>
              </w:rPr>
            </w:pPr>
            <w:r>
              <w:rPr>
                <w:rFonts w:hint="eastAsia"/>
              </w:rPr>
              <w:t>万元</w:t>
            </w:r>
          </w:p>
        </w:tc>
        <w:tc>
          <w:tcPr>
            <w:tcW w:w="916" w:type="pct"/>
            <w:vAlign w:val="center"/>
          </w:tcPr>
          <w:p w14:paraId="3ACD47EA">
            <w:pPr>
              <w:pStyle w:val="13"/>
              <w:jc w:val="center"/>
              <w:rPr>
                <w:rFonts w:hint="eastAsia"/>
              </w:rPr>
            </w:pPr>
            <w:r>
              <w:rPr>
                <w:rFonts w:hint="eastAsia"/>
              </w:rPr>
              <w:t>32962</w:t>
            </w:r>
          </w:p>
        </w:tc>
        <w:tc>
          <w:tcPr>
            <w:tcW w:w="916" w:type="pct"/>
            <w:vAlign w:val="center"/>
          </w:tcPr>
          <w:p w14:paraId="78425312">
            <w:pPr>
              <w:pStyle w:val="13"/>
              <w:jc w:val="center"/>
              <w:rPr>
                <w:rFonts w:hint="eastAsia"/>
              </w:rPr>
            </w:pPr>
            <w:r>
              <w:rPr>
                <w:rFonts w:hint="eastAsia"/>
              </w:rPr>
              <w:t>-21.4</w:t>
            </w:r>
          </w:p>
        </w:tc>
      </w:tr>
      <w:tr w14:paraId="7D277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3" w:type="pct"/>
            <w:vAlign w:val="center"/>
          </w:tcPr>
          <w:p w14:paraId="796377A6">
            <w:pPr>
              <w:pStyle w:val="13"/>
              <w:ind w:firstLine="1050" w:firstLineChars="500"/>
              <w:jc w:val="left"/>
              <w:rPr>
                <w:rFonts w:hint="eastAsia"/>
              </w:rPr>
            </w:pPr>
            <w:r>
              <w:rPr>
                <w:rFonts w:hint="eastAsia"/>
              </w:rPr>
              <w:t>中长期贷款</w:t>
            </w:r>
          </w:p>
        </w:tc>
        <w:tc>
          <w:tcPr>
            <w:tcW w:w="916" w:type="pct"/>
            <w:vAlign w:val="center"/>
          </w:tcPr>
          <w:p w14:paraId="6037B488">
            <w:pPr>
              <w:pStyle w:val="13"/>
              <w:jc w:val="center"/>
              <w:rPr>
                <w:rFonts w:hint="eastAsia"/>
              </w:rPr>
            </w:pPr>
            <w:r>
              <w:rPr>
                <w:rFonts w:hint="eastAsia"/>
              </w:rPr>
              <w:t>万元</w:t>
            </w:r>
          </w:p>
        </w:tc>
        <w:tc>
          <w:tcPr>
            <w:tcW w:w="916" w:type="pct"/>
            <w:vAlign w:val="center"/>
          </w:tcPr>
          <w:p w14:paraId="05C7931F">
            <w:pPr>
              <w:pStyle w:val="13"/>
              <w:jc w:val="center"/>
              <w:rPr>
                <w:rFonts w:hint="eastAsia"/>
              </w:rPr>
            </w:pPr>
            <w:r>
              <w:rPr>
                <w:rFonts w:hint="eastAsia"/>
              </w:rPr>
              <w:t>116479</w:t>
            </w:r>
          </w:p>
        </w:tc>
        <w:tc>
          <w:tcPr>
            <w:tcW w:w="916" w:type="pct"/>
            <w:vAlign w:val="center"/>
          </w:tcPr>
          <w:p w14:paraId="315A04C7">
            <w:pPr>
              <w:pStyle w:val="13"/>
              <w:jc w:val="center"/>
            </w:pPr>
            <w:r>
              <w:rPr>
                <w:rFonts w:hint="eastAsia"/>
              </w:rPr>
              <w:t>56.4</w:t>
            </w:r>
          </w:p>
        </w:tc>
      </w:tr>
    </w:tbl>
    <w:p w14:paraId="57E3DB58">
      <w:pPr>
        <w:pStyle w:val="4"/>
        <w:rPr>
          <w:rFonts w:hint="eastAsia"/>
        </w:rPr>
      </w:pPr>
      <w:r>
        <w:t>表</w:t>
      </w:r>
      <w:r>
        <w:rPr>
          <w:rFonts w:hint="eastAsia"/>
        </w:rPr>
        <w:t>34-38  社会消费品零售总额</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05"/>
        <w:gridCol w:w="1986"/>
        <w:gridCol w:w="1986"/>
        <w:gridCol w:w="1985"/>
      </w:tblGrid>
      <w:tr w14:paraId="5BC35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0" w:type="pct"/>
            <w:vAlign w:val="center"/>
          </w:tcPr>
          <w:p w14:paraId="26747299">
            <w:pPr>
              <w:pStyle w:val="13"/>
              <w:jc w:val="center"/>
              <w:rPr>
                <w:rFonts w:hint="eastAsia"/>
                <w:b/>
              </w:rPr>
            </w:pPr>
            <w:r>
              <w:rPr>
                <w:rFonts w:hint="eastAsia"/>
                <w:b/>
              </w:rPr>
              <w:t>指标名称</w:t>
            </w:r>
          </w:p>
        </w:tc>
        <w:tc>
          <w:tcPr>
            <w:tcW w:w="997" w:type="pct"/>
            <w:vAlign w:val="center"/>
          </w:tcPr>
          <w:p w14:paraId="70D85924">
            <w:pPr>
              <w:pStyle w:val="13"/>
              <w:jc w:val="center"/>
              <w:rPr>
                <w:rFonts w:hint="eastAsia"/>
                <w:b/>
              </w:rPr>
            </w:pPr>
            <w:r>
              <w:rPr>
                <w:rFonts w:hint="eastAsia"/>
                <w:b/>
              </w:rPr>
              <w:t>2010年</w:t>
            </w:r>
          </w:p>
        </w:tc>
        <w:tc>
          <w:tcPr>
            <w:tcW w:w="997" w:type="pct"/>
            <w:vAlign w:val="center"/>
          </w:tcPr>
          <w:p w14:paraId="1D97C22D">
            <w:pPr>
              <w:pStyle w:val="13"/>
              <w:jc w:val="center"/>
              <w:rPr>
                <w:rFonts w:hint="eastAsia"/>
                <w:b/>
              </w:rPr>
            </w:pPr>
            <w:r>
              <w:rPr>
                <w:rFonts w:hint="eastAsia"/>
                <w:b/>
              </w:rPr>
              <w:t>2009年</w:t>
            </w:r>
          </w:p>
        </w:tc>
        <w:tc>
          <w:tcPr>
            <w:tcW w:w="997" w:type="pct"/>
            <w:vAlign w:val="center"/>
          </w:tcPr>
          <w:p w14:paraId="4076360B">
            <w:pPr>
              <w:pStyle w:val="13"/>
              <w:jc w:val="center"/>
              <w:rPr>
                <w:rFonts w:hint="eastAsia"/>
                <w:b/>
              </w:rPr>
            </w:pPr>
            <w:r>
              <w:rPr>
                <w:rFonts w:hint="eastAsia"/>
                <w:b/>
              </w:rPr>
              <w:t>比上年±％</w:t>
            </w:r>
          </w:p>
        </w:tc>
      </w:tr>
      <w:tr w14:paraId="45403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0" w:type="pct"/>
            <w:vAlign w:val="center"/>
          </w:tcPr>
          <w:p w14:paraId="0DA51795">
            <w:pPr>
              <w:pStyle w:val="13"/>
              <w:jc w:val="left"/>
              <w:rPr>
                <w:rFonts w:hint="eastAsia"/>
              </w:rPr>
            </w:pPr>
            <w:r>
              <w:rPr>
                <w:rFonts w:hint="eastAsia"/>
              </w:rPr>
              <w:t>社会消费品零售总额</w:t>
            </w:r>
          </w:p>
        </w:tc>
        <w:tc>
          <w:tcPr>
            <w:tcW w:w="997" w:type="pct"/>
            <w:vAlign w:val="center"/>
          </w:tcPr>
          <w:p w14:paraId="4554597E">
            <w:pPr>
              <w:pStyle w:val="13"/>
              <w:jc w:val="center"/>
              <w:rPr>
                <w:rFonts w:hint="eastAsia"/>
              </w:rPr>
            </w:pPr>
            <w:r>
              <w:rPr>
                <w:rFonts w:hint="eastAsia"/>
              </w:rPr>
              <w:t>245345</w:t>
            </w:r>
          </w:p>
        </w:tc>
        <w:tc>
          <w:tcPr>
            <w:tcW w:w="997" w:type="pct"/>
            <w:vAlign w:val="center"/>
          </w:tcPr>
          <w:p w14:paraId="48993113">
            <w:pPr>
              <w:pStyle w:val="13"/>
              <w:jc w:val="center"/>
              <w:rPr>
                <w:rFonts w:hint="eastAsia"/>
              </w:rPr>
            </w:pPr>
            <w:r>
              <w:rPr>
                <w:rFonts w:hint="eastAsia"/>
              </w:rPr>
              <w:t>207637</w:t>
            </w:r>
          </w:p>
        </w:tc>
        <w:tc>
          <w:tcPr>
            <w:tcW w:w="997" w:type="pct"/>
            <w:vAlign w:val="center"/>
          </w:tcPr>
          <w:p w14:paraId="24BB68F8">
            <w:pPr>
              <w:pStyle w:val="13"/>
              <w:jc w:val="center"/>
              <w:rPr>
                <w:rFonts w:hint="eastAsia"/>
              </w:rPr>
            </w:pPr>
            <w:r>
              <w:rPr>
                <w:rFonts w:hint="eastAsia"/>
              </w:rPr>
              <w:t>18.2</w:t>
            </w:r>
          </w:p>
        </w:tc>
      </w:tr>
      <w:tr w14:paraId="2CD46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0" w:type="pct"/>
            <w:vAlign w:val="center"/>
          </w:tcPr>
          <w:p w14:paraId="2A578ECB">
            <w:pPr>
              <w:pStyle w:val="13"/>
              <w:jc w:val="left"/>
              <w:rPr>
                <w:rFonts w:hint="eastAsia"/>
              </w:rPr>
            </w:pPr>
            <w:r>
              <w:rPr>
                <w:rFonts w:hint="eastAsia"/>
              </w:rPr>
              <w:t>一、按销售单位所在地分组</w:t>
            </w:r>
          </w:p>
        </w:tc>
        <w:tc>
          <w:tcPr>
            <w:tcW w:w="997" w:type="pct"/>
            <w:vAlign w:val="center"/>
          </w:tcPr>
          <w:p w14:paraId="3F52405E">
            <w:pPr>
              <w:pStyle w:val="13"/>
              <w:jc w:val="center"/>
              <w:rPr>
                <w:rFonts w:hint="eastAsia"/>
              </w:rPr>
            </w:pPr>
          </w:p>
        </w:tc>
        <w:tc>
          <w:tcPr>
            <w:tcW w:w="997" w:type="pct"/>
            <w:vAlign w:val="center"/>
          </w:tcPr>
          <w:p w14:paraId="55245D3C">
            <w:pPr>
              <w:pStyle w:val="13"/>
              <w:jc w:val="center"/>
              <w:rPr>
                <w:rFonts w:hint="eastAsia"/>
              </w:rPr>
            </w:pPr>
          </w:p>
        </w:tc>
        <w:tc>
          <w:tcPr>
            <w:tcW w:w="997" w:type="pct"/>
            <w:vAlign w:val="center"/>
          </w:tcPr>
          <w:p w14:paraId="64016D95">
            <w:pPr>
              <w:pStyle w:val="13"/>
              <w:jc w:val="center"/>
              <w:rPr>
                <w:rFonts w:hint="eastAsia"/>
              </w:rPr>
            </w:pPr>
          </w:p>
        </w:tc>
      </w:tr>
      <w:tr w14:paraId="50E04A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0" w:type="pct"/>
            <w:vAlign w:val="center"/>
          </w:tcPr>
          <w:p w14:paraId="67B20BE2">
            <w:pPr>
              <w:pStyle w:val="13"/>
              <w:ind w:firstLine="420" w:firstLineChars="200"/>
              <w:jc w:val="left"/>
              <w:rPr>
                <w:rFonts w:hint="eastAsia"/>
              </w:rPr>
            </w:pPr>
            <w:r>
              <w:rPr>
                <w:rFonts w:hint="eastAsia"/>
              </w:rPr>
              <w:t>1、城市</w:t>
            </w:r>
          </w:p>
        </w:tc>
        <w:tc>
          <w:tcPr>
            <w:tcW w:w="997" w:type="pct"/>
            <w:vAlign w:val="center"/>
          </w:tcPr>
          <w:p w14:paraId="058DAA47">
            <w:pPr>
              <w:pStyle w:val="13"/>
              <w:jc w:val="center"/>
              <w:rPr>
                <w:rFonts w:hint="eastAsia"/>
              </w:rPr>
            </w:pPr>
            <w:r>
              <w:rPr>
                <w:rFonts w:hint="eastAsia"/>
              </w:rPr>
              <w:t>141838</w:t>
            </w:r>
          </w:p>
        </w:tc>
        <w:tc>
          <w:tcPr>
            <w:tcW w:w="997" w:type="pct"/>
            <w:vAlign w:val="center"/>
          </w:tcPr>
          <w:p w14:paraId="04CA419D">
            <w:pPr>
              <w:pStyle w:val="13"/>
              <w:jc w:val="center"/>
              <w:rPr>
                <w:rFonts w:hint="eastAsia"/>
              </w:rPr>
            </w:pPr>
            <w:r>
              <w:rPr>
                <w:rFonts w:hint="eastAsia"/>
              </w:rPr>
              <w:t>119784</w:t>
            </w:r>
          </w:p>
        </w:tc>
        <w:tc>
          <w:tcPr>
            <w:tcW w:w="997" w:type="pct"/>
            <w:vAlign w:val="center"/>
          </w:tcPr>
          <w:p w14:paraId="570BD304">
            <w:pPr>
              <w:pStyle w:val="13"/>
              <w:jc w:val="center"/>
              <w:rPr>
                <w:rFonts w:hint="eastAsia"/>
              </w:rPr>
            </w:pPr>
            <w:r>
              <w:rPr>
                <w:rFonts w:hint="eastAsia"/>
              </w:rPr>
              <w:t>18.4</w:t>
            </w:r>
          </w:p>
        </w:tc>
      </w:tr>
      <w:tr w14:paraId="7E5AF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0" w:type="pct"/>
            <w:vAlign w:val="center"/>
          </w:tcPr>
          <w:p w14:paraId="11294942">
            <w:pPr>
              <w:pStyle w:val="13"/>
              <w:ind w:firstLine="420" w:firstLineChars="200"/>
              <w:jc w:val="left"/>
              <w:rPr>
                <w:rFonts w:hint="eastAsia"/>
              </w:rPr>
            </w:pPr>
            <w:r>
              <w:rPr>
                <w:rFonts w:hint="eastAsia"/>
              </w:rPr>
              <w:t>2、乡村</w:t>
            </w:r>
          </w:p>
        </w:tc>
        <w:tc>
          <w:tcPr>
            <w:tcW w:w="997" w:type="pct"/>
            <w:vAlign w:val="center"/>
          </w:tcPr>
          <w:p w14:paraId="4DFEE885">
            <w:pPr>
              <w:pStyle w:val="13"/>
              <w:jc w:val="center"/>
              <w:rPr>
                <w:rFonts w:hint="eastAsia"/>
              </w:rPr>
            </w:pPr>
            <w:r>
              <w:rPr>
                <w:rFonts w:hint="eastAsia"/>
              </w:rPr>
              <w:t>103507</w:t>
            </w:r>
          </w:p>
        </w:tc>
        <w:tc>
          <w:tcPr>
            <w:tcW w:w="997" w:type="pct"/>
            <w:vAlign w:val="center"/>
          </w:tcPr>
          <w:p w14:paraId="3C628D4B">
            <w:pPr>
              <w:pStyle w:val="13"/>
              <w:jc w:val="center"/>
              <w:rPr>
                <w:rFonts w:hint="eastAsia"/>
              </w:rPr>
            </w:pPr>
            <w:r>
              <w:rPr>
                <w:rFonts w:hint="eastAsia"/>
              </w:rPr>
              <w:t>87853</w:t>
            </w:r>
          </w:p>
        </w:tc>
        <w:tc>
          <w:tcPr>
            <w:tcW w:w="997" w:type="pct"/>
            <w:vAlign w:val="center"/>
          </w:tcPr>
          <w:p w14:paraId="21B85BEC">
            <w:pPr>
              <w:pStyle w:val="13"/>
              <w:jc w:val="center"/>
              <w:rPr>
                <w:rFonts w:hint="eastAsia"/>
              </w:rPr>
            </w:pPr>
            <w:r>
              <w:rPr>
                <w:rFonts w:hint="eastAsia"/>
              </w:rPr>
              <w:t>17.8</w:t>
            </w:r>
          </w:p>
        </w:tc>
      </w:tr>
      <w:tr w14:paraId="679B5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0" w:type="pct"/>
            <w:vAlign w:val="center"/>
          </w:tcPr>
          <w:p w14:paraId="55A78F71">
            <w:pPr>
              <w:pStyle w:val="13"/>
              <w:jc w:val="left"/>
              <w:rPr>
                <w:rFonts w:hint="eastAsia"/>
              </w:rPr>
            </w:pPr>
            <w:r>
              <w:rPr>
                <w:rFonts w:hint="eastAsia"/>
              </w:rPr>
              <w:t>二、按行业分组</w:t>
            </w:r>
          </w:p>
        </w:tc>
        <w:tc>
          <w:tcPr>
            <w:tcW w:w="997" w:type="pct"/>
            <w:vAlign w:val="center"/>
          </w:tcPr>
          <w:p w14:paraId="7699A7D3">
            <w:pPr>
              <w:pStyle w:val="13"/>
              <w:jc w:val="center"/>
              <w:rPr>
                <w:rFonts w:hint="eastAsia"/>
              </w:rPr>
            </w:pPr>
          </w:p>
        </w:tc>
        <w:tc>
          <w:tcPr>
            <w:tcW w:w="997" w:type="pct"/>
            <w:vAlign w:val="center"/>
          </w:tcPr>
          <w:p w14:paraId="1FA213D3">
            <w:pPr>
              <w:pStyle w:val="13"/>
              <w:jc w:val="center"/>
              <w:rPr>
                <w:rFonts w:hint="eastAsia"/>
              </w:rPr>
            </w:pPr>
          </w:p>
        </w:tc>
        <w:tc>
          <w:tcPr>
            <w:tcW w:w="997" w:type="pct"/>
            <w:vAlign w:val="center"/>
          </w:tcPr>
          <w:p w14:paraId="508F5A8E">
            <w:pPr>
              <w:pStyle w:val="13"/>
              <w:jc w:val="center"/>
              <w:rPr>
                <w:rFonts w:hint="eastAsia"/>
              </w:rPr>
            </w:pPr>
          </w:p>
        </w:tc>
      </w:tr>
      <w:tr w14:paraId="1C705C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0" w:type="pct"/>
            <w:vAlign w:val="center"/>
          </w:tcPr>
          <w:p w14:paraId="031F4CE1">
            <w:pPr>
              <w:pStyle w:val="13"/>
              <w:ind w:firstLine="420" w:firstLineChars="200"/>
              <w:jc w:val="left"/>
              <w:rPr>
                <w:rFonts w:hint="eastAsia"/>
              </w:rPr>
            </w:pPr>
            <w:r>
              <w:rPr>
                <w:rFonts w:hint="eastAsia"/>
              </w:rPr>
              <w:t>1、批发业</w:t>
            </w:r>
          </w:p>
        </w:tc>
        <w:tc>
          <w:tcPr>
            <w:tcW w:w="997" w:type="pct"/>
            <w:vAlign w:val="center"/>
          </w:tcPr>
          <w:p w14:paraId="0E11DAB3">
            <w:pPr>
              <w:pStyle w:val="13"/>
              <w:jc w:val="center"/>
              <w:rPr>
                <w:rFonts w:hint="eastAsia"/>
              </w:rPr>
            </w:pPr>
            <w:r>
              <w:rPr>
                <w:rFonts w:hint="eastAsia"/>
              </w:rPr>
              <w:t>5087</w:t>
            </w:r>
          </w:p>
        </w:tc>
        <w:tc>
          <w:tcPr>
            <w:tcW w:w="997" w:type="pct"/>
            <w:vAlign w:val="center"/>
          </w:tcPr>
          <w:p w14:paraId="12F0A2D2">
            <w:pPr>
              <w:pStyle w:val="13"/>
              <w:jc w:val="center"/>
              <w:rPr>
                <w:rFonts w:hint="eastAsia"/>
              </w:rPr>
            </w:pPr>
            <w:r>
              <w:rPr>
                <w:rFonts w:hint="eastAsia"/>
              </w:rPr>
              <w:t>3902</w:t>
            </w:r>
          </w:p>
        </w:tc>
        <w:tc>
          <w:tcPr>
            <w:tcW w:w="997" w:type="pct"/>
            <w:vAlign w:val="center"/>
          </w:tcPr>
          <w:p w14:paraId="41894740">
            <w:pPr>
              <w:pStyle w:val="13"/>
              <w:jc w:val="center"/>
              <w:rPr>
                <w:rFonts w:hint="eastAsia"/>
              </w:rPr>
            </w:pPr>
            <w:r>
              <w:rPr>
                <w:rFonts w:hint="eastAsia"/>
              </w:rPr>
              <w:t>30.4</w:t>
            </w:r>
          </w:p>
        </w:tc>
      </w:tr>
      <w:tr w14:paraId="3B0A2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0" w:type="pct"/>
            <w:vAlign w:val="center"/>
          </w:tcPr>
          <w:p w14:paraId="50C821EE">
            <w:pPr>
              <w:pStyle w:val="13"/>
              <w:ind w:firstLine="420" w:firstLineChars="200"/>
              <w:jc w:val="left"/>
              <w:rPr>
                <w:rFonts w:hint="eastAsia"/>
              </w:rPr>
            </w:pPr>
            <w:r>
              <w:rPr>
                <w:rFonts w:hint="eastAsia"/>
              </w:rPr>
              <w:t>2、零售业</w:t>
            </w:r>
          </w:p>
        </w:tc>
        <w:tc>
          <w:tcPr>
            <w:tcW w:w="997" w:type="pct"/>
            <w:vAlign w:val="center"/>
          </w:tcPr>
          <w:p w14:paraId="6E20D29B">
            <w:pPr>
              <w:pStyle w:val="13"/>
              <w:jc w:val="center"/>
              <w:rPr>
                <w:rFonts w:hint="eastAsia"/>
              </w:rPr>
            </w:pPr>
            <w:r>
              <w:rPr>
                <w:rFonts w:hint="eastAsia"/>
              </w:rPr>
              <w:t>212519</w:t>
            </w:r>
          </w:p>
        </w:tc>
        <w:tc>
          <w:tcPr>
            <w:tcW w:w="997" w:type="pct"/>
            <w:vAlign w:val="center"/>
          </w:tcPr>
          <w:p w14:paraId="54B11F5B">
            <w:pPr>
              <w:pStyle w:val="13"/>
              <w:jc w:val="center"/>
              <w:rPr>
                <w:rFonts w:hint="eastAsia"/>
              </w:rPr>
            </w:pPr>
            <w:r>
              <w:rPr>
                <w:rFonts w:hint="eastAsia"/>
              </w:rPr>
              <w:t>180034</w:t>
            </w:r>
          </w:p>
        </w:tc>
        <w:tc>
          <w:tcPr>
            <w:tcW w:w="997" w:type="pct"/>
            <w:vAlign w:val="center"/>
          </w:tcPr>
          <w:p w14:paraId="42BCF2A7">
            <w:pPr>
              <w:pStyle w:val="13"/>
              <w:jc w:val="center"/>
              <w:rPr>
                <w:rFonts w:hint="eastAsia"/>
              </w:rPr>
            </w:pPr>
            <w:r>
              <w:rPr>
                <w:rFonts w:hint="eastAsia"/>
              </w:rPr>
              <w:t>18</w:t>
            </w:r>
          </w:p>
        </w:tc>
      </w:tr>
      <w:tr w14:paraId="61D443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0" w:type="pct"/>
            <w:vAlign w:val="center"/>
          </w:tcPr>
          <w:p w14:paraId="678A273A">
            <w:pPr>
              <w:pStyle w:val="13"/>
              <w:ind w:firstLine="420" w:firstLineChars="200"/>
              <w:jc w:val="left"/>
              <w:rPr>
                <w:rFonts w:hint="eastAsia"/>
              </w:rPr>
            </w:pPr>
            <w:r>
              <w:rPr>
                <w:rFonts w:hint="eastAsia"/>
              </w:rPr>
              <w:t>3、住宿餐饮业</w:t>
            </w:r>
          </w:p>
        </w:tc>
        <w:tc>
          <w:tcPr>
            <w:tcW w:w="997" w:type="pct"/>
            <w:vAlign w:val="center"/>
          </w:tcPr>
          <w:p w14:paraId="4C973764">
            <w:pPr>
              <w:pStyle w:val="13"/>
              <w:jc w:val="center"/>
              <w:rPr>
                <w:rFonts w:hint="eastAsia"/>
              </w:rPr>
            </w:pPr>
            <w:r>
              <w:rPr>
                <w:rFonts w:hint="eastAsia"/>
              </w:rPr>
              <w:t>27739</w:t>
            </w:r>
          </w:p>
        </w:tc>
        <w:tc>
          <w:tcPr>
            <w:tcW w:w="997" w:type="pct"/>
            <w:vAlign w:val="center"/>
          </w:tcPr>
          <w:p w14:paraId="00C1FA72">
            <w:pPr>
              <w:pStyle w:val="13"/>
              <w:jc w:val="center"/>
              <w:rPr>
                <w:rFonts w:hint="eastAsia"/>
              </w:rPr>
            </w:pPr>
            <w:r>
              <w:rPr>
                <w:rFonts w:hint="eastAsia"/>
              </w:rPr>
              <w:t>23701</w:t>
            </w:r>
          </w:p>
        </w:tc>
        <w:tc>
          <w:tcPr>
            <w:tcW w:w="997" w:type="pct"/>
            <w:vAlign w:val="center"/>
          </w:tcPr>
          <w:p w14:paraId="67DA261D">
            <w:pPr>
              <w:pStyle w:val="13"/>
              <w:jc w:val="center"/>
              <w:rPr>
                <w:rFonts w:hint="eastAsia"/>
              </w:rPr>
            </w:pPr>
            <w:r>
              <w:rPr>
                <w:rFonts w:hint="eastAsia"/>
              </w:rPr>
              <w:t>17</w:t>
            </w:r>
          </w:p>
        </w:tc>
      </w:tr>
      <w:tr w14:paraId="07C5B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0" w:type="pct"/>
            <w:vAlign w:val="center"/>
          </w:tcPr>
          <w:p w14:paraId="2FB05137">
            <w:pPr>
              <w:pStyle w:val="13"/>
              <w:jc w:val="left"/>
              <w:rPr>
                <w:rFonts w:hint="eastAsia"/>
              </w:rPr>
            </w:pPr>
            <w:r>
              <w:rPr>
                <w:rFonts w:hint="eastAsia"/>
              </w:rPr>
              <w:t>其中：（1）星级宾馆</w:t>
            </w:r>
          </w:p>
        </w:tc>
        <w:tc>
          <w:tcPr>
            <w:tcW w:w="997" w:type="pct"/>
            <w:vAlign w:val="center"/>
          </w:tcPr>
          <w:p w14:paraId="07EFCB36">
            <w:pPr>
              <w:pStyle w:val="13"/>
              <w:jc w:val="center"/>
              <w:rPr>
                <w:rFonts w:hint="eastAsia"/>
              </w:rPr>
            </w:pPr>
            <w:r>
              <w:rPr>
                <w:rFonts w:hint="eastAsia"/>
              </w:rPr>
              <w:t>2268</w:t>
            </w:r>
          </w:p>
        </w:tc>
        <w:tc>
          <w:tcPr>
            <w:tcW w:w="997" w:type="pct"/>
            <w:vAlign w:val="center"/>
          </w:tcPr>
          <w:p w14:paraId="46974D8D">
            <w:pPr>
              <w:pStyle w:val="13"/>
              <w:jc w:val="center"/>
              <w:rPr>
                <w:rFonts w:hint="eastAsia"/>
              </w:rPr>
            </w:pPr>
            <w:r>
              <w:rPr>
                <w:rFonts w:hint="eastAsia"/>
              </w:rPr>
              <w:t>1895</w:t>
            </w:r>
          </w:p>
        </w:tc>
        <w:tc>
          <w:tcPr>
            <w:tcW w:w="997" w:type="pct"/>
            <w:vAlign w:val="center"/>
          </w:tcPr>
          <w:p w14:paraId="777EE731">
            <w:pPr>
              <w:pStyle w:val="13"/>
              <w:jc w:val="center"/>
              <w:rPr>
                <w:rFonts w:hint="eastAsia"/>
              </w:rPr>
            </w:pPr>
            <w:r>
              <w:rPr>
                <w:rFonts w:hint="eastAsia"/>
              </w:rPr>
              <w:t>19.7</w:t>
            </w:r>
          </w:p>
        </w:tc>
      </w:tr>
      <w:tr w14:paraId="2179C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0" w:type="pct"/>
            <w:vAlign w:val="center"/>
          </w:tcPr>
          <w:p w14:paraId="352A8DA0">
            <w:pPr>
              <w:pStyle w:val="13"/>
              <w:ind w:firstLine="630" w:firstLineChars="300"/>
              <w:jc w:val="left"/>
              <w:rPr>
                <w:rFonts w:hint="eastAsia"/>
              </w:rPr>
            </w:pPr>
            <w:r>
              <w:rPr>
                <w:rFonts w:hint="eastAsia"/>
              </w:rPr>
              <w:t>（2）限额以下企业和个体户</w:t>
            </w:r>
          </w:p>
        </w:tc>
        <w:tc>
          <w:tcPr>
            <w:tcW w:w="997" w:type="pct"/>
            <w:vAlign w:val="center"/>
          </w:tcPr>
          <w:p w14:paraId="52C5041E">
            <w:pPr>
              <w:pStyle w:val="13"/>
              <w:jc w:val="center"/>
              <w:rPr>
                <w:rFonts w:hint="eastAsia"/>
              </w:rPr>
            </w:pPr>
            <w:r>
              <w:rPr>
                <w:rFonts w:hint="eastAsia"/>
              </w:rPr>
              <w:t>25471</w:t>
            </w:r>
          </w:p>
        </w:tc>
        <w:tc>
          <w:tcPr>
            <w:tcW w:w="997" w:type="pct"/>
            <w:vAlign w:val="center"/>
          </w:tcPr>
          <w:p w14:paraId="406A9113">
            <w:pPr>
              <w:pStyle w:val="13"/>
              <w:jc w:val="center"/>
              <w:rPr>
                <w:rFonts w:hint="eastAsia"/>
              </w:rPr>
            </w:pPr>
            <w:r>
              <w:rPr>
                <w:rFonts w:hint="eastAsia"/>
              </w:rPr>
              <w:t>21806</w:t>
            </w:r>
          </w:p>
        </w:tc>
        <w:tc>
          <w:tcPr>
            <w:tcW w:w="997" w:type="pct"/>
            <w:vAlign w:val="center"/>
          </w:tcPr>
          <w:p w14:paraId="09B29B91">
            <w:pPr>
              <w:pStyle w:val="13"/>
              <w:jc w:val="center"/>
              <w:rPr>
                <w:rFonts w:hint="eastAsia"/>
              </w:rPr>
            </w:pPr>
            <w:r>
              <w:rPr>
                <w:rFonts w:hint="eastAsia"/>
              </w:rPr>
              <w:t>16.8</w:t>
            </w:r>
          </w:p>
        </w:tc>
      </w:tr>
    </w:tbl>
    <w:p w14:paraId="52C6E09A">
      <w:pPr>
        <w:pStyle w:val="4"/>
        <w:rPr>
          <w:rFonts w:hint="eastAsia"/>
        </w:rPr>
      </w:pPr>
      <w:r>
        <w:t>表</w:t>
      </w:r>
      <w:r>
        <w:rPr>
          <w:rFonts w:hint="eastAsia"/>
        </w:rPr>
        <w:t>34-39  个体工商业基本情况</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03"/>
        <w:gridCol w:w="1986"/>
        <w:gridCol w:w="1986"/>
        <w:gridCol w:w="1987"/>
      </w:tblGrid>
      <w:tr w14:paraId="5A5E0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9" w:type="pct"/>
            <w:vAlign w:val="center"/>
          </w:tcPr>
          <w:p w14:paraId="0BD46747">
            <w:pPr>
              <w:pStyle w:val="13"/>
              <w:jc w:val="center"/>
              <w:rPr>
                <w:rFonts w:hint="eastAsia"/>
                <w:b/>
              </w:rPr>
            </w:pPr>
            <w:r>
              <w:rPr>
                <w:rFonts w:hint="eastAsia"/>
                <w:b/>
              </w:rPr>
              <w:t>指标名称</w:t>
            </w:r>
          </w:p>
        </w:tc>
        <w:tc>
          <w:tcPr>
            <w:tcW w:w="997" w:type="pct"/>
            <w:vAlign w:val="center"/>
          </w:tcPr>
          <w:p w14:paraId="5AAFBBCA">
            <w:pPr>
              <w:pStyle w:val="13"/>
              <w:jc w:val="center"/>
              <w:rPr>
                <w:rFonts w:hint="eastAsia"/>
                <w:b/>
              </w:rPr>
            </w:pPr>
            <w:r>
              <w:rPr>
                <w:rFonts w:hint="eastAsia"/>
                <w:b/>
              </w:rPr>
              <w:t>户数（户）</w:t>
            </w:r>
          </w:p>
        </w:tc>
        <w:tc>
          <w:tcPr>
            <w:tcW w:w="997" w:type="pct"/>
            <w:vAlign w:val="center"/>
          </w:tcPr>
          <w:p w14:paraId="5E6D5C62">
            <w:pPr>
              <w:pStyle w:val="13"/>
              <w:jc w:val="center"/>
              <w:rPr>
                <w:rFonts w:hint="eastAsia"/>
                <w:b/>
              </w:rPr>
            </w:pPr>
            <w:r>
              <w:rPr>
                <w:rFonts w:hint="eastAsia"/>
                <w:b/>
              </w:rPr>
              <w:t>其中：城镇（人）</w:t>
            </w:r>
          </w:p>
        </w:tc>
        <w:tc>
          <w:tcPr>
            <w:tcW w:w="997" w:type="pct"/>
            <w:vAlign w:val="center"/>
          </w:tcPr>
          <w:p w14:paraId="7E83E3F8">
            <w:pPr>
              <w:pStyle w:val="13"/>
              <w:jc w:val="center"/>
              <w:rPr>
                <w:rFonts w:hint="eastAsia"/>
                <w:b/>
              </w:rPr>
            </w:pPr>
            <w:r>
              <w:rPr>
                <w:rFonts w:hint="eastAsia"/>
                <w:b/>
              </w:rPr>
              <w:t>从业人员</w:t>
            </w:r>
          </w:p>
        </w:tc>
      </w:tr>
      <w:tr w14:paraId="15D11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9" w:type="pct"/>
            <w:vAlign w:val="center"/>
          </w:tcPr>
          <w:p w14:paraId="656AC500">
            <w:pPr>
              <w:pStyle w:val="13"/>
              <w:jc w:val="left"/>
              <w:rPr>
                <w:rFonts w:hint="eastAsia"/>
              </w:rPr>
            </w:pPr>
            <w:r>
              <w:rPr>
                <w:rFonts w:hint="eastAsia"/>
              </w:rPr>
              <w:t>合计</w:t>
            </w:r>
          </w:p>
        </w:tc>
        <w:tc>
          <w:tcPr>
            <w:tcW w:w="997" w:type="pct"/>
            <w:vAlign w:val="center"/>
          </w:tcPr>
          <w:p w14:paraId="6DEF2C7B">
            <w:pPr>
              <w:pStyle w:val="13"/>
              <w:jc w:val="center"/>
              <w:rPr>
                <w:rFonts w:hint="eastAsia"/>
              </w:rPr>
            </w:pPr>
            <w:r>
              <w:rPr>
                <w:rFonts w:hint="eastAsia"/>
              </w:rPr>
              <w:t>9402</w:t>
            </w:r>
          </w:p>
        </w:tc>
        <w:tc>
          <w:tcPr>
            <w:tcW w:w="997" w:type="pct"/>
            <w:vAlign w:val="center"/>
          </w:tcPr>
          <w:p w14:paraId="11E21699">
            <w:pPr>
              <w:pStyle w:val="13"/>
              <w:jc w:val="center"/>
              <w:rPr>
                <w:rFonts w:hint="eastAsia"/>
              </w:rPr>
            </w:pPr>
            <w:r>
              <w:rPr>
                <w:rFonts w:hint="eastAsia"/>
              </w:rPr>
              <w:t>6279</w:t>
            </w:r>
          </w:p>
        </w:tc>
        <w:tc>
          <w:tcPr>
            <w:tcW w:w="997" w:type="pct"/>
            <w:vAlign w:val="center"/>
          </w:tcPr>
          <w:p w14:paraId="26E7E105">
            <w:pPr>
              <w:pStyle w:val="13"/>
              <w:jc w:val="center"/>
              <w:rPr>
                <w:rFonts w:hint="eastAsia"/>
              </w:rPr>
            </w:pPr>
            <w:r>
              <w:rPr>
                <w:rFonts w:hint="eastAsia"/>
              </w:rPr>
              <w:t>12411</w:t>
            </w:r>
          </w:p>
        </w:tc>
      </w:tr>
      <w:tr w14:paraId="4855CA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9" w:type="pct"/>
            <w:vAlign w:val="center"/>
          </w:tcPr>
          <w:p w14:paraId="17FAB05D">
            <w:pPr>
              <w:pStyle w:val="13"/>
              <w:jc w:val="left"/>
              <w:rPr>
                <w:rFonts w:hint="eastAsia"/>
              </w:rPr>
            </w:pPr>
            <w:r>
              <w:rPr>
                <w:rFonts w:hint="eastAsia"/>
              </w:rPr>
              <w:t>农、林、牧、渔业</w:t>
            </w:r>
          </w:p>
        </w:tc>
        <w:tc>
          <w:tcPr>
            <w:tcW w:w="997" w:type="pct"/>
            <w:vAlign w:val="center"/>
          </w:tcPr>
          <w:p w14:paraId="58D0A62F">
            <w:pPr>
              <w:pStyle w:val="13"/>
              <w:jc w:val="center"/>
              <w:rPr>
                <w:rFonts w:hint="eastAsia"/>
              </w:rPr>
            </w:pPr>
            <w:r>
              <w:rPr>
                <w:rFonts w:hint="eastAsia"/>
              </w:rPr>
              <w:t>106</w:t>
            </w:r>
          </w:p>
        </w:tc>
        <w:tc>
          <w:tcPr>
            <w:tcW w:w="997" w:type="pct"/>
            <w:vAlign w:val="center"/>
          </w:tcPr>
          <w:p w14:paraId="73834E5A">
            <w:pPr>
              <w:pStyle w:val="13"/>
              <w:jc w:val="center"/>
              <w:rPr>
                <w:rFonts w:hint="eastAsia"/>
              </w:rPr>
            </w:pPr>
            <w:r>
              <w:rPr>
                <w:rFonts w:hint="eastAsia"/>
              </w:rPr>
              <w:t>40</w:t>
            </w:r>
          </w:p>
        </w:tc>
        <w:tc>
          <w:tcPr>
            <w:tcW w:w="997" w:type="pct"/>
            <w:vAlign w:val="center"/>
          </w:tcPr>
          <w:p w14:paraId="65794E6C">
            <w:pPr>
              <w:pStyle w:val="13"/>
              <w:jc w:val="center"/>
              <w:rPr>
                <w:rFonts w:hint="eastAsia"/>
              </w:rPr>
            </w:pPr>
            <w:r>
              <w:rPr>
                <w:rFonts w:hint="eastAsia"/>
              </w:rPr>
              <w:t>271</w:t>
            </w:r>
          </w:p>
        </w:tc>
      </w:tr>
      <w:tr w14:paraId="1105B2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9" w:type="pct"/>
            <w:vAlign w:val="center"/>
          </w:tcPr>
          <w:p w14:paraId="5E2CF186">
            <w:pPr>
              <w:pStyle w:val="13"/>
              <w:jc w:val="left"/>
              <w:rPr>
                <w:rFonts w:hint="eastAsia"/>
              </w:rPr>
            </w:pPr>
            <w:r>
              <w:rPr>
                <w:rFonts w:hint="eastAsia"/>
              </w:rPr>
              <w:t>工业</w:t>
            </w:r>
          </w:p>
        </w:tc>
        <w:tc>
          <w:tcPr>
            <w:tcW w:w="997" w:type="pct"/>
            <w:vAlign w:val="center"/>
          </w:tcPr>
          <w:p w14:paraId="61F0587F">
            <w:pPr>
              <w:pStyle w:val="13"/>
              <w:jc w:val="center"/>
              <w:rPr>
                <w:rFonts w:hint="eastAsia"/>
              </w:rPr>
            </w:pPr>
            <w:r>
              <w:rPr>
                <w:rFonts w:hint="eastAsia"/>
              </w:rPr>
              <w:t>822</w:t>
            </w:r>
          </w:p>
        </w:tc>
        <w:tc>
          <w:tcPr>
            <w:tcW w:w="997" w:type="pct"/>
            <w:vAlign w:val="center"/>
          </w:tcPr>
          <w:p w14:paraId="11E88FE8">
            <w:pPr>
              <w:pStyle w:val="13"/>
              <w:jc w:val="center"/>
              <w:rPr>
                <w:rFonts w:hint="eastAsia"/>
              </w:rPr>
            </w:pPr>
            <w:r>
              <w:rPr>
                <w:rFonts w:hint="eastAsia"/>
              </w:rPr>
              <w:t>550</w:t>
            </w:r>
          </w:p>
        </w:tc>
        <w:tc>
          <w:tcPr>
            <w:tcW w:w="997" w:type="pct"/>
            <w:vAlign w:val="center"/>
          </w:tcPr>
          <w:p w14:paraId="63B52CFD">
            <w:pPr>
              <w:pStyle w:val="13"/>
              <w:jc w:val="center"/>
              <w:rPr>
                <w:rFonts w:hint="eastAsia"/>
              </w:rPr>
            </w:pPr>
            <w:r>
              <w:rPr>
                <w:rFonts w:hint="eastAsia"/>
              </w:rPr>
              <w:t>1572</w:t>
            </w:r>
          </w:p>
        </w:tc>
      </w:tr>
      <w:tr w14:paraId="4B4F41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9" w:type="pct"/>
            <w:vAlign w:val="center"/>
          </w:tcPr>
          <w:p w14:paraId="33BBD091">
            <w:pPr>
              <w:pStyle w:val="13"/>
              <w:jc w:val="left"/>
              <w:rPr>
                <w:rFonts w:hint="eastAsia"/>
              </w:rPr>
            </w:pPr>
            <w:r>
              <w:rPr>
                <w:rFonts w:hint="eastAsia"/>
              </w:rPr>
              <w:t>建筑业</w:t>
            </w:r>
          </w:p>
        </w:tc>
        <w:tc>
          <w:tcPr>
            <w:tcW w:w="997" w:type="pct"/>
            <w:vAlign w:val="center"/>
          </w:tcPr>
          <w:p w14:paraId="19B327DF">
            <w:pPr>
              <w:pStyle w:val="13"/>
              <w:jc w:val="center"/>
              <w:rPr>
                <w:rFonts w:hint="eastAsia"/>
              </w:rPr>
            </w:pPr>
            <w:r>
              <w:rPr>
                <w:rFonts w:hint="eastAsia"/>
              </w:rPr>
              <w:t>33</w:t>
            </w:r>
          </w:p>
        </w:tc>
        <w:tc>
          <w:tcPr>
            <w:tcW w:w="997" w:type="pct"/>
            <w:vAlign w:val="center"/>
          </w:tcPr>
          <w:p w14:paraId="55C8624A">
            <w:pPr>
              <w:pStyle w:val="13"/>
              <w:jc w:val="center"/>
              <w:rPr>
                <w:rFonts w:hint="eastAsia"/>
              </w:rPr>
            </w:pPr>
            <w:r>
              <w:rPr>
                <w:rFonts w:hint="eastAsia"/>
              </w:rPr>
              <w:t>18</w:t>
            </w:r>
          </w:p>
        </w:tc>
        <w:tc>
          <w:tcPr>
            <w:tcW w:w="997" w:type="pct"/>
            <w:vAlign w:val="center"/>
          </w:tcPr>
          <w:p w14:paraId="216963EE">
            <w:pPr>
              <w:pStyle w:val="13"/>
              <w:jc w:val="center"/>
              <w:rPr>
                <w:rFonts w:hint="eastAsia"/>
              </w:rPr>
            </w:pPr>
            <w:r>
              <w:rPr>
                <w:rFonts w:hint="eastAsia"/>
              </w:rPr>
              <w:t>50</w:t>
            </w:r>
          </w:p>
        </w:tc>
      </w:tr>
      <w:tr w14:paraId="4D6C2A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9" w:type="pct"/>
            <w:vAlign w:val="center"/>
          </w:tcPr>
          <w:p w14:paraId="3088E858">
            <w:pPr>
              <w:pStyle w:val="13"/>
              <w:jc w:val="left"/>
              <w:rPr>
                <w:rFonts w:hint="eastAsia"/>
              </w:rPr>
            </w:pPr>
            <w:r>
              <w:rPr>
                <w:rFonts w:hint="eastAsia"/>
              </w:rPr>
              <w:t>交通运输、仓储和邮政业</w:t>
            </w:r>
          </w:p>
        </w:tc>
        <w:tc>
          <w:tcPr>
            <w:tcW w:w="997" w:type="pct"/>
            <w:vAlign w:val="center"/>
          </w:tcPr>
          <w:p w14:paraId="37D25BF9">
            <w:pPr>
              <w:pStyle w:val="13"/>
              <w:jc w:val="center"/>
              <w:rPr>
                <w:rFonts w:hint="eastAsia"/>
              </w:rPr>
            </w:pPr>
            <w:r>
              <w:rPr>
                <w:rFonts w:hint="eastAsia"/>
              </w:rPr>
              <w:t>404</w:t>
            </w:r>
          </w:p>
        </w:tc>
        <w:tc>
          <w:tcPr>
            <w:tcW w:w="997" w:type="pct"/>
            <w:vAlign w:val="center"/>
          </w:tcPr>
          <w:p w14:paraId="5DBF0834">
            <w:pPr>
              <w:pStyle w:val="13"/>
              <w:jc w:val="center"/>
              <w:rPr>
                <w:rFonts w:hint="eastAsia"/>
              </w:rPr>
            </w:pPr>
            <w:r>
              <w:rPr>
                <w:rFonts w:hint="eastAsia"/>
              </w:rPr>
              <w:t>252</w:t>
            </w:r>
          </w:p>
        </w:tc>
        <w:tc>
          <w:tcPr>
            <w:tcW w:w="997" w:type="pct"/>
            <w:vAlign w:val="center"/>
          </w:tcPr>
          <w:p w14:paraId="68F38278">
            <w:pPr>
              <w:pStyle w:val="13"/>
              <w:jc w:val="center"/>
              <w:rPr>
                <w:rFonts w:hint="eastAsia"/>
              </w:rPr>
            </w:pPr>
            <w:r>
              <w:rPr>
                <w:rFonts w:hint="eastAsia"/>
              </w:rPr>
              <w:t>571</w:t>
            </w:r>
          </w:p>
        </w:tc>
      </w:tr>
      <w:tr w14:paraId="4A8A6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9" w:type="pct"/>
            <w:vAlign w:val="center"/>
          </w:tcPr>
          <w:p w14:paraId="49DD3E3F">
            <w:pPr>
              <w:pStyle w:val="13"/>
              <w:jc w:val="left"/>
              <w:rPr>
                <w:rFonts w:hint="eastAsia"/>
              </w:rPr>
            </w:pPr>
            <w:r>
              <w:rPr>
                <w:rFonts w:hint="eastAsia"/>
              </w:rPr>
              <w:t>批发零售贸易、住宿餐饮业</w:t>
            </w:r>
          </w:p>
        </w:tc>
        <w:tc>
          <w:tcPr>
            <w:tcW w:w="997" w:type="pct"/>
            <w:vAlign w:val="center"/>
          </w:tcPr>
          <w:p w14:paraId="46A05999">
            <w:pPr>
              <w:pStyle w:val="13"/>
              <w:jc w:val="center"/>
              <w:rPr>
                <w:rFonts w:hint="eastAsia"/>
              </w:rPr>
            </w:pPr>
            <w:r>
              <w:rPr>
                <w:rFonts w:hint="eastAsia"/>
              </w:rPr>
              <w:t>6778</w:t>
            </w:r>
          </w:p>
        </w:tc>
        <w:tc>
          <w:tcPr>
            <w:tcW w:w="997" w:type="pct"/>
            <w:vAlign w:val="center"/>
          </w:tcPr>
          <w:p w14:paraId="180D5A69">
            <w:pPr>
              <w:pStyle w:val="13"/>
              <w:jc w:val="center"/>
              <w:rPr>
                <w:rFonts w:hint="eastAsia"/>
              </w:rPr>
            </w:pPr>
            <w:r>
              <w:rPr>
                <w:rFonts w:hint="eastAsia"/>
              </w:rPr>
              <w:t>4518</w:t>
            </w:r>
          </w:p>
        </w:tc>
        <w:tc>
          <w:tcPr>
            <w:tcW w:w="997" w:type="pct"/>
            <w:vAlign w:val="center"/>
          </w:tcPr>
          <w:p w14:paraId="6A9203F4">
            <w:pPr>
              <w:pStyle w:val="13"/>
              <w:jc w:val="center"/>
              <w:rPr>
                <w:rFonts w:hint="eastAsia"/>
              </w:rPr>
            </w:pPr>
            <w:r>
              <w:rPr>
                <w:rFonts w:hint="eastAsia"/>
              </w:rPr>
              <w:t>8336</w:t>
            </w:r>
          </w:p>
        </w:tc>
      </w:tr>
      <w:tr w14:paraId="35A2B1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9" w:type="pct"/>
            <w:vAlign w:val="center"/>
          </w:tcPr>
          <w:p w14:paraId="7AC721D5">
            <w:pPr>
              <w:pStyle w:val="13"/>
              <w:ind w:firstLine="420" w:firstLineChars="200"/>
              <w:jc w:val="left"/>
              <w:rPr>
                <w:rFonts w:hint="eastAsia"/>
              </w:rPr>
            </w:pPr>
            <w:r>
              <w:rPr>
                <w:rFonts w:hint="eastAsia"/>
              </w:rPr>
              <w:t>其中：住宿和餐饮业</w:t>
            </w:r>
          </w:p>
        </w:tc>
        <w:tc>
          <w:tcPr>
            <w:tcW w:w="997" w:type="pct"/>
            <w:vAlign w:val="center"/>
          </w:tcPr>
          <w:p w14:paraId="4BD7C9D9">
            <w:pPr>
              <w:pStyle w:val="13"/>
              <w:jc w:val="center"/>
              <w:rPr>
                <w:rFonts w:hint="eastAsia"/>
              </w:rPr>
            </w:pPr>
            <w:r>
              <w:rPr>
                <w:rFonts w:hint="eastAsia"/>
              </w:rPr>
              <w:t>610</w:t>
            </w:r>
          </w:p>
        </w:tc>
        <w:tc>
          <w:tcPr>
            <w:tcW w:w="997" w:type="pct"/>
            <w:vAlign w:val="center"/>
          </w:tcPr>
          <w:p w14:paraId="231B4B15">
            <w:pPr>
              <w:pStyle w:val="13"/>
              <w:jc w:val="center"/>
              <w:rPr>
                <w:rFonts w:hint="eastAsia"/>
              </w:rPr>
            </w:pPr>
            <w:r>
              <w:rPr>
                <w:rFonts w:hint="eastAsia"/>
              </w:rPr>
              <w:t>457</w:t>
            </w:r>
          </w:p>
        </w:tc>
        <w:tc>
          <w:tcPr>
            <w:tcW w:w="997" w:type="pct"/>
            <w:vAlign w:val="center"/>
          </w:tcPr>
          <w:p w14:paraId="768B8674">
            <w:pPr>
              <w:pStyle w:val="13"/>
              <w:jc w:val="center"/>
              <w:rPr>
                <w:rFonts w:hint="eastAsia"/>
              </w:rPr>
            </w:pPr>
            <w:r>
              <w:rPr>
                <w:rFonts w:hint="eastAsia"/>
              </w:rPr>
              <w:t>1034</w:t>
            </w:r>
          </w:p>
        </w:tc>
      </w:tr>
      <w:tr w14:paraId="1CC50C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9" w:type="pct"/>
            <w:vAlign w:val="center"/>
          </w:tcPr>
          <w:p w14:paraId="46F0DD1D">
            <w:pPr>
              <w:pStyle w:val="13"/>
              <w:jc w:val="left"/>
              <w:rPr>
                <w:rFonts w:hint="eastAsia"/>
              </w:rPr>
            </w:pPr>
            <w:r>
              <w:rPr>
                <w:rFonts w:hint="eastAsia"/>
              </w:rPr>
              <w:t>房地产业</w:t>
            </w:r>
          </w:p>
        </w:tc>
        <w:tc>
          <w:tcPr>
            <w:tcW w:w="997" w:type="pct"/>
            <w:vAlign w:val="center"/>
          </w:tcPr>
          <w:p w14:paraId="39E867B0">
            <w:pPr>
              <w:pStyle w:val="13"/>
              <w:jc w:val="center"/>
              <w:rPr>
                <w:rFonts w:hint="eastAsia"/>
              </w:rPr>
            </w:pPr>
            <w:r>
              <w:rPr>
                <w:rFonts w:hint="eastAsia"/>
              </w:rPr>
              <w:t>4</w:t>
            </w:r>
          </w:p>
        </w:tc>
        <w:tc>
          <w:tcPr>
            <w:tcW w:w="997" w:type="pct"/>
            <w:vAlign w:val="center"/>
          </w:tcPr>
          <w:p w14:paraId="53B0FFBC">
            <w:pPr>
              <w:pStyle w:val="13"/>
              <w:jc w:val="center"/>
              <w:rPr>
                <w:rFonts w:hint="eastAsia"/>
              </w:rPr>
            </w:pPr>
            <w:r>
              <w:rPr>
                <w:rFonts w:hint="eastAsia"/>
              </w:rPr>
              <w:t>4</w:t>
            </w:r>
          </w:p>
        </w:tc>
        <w:tc>
          <w:tcPr>
            <w:tcW w:w="997" w:type="pct"/>
            <w:vAlign w:val="center"/>
          </w:tcPr>
          <w:p w14:paraId="06B62DDD">
            <w:pPr>
              <w:pStyle w:val="13"/>
              <w:jc w:val="center"/>
              <w:rPr>
                <w:rFonts w:hint="eastAsia"/>
              </w:rPr>
            </w:pPr>
            <w:r>
              <w:rPr>
                <w:rFonts w:hint="eastAsia"/>
              </w:rPr>
              <w:t>5</w:t>
            </w:r>
          </w:p>
        </w:tc>
      </w:tr>
      <w:tr w14:paraId="482497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9" w:type="pct"/>
            <w:vAlign w:val="center"/>
          </w:tcPr>
          <w:p w14:paraId="682D2230">
            <w:pPr>
              <w:pStyle w:val="13"/>
              <w:jc w:val="left"/>
              <w:rPr>
                <w:rFonts w:hint="eastAsia"/>
              </w:rPr>
            </w:pPr>
            <w:r>
              <w:rPr>
                <w:rFonts w:hint="eastAsia"/>
              </w:rPr>
              <w:t>其它服务业</w:t>
            </w:r>
          </w:p>
        </w:tc>
        <w:tc>
          <w:tcPr>
            <w:tcW w:w="997" w:type="pct"/>
            <w:vAlign w:val="center"/>
          </w:tcPr>
          <w:p w14:paraId="07E0D8A2">
            <w:pPr>
              <w:pStyle w:val="13"/>
              <w:jc w:val="center"/>
              <w:rPr>
                <w:rFonts w:hint="eastAsia"/>
              </w:rPr>
            </w:pPr>
            <w:r>
              <w:rPr>
                <w:rFonts w:hint="eastAsia"/>
              </w:rPr>
              <w:t>1255</w:t>
            </w:r>
          </w:p>
        </w:tc>
        <w:tc>
          <w:tcPr>
            <w:tcW w:w="997" w:type="pct"/>
            <w:vAlign w:val="center"/>
          </w:tcPr>
          <w:p w14:paraId="225D7816">
            <w:pPr>
              <w:pStyle w:val="13"/>
              <w:jc w:val="center"/>
              <w:rPr>
                <w:rFonts w:hint="eastAsia"/>
              </w:rPr>
            </w:pPr>
            <w:r>
              <w:rPr>
                <w:rFonts w:hint="eastAsia"/>
              </w:rPr>
              <w:t>897</w:t>
            </w:r>
          </w:p>
        </w:tc>
        <w:tc>
          <w:tcPr>
            <w:tcW w:w="997" w:type="pct"/>
            <w:vAlign w:val="center"/>
          </w:tcPr>
          <w:p w14:paraId="34A176D6">
            <w:pPr>
              <w:pStyle w:val="13"/>
              <w:jc w:val="center"/>
              <w:rPr>
                <w:rFonts w:hint="eastAsia"/>
              </w:rPr>
            </w:pPr>
            <w:r>
              <w:rPr>
                <w:rFonts w:hint="eastAsia"/>
              </w:rPr>
              <w:t>1606</w:t>
            </w:r>
          </w:p>
        </w:tc>
      </w:tr>
    </w:tbl>
    <w:p w14:paraId="1543CE04">
      <w:pPr>
        <w:pStyle w:val="4"/>
        <w:rPr>
          <w:rFonts w:hint="eastAsia"/>
        </w:rPr>
      </w:pPr>
      <w:r>
        <w:t>表</w:t>
      </w:r>
      <w:r>
        <w:rPr>
          <w:rFonts w:hint="eastAsia"/>
        </w:rPr>
        <w:t>34-40  私营企业基本情况</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03"/>
        <w:gridCol w:w="1986"/>
        <w:gridCol w:w="1986"/>
        <w:gridCol w:w="1987"/>
      </w:tblGrid>
      <w:tr w14:paraId="32A30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9" w:type="pct"/>
            <w:vAlign w:val="center"/>
          </w:tcPr>
          <w:p w14:paraId="37F10D76">
            <w:pPr>
              <w:pStyle w:val="13"/>
              <w:jc w:val="center"/>
              <w:rPr>
                <w:rFonts w:hint="eastAsia"/>
                <w:b/>
              </w:rPr>
            </w:pPr>
            <w:r>
              <w:rPr>
                <w:rFonts w:hint="eastAsia"/>
                <w:b/>
              </w:rPr>
              <w:t>指标名称</w:t>
            </w:r>
          </w:p>
        </w:tc>
        <w:tc>
          <w:tcPr>
            <w:tcW w:w="997" w:type="pct"/>
            <w:vAlign w:val="center"/>
          </w:tcPr>
          <w:p w14:paraId="0AD443D6">
            <w:pPr>
              <w:pStyle w:val="13"/>
              <w:jc w:val="center"/>
              <w:rPr>
                <w:rFonts w:hint="eastAsia"/>
                <w:b/>
              </w:rPr>
            </w:pPr>
            <w:r>
              <w:rPr>
                <w:rFonts w:hint="eastAsia"/>
                <w:b/>
              </w:rPr>
              <w:t>户数（户）</w:t>
            </w:r>
          </w:p>
        </w:tc>
        <w:tc>
          <w:tcPr>
            <w:tcW w:w="997" w:type="pct"/>
            <w:vAlign w:val="center"/>
          </w:tcPr>
          <w:p w14:paraId="7F929729">
            <w:pPr>
              <w:pStyle w:val="13"/>
              <w:jc w:val="center"/>
              <w:rPr>
                <w:rFonts w:hint="eastAsia"/>
                <w:b/>
              </w:rPr>
            </w:pPr>
            <w:r>
              <w:rPr>
                <w:rFonts w:hint="eastAsia"/>
                <w:b/>
              </w:rPr>
              <w:t>其中：城镇（人）</w:t>
            </w:r>
          </w:p>
        </w:tc>
        <w:tc>
          <w:tcPr>
            <w:tcW w:w="997" w:type="pct"/>
            <w:vAlign w:val="center"/>
          </w:tcPr>
          <w:p w14:paraId="1281E8F1">
            <w:pPr>
              <w:pStyle w:val="13"/>
              <w:jc w:val="center"/>
              <w:rPr>
                <w:rFonts w:hint="eastAsia"/>
                <w:b/>
              </w:rPr>
            </w:pPr>
            <w:r>
              <w:rPr>
                <w:rFonts w:hint="eastAsia"/>
                <w:b/>
              </w:rPr>
              <w:t>从业人员</w:t>
            </w:r>
          </w:p>
        </w:tc>
      </w:tr>
      <w:tr w14:paraId="505D2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9" w:type="pct"/>
            <w:vAlign w:val="center"/>
          </w:tcPr>
          <w:p w14:paraId="76F8A0FD">
            <w:pPr>
              <w:pStyle w:val="13"/>
              <w:jc w:val="left"/>
              <w:rPr>
                <w:rFonts w:hint="eastAsia"/>
              </w:rPr>
            </w:pPr>
            <w:r>
              <w:rPr>
                <w:rFonts w:hint="eastAsia"/>
              </w:rPr>
              <w:t>合计</w:t>
            </w:r>
          </w:p>
        </w:tc>
        <w:tc>
          <w:tcPr>
            <w:tcW w:w="997" w:type="pct"/>
            <w:vAlign w:val="center"/>
          </w:tcPr>
          <w:p w14:paraId="4E793DD7">
            <w:pPr>
              <w:pStyle w:val="13"/>
              <w:jc w:val="center"/>
              <w:rPr>
                <w:rFonts w:hint="eastAsia"/>
              </w:rPr>
            </w:pPr>
            <w:r>
              <w:rPr>
                <w:rFonts w:hint="eastAsia"/>
              </w:rPr>
              <w:t>650</w:t>
            </w:r>
          </w:p>
        </w:tc>
        <w:tc>
          <w:tcPr>
            <w:tcW w:w="997" w:type="pct"/>
            <w:vAlign w:val="center"/>
          </w:tcPr>
          <w:p w14:paraId="0E5A28D3">
            <w:pPr>
              <w:pStyle w:val="13"/>
              <w:jc w:val="center"/>
              <w:rPr>
                <w:rFonts w:hint="eastAsia"/>
              </w:rPr>
            </w:pPr>
            <w:r>
              <w:rPr>
                <w:rFonts w:hint="eastAsia"/>
              </w:rPr>
              <w:t>327</w:t>
            </w:r>
          </w:p>
        </w:tc>
        <w:tc>
          <w:tcPr>
            <w:tcW w:w="997" w:type="pct"/>
            <w:vAlign w:val="center"/>
          </w:tcPr>
          <w:p w14:paraId="661C9E11">
            <w:pPr>
              <w:pStyle w:val="13"/>
              <w:jc w:val="center"/>
              <w:rPr>
                <w:rFonts w:hint="eastAsia"/>
              </w:rPr>
            </w:pPr>
            <w:r>
              <w:rPr>
                <w:rFonts w:hint="eastAsia"/>
              </w:rPr>
              <w:t>5724</w:t>
            </w:r>
          </w:p>
        </w:tc>
      </w:tr>
      <w:tr w14:paraId="36652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9" w:type="pct"/>
            <w:vAlign w:val="center"/>
          </w:tcPr>
          <w:p w14:paraId="2C5667E4">
            <w:pPr>
              <w:pStyle w:val="13"/>
              <w:jc w:val="left"/>
              <w:rPr>
                <w:rFonts w:hint="eastAsia"/>
              </w:rPr>
            </w:pPr>
            <w:r>
              <w:rPr>
                <w:rFonts w:hint="eastAsia"/>
              </w:rPr>
              <w:t>农、林、牧、渔业</w:t>
            </w:r>
          </w:p>
        </w:tc>
        <w:tc>
          <w:tcPr>
            <w:tcW w:w="997" w:type="pct"/>
            <w:vAlign w:val="center"/>
          </w:tcPr>
          <w:p w14:paraId="17DB5E4B">
            <w:pPr>
              <w:pStyle w:val="13"/>
              <w:jc w:val="center"/>
              <w:rPr>
                <w:rFonts w:hint="eastAsia"/>
              </w:rPr>
            </w:pPr>
            <w:r>
              <w:rPr>
                <w:rFonts w:hint="eastAsia"/>
              </w:rPr>
              <w:t>41</w:t>
            </w:r>
          </w:p>
        </w:tc>
        <w:tc>
          <w:tcPr>
            <w:tcW w:w="997" w:type="pct"/>
            <w:vAlign w:val="center"/>
          </w:tcPr>
          <w:p w14:paraId="56E9B20F">
            <w:pPr>
              <w:pStyle w:val="13"/>
              <w:jc w:val="center"/>
              <w:rPr>
                <w:rFonts w:hint="eastAsia"/>
              </w:rPr>
            </w:pPr>
            <w:r>
              <w:rPr>
                <w:rFonts w:hint="eastAsia"/>
              </w:rPr>
              <w:t>12</w:t>
            </w:r>
          </w:p>
        </w:tc>
        <w:tc>
          <w:tcPr>
            <w:tcW w:w="997" w:type="pct"/>
            <w:vAlign w:val="center"/>
          </w:tcPr>
          <w:p w14:paraId="46797150">
            <w:pPr>
              <w:pStyle w:val="13"/>
              <w:jc w:val="center"/>
              <w:rPr>
                <w:rFonts w:hint="eastAsia"/>
              </w:rPr>
            </w:pPr>
            <w:r>
              <w:rPr>
                <w:rFonts w:hint="eastAsia"/>
              </w:rPr>
              <w:t>388</w:t>
            </w:r>
          </w:p>
        </w:tc>
      </w:tr>
      <w:tr w14:paraId="58D46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9" w:type="pct"/>
            <w:vAlign w:val="center"/>
          </w:tcPr>
          <w:p w14:paraId="3C9A4170">
            <w:pPr>
              <w:pStyle w:val="13"/>
              <w:jc w:val="left"/>
              <w:rPr>
                <w:rFonts w:hint="eastAsia"/>
              </w:rPr>
            </w:pPr>
            <w:r>
              <w:rPr>
                <w:rFonts w:hint="eastAsia"/>
              </w:rPr>
              <w:t>工业</w:t>
            </w:r>
          </w:p>
        </w:tc>
        <w:tc>
          <w:tcPr>
            <w:tcW w:w="997" w:type="pct"/>
            <w:vAlign w:val="center"/>
          </w:tcPr>
          <w:p w14:paraId="148F3E37">
            <w:pPr>
              <w:pStyle w:val="13"/>
              <w:jc w:val="center"/>
              <w:rPr>
                <w:rFonts w:hint="eastAsia"/>
              </w:rPr>
            </w:pPr>
            <w:r>
              <w:rPr>
                <w:rFonts w:hint="eastAsia"/>
              </w:rPr>
              <w:t>297</w:t>
            </w:r>
          </w:p>
        </w:tc>
        <w:tc>
          <w:tcPr>
            <w:tcW w:w="997" w:type="pct"/>
            <w:vAlign w:val="center"/>
          </w:tcPr>
          <w:p w14:paraId="72785C78">
            <w:pPr>
              <w:pStyle w:val="13"/>
              <w:jc w:val="center"/>
              <w:rPr>
                <w:rFonts w:hint="eastAsia"/>
              </w:rPr>
            </w:pPr>
            <w:r>
              <w:rPr>
                <w:rFonts w:hint="eastAsia"/>
              </w:rPr>
              <w:t>125</w:t>
            </w:r>
          </w:p>
        </w:tc>
        <w:tc>
          <w:tcPr>
            <w:tcW w:w="997" w:type="pct"/>
            <w:vAlign w:val="center"/>
          </w:tcPr>
          <w:p w14:paraId="1305F8A9">
            <w:pPr>
              <w:pStyle w:val="13"/>
              <w:jc w:val="center"/>
              <w:rPr>
                <w:rFonts w:hint="eastAsia"/>
              </w:rPr>
            </w:pPr>
            <w:r>
              <w:rPr>
                <w:rFonts w:hint="eastAsia"/>
              </w:rPr>
              <w:t>2863</w:t>
            </w:r>
          </w:p>
        </w:tc>
      </w:tr>
      <w:tr w14:paraId="2BC22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9" w:type="pct"/>
            <w:vAlign w:val="center"/>
          </w:tcPr>
          <w:p w14:paraId="3A37834C">
            <w:pPr>
              <w:pStyle w:val="13"/>
              <w:jc w:val="left"/>
              <w:rPr>
                <w:rFonts w:hint="eastAsia"/>
              </w:rPr>
            </w:pPr>
            <w:r>
              <w:rPr>
                <w:rFonts w:hint="eastAsia"/>
              </w:rPr>
              <w:t>建筑业</w:t>
            </w:r>
          </w:p>
        </w:tc>
        <w:tc>
          <w:tcPr>
            <w:tcW w:w="997" w:type="pct"/>
            <w:vAlign w:val="center"/>
          </w:tcPr>
          <w:p w14:paraId="65DC1C99">
            <w:pPr>
              <w:pStyle w:val="13"/>
              <w:jc w:val="center"/>
              <w:rPr>
                <w:rFonts w:hint="eastAsia"/>
              </w:rPr>
            </w:pPr>
            <w:r>
              <w:rPr>
                <w:rFonts w:hint="eastAsia"/>
              </w:rPr>
              <w:t>14</w:t>
            </w:r>
          </w:p>
        </w:tc>
        <w:tc>
          <w:tcPr>
            <w:tcW w:w="997" w:type="pct"/>
            <w:vAlign w:val="center"/>
          </w:tcPr>
          <w:p w14:paraId="669BD61B">
            <w:pPr>
              <w:pStyle w:val="13"/>
              <w:jc w:val="center"/>
              <w:rPr>
                <w:rFonts w:hint="eastAsia"/>
              </w:rPr>
            </w:pPr>
            <w:r>
              <w:rPr>
                <w:rFonts w:hint="eastAsia"/>
              </w:rPr>
              <w:t>12</w:t>
            </w:r>
          </w:p>
        </w:tc>
        <w:tc>
          <w:tcPr>
            <w:tcW w:w="997" w:type="pct"/>
            <w:vAlign w:val="center"/>
          </w:tcPr>
          <w:p w14:paraId="34887D88">
            <w:pPr>
              <w:pStyle w:val="13"/>
              <w:jc w:val="center"/>
              <w:rPr>
                <w:rFonts w:hint="eastAsia"/>
              </w:rPr>
            </w:pPr>
            <w:r>
              <w:rPr>
                <w:rFonts w:hint="eastAsia"/>
              </w:rPr>
              <w:t>114</w:t>
            </w:r>
          </w:p>
        </w:tc>
      </w:tr>
      <w:tr w14:paraId="48BCF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9" w:type="pct"/>
            <w:vAlign w:val="center"/>
          </w:tcPr>
          <w:p w14:paraId="1D61BCF0">
            <w:pPr>
              <w:pStyle w:val="13"/>
              <w:jc w:val="left"/>
              <w:rPr>
                <w:rFonts w:hint="eastAsia"/>
              </w:rPr>
            </w:pPr>
            <w:r>
              <w:rPr>
                <w:rFonts w:hint="eastAsia"/>
              </w:rPr>
              <w:t>交通运输、仓储和邮政业</w:t>
            </w:r>
          </w:p>
        </w:tc>
        <w:tc>
          <w:tcPr>
            <w:tcW w:w="997" w:type="pct"/>
            <w:vAlign w:val="center"/>
          </w:tcPr>
          <w:p w14:paraId="7FC9F102">
            <w:pPr>
              <w:pStyle w:val="13"/>
              <w:jc w:val="center"/>
              <w:rPr>
                <w:rFonts w:hint="eastAsia"/>
              </w:rPr>
            </w:pPr>
            <w:r>
              <w:rPr>
                <w:rFonts w:hint="eastAsia"/>
              </w:rPr>
              <w:t>15</w:t>
            </w:r>
          </w:p>
        </w:tc>
        <w:tc>
          <w:tcPr>
            <w:tcW w:w="997" w:type="pct"/>
            <w:vAlign w:val="center"/>
          </w:tcPr>
          <w:p w14:paraId="6BBCE7C8">
            <w:pPr>
              <w:pStyle w:val="13"/>
              <w:jc w:val="center"/>
              <w:rPr>
                <w:rFonts w:hint="eastAsia"/>
              </w:rPr>
            </w:pPr>
            <w:r>
              <w:rPr>
                <w:rFonts w:hint="eastAsia"/>
              </w:rPr>
              <w:t>11</w:t>
            </w:r>
          </w:p>
        </w:tc>
        <w:tc>
          <w:tcPr>
            <w:tcW w:w="997" w:type="pct"/>
            <w:vAlign w:val="center"/>
          </w:tcPr>
          <w:p w14:paraId="407AA0DD">
            <w:pPr>
              <w:pStyle w:val="13"/>
              <w:jc w:val="center"/>
              <w:rPr>
                <w:rFonts w:hint="eastAsia"/>
              </w:rPr>
            </w:pPr>
            <w:r>
              <w:rPr>
                <w:rFonts w:hint="eastAsia"/>
              </w:rPr>
              <w:t>116</w:t>
            </w:r>
          </w:p>
        </w:tc>
      </w:tr>
      <w:tr w14:paraId="1D316A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9" w:type="pct"/>
            <w:vAlign w:val="center"/>
          </w:tcPr>
          <w:p w14:paraId="00E4ABA2">
            <w:pPr>
              <w:pStyle w:val="13"/>
              <w:jc w:val="left"/>
              <w:rPr>
                <w:rFonts w:hint="eastAsia"/>
              </w:rPr>
            </w:pPr>
            <w:r>
              <w:rPr>
                <w:rFonts w:hint="eastAsia"/>
              </w:rPr>
              <w:t>批发零售贸易、住宿餐饮业</w:t>
            </w:r>
          </w:p>
        </w:tc>
        <w:tc>
          <w:tcPr>
            <w:tcW w:w="997" w:type="pct"/>
            <w:vAlign w:val="center"/>
          </w:tcPr>
          <w:p w14:paraId="642E2644">
            <w:pPr>
              <w:pStyle w:val="13"/>
              <w:jc w:val="center"/>
              <w:rPr>
                <w:rFonts w:hint="eastAsia"/>
              </w:rPr>
            </w:pPr>
            <w:r>
              <w:rPr>
                <w:rFonts w:hint="eastAsia"/>
              </w:rPr>
              <w:t>179</w:t>
            </w:r>
          </w:p>
        </w:tc>
        <w:tc>
          <w:tcPr>
            <w:tcW w:w="997" w:type="pct"/>
            <w:vAlign w:val="center"/>
          </w:tcPr>
          <w:p w14:paraId="03461E5E">
            <w:pPr>
              <w:pStyle w:val="13"/>
              <w:jc w:val="center"/>
              <w:rPr>
                <w:rFonts w:hint="eastAsia"/>
              </w:rPr>
            </w:pPr>
            <w:r>
              <w:rPr>
                <w:rFonts w:hint="eastAsia"/>
              </w:rPr>
              <w:t>86</w:t>
            </w:r>
          </w:p>
        </w:tc>
        <w:tc>
          <w:tcPr>
            <w:tcW w:w="997" w:type="pct"/>
            <w:vAlign w:val="center"/>
          </w:tcPr>
          <w:p w14:paraId="20B2525C">
            <w:pPr>
              <w:pStyle w:val="13"/>
              <w:jc w:val="center"/>
              <w:rPr>
                <w:rFonts w:hint="eastAsia"/>
              </w:rPr>
            </w:pPr>
            <w:r>
              <w:rPr>
                <w:rFonts w:hint="eastAsia"/>
              </w:rPr>
              <w:t>1432</w:t>
            </w:r>
          </w:p>
        </w:tc>
      </w:tr>
      <w:tr w14:paraId="4ED7B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9" w:type="pct"/>
            <w:vAlign w:val="center"/>
          </w:tcPr>
          <w:p w14:paraId="66F10EC1">
            <w:pPr>
              <w:pStyle w:val="13"/>
              <w:ind w:firstLine="420" w:firstLineChars="200"/>
              <w:jc w:val="left"/>
              <w:rPr>
                <w:rFonts w:hint="eastAsia"/>
              </w:rPr>
            </w:pPr>
            <w:r>
              <w:rPr>
                <w:rFonts w:hint="eastAsia"/>
              </w:rPr>
              <w:t>其中：住宿和餐饮业</w:t>
            </w:r>
          </w:p>
        </w:tc>
        <w:tc>
          <w:tcPr>
            <w:tcW w:w="997" w:type="pct"/>
            <w:vAlign w:val="center"/>
          </w:tcPr>
          <w:p w14:paraId="71C176FB">
            <w:pPr>
              <w:pStyle w:val="13"/>
              <w:jc w:val="center"/>
              <w:rPr>
                <w:rFonts w:hint="eastAsia"/>
              </w:rPr>
            </w:pPr>
            <w:r>
              <w:rPr>
                <w:rFonts w:hint="eastAsia"/>
              </w:rPr>
              <w:t>5</w:t>
            </w:r>
          </w:p>
        </w:tc>
        <w:tc>
          <w:tcPr>
            <w:tcW w:w="997" w:type="pct"/>
            <w:vAlign w:val="center"/>
          </w:tcPr>
          <w:p w14:paraId="23635FE1">
            <w:pPr>
              <w:pStyle w:val="13"/>
              <w:jc w:val="center"/>
              <w:rPr>
                <w:rFonts w:hint="eastAsia"/>
              </w:rPr>
            </w:pPr>
            <w:r>
              <w:rPr>
                <w:rFonts w:hint="eastAsia"/>
              </w:rPr>
              <w:t>3</w:t>
            </w:r>
          </w:p>
        </w:tc>
        <w:tc>
          <w:tcPr>
            <w:tcW w:w="997" w:type="pct"/>
            <w:vAlign w:val="center"/>
          </w:tcPr>
          <w:p w14:paraId="1B0F549F">
            <w:pPr>
              <w:pStyle w:val="13"/>
              <w:jc w:val="center"/>
              <w:rPr>
                <w:rFonts w:hint="eastAsia"/>
              </w:rPr>
            </w:pPr>
            <w:r>
              <w:rPr>
                <w:rFonts w:hint="eastAsia"/>
              </w:rPr>
              <w:t>91</w:t>
            </w:r>
          </w:p>
        </w:tc>
      </w:tr>
      <w:tr w14:paraId="4695A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9" w:type="pct"/>
            <w:vAlign w:val="center"/>
          </w:tcPr>
          <w:p w14:paraId="74FEDC1D">
            <w:pPr>
              <w:pStyle w:val="13"/>
              <w:jc w:val="left"/>
              <w:rPr>
                <w:rFonts w:hint="eastAsia"/>
              </w:rPr>
            </w:pPr>
            <w:r>
              <w:rPr>
                <w:rFonts w:hint="eastAsia"/>
              </w:rPr>
              <w:t>房地产业</w:t>
            </w:r>
          </w:p>
        </w:tc>
        <w:tc>
          <w:tcPr>
            <w:tcW w:w="997" w:type="pct"/>
            <w:vAlign w:val="center"/>
          </w:tcPr>
          <w:p w14:paraId="79B1D8F8">
            <w:pPr>
              <w:pStyle w:val="13"/>
              <w:jc w:val="center"/>
              <w:rPr>
                <w:rFonts w:hint="eastAsia"/>
              </w:rPr>
            </w:pPr>
            <w:r>
              <w:rPr>
                <w:rFonts w:hint="eastAsia"/>
              </w:rPr>
              <w:t>40</w:t>
            </w:r>
          </w:p>
        </w:tc>
        <w:tc>
          <w:tcPr>
            <w:tcW w:w="997" w:type="pct"/>
            <w:vAlign w:val="center"/>
          </w:tcPr>
          <w:p w14:paraId="756D31A5">
            <w:pPr>
              <w:pStyle w:val="13"/>
              <w:jc w:val="center"/>
              <w:rPr>
                <w:rFonts w:hint="eastAsia"/>
              </w:rPr>
            </w:pPr>
            <w:r>
              <w:rPr>
                <w:rFonts w:hint="eastAsia"/>
              </w:rPr>
              <w:t>37</w:t>
            </w:r>
          </w:p>
        </w:tc>
        <w:tc>
          <w:tcPr>
            <w:tcW w:w="997" w:type="pct"/>
            <w:vAlign w:val="center"/>
          </w:tcPr>
          <w:p w14:paraId="498D417C">
            <w:pPr>
              <w:pStyle w:val="13"/>
              <w:jc w:val="center"/>
              <w:rPr>
                <w:rFonts w:hint="eastAsia"/>
              </w:rPr>
            </w:pPr>
            <w:r>
              <w:rPr>
                <w:rFonts w:hint="eastAsia"/>
              </w:rPr>
              <w:t>470</w:t>
            </w:r>
          </w:p>
        </w:tc>
      </w:tr>
      <w:tr w14:paraId="7FAE38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9" w:type="pct"/>
            <w:vAlign w:val="center"/>
          </w:tcPr>
          <w:p w14:paraId="3EDC20E5">
            <w:pPr>
              <w:pStyle w:val="13"/>
              <w:jc w:val="left"/>
              <w:rPr>
                <w:rFonts w:hint="eastAsia"/>
              </w:rPr>
            </w:pPr>
            <w:r>
              <w:rPr>
                <w:rFonts w:hint="eastAsia"/>
              </w:rPr>
              <w:t>其它服务业</w:t>
            </w:r>
          </w:p>
        </w:tc>
        <w:tc>
          <w:tcPr>
            <w:tcW w:w="997" w:type="pct"/>
            <w:vAlign w:val="center"/>
          </w:tcPr>
          <w:p w14:paraId="2A3DD915">
            <w:pPr>
              <w:pStyle w:val="13"/>
              <w:jc w:val="center"/>
              <w:rPr>
                <w:rFonts w:hint="eastAsia"/>
              </w:rPr>
            </w:pPr>
            <w:r>
              <w:rPr>
                <w:rFonts w:hint="eastAsia"/>
              </w:rPr>
              <w:t>64</w:t>
            </w:r>
          </w:p>
        </w:tc>
        <w:tc>
          <w:tcPr>
            <w:tcW w:w="997" w:type="pct"/>
            <w:vAlign w:val="center"/>
          </w:tcPr>
          <w:p w14:paraId="1BF3C99E">
            <w:pPr>
              <w:pStyle w:val="13"/>
              <w:jc w:val="center"/>
              <w:rPr>
                <w:rFonts w:hint="eastAsia"/>
              </w:rPr>
            </w:pPr>
            <w:r>
              <w:rPr>
                <w:rFonts w:hint="eastAsia"/>
              </w:rPr>
              <w:t>44</w:t>
            </w:r>
          </w:p>
        </w:tc>
        <w:tc>
          <w:tcPr>
            <w:tcW w:w="997" w:type="pct"/>
            <w:vAlign w:val="center"/>
          </w:tcPr>
          <w:p w14:paraId="4AA49D85">
            <w:pPr>
              <w:pStyle w:val="13"/>
              <w:jc w:val="center"/>
              <w:rPr>
                <w:rFonts w:hint="eastAsia"/>
              </w:rPr>
            </w:pPr>
            <w:r>
              <w:rPr>
                <w:rFonts w:hint="eastAsia"/>
              </w:rPr>
              <w:t>341</w:t>
            </w:r>
          </w:p>
        </w:tc>
      </w:tr>
    </w:tbl>
    <w:p w14:paraId="42612EA1">
      <w:pPr>
        <w:pStyle w:val="4"/>
        <w:rPr>
          <w:rFonts w:hint="eastAsia"/>
        </w:rPr>
      </w:pPr>
      <w:r>
        <w:t>表</w:t>
      </w:r>
      <w:r>
        <w:rPr>
          <w:rFonts w:hint="eastAsia"/>
        </w:rPr>
        <w:t>34-41  分镇黄烟收购量</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2490"/>
        <w:gridCol w:w="2491"/>
        <w:gridCol w:w="2491"/>
      </w:tblGrid>
      <w:tr w14:paraId="4BF51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C19B76D">
            <w:pPr>
              <w:pStyle w:val="13"/>
              <w:jc w:val="center"/>
              <w:rPr>
                <w:rFonts w:hint="eastAsia"/>
                <w:b/>
              </w:rPr>
            </w:pPr>
            <w:r>
              <w:rPr>
                <w:rFonts w:hint="eastAsia"/>
                <w:b/>
              </w:rPr>
              <w:t>单位名称</w:t>
            </w:r>
          </w:p>
        </w:tc>
        <w:tc>
          <w:tcPr>
            <w:tcW w:w="1250" w:type="pct"/>
            <w:vAlign w:val="center"/>
          </w:tcPr>
          <w:p w14:paraId="3AE2C5C5">
            <w:pPr>
              <w:pStyle w:val="13"/>
              <w:jc w:val="center"/>
              <w:rPr>
                <w:rFonts w:hint="eastAsia"/>
                <w:b/>
              </w:rPr>
            </w:pPr>
            <w:r>
              <w:rPr>
                <w:rFonts w:hint="eastAsia"/>
                <w:b/>
              </w:rPr>
              <w:t>收购量（吨）</w:t>
            </w:r>
          </w:p>
        </w:tc>
        <w:tc>
          <w:tcPr>
            <w:tcW w:w="1250" w:type="pct"/>
            <w:vAlign w:val="center"/>
          </w:tcPr>
          <w:p w14:paraId="5F3263EF">
            <w:pPr>
              <w:pStyle w:val="13"/>
              <w:jc w:val="center"/>
              <w:rPr>
                <w:rFonts w:hint="eastAsia"/>
                <w:b/>
              </w:rPr>
            </w:pPr>
            <w:r>
              <w:rPr>
                <w:rFonts w:hint="eastAsia"/>
                <w:b/>
              </w:rPr>
              <w:t>单位名称</w:t>
            </w:r>
          </w:p>
        </w:tc>
        <w:tc>
          <w:tcPr>
            <w:tcW w:w="1250" w:type="pct"/>
            <w:vAlign w:val="center"/>
          </w:tcPr>
          <w:p w14:paraId="531410E6">
            <w:pPr>
              <w:pStyle w:val="13"/>
              <w:jc w:val="center"/>
              <w:rPr>
                <w:rFonts w:hint="eastAsia"/>
                <w:b/>
              </w:rPr>
            </w:pPr>
            <w:r>
              <w:rPr>
                <w:rFonts w:hint="eastAsia"/>
                <w:b/>
              </w:rPr>
              <w:t>收购量（吨）</w:t>
            </w:r>
          </w:p>
        </w:tc>
      </w:tr>
      <w:tr w14:paraId="6771B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55CC342F">
            <w:pPr>
              <w:pStyle w:val="13"/>
              <w:jc w:val="center"/>
              <w:rPr>
                <w:rFonts w:hint="eastAsia"/>
              </w:rPr>
            </w:pPr>
            <w:r>
              <w:rPr>
                <w:rFonts w:hint="eastAsia"/>
              </w:rPr>
              <w:t>合计</w:t>
            </w:r>
          </w:p>
        </w:tc>
        <w:tc>
          <w:tcPr>
            <w:tcW w:w="1250" w:type="pct"/>
            <w:vAlign w:val="center"/>
          </w:tcPr>
          <w:p w14:paraId="550B69B8">
            <w:pPr>
              <w:pStyle w:val="13"/>
              <w:jc w:val="center"/>
              <w:rPr>
                <w:rFonts w:hint="eastAsia"/>
              </w:rPr>
            </w:pPr>
            <w:r>
              <w:rPr>
                <w:rFonts w:hint="eastAsia"/>
              </w:rPr>
              <w:t>15308</w:t>
            </w:r>
          </w:p>
        </w:tc>
        <w:tc>
          <w:tcPr>
            <w:tcW w:w="1250" w:type="pct"/>
            <w:vAlign w:val="center"/>
          </w:tcPr>
          <w:p w14:paraId="51491C11">
            <w:pPr>
              <w:pStyle w:val="13"/>
              <w:jc w:val="center"/>
              <w:rPr>
                <w:rFonts w:hint="eastAsia"/>
              </w:rPr>
            </w:pPr>
            <w:r>
              <w:rPr>
                <w:rFonts w:hint="eastAsia"/>
              </w:rPr>
              <w:t>雄州</w:t>
            </w:r>
          </w:p>
        </w:tc>
        <w:tc>
          <w:tcPr>
            <w:tcW w:w="1250" w:type="pct"/>
            <w:vAlign w:val="center"/>
          </w:tcPr>
          <w:p w14:paraId="730A43AB">
            <w:pPr>
              <w:pStyle w:val="13"/>
              <w:jc w:val="center"/>
              <w:rPr>
                <w:rFonts w:hint="eastAsia"/>
              </w:rPr>
            </w:pPr>
            <w:r>
              <w:rPr>
                <w:rFonts w:hint="eastAsia"/>
              </w:rPr>
              <w:t>1616</w:t>
            </w:r>
          </w:p>
        </w:tc>
      </w:tr>
      <w:tr w14:paraId="1A106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0EA4466">
            <w:pPr>
              <w:pStyle w:val="13"/>
              <w:jc w:val="center"/>
              <w:rPr>
                <w:rFonts w:hint="eastAsia"/>
              </w:rPr>
            </w:pPr>
            <w:r>
              <w:rPr>
                <w:rFonts w:hint="eastAsia"/>
              </w:rPr>
              <w:t>乌迳</w:t>
            </w:r>
          </w:p>
        </w:tc>
        <w:tc>
          <w:tcPr>
            <w:tcW w:w="1250" w:type="pct"/>
            <w:vAlign w:val="center"/>
          </w:tcPr>
          <w:p w14:paraId="076686F6">
            <w:pPr>
              <w:pStyle w:val="13"/>
              <w:jc w:val="center"/>
              <w:rPr>
                <w:rFonts w:hint="eastAsia"/>
              </w:rPr>
            </w:pPr>
            <w:r>
              <w:rPr>
                <w:rFonts w:hint="eastAsia"/>
              </w:rPr>
              <w:t>954</w:t>
            </w:r>
          </w:p>
        </w:tc>
        <w:tc>
          <w:tcPr>
            <w:tcW w:w="1250" w:type="pct"/>
            <w:vAlign w:val="center"/>
          </w:tcPr>
          <w:p w14:paraId="1A916ACF">
            <w:pPr>
              <w:pStyle w:val="13"/>
              <w:jc w:val="center"/>
              <w:rPr>
                <w:rFonts w:hint="eastAsia"/>
              </w:rPr>
            </w:pPr>
            <w:r>
              <w:rPr>
                <w:rFonts w:hint="eastAsia"/>
              </w:rPr>
              <w:t>湖口</w:t>
            </w:r>
          </w:p>
        </w:tc>
        <w:tc>
          <w:tcPr>
            <w:tcW w:w="1250" w:type="pct"/>
            <w:vAlign w:val="center"/>
          </w:tcPr>
          <w:p w14:paraId="405A9465">
            <w:pPr>
              <w:pStyle w:val="13"/>
              <w:jc w:val="center"/>
              <w:rPr>
                <w:rFonts w:hint="eastAsia"/>
              </w:rPr>
            </w:pPr>
            <w:r>
              <w:rPr>
                <w:rFonts w:hint="eastAsia"/>
              </w:rPr>
              <w:t>2333</w:t>
            </w:r>
          </w:p>
        </w:tc>
      </w:tr>
      <w:tr w14:paraId="7DF0AD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B2CCA52">
            <w:pPr>
              <w:pStyle w:val="13"/>
              <w:jc w:val="center"/>
              <w:rPr>
                <w:rFonts w:hint="eastAsia"/>
              </w:rPr>
            </w:pPr>
            <w:r>
              <w:rPr>
                <w:rFonts w:hint="eastAsia"/>
              </w:rPr>
              <w:t>界址</w:t>
            </w:r>
          </w:p>
        </w:tc>
        <w:tc>
          <w:tcPr>
            <w:tcW w:w="1250" w:type="pct"/>
            <w:vAlign w:val="center"/>
          </w:tcPr>
          <w:p w14:paraId="2398DAB5">
            <w:pPr>
              <w:pStyle w:val="13"/>
              <w:jc w:val="center"/>
              <w:rPr>
                <w:rFonts w:hint="eastAsia"/>
              </w:rPr>
            </w:pPr>
            <w:r>
              <w:rPr>
                <w:rFonts w:hint="eastAsia"/>
              </w:rPr>
              <w:t>7</w:t>
            </w:r>
          </w:p>
        </w:tc>
        <w:tc>
          <w:tcPr>
            <w:tcW w:w="1250" w:type="pct"/>
            <w:vAlign w:val="center"/>
          </w:tcPr>
          <w:p w14:paraId="71B58A76">
            <w:pPr>
              <w:pStyle w:val="13"/>
              <w:jc w:val="center"/>
              <w:rPr>
                <w:rFonts w:hint="eastAsia"/>
              </w:rPr>
            </w:pPr>
            <w:r>
              <w:rPr>
                <w:rFonts w:hint="eastAsia"/>
              </w:rPr>
              <w:t>珠玑</w:t>
            </w:r>
          </w:p>
        </w:tc>
        <w:tc>
          <w:tcPr>
            <w:tcW w:w="1250" w:type="pct"/>
            <w:vAlign w:val="center"/>
          </w:tcPr>
          <w:p w14:paraId="3FD8B1E8">
            <w:pPr>
              <w:pStyle w:val="13"/>
              <w:jc w:val="center"/>
              <w:rPr>
                <w:rFonts w:hint="eastAsia"/>
              </w:rPr>
            </w:pPr>
            <w:r>
              <w:rPr>
                <w:rFonts w:hint="eastAsia"/>
              </w:rPr>
              <w:t>1106</w:t>
            </w:r>
          </w:p>
        </w:tc>
      </w:tr>
      <w:tr w14:paraId="2F3B3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69BDE78">
            <w:pPr>
              <w:pStyle w:val="13"/>
              <w:jc w:val="center"/>
              <w:rPr>
                <w:rFonts w:hint="eastAsia"/>
              </w:rPr>
            </w:pPr>
            <w:r>
              <w:rPr>
                <w:rFonts w:hint="eastAsia"/>
              </w:rPr>
              <w:t>坪田</w:t>
            </w:r>
          </w:p>
        </w:tc>
        <w:tc>
          <w:tcPr>
            <w:tcW w:w="1250" w:type="pct"/>
            <w:vAlign w:val="center"/>
          </w:tcPr>
          <w:p w14:paraId="425E767B">
            <w:pPr>
              <w:pStyle w:val="13"/>
              <w:jc w:val="center"/>
              <w:rPr>
                <w:rFonts w:hint="eastAsia"/>
              </w:rPr>
            </w:pPr>
            <w:r>
              <w:rPr>
                <w:rFonts w:hint="eastAsia"/>
              </w:rPr>
              <w:t>603</w:t>
            </w:r>
          </w:p>
        </w:tc>
        <w:tc>
          <w:tcPr>
            <w:tcW w:w="1250" w:type="pct"/>
            <w:vAlign w:val="center"/>
          </w:tcPr>
          <w:p w14:paraId="58B5290E">
            <w:pPr>
              <w:pStyle w:val="13"/>
              <w:jc w:val="center"/>
              <w:rPr>
                <w:rFonts w:hint="eastAsia"/>
              </w:rPr>
            </w:pPr>
            <w:r>
              <w:rPr>
                <w:rFonts w:hint="eastAsia"/>
              </w:rPr>
              <w:t>帽子峰</w:t>
            </w:r>
          </w:p>
        </w:tc>
        <w:tc>
          <w:tcPr>
            <w:tcW w:w="1250" w:type="pct"/>
            <w:vAlign w:val="center"/>
          </w:tcPr>
          <w:p w14:paraId="6689ED0A">
            <w:pPr>
              <w:pStyle w:val="13"/>
              <w:jc w:val="center"/>
              <w:rPr>
                <w:rFonts w:hint="eastAsia"/>
              </w:rPr>
            </w:pPr>
            <w:r>
              <w:rPr>
                <w:rFonts w:hint="eastAsia"/>
              </w:rPr>
              <w:t>211</w:t>
            </w:r>
          </w:p>
        </w:tc>
      </w:tr>
      <w:tr w14:paraId="0C5F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5995D37">
            <w:pPr>
              <w:pStyle w:val="13"/>
              <w:jc w:val="center"/>
              <w:rPr>
                <w:rFonts w:hint="eastAsia"/>
              </w:rPr>
            </w:pPr>
            <w:r>
              <w:rPr>
                <w:rFonts w:hint="eastAsia"/>
              </w:rPr>
              <w:t>黄坑</w:t>
            </w:r>
          </w:p>
        </w:tc>
        <w:tc>
          <w:tcPr>
            <w:tcW w:w="1250" w:type="pct"/>
            <w:vAlign w:val="center"/>
          </w:tcPr>
          <w:p w14:paraId="68C7C73E">
            <w:pPr>
              <w:pStyle w:val="13"/>
              <w:jc w:val="center"/>
              <w:rPr>
                <w:rFonts w:hint="eastAsia"/>
              </w:rPr>
            </w:pPr>
            <w:r>
              <w:rPr>
                <w:rFonts w:hint="eastAsia"/>
              </w:rPr>
              <w:t>2050</w:t>
            </w:r>
          </w:p>
        </w:tc>
        <w:tc>
          <w:tcPr>
            <w:tcW w:w="1250" w:type="pct"/>
            <w:vAlign w:val="center"/>
          </w:tcPr>
          <w:p w14:paraId="3DBA980F">
            <w:pPr>
              <w:pStyle w:val="13"/>
              <w:jc w:val="center"/>
              <w:rPr>
                <w:rFonts w:hint="eastAsia"/>
              </w:rPr>
            </w:pPr>
            <w:r>
              <w:rPr>
                <w:rFonts w:hint="eastAsia"/>
              </w:rPr>
              <w:t>全安</w:t>
            </w:r>
          </w:p>
        </w:tc>
        <w:tc>
          <w:tcPr>
            <w:tcW w:w="1250" w:type="pct"/>
            <w:vAlign w:val="center"/>
          </w:tcPr>
          <w:p w14:paraId="23027235">
            <w:pPr>
              <w:pStyle w:val="13"/>
              <w:jc w:val="center"/>
              <w:rPr>
                <w:rFonts w:hint="eastAsia"/>
              </w:rPr>
            </w:pPr>
            <w:r>
              <w:rPr>
                <w:rFonts w:hint="eastAsia"/>
              </w:rPr>
              <w:t>92</w:t>
            </w:r>
          </w:p>
        </w:tc>
      </w:tr>
      <w:tr w14:paraId="0C74D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605D439">
            <w:pPr>
              <w:pStyle w:val="13"/>
              <w:jc w:val="center"/>
              <w:rPr>
                <w:rFonts w:hint="eastAsia"/>
              </w:rPr>
            </w:pPr>
            <w:r>
              <w:rPr>
                <w:rFonts w:hint="eastAsia"/>
              </w:rPr>
              <w:t>邓坊</w:t>
            </w:r>
          </w:p>
        </w:tc>
        <w:tc>
          <w:tcPr>
            <w:tcW w:w="1250" w:type="pct"/>
            <w:vAlign w:val="center"/>
          </w:tcPr>
          <w:p w14:paraId="6F4B652D">
            <w:pPr>
              <w:pStyle w:val="13"/>
              <w:jc w:val="center"/>
              <w:rPr>
                <w:rFonts w:hint="eastAsia"/>
              </w:rPr>
            </w:pPr>
            <w:r>
              <w:rPr>
                <w:rFonts w:hint="eastAsia"/>
              </w:rPr>
              <w:t>633</w:t>
            </w:r>
          </w:p>
        </w:tc>
        <w:tc>
          <w:tcPr>
            <w:tcW w:w="1250" w:type="pct"/>
            <w:vAlign w:val="center"/>
          </w:tcPr>
          <w:p w14:paraId="6D150C62">
            <w:pPr>
              <w:pStyle w:val="13"/>
              <w:jc w:val="center"/>
              <w:rPr>
                <w:rFonts w:hint="eastAsia"/>
              </w:rPr>
            </w:pPr>
            <w:r>
              <w:rPr>
                <w:rFonts w:hint="eastAsia"/>
              </w:rPr>
              <w:t>主田</w:t>
            </w:r>
          </w:p>
        </w:tc>
        <w:tc>
          <w:tcPr>
            <w:tcW w:w="1250" w:type="pct"/>
            <w:vAlign w:val="center"/>
          </w:tcPr>
          <w:p w14:paraId="6E36D88C">
            <w:pPr>
              <w:pStyle w:val="13"/>
              <w:jc w:val="center"/>
              <w:rPr>
                <w:rFonts w:hint="eastAsia"/>
              </w:rPr>
            </w:pPr>
            <w:r>
              <w:rPr>
                <w:rFonts w:hint="eastAsia"/>
              </w:rPr>
              <w:t>1317</w:t>
            </w:r>
          </w:p>
        </w:tc>
      </w:tr>
      <w:tr w14:paraId="032E2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718EA94">
            <w:pPr>
              <w:pStyle w:val="13"/>
              <w:jc w:val="center"/>
              <w:rPr>
                <w:rFonts w:hint="eastAsia"/>
              </w:rPr>
            </w:pPr>
            <w:r>
              <w:rPr>
                <w:rFonts w:hint="eastAsia"/>
              </w:rPr>
              <w:t>油山</w:t>
            </w:r>
          </w:p>
        </w:tc>
        <w:tc>
          <w:tcPr>
            <w:tcW w:w="1250" w:type="pct"/>
            <w:vAlign w:val="center"/>
          </w:tcPr>
          <w:p w14:paraId="64F971B3">
            <w:pPr>
              <w:pStyle w:val="13"/>
              <w:jc w:val="center"/>
              <w:rPr>
                <w:rFonts w:hint="eastAsia"/>
              </w:rPr>
            </w:pPr>
            <w:r>
              <w:rPr>
                <w:rFonts w:hint="eastAsia"/>
              </w:rPr>
              <w:t>941</w:t>
            </w:r>
          </w:p>
        </w:tc>
        <w:tc>
          <w:tcPr>
            <w:tcW w:w="1250" w:type="pct"/>
            <w:vAlign w:val="center"/>
          </w:tcPr>
          <w:p w14:paraId="321EFE7B">
            <w:pPr>
              <w:pStyle w:val="13"/>
              <w:jc w:val="center"/>
              <w:rPr>
                <w:rFonts w:hint="eastAsia"/>
              </w:rPr>
            </w:pPr>
            <w:r>
              <w:rPr>
                <w:rFonts w:hint="eastAsia"/>
              </w:rPr>
              <w:t>古市</w:t>
            </w:r>
          </w:p>
        </w:tc>
        <w:tc>
          <w:tcPr>
            <w:tcW w:w="1250" w:type="pct"/>
            <w:vAlign w:val="center"/>
          </w:tcPr>
          <w:p w14:paraId="2717A0A4">
            <w:pPr>
              <w:pStyle w:val="13"/>
              <w:jc w:val="center"/>
              <w:rPr>
                <w:rFonts w:hint="eastAsia"/>
              </w:rPr>
            </w:pPr>
            <w:r>
              <w:rPr>
                <w:rFonts w:hint="eastAsia"/>
              </w:rPr>
              <w:t>1826</w:t>
            </w:r>
          </w:p>
        </w:tc>
      </w:tr>
      <w:tr w14:paraId="164A4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3649EA5">
            <w:pPr>
              <w:pStyle w:val="13"/>
              <w:jc w:val="center"/>
              <w:rPr>
                <w:rFonts w:hint="eastAsia"/>
              </w:rPr>
            </w:pPr>
            <w:r>
              <w:rPr>
                <w:rFonts w:hint="eastAsia"/>
              </w:rPr>
              <w:t>南亩</w:t>
            </w:r>
          </w:p>
        </w:tc>
        <w:tc>
          <w:tcPr>
            <w:tcW w:w="1250" w:type="pct"/>
            <w:vAlign w:val="center"/>
          </w:tcPr>
          <w:p w14:paraId="678D58F0">
            <w:pPr>
              <w:pStyle w:val="13"/>
              <w:jc w:val="center"/>
              <w:rPr>
                <w:rFonts w:hint="eastAsia"/>
              </w:rPr>
            </w:pPr>
            <w:r>
              <w:rPr>
                <w:rFonts w:hint="eastAsia"/>
              </w:rPr>
              <w:t>165</w:t>
            </w:r>
          </w:p>
        </w:tc>
        <w:tc>
          <w:tcPr>
            <w:tcW w:w="1250" w:type="pct"/>
            <w:vAlign w:val="center"/>
          </w:tcPr>
          <w:p w14:paraId="3A40F43B">
            <w:pPr>
              <w:pStyle w:val="13"/>
              <w:jc w:val="center"/>
              <w:rPr>
                <w:rFonts w:hint="eastAsia"/>
              </w:rPr>
            </w:pPr>
            <w:r>
              <w:rPr>
                <w:rFonts w:hint="eastAsia"/>
              </w:rPr>
              <w:t>百顺</w:t>
            </w:r>
          </w:p>
        </w:tc>
        <w:tc>
          <w:tcPr>
            <w:tcW w:w="1250" w:type="pct"/>
            <w:vAlign w:val="center"/>
          </w:tcPr>
          <w:p w14:paraId="2623F3A6">
            <w:pPr>
              <w:pStyle w:val="13"/>
              <w:jc w:val="center"/>
              <w:rPr>
                <w:rFonts w:hint="eastAsia"/>
              </w:rPr>
            </w:pPr>
          </w:p>
        </w:tc>
      </w:tr>
      <w:tr w14:paraId="7BB91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9800401">
            <w:pPr>
              <w:pStyle w:val="13"/>
              <w:jc w:val="center"/>
              <w:rPr>
                <w:rFonts w:hint="eastAsia"/>
              </w:rPr>
            </w:pPr>
            <w:r>
              <w:rPr>
                <w:rFonts w:hint="eastAsia"/>
              </w:rPr>
              <w:t>水口</w:t>
            </w:r>
          </w:p>
        </w:tc>
        <w:tc>
          <w:tcPr>
            <w:tcW w:w="1250" w:type="pct"/>
            <w:vAlign w:val="center"/>
          </w:tcPr>
          <w:p w14:paraId="412F5363">
            <w:pPr>
              <w:pStyle w:val="13"/>
              <w:jc w:val="center"/>
              <w:rPr>
                <w:rFonts w:hint="eastAsia"/>
              </w:rPr>
            </w:pPr>
            <w:r>
              <w:rPr>
                <w:rFonts w:hint="eastAsia"/>
              </w:rPr>
              <w:t>1220</w:t>
            </w:r>
          </w:p>
        </w:tc>
        <w:tc>
          <w:tcPr>
            <w:tcW w:w="1250" w:type="pct"/>
            <w:vAlign w:val="center"/>
          </w:tcPr>
          <w:p w14:paraId="200A034D">
            <w:pPr>
              <w:pStyle w:val="13"/>
              <w:jc w:val="center"/>
              <w:rPr>
                <w:rFonts w:hint="eastAsia"/>
              </w:rPr>
            </w:pPr>
            <w:r>
              <w:rPr>
                <w:rFonts w:hint="eastAsia"/>
              </w:rPr>
              <w:t>澜河</w:t>
            </w:r>
          </w:p>
        </w:tc>
        <w:tc>
          <w:tcPr>
            <w:tcW w:w="1250" w:type="pct"/>
            <w:vAlign w:val="center"/>
          </w:tcPr>
          <w:p w14:paraId="564A570C">
            <w:pPr>
              <w:pStyle w:val="13"/>
              <w:jc w:val="center"/>
              <w:rPr>
                <w:rFonts w:hint="eastAsia"/>
              </w:rPr>
            </w:pPr>
          </w:p>
        </w:tc>
      </w:tr>
      <w:tr w14:paraId="789DED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26932F4">
            <w:pPr>
              <w:pStyle w:val="13"/>
              <w:jc w:val="center"/>
              <w:rPr>
                <w:rFonts w:hint="eastAsia"/>
              </w:rPr>
            </w:pPr>
            <w:r>
              <w:rPr>
                <w:rFonts w:hint="eastAsia"/>
              </w:rPr>
              <w:t>江头</w:t>
            </w:r>
          </w:p>
        </w:tc>
        <w:tc>
          <w:tcPr>
            <w:tcW w:w="1250" w:type="pct"/>
            <w:vAlign w:val="center"/>
          </w:tcPr>
          <w:p w14:paraId="0518CA9E">
            <w:pPr>
              <w:pStyle w:val="13"/>
              <w:jc w:val="center"/>
              <w:rPr>
                <w:rFonts w:hint="eastAsia"/>
              </w:rPr>
            </w:pPr>
            <w:r>
              <w:rPr>
                <w:rFonts w:hint="eastAsia"/>
              </w:rPr>
              <w:t>234</w:t>
            </w:r>
          </w:p>
        </w:tc>
        <w:tc>
          <w:tcPr>
            <w:tcW w:w="1250" w:type="pct"/>
            <w:vAlign w:val="center"/>
          </w:tcPr>
          <w:p w14:paraId="1B4C9003">
            <w:pPr>
              <w:pStyle w:val="13"/>
              <w:jc w:val="center"/>
              <w:rPr>
                <w:rFonts w:hint="eastAsia"/>
              </w:rPr>
            </w:pPr>
            <w:r>
              <w:rPr>
                <w:rFonts w:hint="eastAsia"/>
              </w:rPr>
              <w:t>其它</w:t>
            </w:r>
          </w:p>
        </w:tc>
        <w:tc>
          <w:tcPr>
            <w:tcW w:w="1250" w:type="pct"/>
            <w:vAlign w:val="center"/>
          </w:tcPr>
          <w:p w14:paraId="542478CD">
            <w:pPr>
              <w:pStyle w:val="13"/>
              <w:jc w:val="center"/>
              <w:rPr>
                <w:rFonts w:hint="eastAsia"/>
              </w:rPr>
            </w:pPr>
          </w:p>
        </w:tc>
      </w:tr>
    </w:tbl>
    <w:p w14:paraId="5B025BC1">
      <w:pPr>
        <w:pStyle w:val="4"/>
        <w:rPr>
          <w:rFonts w:hint="eastAsia"/>
        </w:rPr>
      </w:pPr>
      <w:r>
        <w:t>表</w:t>
      </w:r>
      <w:r>
        <w:rPr>
          <w:rFonts w:hint="eastAsia"/>
        </w:rPr>
        <w:t>34-42  卫生事业情况</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28"/>
        <w:gridCol w:w="2317"/>
        <w:gridCol w:w="2317"/>
      </w:tblGrid>
      <w:tr w14:paraId="562041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4" w:type="pct"/>
            <w:vAlign w:val="center"/>
          </w:tcPr>
          <w:p w14:paraId="1D7DED9D">
            <w:pPr>
              <w:pStyle w:val="13"/>
              <w:jc w:val="center"/>
              <w:rPr>
                <w:rFonts w:hint="eastAsia"/>
                <w:b/>
              </w:rPr>
            </w:pPr>
            <w:r>
              <w:rPr>
                <w:rFonts w:hint="eastAsia"/>
                <w:b/>
              </w:rPr>
              <w:t>指标名称</w:t>
            </w:r>
          </w:p>
        </w:tc>
        <w:tc>
          <w:tcPr>
            <w:tcW w:w="1163" w:type="pct"/>
            <w:vAlign w:val="center"/>
          </w:tcPr>
          <w:p w14:paraId="2F438E2A">
            <w:pPr>
              <w:pStyle w:val="13"/>
              <w:jc w:val="center"/>
              <w:rPr>
                <w:rFonts w:hint="eastAsia"/>
                <w:b/>
              </w:rPr>
            </w:pPr>
            <w:r>
              <w:rPr>
                <w:rFonts w:hint="eastAsia"/>
                <w:b/>
              </w:rPr>
              <w:t>计算单位</w:t>
            </w:r>
          </w:p>
        </w:tc>
        <w:tc>
          <w:tcPr>
            <w:tcW w:w="1163" w:type="pct"/>
            <w:vAlign w:val="center"/>
          </w:tcPr>
          <w:p w14:paraId="72BF820D">
            <w:pPr>
              <w:pStyle w:val="13"/>
              <w:jc w:val="center"/>
              <w:rPr>
                <w:rFonts w:hint="eastAsia"/>
                <w:b/>
              </w:rPr>
            </w:pPr>
            <w:r>
              <w:rPr>
                <w:rFonts w:hint="eastAsia"/>
                <w:b/>
              </w:rPr>
              <w:t>2010年</w:t>
            </w:r>
          </w:p>
        </w:tc>
      </w:tr>
      <w:tr w14:paraId="07177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4" w:type="pct"/>
            <w:vAlign w:val="center"/>
          </w:tcPr>
          <w:p w14:paraId="62DA7B50">
            <w:pPr>
              <w:pStyle w:val="13"/>
              <w:jc w:val="left"/>
              <w:rPr>
                <w:rFonts w:hint="eastAsia"/>
              </w:rPr>
            </w:pPr>
            <w:r>
              <w:rPr>
                <w:rFonts w:hint="eastAsia"/>
              </w:rPr>
              <w:t>一、卫生机构总数</w:t>
            </w:r>
          </w:p>
        </w:tc>
        <w:tc>
          <w:tcPr>
            <w:tcW w:w="1163" w:type="pct"/>
            <w:vAlign w:val="center"/>
          </w:tcPr>
          <w:p w14:paraId="3B262A40">
            <w:pPr>
              <w:pStyle w:val="13"/>
              <w:jc w:val="center"/>
              <w:rPr>
                <w:rFonts w:hint="eastAsia"/>
              </w:rPr>
            </w:pPr>
            <w:r>
              <w:rPr>
                <w:rFonts w:hint="eastAsia"/>
              </w:rPr>
              <w:t>个</w:t>
            </w:r>
          </w:p>
        </w:tc>
        <w:tc>
          <w:tcPr>
            <w:tcW w:w="1163" w:type="pct"/>
            <w:vAlign w:val="center"/>
          </w:tcPr>
          <w:p w14:paraId="5F0A5718">
            <w:pPr>
              <w:pStyle w:val="13"/>
              <w:jc w:val="center"/>
              <w:rPr>
                <w:rFonts w:hint="eastAsia"/>
              </w:rPr>
            </w:pPr>
            <w:r>
              <w:rPr>
                <w:rFonts w:hint="eastAsia"/>
              </w:rPr>
              <w:t>27</w:t>
            </w:r>
          </w:p>
        </w:tc>
      </w:tr>
      <w:tr w14:paraId="41782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4" w:type="pct"/>
            <w:vAlign w:val="center"/>
          </w:tcPr>
          <w:p w14:paraId="6F51AC43">
            <w:pPr>
              <w:pStyle w:val="13"/>
              <w:ind w:firstLine="420" w:firstLineChars="200"/>
              <w:jc w:val="left"/>
              <w:rPr>
                <w:rFonts w:hint="eastAsia"/>
              </w:rPr>
            </w:pPr>
            <w:r>
              <w:rPr>
                <w:rFonts w:hint="eastAsia"/>
              </w:rPr>
              <w:t>其中：医院</w:t>
            </w:r>
          </w:p>
        </w:tc>
        <w:tc>
          <w:tcPr>
            <w:tcW w:w="1163" w:type="pct"/>
            <w:vAlign w:val="center"/>
          </w:tcPr>
          <w:p w14:paraId="659A99D0">
            <w:pPr>
              <w:pStyle w:val="13"/>
              <w:jc w:val="center"/>
              <w:rPr>
                <w:rFonts w:hint="eastAsia"/>
              </w:rPr>
            </w:pPr>
            <w:r>
              <w:rPr>
                <w:rFonts w:hint="eastAsia"/>
              </w:rPr>
              <w:t>个</w:t>
            </w:r>
          </w:p>
        </w:tc>
        <w:tc>
          <w:tcPr>
            <w:tcW w:w="1163" w:type="pct"/>
            <w:vAlign w:val="center"/>
          </w:tcPr>
          <w:p w14:paraId="7543A536">
            <w:pPr>
              <w:pStyle w:val="13"/>
              <w:jc w:val="center"/>
              <w:rPr>
                <w:rFonts w:hint="eastAsia"/>
              </w:rPr>
            </w:pPr>
            <w:r>
              <w:rPr>
                <w:rFonts w:hint="eastAsia"/>
              </w:rPr>
              <w:t>21</w:t>
            </w:r>
          </w:p>
        </w:tc>
      </w:tr>
      <w:tr w14:paraId="0B0EC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4" w:type="pct"/>
            <w:vAlign w:val="center"/>
          </w:tcPr>
          <w:p w14:paraId="118E7F8D">
            <w:pPr>
              <w:pStyle w:val="13"/>
              <w:jc w:val="left"/>
              <w:rPr>
                <w:rFonts w:hint="eastAsia"/>
              </w:rPr>
            </w:pPr>
            <w:r>
              <w:rPr>
                <w:rFonts w:hint="eastAsia"/>
              </w:rPr>
              <w:t>二、病床位数</w:t>
            </w:r>
          </w:p>
        </w:tc>
        <w:tc>
          <w:tcPr>
            <w:tcW w:w="1163" w:type="pct"/>
            <w:vAlign w:val="center"/>
          </w:tcPr>
          <w:p w14:paraId="63E670C2">
            <w:pPr>
              <w:pStyle w:val="13"/>
              <w:jc w:val="center"/>
              <w:rPr>
                <w:rFonts w:hint="eastAsia"/>
              </w:rPr>
            </w:pPr>
            <w:r>
              <w:rPr>
                <w:rFonts w:hint="eastAsia"/>
              </w:rPr>
              <w:t>张</w:t>
            </w:r>
          </w:p>
        </w:tc>
        <w:tc>
          <w:tcPr>
            <w:tcW w:w="1163" w:type="pct"/>
            <w:vAlign w:val="center"/>
          </w:tcPr>
          <w:p w14:paraId="7F760714">
            <w:pPr>
              <w:pStyle w:val="13"/>
              <w:jc w:val="center"/>
              <w:rPr>
                <w:rFonts w:hint="eastAsia"/>
              </w:rPr>
            </w:pPr>
            <w:r>
              <w:rPr>
                <w:rFonts w:hint="eastAsia"/>
              </w:rPr>
              <w:t>945</w:t>
            </w:r>
          </w:p>
        </w:tc>
      </w:tr>
      <w:tr w14:paraId="28507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4" w:type="pct"/>
            <w:vAlign w:val="center"/>
          </w:tcPr>
          <w:p w14:paraId="48CBA5CF">
            <w:pPr>
              <w:pStyle w:val="13"/>
              <w:jc w:val="left"/>
              <w:rPr>
                <w:rFonts w:hint="eastAsia"/>
              </w:rPr>
            </w:pPr>
            <w:r>
              <w:rPr>
                <w:rFonts w:hint="eastAsia"/>
              </w:rPr>
              <w:t>三、卫生技术人员</w:t>
            </w:r>
          </w:p>
        </w:tc>
        <w:tc>
          <w:tcPr>
            <w:tcW w:w="1163" w:type="pct"/>
            <w:vAlign w:val="center"/>
          </w:tcPr>
          <w:p w14:paraId="5FBAAD7A">
            <w:pPr>
              <w:pStyle w:val="13"/>
              <w:jc w:val="center"/>
              <w:rPr>
                <w:rFonts w:hint="eastAsia"/>
              </w:rPr>
            </w:pPr>
            <w:r>
              <w:rPr>
                <w:rFonts w:hint="eastAsia"/>
              </w:rPr>
              <w:t>人</w:t>
            </w:r>
          </w:p>
        </w:tc>
        <w:tc>
          <w:tcPr>
            <w:tcW w:w="1163" w:type="pct"/>
            <w:vAlign w:val="center"/>
          </w:tcPr>
          <w:p w14:paraId="0DE1BA7F">
            <w:pPr>
              <w:pStyle w:val="13"/>
              <w:jc w:val="center"/>
              <w:rPr>
                <w:rFonts w:hint="eastAsia"/>
              </w:rPr>
            </w:pPr>
            <w:r>
              <w:rPr>
                <w:rFonts w:hint="eastAsia"/>
              </w:rPr>
              <w:t>920</w:t>
            </w:r>
          </w:p>
        </w:tc>
      </w:tr>
      <w:tr w14:paraId="40E60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4" w:type="pct"/>
            <w:vAlign w:val="center"/>
          </w:tcPr>
          <w:p w14:paraId="58BD1FE3">
            <w:pPr>
              <w:pStyle w:val="13"/>
              <w:ind w:firstLine="420" w:firstLineChars="200"/>
              <w:jc w:val="left"/>
              <w:rPr>
                <w:rFonts w:hint="eastAsia"/>
              </w:rPr>
            </w:pPr>
            <w:r>
              <w:rPr>
                <w:rFonts w:hint="eastAsia"/>
              </w:rPr>
              <w:t>（一）医生数</w:t>
            </w:r>
          </w:p>
        </w:tc>
        <w:tc>
          <w:tcPr>
            <w:tcW w:w="1163" w:type="pct"/>
            <w:vAlign w:val="center"/>
          </w:tcPr>
          <w:p w14:paraId="53DE1446">
            <w:pPr>
              <w:pStyle w:val="13"/>
              <w:jc w:val="center"/>
              <w:rPr>
                <w:rFonts w:hint="eastAsia"/>
              </w:rPr>
            </w:pPr>
            <w:r>
              <w:rPr>
                <w:rFonts w:hint="eastAsia"/>
              </w:rPr>
              <w:t>人</w:t>
            </w:r>
          </w:p>
        </w:tc>
        <w:tc>
          <w:tcPr>
            <w:tcW w:w="1163" w:type="pct"/>
            <w:vAlign w:val="center"/>
          </w:tcPr>
          <w:p w14:paraId="33A80663">
            <w:pPr>
              <w:pStyle w:val="13"/>
              <w:jc w:val="center"/>
              <w:rPr>
                <w:rFonts w:hint="eastAsia"/>
              </w:rPr>
            </w:pPr>
            <w:r>
              <w:rPr>
                <w:rFonts w:hint="eastAsia"/>
              </w:rPr>
              <w:t>293</w:t>
            </w:r>
          </w:p>
        </w:tc>
      </w:tr>
      <w:tr w14:paraId="1C376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4" w:type="pct"/>
            <w:vAlign w:val="center"/>
          </w:tcPr>
          <w:p w14:paraId="6D75A98F">
            <w:pPr>
              <w:pStyle w:val="13"/>
              <w:ind w:firstLine="420" w:firstLineChars="200"/>
              <w:jc w:val="left"/>
              <w:rPr>
                <w:rFonts w:hint="eastAsia"/>
              </w:rPr>
            </w:pPr>
            <w:r>
              <w:rPr>
                <w:rFonts w:hint="eastAsia"/>
              </w:rPr>
              <w:t>其中：西医师</w:t>
            </w:r>
          </w:p>
        </w:tc>
        <w:tc>
          <w:tcPr>
            <w:tcW w:w="1163" w:type="pct"/>
            <w:vAlign w:val="center"/>
          </w:tcPr>
          <w:p w14:paraId="540925A1">
            <w:pPr>
              <w:pStyle w:val="13"/>
              <w:jc w:val="center"/>
              <w:rPr>
                <w:rFonts w:hint="eastAsia"/>
              </w:rPr>
            </w:pPr>
            <w:r>
              <w:rPr>
                <w:rFonts w:hint="eastAsia"/>
              </w:rPr>
              <w:t>人</w:t>
            </w:r>
          </w:p>
        </w:tc>
        <w:tc>
          <w:tcPr>
            <w:tcW w:w="1163" w:type="pct"/>
            <w:vAlign w:val="center"/>
          </w:tcPr>
          <w:p w14:paraId="39BC0DA3">
            <w:pPr>
              <w:pStyle w:val="13"/>
              <w:jc w:val="center"/>
              <w:rPr>
                <w:rFonts w:hint="eastAsia"/>
              </w:rPr>
            </w:pPr>
            <w:r>
              <w:rPr>
                <w:rFonts w:hint="eastAsia"/>
              </w:rPr>
              <w:t>148</w:t>
            </w:r>
          </w:p>
        </w:tc>
      </w:tr>
      <w:tr w14:paraId="3A55F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4" w:type="pct"/>
            <w:vAlign w:val="center"/>
          </w:tcPr>
          <w:p w14:paraId="2FD77DFF">
            <w:pPr>
              <w:pStyle w:val="13"/>
              <w:ind w:firstLine="1050" w:firstLineChars="500"/>
              <w:jc w:val="left"/>
              <w:rPr>
                <w:rFonts w:hint="eastAsia"/>
              </w:rPr>
            </w:pPr>
            <w:r>
              <w:rPr>
                <w:rFonts w:hint="eastAsia"/>
              </w:rPr>
              <w:t>中医师</w:t>
            </w:r>
          </w:p>
        </w:tc>
        <w:tc>
          <w:tcPr>
            <w:tcW w:w="1163" w:type="pct"/>
            <w:vAlign w:val="center"/>
          </w:tcPr>
          <w:p w14:paraId="3456ACB6">
            <w:pPr>
              <w:pStyle w:val="13"/>
              <w:jc w:val="center"/>
              <w:rPr>
                <w:rFonts w:hint="eastAsia"/>
              </w:rPr>
            </w:pPr>
            <w:r>
              <w:rPr>
                <w:rFonts w:hint="eastAsia"/>
              </w:rPr>
              <w:t>人</w:t>
            </w:r>
          </w:p>
        </w:tc>
        <w:tc>
          <w:tcPr>
            <w:tcW w:w="1163" w:type="pct"/>
            <w:vAlign w:val="center"/>
          </w:tcPr>
          <w:p w14:paraId="20E9E009">
            <w:pPr>
              <w:pStyle w:val="13"/>
              <w:jc w:val="center"/>
              <w:rPr>
                <w:rFonts w:hint="eastAsia"/>
              </w:rPr>
            </w:pPr>
            <w:r>
              <w:rPr>
                <w:rFonts w:hint="eastAsia"/>
              </w:rPr>
              <w:t>30</w:t>
            </w:r>
          </w:p>
        </w:tc>
      </w:tr>
      <w:tr w14:paraId="1EFC32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4" w:type="pct"/>
            <w:vAlign w:val="center"/>
          </w:tcPr>
          <w:p w14:paraId="37A5A6D8">
            <w:pPr>
              <w:pStyle w:val="13"/>
              <w:ind w:firstLine="1050" w:firstLineChars="500"/>
              <w:jc w:val="left"/>
              <w:rPr>
                <w:rFonts w:hint="eastAsia"/>
              </w:rPr>
            </w:pPr>
            <w:r>
              <w:rPr>
                <w:rFonts w:hint="eastAsia"/>
              </w:rPr>
              <w:t>西医士</w:t>
            </w:r>
          </w:p>
        </w:tc>
        <w:tc>
          <w:tcPr>
            <w:tcW w:w="1163" w:type="pct"/>
            <w:vAlign w:val="center"/>
          </w:tcPr>
          <w:p w14:paraId="4EE4E8AA">
            <w:pPr>
              <w:pStyle w:val="13"/>
              <w:jc w:val="center"/>
              <w:rPr>
                <w:rFonts w:hint="eastAsia"/>
              </w:rPr>
            </w:pPr>
            <w:r>
              <w:rPr>
                <w:rFonts w:hint="eastAsia"/>
              </w:rPr>
              <w:t>人</w:t>
            </w:r>
          </w:p>
        </w:tc>
        <w:tc>
          <w:tcPr>
            <w:tcW w:w="1163" w:type="pct"/>
            <w:vAlign w:val="center"/>
          </w:tcPr>
          <w:p w14:paraId="16AD3E50">
            <w:pPr>
              <w:pStyle w:val="13"/>
              <w:jc w:val="center"/>
              <w:rPr>
                <w:rFonts w:hint="eastAsia"/>
              </w:rPr>
            </w:pPr>
            <w:r>
              <w:rPr>
                <w:rFonts w:hint="eastAsia"/>
              </w:rPr>
              <w:t>90</w:t>
            </w:r>
          </w:p>
        </w:tc>
      </w:tr>
      <w:tr w14:paraId="3011E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4" w:type="pct"/>
            <w:vAlign w:val="center"/>
          </w:tcPr>
          <w:p w14:paraId="0FF49BA0">
            <w:pPr>
              <w:pStyle w:val="13"/>
              <w:ind w:firstLine="1050" w:firstLineChars="500"/>
              <w:jc w:val="left"/>
              <w:rPr>
                <w:rFonts w:hint="eastAsia"/>
              </w:rPr>
            </w:pPr>
            <w:r>
              <w:rPr>
                <w:rFonts w:hint="eastAsia"/>
              </w:rPr>
              <w:t>中医士</w:t>
            </w:r>
          </w:p>
        </w:tc>
        <w:tc>
          <w:tcPr>
            <w:tcW w:w="1163" w:type="pct"/>
            <w:vAlign w:val="center"/>
          </w:tcPr>
          <w:p w14:paraId="6BE3F4AD">
            <w:pPr>
              <w:pStyle w:val="13"/>
              <w:jc w:val="center"/>
              <w:rPr>
                <w:rFonts w:hint="eastAsia"/>
              </w:rPr>
            </w:pPr>
            <w:r>
              <w:rPr>
                <w:rFonts w:hint="eastAsia"/>
              </w:rPr>
              <w:t>人</w:t>
            </w:r>
          </w:p>
        </w:tc>
        <w:tc>
          <w:tcPr>
            <w:tcW w:w="1163" w:type="pct"/>
            <w:vAlign w:val="center"/>
          </w:tcPr>
          <w:p w14:paraId="2F30571A">
            <w:pPr>
              <w:pStyle w:val="13"/>
              <w:jc w:val="center"/>
              <w:rPr>
                <w:rFonts w:hint="eastAsia"/>
              </w:rPr>
            </w:pPr>
            <w:r>
              <w:rPr>
                <w:rFonts w:hint="eastAsia"/>
              </w:rPr>
              <w:t>15</w:t>
            </w:r>
          </w:p>
        </w:tc>
      </w:tr>
      <w:tr w14:paraId="12DB7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4" w:type="pct"/>
            <w:vAlign w:val="center"/>
          </w:tcPr>
          <w:p w14:paraId="65724A86">
            <w:pPr>
              <w:pStyle w:val="13"/>
              <w:ind w:firstLine="420" w:firstLineChars="200"/>
              <w:jc w:val="left"/>
              <w:rPr>
                <w:rFonts w:hint="eastAsia"/>
              </w:rPr>
            </w:pPr>
            <w:r>
              <w:rPr>
                <w:rFonts w:hint="eastAsia"/>
              </w:rPr>
              <w:t>（二）全市主治医师以上人数</w:t>
            </w:r>
          </w:p>
        </w:tc>
        <w:tc>
          <w:tcPr>
            <w:tcW w:w="1163" w:type="pct"/>
            <w:vAlign w:val="center"/>
          </w:tcPr>
          <w:p w14:paraId="1B13A5B0">
            <w:pPr>
              <w:pStyle w:val="13"/>
              <w:jc w:val="center"/>
              <w:rPr>
                <w:rFonts w:hint="eastAsia"/>
              </w:rPr>
            </w:pPr>
            <w:r>
              <w:rPr>
                <w:rFonts w:hint="eastAsia"/>
              </w:rPr>
              <w:t>人</w:t>
            </w:r>
          </w:p>
        </w:tc>
        <w:tc>
          <w:tcPr>
            <w:tcW w:w="1163" w:type="pct"/>
            <w:vAlign w:val="center"/>
          </w:tcPr>
          <w:p w14:paraId="086AEE29">
            <w:pPr>
              <w:pStyle w:val="13"/>
              <w:jc w:val="center"/>
              <w:rPr>
                <w:rFonts w:hint="eastAsia"/>
              </w:rPr>
            </w:pPr>
            <w:r>
              <w:rPr>
                <w:rFonts w:hint="eastAsia"/>
              </w:rPr>
              <w:t>177</w:t>
            </w:r>
          </w:p>
        </w:tc>
      </w:tr>
      <w:tr w14:paraId="224C0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4" w:type="pct"/>
            <w:vAlign w:val="center"/>
          </w:tcPr>
          <w:p w14:paraId="212F5EEB">
            <w:pPr>
              <w:pStyle w:val="13"/>
              <w:ind w:firstLine="1050" w:firstLineChars="500"/>
              <w:jc w:val="left"/>
              <w:rPr>
                <w:rFonts w:hint="eastAsia"/>
              </w:rPr>
            </w:pPr>
            <w:r>
              <w:rPr>
                <w:rFonts w:hint="eastAsia"/>
              </w:rPr>
              <w:t>1、主治医师</w:t>
            </w:r>
          </w:p>
        </w:tc>
        <w:tc>
          <w:tcPr>
            <w:tcW w:w="1163" w:type="pct"/>
            <w:vAlign w:val="center"/>
          </w:tcPr>
          <w:p w14:paraId="255166F4">
            <w:pPr>
              <w:pStyle w:val="13"/>
              <w:jc w:val="center"/>
              <w:rPr>
                <w:rFonts w:hint="eastAsia"/>
              </w:rPr>
            </w:pPr>
            <w:r>
              <w:rPr>
                <w:rFonts w:hint="eastAsia"/>
              </w:rPr>
              <w:t>人</w:t>
            </w:r>
          </w:p>
        </w:tc>
        <w:tc>
          <w:tcPr>
            <w:tcW w:w="1163" w:type="pct"/>
            <w:vAlign w:val="center"/>
          </w:tcPr>
          <w:p w14:paraId="221864F1">
            <w:pPr>
              <w:pStyle w:val="13"/>
              <w:jc w:val="center"/>
              <w:rPr>
                <w:rFonts w:hint="eastAsia"/>
              </w:rPr>
            </w:pPr>
            <w:r>
              <w:rPr>
                <w:rFonts w:hint="eastAsia"/>
              </w:rPr>
              <w:t>142</w:t>
            </w:r>
          </w:p>
        </w:tc>
      </w:tr>
      <w:tr w14:paraId="3AF3D5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4" w:type="pct"/>
            <w:vAlign w:val="center"/>
          </w:tcPr>
          <w:p w14:paraId="101AAFD3">
            <w:pPr>
              <w:pStyle w:val="13"/>
              <w:ind w:firstLine="1050" w:firstLineChars="500"/>
              <w:jc w:val="left"/>
              <w:rPr>
                <w:rFonts w:hint="eastAsia"/>
              </w:rPr>
            </w:pPr>
            <w:r>
              <w:rPr>
                <w:rFonts w:hint="eastAsia"/>
              </w:rPr>
              <w:t>2、副主任医师</w:t>
            </w:r>
          </w:p>
        </w:tc>
        <w:tc>
          <w:tcPr>
            <w:tcW w:w="1163" w:type="pct"/>
            <w:vAlign w:val="center"/>
          </w:tcPr>
          <w:p w14:paraId="5D500D67">
            <w:pPr>
              <w:pStyle w:val="13"/>
              <w:jc w:val="center"/>
              <w:rPr>
                <w:rFonts w:hint="eastAsia"/>
              </w:rPr>
            </w:pPr>
            <w:r>
              <w:rPr>
                <w:rFonts w:hint="eastAsia"/>
              </w:rPr>
              <w:t>人</w:t>
            </w:r>
          </w:p>
        </w:tc>
        <w:tc>
          <w:tcPr>
            <w:tcW w:w="1163" w:type="pct"/>
            <w:vAlign w:val="center"/>
          </w:tcPr>
          <w:p w14:paraId="3F5BA754">
            <w:pPr>
              <w:pStyle w:val="13"/>
              <w:jc w:val="center"/>
              <w:rPr>
                <w:rFonts w:hint="eastAsia"/>
              </w:rPr>
            </w:pPr>
            <w:r>
              <w:rPr>
                <w:rFonts w:hint="eastAsia"/>
              </w:rPr>
              <w:t>35</w:t>
            </w:r>
          </w:p>
        </w:tc>
      </w:tr>
      <w:tr w14:paraId="5E18CA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4" w:type="pct"/>
            <w:vAlign w:val="center"/>
          </w:tcPr>
          <w:p w14:paraId="2E3F8785">
            <w:pPr>
              <w:pStyle w:val="13"/>
              <w:jc w:val="left"/>
              <w:rPr>
                <w:rFonts w:hint="eastAsia"/>
              </w:rPr>
            </w:pPr>
            <w:r>
              <w:rPr>
                <w:rFonts w:hint="eastAsia"/>
              </w:rPr>
              <w:t>四、参加合作医疗人数</w:t>
            </w:r>
          </w:p>
        </w:tc>
        <w:tc>
          <w:tcPr>
            <w:tcW w:w="1163" w:type="pct"/>
            <w:vAlign w:val="center"/>
          </w:tcPr>
          <w:p w14:paraId="50CE1848">
            <w:pPr>
              <w:pStyle w:val="13"/>
              <w:jc w:val="center"/>
              <w:rPr>
                <w:rFonts w:hint="eastAsia"/>
              </w:rPr>
            </w:pPr>
            <w:r>
              <w:rPr>
                <w:rFonts w:hint="eastAsia"/>
              </w:rPr>
              <w:t>人</w:t>
            </w:r>
          </w:p>
        </w:tc>
        <w:tc>
          <w:tcPr>
            <w:tcW w:w="1163" w:type="pct"/>
            <w:vAlign w:val="center"/>
          </w:tcPr>
          <w:p w14:paraId="124C6F01">
            <w:pPr>
              <w:pStyle w:val="13"/>
              <w:jc w:val="center"/>
              <w:rPr>
                <w:rFonts w:hint="eastAsia"/>
              </w:rPr>
            </w:pPr>
            <w:r>
              <w:rPr>
                <w:rFonts w:hint="eastAsia"/>
              </w:rPr>
              <w:t>356063</w:t>
            </w:r>
          </w:p>
        </w:tc>
      </w:tr>
    </w:tbl>
    <w:p w14:paraId="74EFF52A">
      <w:pPr>
        <w:pStyle w:val="4"/>
        <w:rPr>
          <w:rFonts w:hint="eastAsia"/>
        </w:rPr>
      </w:pPr>
      <w:r>
        <w:t>表</w:t>
      </w:r>
      <w:r>
        <w:rPr>
          <w:rFonts w:hint="eastAsia"/>
        </w:rPr>
        <w:t>34-43  计划生育情况（一）</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2490"/>
        <w:gridCol w:w="2491"/>
        <w:gridCol w:w="2491"/>
      </w:tblGrid>
      <w:tr w14:paraId="294AF5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9F81074">
            <w:pPr>
              <w:pStyle w:val="13"/>
              <w:jc w:val="center"/>
              <w:rPr>
                <w:rFonts w:hint="eastAsia"/>
                <w:b/>
              </w:rPr>
            </w:pPr>
            <w:r>
              <w:rPr>
                <w:rFonts w:hint="eastAsia"/>
                <w:b/>
              </w:rPr>
              <w:t>单位名称</w:t>
            </w:r>
          </w:p>
        </w:tc>
        <w:tc>
          <w:tcPr>
            <w:tcW w:w="1250" w:type="pct"/>
            <w:vAlign w:val="center"/>
          </w:tcPr>
          <w:p w14:paraId="73FC2D42">
            <w:pPr>
              <w:pStyle w:val="13"/>
              <w:jc w:val="center"/>
              <w:rPr>
                <w:rFonts w:hint="eastAsia"/>
                <w:b/>
              </w:rPr>
            </w:pPr>
            <w:r>
              <w:rPr>
                <w:rFonts w:hint="eastAsia"/>
                <w:b/>
              </w:rPr>
              <w:t>出生率‰</w:t>
            </w:r>
          </w:p>
        </w:tc>
        <w:tc>
          <w:tcPr>
            <w:tcW w:w="1250" w:type="pct"/>
            <w:vAlign w:val="center"/>
          </w:tcPr>
          <w:p w14:paraId="00C35ED5">
            <w:pPr>
              <w:pStyle w:val="13"/>
              <w:jc w:val="center"/>
              <w:rPr>
                <w:rFonts w:hint="eastAsia"/>
                <w:b/>
              </w:rPr>
            </w:pPr>
            <w:r>
              <w:rPr>
                <w:rFonts w:hint="eastAsia"/>
                <w:b/>
              </w:rPr>
              <w:t>自然增长率‰</w:t>
            </w:r>
          </w:p>
        </w:tc>
        <w:tc>
          <w:tcPr>
            <w:tcW w:w="1250" w:type="pct"/>
            <w:vAlign w:val="center"/>
          </w:tcPr>
          <w:p w14:paraId="1224DA4A">
            <w:pPr>
              <w:pStyle w:val="13"/>
              <w:jc w:val="center"/>
              <w:rPr>
                <w:rFonts w:hint="eastAsia"/>
                <w:b/>
              </w:rPr>
            </w:pPr>
            <w:r>
              <w:rPr>
                <w:rFonts w:hint="eastAsia"/>
                <w:b/>
              </w:rPr>
              <w:t>死亡率‰</w:t>
            </w:r>
          </w:p>
        </w:tc>
      </w:tr>
      <w:tr w14:paraId="6E72F4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16B05B4">
            <w:pPr>
              <w:pStyle w:val="13"/>
              <w:jc w:val="center"/>
              <w:rPr>
                <w:rFonts w:hint="eastAsia"/>
              </w:rPr>
            </w:pPr>
            <w:r>
              <w:rPr>
                <w:rFonts w:hint="eastAsia"/>
              </w:rPr>
              <w:t>合计</w:t>
            </w:r>
          </w:p>
        </w:tc>
        <w:tc>
          <w:tcPr>
            <w:tcW w:w="1250" w:type="pct"/>
            <w:vAlign w:val="center"/>
          </w:tcPr>
          <w:p w14:paraId="01F6BE34">
            <w:pPr>
              <w:pStyle w:val="13"/>
              <w:jc w:val="center"/>
              <w:rPr>
                <w:rFonts w:hint="eastAsia"/>
              </w:rPr>
            </w:pPr>
            <w:r>
              <w:rPr>
                <w:rFonts w:hint="eastAsia"/>
              </w:rPr>
              <w:t>12.36</w:t>
            </w:r>
          </w:p>
        </w:tc>
        <w:tc>
          <w:tcPr>
            <w:tcW w:w="1250" w:type="pct"/>
            <w:vAlign w:val="center"/>
          </w:tcPr>
          <w:p w14:paraId="658E2E36">
            <w:pPr>
              <w:pStyle w:val="13"/>
              <w:jc w:val="center"/>
              <w:rPr>
                <w:rFonts w:hint="eastAsia"/>
              </w:rPr>
            </w:pPr>
            <w:r>
              <w:rPr>
                <w:rFonts w:hint="eastAsia"/>
              </w:rPr>
              <w:t>7.23</w:t>
            </w:r>
          </w:p>
        </w:tc>
        <w:tc>
          <w:tcPr>
            <w:tcW w:w="1250" w:type="pct"/>
            <w:vAlign w:val="center"/>
          </w:tcPr>
          <w:p w14:paraId="7642ED25">
            <w:pPr>
              <w:pStyle w:val="13"/>
              <w:jc w:val="center"/>
              <w:rPr>
                <w:rFonts w:hint="eastAsia"/>
              </w:rPr>
            </w:pPr>
            <w:r>
              <w:rPr>
                <w:rFonts w:hint="eastAsia"/>
              </w:rPr>
              <w:t>5.13</w:t>
            </w:r>
          </w:p>
        </w:tc>
      </w:tr>
      <w:tr w14:paraId="42D8B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F44ECAE">
            <w:pPr>
              <w:pStyle w:val="13"/>
              <w:jc w:val="center"/>
              <w:rPr>
                <w:rFonts w:hint="eastAsia"/>
              </w:rPr>
            </w:pPr>
            <w:r>
              <w:rPr>
                <w:rFonts w:hint="eastAsia"/>
              </w:rPr>
              <w:t>乌迳</w:t>
            </w:r>
          </w:p>
        </w:tc>
        <w:tc>
          <w:tcPr>
            <w:tcW w:w="1250" w:type="pct"/>
            <w:vAlign w:val="center"/>
          </w:tcPr>
          <w:p w14:paraId="6628FE0E">
            <w:pPr>
              <w:pStyle w:val="13"/>
              <w:jc w:val="center"/>
              <w:rPr>
                <w:rFonts w:hint="eastAsia"/>
              </w:rPr>
            </w:pPr>
            <w:r>
              <w:rPr>
                <w:rFonts w:hint="eastAsia"/>
              </w:rPr>
              <w:t>12.35</w:t>
            </w:r>
          </w:p>
        </w:tc>
        <w:tc>
          <w:tcPr>
            <w:tcW w:w="1250" w:type="pct"/>
            <w:vAlign w:val="center"/>
          </w:tcPr>
          <w:p w14:paraId="25957D6E">
            <w:pPr>
              <w:pStyle w:val="13"/>
              <w:jc w:val="center"/>
              <w:rPr>
                <w:rFonts w:hint="eastAsia"/>
              </w:rPr>
            </w:pPr>
            <w:r>
              <w:rPr>
                <w:rFonts w:hint="eastAsia"/>
              </w:rPr>
              <w:t>8.27</w:t>
            </w:r>
          </w:p>
        </w:tc>
        <w:tc>
          <w:tcPr>
            <w:tcW w:w="1250" w:type="pct"/>
            <w:vAlign w:val="center"/>
          </w:tcPr>
          <w:p w14:paraId="67BFC757">
            <w:pPr>
              <w:pStyle w:val="13"/>
              <w:jc w:val="center"/>
              <w:rPr>
                <w:rFonts w:hint="eastAsia"/>
              </w:rPr>
            </w:pPr>
            <w:r>
              <w:rPr>
                <w:rFonts w:hint="eastAsia"/>
              </w:rPr>
              <w:t>4.08</w:t>
            </w:r>
          </w:p>
        </w:tc>
      </w:tr>
      <w:tr w14:paraId="2BDFE7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75CF5AF">
            <w:pPr>
              <w:pStyle w:val="13"/>
              <w:jc w:val="center"/>
              <w:rPr>
                <w:rFonts w:hint="eastAsia"/>
              </w:rPr>
            </w:pPr>
            <w:r>
              <w:rPr>
                <w:rFonts w:hint="eastAsia"/>
              </w:rPr>
              <w:t>界址</w:t>
            </w:r>
          </w:p>
        </w:tc>
        <w:tc>
          <w:tcPr>
            <w:tcW w:w="1250" w:type="pct"/>
            <w:vAlign w:val="center"/>
          </w:tcPr>
          <w:p w14:paraId="3CF7FD17">
            <w:pPr>
              <w:pStyle w:val="13"/>
              <w:jc w:val="center"/>
              <w:rPr>
                <w:rFonts w:hint="eastAsia"/>
              </w:rPr>
            </w:pPr>
            <w:r>
              <w:rPr>
                <w:rFonts w:hint="eastAsia"/>
              </w:rPr>
              <w:t>13.61</w:t>
            </w:r>
          </w:p>
        </w:tc>
        <w:tc>
          <w:tcPr>
            <w:tcW w:w="1250" w:type="pct"/>
            <w:vAlign w:val="center"/>
          </w:tcPr>
          <w:p w14:paraId="6703D049">
            <w:pPr>
              <w:pStyle w:val="13"/>
              <w:jc w:val="center"/>
              <w:rPr>
                <w:rFonts w:hint="eastAsia"/>
              </w:rPr>
            </w:pPr>
            <w:r>
              <w:rPr>
                <w:rFonts w:hint="eastAsia"/>
              </w:rPr>
              <w:t>8.56</w:t>
            </w:r>
          </w:p>
        </w:tc>
        <w:tc>
          <w:tcPr>
            <w:tcW w:w="1250" w:type="pct"/>
            <w:vAlign w:val="center"/>
          </w:tcPr>
          <w:p w14:paraId="6F41AB32">
            <w:pPr>
              <w:pStyle w:val="13"/>
              <w:jc w:val="center"/>
              <w:rPr>
                <w:rFonts w:hint="eastAsia"/>
              </w:rPr>
            </w:pPr>
            <w:r>
              <w:rPr>
                <w:rFonts w:hint="eastAsia"/>
              </w:rPr>
              <w:t>5.05</w:t>
            </w:r>
          </w:p>
        </w:tc>
      </w:tr>
      <w:tr w14:paraId="00D27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5225F9A0">
            <w:pPr>
              <w:pStyle w:val="13"/>
              <w:jc w:val="center"/>
              <w:rPr>
                <w:rFonts w:hint="eastAsia"/>
              </w:rPr>
            </w:pPr>
            <w:r>
              <w:rPr>
                <w:rFonts w:hint="eastAsia"/>
              </w:rPr>
              <w:t>坪田</w:t>
            </w:r>
          </w:p>
        </w:tc>
        <w:tc>
          <w:tcPr>
            <w:tcW w:w="1250" w:type="pct"/>
            <w:vAlign w:val="center"/>
          </w:tcPr>
          <w:p w14:paraId="215E1FCB">
            <w:pPr>
              <w:pStyle w:val="13"/>
              <w:jc w:val="center"/>
              <w:rPr>
                <w:rFonts w:hint="eastAsia"/>
              </w:rPr>
            </w:pPr>
            <w:r>
              <w:rPr>
                <w:rFonts w:hint="eastAsia"/>
              </w:rPr>
              <w:t>12.9</w:t>
            </w:r>
          </w:p>
        </w:tc>
        <w:tc>
          <w:tcPr>
            <w:tcW w:w="1250" w:type="pct"/>
            <w:vAlign w:val="center"/>
          </w:tcPr>
          <w:p w14:paraId="6E788232">
            <w:pPr>
              <w:pStyle w:val="13"/>
              <w:jc w:val="center"/>
              <w:rPr>
                <w:rFonts w:hint="eastAsia"/>
              </w:rPr>
            </w:pPr>
            <w:r>
              <w:rPr>
                <w:rFonts w:hint="eastAsia"/>
              </w:rPr>
              <w:t>7.79</w:t>
            </w:r>
          </w:p>
        </w:tc>
        <w:tc>
          <w:tcPr>
            <w:tcW w:w="1250" w:type="pct"/>
            <w:vAlign w:val="center"/>
          </w:tcPr>
          <w:p w14:paraId="4E5BEFE2">
            <w:pPr>
              <w:pStyle w:val="13"/>
              <w:jc w:val="center"/>
              <w:rPr>
                <w:rFonts w:hint="eastAsia"/>
              </w:rPr>
            </w:pPr>
            <w:r>
              <w:rPr>
                <w:rFonts w:hint="eastAsia"/>
              </w:rPr>
              <w:t>5.11</w:t>
            </w:r>
          </w:p>
        </w:tc>
      </w:tr>
      <w:tr w14:paraId="6747F9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A597362">
            <w:pPr>
              <w:pStyle w:val="13"/>
              <w:jc w:val="center"/>
              <w:rPr>
                <w:rFonts w:hint="eastAsia"/>
              </w:rPr>
            </w:pPr>
            <w:r>
              <w:rPr>
                <w:rFonts w:hint="eastAsia"/>
              </w:rPr>
              <w:t>黄坑</w:t>
            </w:r>
          </w:p>
        </w:tc>
        <w:tc>
          <w:tcPr>
            <w:tcW w:w="1250" w:type="pct"/>
            <w:vAlign w:val="center"/>
          </w:tcPr>
          <w:p w14:paraId="767009BC">
            <w:pPr>
              <w:pStyle w:val="13"/>
              <w:jc w:val="center"/>
              <w:rPr>
                <w:rFonts w:hint="eastAsia"/>
              </w:rPr>
            </w:pPr>
            <w:r>
              <w:rPr>
                <w:rFonts w:hint="eastAsia"/>
              </w:rPr>
              <w:t>14.79</w:t>
            </w:r>
          </w:p>
        </w:tc>
        <w:tc>
          <w:tcPr>
            <w:tcW w:w="1250" w:type="pct"/>
            <w:vAlign w:val="center"/>
          </w:tcPr>
          <w:p w14:paraId="35B272A4">
            <w:pPr>
              <w:pStyle w:val="13"/>
              <w:jc w:val="center"/>
              <w:rPr>
                <w:rFonts w:hint="eastAsia"/>
              </w:rPr>
            </w:pPr>
            <w:r>
              <w:rPr>
                <w:rFonts w:hint="eastAsia"/>
              </w:rPr>
              <w:t>8.14</w:t>
            </w:r>
          </w:p>
        </w:tc>
        <w:tc>
          <w:tcPr>
            <w:tcW w:w="1250" w:type="pct"/>
            <w:vAlign w:val="center"/>
          </w:tcPr>
          <w:p w14:paraId="3AC85AFB">
            <w:pPr>
              <w:pStyle w:val="13"/>
              <w:jc w:val="center"/>
              <w:rPr>
                <w:rFonts w:hint="eastAsia"/>
              </w:rPr>
            </w:pPr>
            <w:r>
              <w:rPr>
                <w:rFonts w:hint="eastAsia"/>
              </w:rPr>
              <w:t>6.65</w:t>
            </w:r>
          </w:p>
        </w:tc>
      </w:tr>
      <w:tr w14:paraId="76585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44BB1678">
            <w:pPr>
              <w:pStyle w:val="13"/>
              <w:jc w:val="center"/>
              <w:rPr>
                <w:rFonts w:hint="eastAsia"/>
              </w:rPr>
            </w:pPr>
            <w:r>
              <w:rPr>
                <w:rFonts w:hint="eastAsia"/>
              </w:rPr>
              <w:t>邓坊</w:t>
            </w:r>
          </w:p>
        </w:tc>
        <w:tc>
          <w:tcPr>
            <w:tcW w:w="1250" w:type="pct"/>
            <w:vAlign w:val="center"/>
          </w:tcPr>
          <w:p w14:paraId="556A8465">
            <w:pPr>
              <w:pStyle w:val="13"/>
              <w:jc w:val="center"/>
              <w:rPr>
                <w:rFonts w:hint="eastAsia"/>
              </w:rPr>
            </w:pPr>
            <w:r>
              <w:rPr>
                <w:rFonts w:hint="eastAsia"/>
              </w:rPr>
              <w:t>15.35</w:t>
            </w:r>
          </w:p>
        </w:tc>
        <w:tc>
          <w:tcPr>
            <w:tcW w:w="1250" w:type="pct"/>
            <w:vAlign w:val="center"/>
          </w:tcPr>
          <w:p w14:paraId="7C3DC427">
            <w:pPr>
              <w:pStyle w:val="13"/>
              <w:jc w:val="center"/>
              <w:rPr>
                <w:rFonts w:hint="eastAsia"/>
              </w:rPr>
            </w:pPr>
            <w:r>
              <w:rPr>
                <w:rFonts w:hint="eastAsia"/>
              </w:rPr>
              <w:t>8.83</w:t>
            </w:r>
          </w:p>
        </w:tc>
        <w:tc>
          <w:tcPr>
            <w:tcW w:w="1250" w:type="pct"/>
            <w:vAlign w:val="center"/>
          </w:tcPr>
          <w:p w14:paraId="051CCF3F">
            <w:pPr>
              <w:pStyle w:val="13"/>
              <w:jc w:val="center"/>
              <w:rPr>
                <w:rFonts w:hint="eastAsia"/>
              </w:rPr>
            </w:pPr>
            <w:r>
              <w:rPr>
                <w:rFonts w:hint="eastAsia"/>
              </w:rPr>
              <w:t>6.52</w:t>
            </w:r>
          </w:p>
        </w:tc>
      </w:tr>
      <w:tr w14:paraId="7EE41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4B15777">
            <w:pPr>
              <w:pStyle w:val="13"/>
              <w:jc w:val="center"/>
              <w:rPr>
                <w:rFonts w:hint="eastAsia"/>
              </w:rPr>
            </w:pPr>
            <w:r>
              <w:rPr>
                <w:rFonts w:hint="eastAsia"/>
              </w:rPr>
              <w:t>油山</w:t>
            </w:r>
          </w:p>
        </w:tc>
        <w:tc>
          <w:tcPr>
            <w:tcW w:w="1250" w:type="pct"/>
            <w:vAlign w:val="center"/>
          </w:tcPr>
          <w:p w14:paraId="28267E68">
            <w:pPr>
              <w:pStyle w:val="13"/>
              <w:jc w:val="center"/>
              <w:rPr>
                <w:rFonts w:hint="eastAsia"/>
              </w:rPr>
            </w:pPr>
            <w:r>
              <w:rPr>
                <w:rFonts w:hint="eastAsia"/>
              </w:rPr>
              <w:t>12.93</w:t>
            </w:r>
          </w:p>
        </w:tc>
        <w:tc>
          <w:tcPr>
            <w:tcW w:w="1250" w:type="pct"/>
            <w:vAlign w:val="center"/>
          </w:tcPr>
          <w:p w14:paraId="78D46F0D">
            <w:pPr>
              <w:pStyle w:val="13"/>
              <w:jc w:val="center"/>
              <w:rPr>
                <w:rFonts w:hint="eastAsia"/>
              </w:rPr>
            </w:pPr>
            <w:r>
              <w:rPr>
                <w:rFonts w:hint="eastAsia"/>
              </w:rPr>
              <w:t>8.55</w:t>
            </w:r>
          </w:p>
        </w:tc>
        <w:tc>
          <w:tcPr>
            <w:tcW w:w="1250" w:type="pct"/>
            <w:vAlign w:val="center"/>
          </w:tcPr>
          <w:p w14:paraId="71513568">
            <w:pPr>
              <w:pStyle w:val="13"/>
              <w:jc w:val="center"/>
              <w:rPr>
                <w:rFonts w:hint="eastAsia"/>
              </w:rPr>
            </w:pPr>
            <w:r>
              <w:rPr>
                <w:rFonts w:hint="eastAsia"/>
              </w:rPr>
              <w:t>4.38</w:t>
            </w:r>
          </w:p>
        </w:tc>
      </w:tr>
      <w:tr w14:paraId="0C14FC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08D72E82">
            <w:pPr>
              <w:pStyle w:val="13"/>
              <w:jc w:val="center"/>
              <w:rPr>
                <w:rFonts w:hint="eastAsia"/>
              </w:rPr>
            </w:pPr>
            <w:r>
              <w:rPr>
                <w:rFonts w:hint="eastAsia"/>
              </w:rPr>
              <w:t>南亩</w:t>
            </w:r>
          </w:p>
        </w:tc>
        <w:tc>
          <w:tcPr>
            <w:tcW w:w="1250" w:type="pct"/>
            <w:vAlign w:val="center"/>
          </w:tcPr>
          <w:p w14:paraId="49065565">
            <w:pPr>
              <w:pStyle w:val="13"/>
              <w:jc w:val="center"/>
              <w:rPr>
                <w:rFonts w:hint="eastAsia"/>
              </w:rPr>
            </w:pPr>
            <w:r>
              <w:rPr>
                <w:rFonts w:hint="eastAsia"/>
              </w:rPr>
              <w:t>11.51</w:t>
            </w:r>
          </w:p>
        </w:tc>
        <w:tc>
          <w:tcPr>
            <w:tcW w:w="1250" w:type="pct"/>
            <w:vAlign w:val="center"/>
          </w:tcPr>
          <w:p w14:paraId="52B04FD1">
            <w:pPr>
              <w:pStyle w:val="13"/>
              <w:jc w:val="center"/>
              <w:rPr>
                <w:rFonts w:hint="eastAsia"/>
              </w:rPr>
            </w:pPr>
            <w:r>
              <w:rPr>
                <w:rFonts w:hint="eastAsia"/>
              </w:rPr>
              <w:t>6.25</w:t>
            </w:r>
          </w:p>
        </w:tc>
        <w:tc>
          <w:tcPr>
            <w:tcW w:w="1250" w:type="pct"/>
            <w:vAlign w:val="center"/>
          </w:tcPr>
          <w:p w14:paraId="545EF18B">
            <w:pPr>
              <w:pStyle w:val="13"/>
              <w:jc w:val="center"/>
              <w:rPr>
                <w:rFonts w:hint="eastAsia"/>
              </w:rPr>
            </w:pPr>
            <w:r>
              <w:rPr>
                <w:rFonts w:hint="eastAsia"/>
              </w:rPr>
              <w:t>5.25</w:t>
            </w:r>
          </w:p>
        </w:tc>
      </w:tr>
      <w:tr w14:paraId="6CBC3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6886D190">
            <w:pPr>
              <w:pStyle w:val="13"/>
              <w:jc w:val="center"/>
              <w:rPr>
                <w:rFonts w:hint="eastAsia"/>
              </w:rPr>
            </w:pPr>
            <w:r>
              <w:rPr>
                <w:rFonts w:hint="eastAsia"/>
              </w:rPr>
              <w:t>水口</w:t>
            </w:r>
          </w:p>
        </w:tc>
        <w:tc>
          <w:tcPr>
            <w:tcW w:w="1250" w:type="pct"/>
            <w:vAlign w:val="center"/>
          </w:tcPr>
          <w:p w14:paraId="4EF925F6">
            <w:pPr>
              <w:pStyle w:val="13"/>
              <w:jc w:val="center"/>
              <w:rPr>
                <w:rFonts w:hint="eastAsia"/>
              </w:rPr>
            </w:pPr>
            <w:r>
              <w:rPr>
                <w:rFonts w:hint="eastAsia"/>
              </w:rPr>
              <w:t>9.95</w:t>
            </w:r>
          </w:p>
        </w:tc>
        <w:tc>
          <w:tcPr>
            <w:tcW w:w="1250" w:type="pct"/>
            <w:vAlign w:val="center"/>
          </w:tcPr>
          <w:p w14:paraId="43C02178">
            <w:pPr>
              <w:pStyle w:val="13"/>
              <w:jc w:val="center"/>
              <w:rPr>
                <w:rFonts w:hint="eastAsia"/>
              </w:rPr>
            </w:pPr>
            <w:r>
              <w:rPr>
                <w:rFonts w:hint="eastAsia"/>
              </w:rPr>
              <w:t>6.13</w:t>
            </w:r>
          </w:p>
        </w:tc>
        <w:tc>
          <w:tcPr>
            <w:tcW w:w="1250" w:type="pct"/>
            <w:vAlign w:val="center"/>
          </w:tcPr>
          <w:p w14:paraId="6DB0563C">
            <w:pPr>
              <w:pStyle w:val="13"/>
              <w:jc w:val="center"/>
              <w:rPr>
                <w:rFonts w:hint="eastAsia"/>
              </w:rPr>
            </w:pPr>
            <w:r>
              <w:rPr>
                <w:rFonts w:hint="eastAsia"/>
              </w:rPr>
              <w:t>3.82</w:t>
            </w:r>
          </w:p>
        </w:tc>
      </w:tr>
      <w:tr w14:paraId="04D74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1F3BF03">
            <w:pPr>
              <w:pStyle w:val="13"/>
              <w:jc w:val="center"/>
              <w:rPr>
                <w:rFonts w:hint="eastAsia"/>
              </w:rPr>
            </w:pPr>
            <w:r>
              <w:rPr>
                <w:rFonts w:hint="eastAsia"/>
              </w:rPr>
              <w:t>江头</w:t>
            </w:r>
          </w:p>
        </w:tc>
        <w:tc>
          <w:tcPr>
            <w:tcW w:w="1250" w:type="pct"/>
            <w:vAlign w:val="center"/>
          </w:tcPr>
          <w:p w14:paraId="0CA7D9B3">
            <w:pPr>
              <w:pStyle w:val="13"/>
              <w:jc w:val="center"/>
              <w:rPr>
                <w:rFonts w:hint="eastAsia"/>
              </w:rPr>
            </w:pPr>
            <w:r>
              <w:rPr>
                <w:rFonts w:hint="eastAsia"/>
              </w:rPr>
              <w:t>14.55</w:t>
            </w:r>
          </w:p>
        </w:tc>
        <w:tc>
          <w:tcPr>
            <w:tcW w:w="1250" w:type="pct"/>
            <w:vAlign w:val="center"/>
          </w:tcPr>
          <w:p w14:paraId="1A0840DE">
            <w:pPr>
              <w:pStyle w:val="13"/>
              <w:jc w:val="center"/>
              <w:rPr>
                <w:rFonts w:hint="eastAsia"/>
              </w:rPr>
            </w:pPr>
            <w:r>
              <w:rPr>
                <w:rFonts w:hint="eastAsia"/>
              </w:rPr>
              <w:t>8.76</w:t>
            </w:r>
          </w:p>
        </w:tc>
        <w:tc>
          <w:tcPr>
            <w:tcW w:w="1250" w:type="pct"/>
            <w:vAlign w:val="center"/>
          </w:tcPr>
          <w:p w14:paraId="702705D9">
            <w:pPr>
              <w:pStyle w:val="13"/>
              <w:jc w:val="center"/>
              <w:rPr>
                <w:rFonts w:hint="eastAsia"/>
              </w:rPr>
            </w:pPr>
            <w:r>
              <w:rPr>
                <w:rFonts w:hint="eastAsia"/>
              </w:rPr>
              <w:t>5.79</w:t>
            </w:r>
          </w:p>
        </w:tc>
      </w:tr>
      <w:tr w14:paraId="0214E9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D6F9C4A">
            <w:pPr>
              <w:pStyle w:val="13"/>
              <w:jc w:val="center"/>
              <w:rPr>
                <w:rFonts w:hint="eastAsia"/>
              </w:rPr>
            </w:pPr>
            <w:r>
              <w:rPr>
                <w:rFonts w:hint="eastAsia"/>
              </w:rPr>
              <w:t>湖口</w:t>
            </w:r>
          </w:p>
        </w:tc>
        <w:tc>
          <w:tcPr>
            <w:tcW w:w="1250" w:type="pct"/>
            <w:vAlign w:val="center"/>
          </w:tcPr>
          <w:p w14:paraId="2BC6125C">
            <w:pPr>
              <w:pStyle w:val="13"/>
              <w:jc w:val="center"/>
              <w:rPr>
                <w:rFonts w:hint="eastAsia"/>
              </w:rPr>
            </w:pPr>
            <w:r>
              <w:rPr>
                <w:rFonts w:hint="eastAsia"/>
              </w:rPr>
              <w:t>10.14</w:t>
            </w:r>
          </w:p>
        </w:tc>
        <w:tc>
          <w:tcPr>
            <w:tcW w:w="1250" w:type="pct"/>
            <w:vAlign w:val="center"/>
          </w:tcPr>
          <w:p w14:paraId="67AD814A">
            <w:pPr>
              <w:pStyle w:val="13"/>
              <w:jc w:val="center"/>
              <w:rPr>
                <w:rFonts w:hint="eastAsia"/>
              </w:rPr>
            </w:pPr>
            <w:r>
              <w:rPr>
                <w:rFonts w:hint="eastAsia"/>
              </w:rPr>
              <w:t>5.93</w:t>
            </w:r>
          </w:p>
        </w:tc>
        <w:tc>
          <w:tcPr>
            <w:tcW w:w="1250" w:type="pct"/>
            <w:vAlign w:val="center"/>
          </w:tcPr>
          <w:p w14:paraId="5ED9DC07">
            <w:pPr>
              <w:pStyle w:val="13"/>
              <w:jc w:val="center"/>
              <w:rPr>
                <w:rFonts w:hint="eastAsia"/>
              </w:rPr>
            </w:pPr>
            <w:r>
              <w:rPr>
                <w:rFonts w:hint="eastAsia"/>
              </w:rPr>
              <w:t>4.21</w:t>
            </w:r>
          </w:p>
        </w:tc>
      </w:tr>
      <w:tr w14:paraId="4A4D0F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1F10458C">
            <w:pPr>
              <w:pStyle w:val="13"/>
              <w:jc w:val="center"/>
              <w:rPr>
                <w:rFonts w:hint="eastAsia"/>
              </w:rPr>
            </w:pPr>
            <w:r>
              <w:rPr>
                <w:rFonts w:hint="eastAsia"/>
              </w:rPr>
              <w:t>珠玑</w:t>
            </w:r>
          </w:p>
        </w:tc>
        <w:tc>
          <w:tcPr>
            <w:tcW w:w="1250" w:type="pct"/>
            <w:vAlign w:val="center"/>
          </w:tcPr>
          <w:p w14:paraId="3974B9D6">
            <w:pPr>
              <w:pStyle w:val="13"/>
              <w:jc w:val="center"/>
              <w:rPr>
                <w:rFonts w:hint="eastAsia"/>
              </w:rPr>
            </w:pPr>
            <w:r>
              <w:rPr>
                <w:rFonts w:hint="eastAsia"/>
              </w:rPr>
              <w:t>13.09</w:t>
            </w:r>
          </w:p>
        </w:tc>
        <w:tc>
          <w:tcPr>
            <w:tcW w:w="1250" w:type="pct"/>
            <w:vAlign w:val="center"/>
          </w:tcPr>
          <w:p w14:paraId="723281C7">
            <w:pPr>
              <w:pStyle w:val="13"/>
              <w:jc w:val="center"/>
              <w:rPr>
                <w:rFonts w:hint="eastAsia"/>
              </w:rPr>
            </w:pPr>
            <w:r>
              <w:rPr>
                <w:rFonts w:hint="eastAsia"/>
              </w:rPr>
              <w:t>7.64</w:t>
            </w:r>
          </w:p>
        </w:tc>
        <w:tc>
          <w:tcPr>
            <w:tcW w:w="1250" w:type="pct"/>
            <w:vAlign w:val="center"/>
          </w:tcPr>
          <w:p w14:paraId="2075614C">
            <w:pPr>
              <w:pStyle w:val="13"/>
              <w:jc w:val="center"/>
              <w:rPr>
                <w:rFonts w:hint="eastAsia"/>
              </w:rPr>
            </w:pPr>
            <w:r>
              <w:rPr>
                <w:rFonts w:hint="eastAsia"/>
              </w:rPr>
              <w:t>5.45</w:t>
            </w:r>
          </w:p>
        </w:tc>
      </w:tr>
      <w:tr w14:paraId="7A4FAA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7CA251AC">
            <w:pPr>
              <w:pStyle w:val="13"/>
              <w:jc w:val="center"/>
              <w:rPr>
                <w:rFonts w:hint="eastAsia"/>
              </w:rPr>
            </w:pPr>
            <w:r>
              <w:rPr>
                <w:rFonts w:hint="eastAsia"/>
              </w:rPr>
              <w:t>主田</w:t>
            </w:r>
          </w:p>
        </w:tc>
        <w:tc>
          <w:tcPr>
            <w:tcW w:w="1250" w:type="pct"/>
            <w:vAlign w:val="center"/>
          </w:tcPr>
          <w:p w14:paraId="611BB7D2">
            <w:pPr>
              <w:pStyle w:val="13"/>
              <w:jc w:val="center"/>
              <w:rPr>
                <w:rFonts w:hint="eastAsia"/>
              </w:rPr>
            </w:pPr>
            <w:r>
              <w:rPr>
                <w:rFonts w:hint="eastAsia"/>
              </w:rPr>
              <w:t>11.07</w:t>
            </w:r>
          </w:p>
        </w:tc>
        <w:tc>
          <w:tcPr>
            <w:tcW w:w="1250" w:type="pct"/>
            <w:vAlign w:val="center"/>
          </w:tcPr>
          <w:p w14:paraId="1DE53583">
            <w:pPr>
              <w:pStyle w:val="13"/>
              <w:jc w:val="center"/>
              <w:rPr>
                <w:rFonts w:hint="eastAsia"/>
              </w:rPr>
            </w:pPr>
            <w:r>
              <w:rPr>
                <w:rFonts w:hint="eastAsia"/>
              </w:rPr>
              <w:t>3.1</w:t>
            </w:r>
          </w:p>
        </w:tc>
        <w:tc>
          <w:tcPr>
            <w:tcW w:w="1250" w:type="pct"/>
            <w:vAlign w:val="center"/>
          </w:tcPr>
          <w:p w14:paraId="20D74703">
            <w:pPr>
              <w:pStyle w:val="13"/>
              <w:jc w:val="center"/>
              <w:rPr>
                <w:rFonts w:hint="eastAsia"/>
              </w:rPr>
            </w:pPr>
            <w:r>
              <w:rPr>
                <w:rFonts w:hint="eastAsia"/>
              </w:rPr>
              <w:t>7.97</w:t>
            </w:r>
          </w:p>
        </w:tc>
      </w:tr>
      <w:tr w14:paraId="49816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FFEE671">
            <w:pPr>
              <w:pStyle w:val="13"/>
              <w:jc w:val="center"/>
              <w:rPr>
                <w:rFonts w:hint="eastAsia"/>
              </w:rPr>
            </w:pPr>
            <w:r>
              <w:rPr>
                <w:rFonts w:hint="eastAsia"/>
              </w:rPr>
              <w:t>古市</w:t>
            </w:r>
          </w:p>
        </w:tc>
        <w:tc>
          <w:tcPr>
            <w:tcW w:w="1250" w:type="pct"/>
            <w:vAlign w:val="center"/>
          </w:tcPr>
          <w:p w14:paraId="4E2BBE50">
            <w:pPr>
              <w:pStyle w:val="13"/>
              <w:jc w:val="center"/>
              <w:rPr>
                <w:rFonts w:hint="eastAsia"/>
              </w:rPr>
            </w:pPr>
            <w:r>
              <w:rPr>
                <w:rFonts w:hint="eastAsia"/>
              </w:rPr>
              <w:t>14.83</w:t>
            </w:r>
          </w:p>
        </w:tc>
        <w:tc>
          <w:tcPr>
            <w:tcW w:w="1250" w:type="pct"/>
            <w:vAlign w:val="center"/>
          </w:tcPr>
          <w:p w14:paraId="49BD4FBD">
            <w:pPr>
              <w:pStyle w:val="13"/>
              <w:jc w:val="center"/>
              <w:rPr>
                <w:rFonts w:hint="eastAsia"/>
              </w:rPr>
            </w:pPr>
            <w:r>
              <w:rPr>
                <w:rFonts w:hint="eastAsia"/>
              </w:rPr>
              <w:t>9.54</w:t>
            </w:r>
          </w:p>
        </w:tc>
        <w:tc>
          <w:tcPr>
            <w:tcW w:w="1250" w:type="pct"/>
            <w:vAlign w:val="center"/>
          </w:tcPr>
          <w:p w14:paraId="4F9486BF">
            <w:pPr>
              <w:pStyle w:val="13"/>
              <w:jc w:val="center"/>
              <w:rPr>
                <w:rFonts w:hint="eastAsia"/>
              </w:rPr>
            </w:pPr>
            <w:r>
              <w:rPr>
                <w:rFonts w:hint="eastAsia"/>
              </w:rPr>
              <w:t>5.29</w:t>
            </w:r>
          </w:p>
        </w:tc>
      </w:tr>
      <w:tr w14:paraId="46FC34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293A0771">
            <w:pPr>
              <w:pStyle w:val="13"/>
              <w:jc w:val="center"/>
              <w:rPr>
                <w:rFonts w:hint="eastAsia"/>
              </w:rPr>
            </w:pPr>
            <w:r>
              <w:rPr>
                <w:rFonts w:hint="eastAsia"/>
              </w:rPr>
              <w:t>全安</w:t>
            </w:r>
          </w:p>
        </w:tc>
        <w:tc>
          <w:tcPr>
            <w:tcW w:w="1250" w:type="pct"/>
            <w:vAlign w:val="center"/>
          </w:tcPr>
          <w:p w14:paraId="065ECC4F">
            <w:pPr>
              <w:pStyle w:val="13"/>
              <w:jc w:val="center"/>
              <w:rPr>
                <w:rFonts w:hint="eastAsia"/>
              </w:rPr>
            </w:pPr>
            <w:r>
              <w:rPr>
                <w:rFonts w:hint="eastAsia"/>
              </w:rPr>
              <w:t>11.61</w:t>
            </w:r>
          </w:p>
        </w:tc>
        <w:tc>
          <w:tcPr>
            <w:tcW w:w="1250" w:type="pct"/>
            <w:vAlign w:val="center"/>
          </w:tcPr>
          <w:p w14:paraId="50A195F9">
            <w:pPr>
              <w:pStyle w:val="13"/>
              <w:jc w:val="center"/>
              <w:rPr>
                <w:rFonts w:hint="eastAsia"/>
              </w:rPr>
            </w:pPr>
            <w:r>
              <w:rPr>
                <w:rFonts w:hint="eastAsia"/>
              </w:rPr>
              <w:t>5.44</w:t>
            </w:r>
          </w:p>
        </w:tc>
        <w:tc>
          <w:tcPr>
            <w:tcW w:w="1250" w:type="pct"/>
            <w:vAlign w:val="center"/>
          </w:tcPr>
          <w:p w14:paraId="0141EB8E">
            <w:pPr>
              <w:pStyle w:val="13"/>
              <w:jc w:val="center"/>
              <w:rPr>
                <w:rFonts w:hint="eastAsia"/>
              </w:rPr>
            </w:pPr>
            <w:r>
              <w:rPr>
                <w:rFonts w:hint="eastAsia"/>
              </w:rPr>
              <w:t>6.16</w:t>
            </w:r>
          </w:p>
        </w:tc>
      </w:tr>
      <w:tr w14:paraId="00E362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411D9AD">
            <w:pPr>
              <w:pStyle w:val="13"/>
              <w:jc w:val="center"/>
              <w:rPr>
                <w:rFonts w:hint="eastAsia"/>
              </w:rPr>
            </w:pPr>
            <w:r>
              <w:rPr>
                <w:rFonts w:hint="eastAsia"/>
              </w:rPr>
              <w:t>百顺</w:t>
            </w:r>
          </w:p>
        </w:tc>
        <w:tc>
          <w:tcPr>
            <w:tcW w:w="1250" w:type="pct"/>
            <w:vAlign w:val="center"/>
          </w:tcPr>
          <w:p w14:paraId="7467B8F0">
            <w:pPr>
              <w:pStyle w:val="13"/>
              <w:jc w:val="center"/>
              <w:rPr>
                <w:rFonts w:hint="eastAsia"/>
              </w:rPr>
            </w:pPr>
            <w:r>
              <w:rPr>
                <w:rFonts w:hint="eastAsia"/>
              </w:rPr>
              <w:t>15.5</w:t>
            </w:r>
          </w:p>
        </w:tc>
        <w:tc>
          <w:tcPr>
            <w:tcW w:w="1250" w:type="pct"/>
            <w:vAlign w:val="center"/>
          </w:tcPr>
          <w:p w14:paraId="325B898A">
            <w:pPr>
              <w:pStyle w:val="13"/>
              <w:jc w:val="center"/>
              <w:rPr>
                <w:rFonts w:hint="eastAsia"/>
              </w:rPr>
            </w:pPr>
            <w:r>
              <w:rPr>
                <w:rFonts w:hint="eastAsia"/>
              </w:rPr>
              <w:t>9.56</w:t>
            </w:r>
          </w:p>
        </w:tc>
        <w:tc>
          <w:tcPr>
            <w:tcW w:w="1250" w:type="pct"/>
            <w:vAlign w:val="center"/>
          </w:tcPr>
          <w:p w14:paraId="74E53787">
            <w:pPr>
              <w:pStyle w:val="13"/>
              <w:jc w:val="center"/>
              <w:rPr>
                <w:rFonts w:hint="eastAsia"/>
              </w:rPr>
            </w:pPr>
            <w:r>
              <w:rPr>
                <w:rFonts w:hint="eastAsia"/>
              </w:rPr>
              <w:t>5.94</w:t>
            </w:r>
          </w:p>
        </w:tc>
      </w:tr>
      <w:tr w14:paraId="24DD5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4F97083">
            <w:pPr>
              <w:pStyle w:val="13"/>
              <w:jc w:val="center"/>
              <w:rPr>
                <w:rFonts w:hint="eastAsia"/>
              </w:rPr>
            </w:pPr>
            <w:r>
              <w:rPr>
                <w:rFonts w:hint="eastAsia"/>
              </w:rPr>
              <w:t>澜河</w:t>
            </w:r>
          </w:p>
        </w:tc>
        <w:tc>
          <w:tcPr>
            <w:tcW w:w="1250" w:type="pct"/>
            <w:vAlign w:val="center"/>
          </w:tcPr>
          <w:p w14:paraId="0D458B7E">
            <w:pPr>
              <w:pStyle w:val="13"/>
              <w:jc w:val="center"/>
              <w:rPr>
                <w:rFonts w:hint="eastAsia"/>
              </w:rPr>
            </w:pPr>
            <w:r>
              <w:rPr>
                <w:rFonts w:hint="eastAsia"/>
              </w:rPr>
              <w:t>12.67</w:t>
            </w:r>
          </w:p>
        </w:tc>
        <w:tc>
          <w:tcPr>
            <w:tcW w:w="1250" w:type="pct"/>
            <w:vAlign w:val="center"/>
          </w:tcPr>
          <w:p w14:paraId="5B4A7D72">
            <w:pPr>
              <w:pStyle w:val="13"/>
              <w:jc w:val="center"/>
              <w:rPr>
                <w:rFonts w:hint="eastAsia"/>
              </w:rPr>
            </w:pPr>
            <w:r>
              <w:rPr>
                <w:rFonts w:hint="eastAsia"/>
              </w:rPr>
              <w:t>7.94</w:t>
            </w:r>
          </w:p>
        </w:tc>
        <w:tc>
          <w:tcPr>
            <w:tcW w:w="1250" w:type="pct"/>
            <w:vAlign w:val="center"/>
          </w:tcPr>
          <w:p w14:paraId="06BD3AC9">
            <w:pPr>
              <w:pStyle w:val="13"/>
              <w:jc w:val="center"/>
              <w:rPr>
                <w:rFonts w:hint="eastAsia"/>
              </w:rPr>
            </w:pPr>
            <w:r>
              <w:rPr>
                <w:rFonts w:hint="eastAsia"/>
              </w:rPr>
              <w:t>4.73</w:t>
            </w:r>
          </w:p>
        </w:tc>
      </w:tr>
      <w:tr w14:paraId="10197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3666BE74">
            <w:pPr>
              <w:pStyle w:val="13"/>
              <w:jc w:val="center"/>
              <w:rPr>
                <w:rFonts w:hint="eastAsia"/>
              </w:rPr>
            </w:pPr>
            <w:r>
              <w:rPr>
                <w:rFonts w:hint="eastAsia"/>
              </w:rPr>
              <w:t>帽子峰</w:t>
            </w:r>
          </w:p>
        </w:tc>
        <w:tc>
          <w:tcPr>
            <w:tcW w:w="1250" w:type="pct"/>
            <w:vAlign w:val="center"/>
          </w:tcPr>
          <w:p w14:paraId="522DFBF9">
            <w:pPr>
              <w:pStyle w:val="13"/>
              <w:jc w:val="center"/>
              <w:rPr>
                <w:rFonts w:hint="eastAsia"/>
              </w:rPr>
            </w:pPr>
            <w:r>
              <w:rPr>
                <w:rFonts w:hint="eastAsia"/>
              </w:rPr>
              <w:t>10.99</w:t>
            </w:r>
          </w:p>
        </w:tc>
        <w:tc>
          <w:tcPr>
            <w:tcW w:w="1250" w:type="pct"/>
            <w:vAlign w:val="center"/>
          </w:tcPr>
          <w:p w14:paraId="2A7A190C">
            <w:pPr>
              <w:pStyle w:val="13"/>
              <w:jc w:val="center"/>
              <w:rPr>
                <w:rFonts w:hint="eastAsia"/>
              </w:rPr>
            </w:pPr>
            <w:r>
              <w:rPr>
                <w:rFonts w:hint="eastAsia"/>
              </w:rPr>
              <w:t>5.9</w:t>
            </w:r>
          </w:p>
        </w:tc>
        <w:tc>
          <w:tcPr>
            <w:tcW w:w="1250" w:type="pct"/>
            <w:vAlign w:val="center"/>
          </w:tcPr>
          <w:p w14:paraId="5E28E079">
            <w:pPr>
              <w:pStyle w:val="13"/>
              <w:jc w:val="center"/>
              <w:rPr>
                <w:rFonts w:hint="eastAsia"/>
              </w:rPr>
            </w:pPr>
            <w:r>
              <w:rPr>
                <w:rFonts w:hint="eastAsia"/>
              </w:rPr>
              <w:t>5.09</w:t>
            </w:r>
          </w:p>
        </w:tc>
      </w:tr>
      <w:tr w14:paraId="553BA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pct"/>
            <w:vAlign w:val="center"/>
          </w:tcPr>
          <w:p w14:paraId="589478B2">
            <w:pPr>
              <w:pStyle w:val="13"/>
              <w:jc w:val="center"/>
              <w:rPr>
                <w:rFonts w:hint="eastAsia"/>
              </w:rPr>
            </w:pPr>
            <w:r>
              <w:rPr>
                <w:rFonts w:hint="eastAsia"/>
              </w:rPr>
              <w:t>雄州街道</w:t>
            </w:r>
          </w:p>
        </w:tc>
        <w:tc>
          <w:tcPr>
            <w:tcW w:w="1250" w:type="pct"/>
            <w:vAlign w:val="center"/>
          </w:tcPr>
          <w:p w14:paraId="32A2B1B6">
            <w:pPr>
              <w:pStyle w:val="13"/>
              <w:jc w:val="center"/>
              <w:rPr>
                <w:rFonts w:hint="eastAsia"/>
              </w:rPr>
            </w:pPr>
            <w:r>
              <w:rPr>
                <w:rFonts w:hint="eastAsia"/>
              </w:rPr>
              <w:t>11.18</w:t>
            </w:r>
          </w:p>
        </w:tc>
        <w:tc>
          <w:tcPr>
            <w:tcW w:w="1250" w:type="pct"/>
            <w:vAlign w:val="center"/>
          </w:tcPr>
          <w:p w14:paraId="0DA7AB18">
            <w:pPr>
              <w:pStyle w:val="13"/>
              <w:jc w:val="center"/>
              <w:rPr>
                <w:rFonts w:hint="eastAsia"/>
              </w:rPr>
            </w:pPr>
            <w:r>
              <w:rPr>
                <w:rFonts w:hint="eastAsia"/>
              </w:rPr>
              <w:t>6.26</w:t>
            </w:r>
          </w:p>
        </w:tc>
        <w:tc>
          <w:tcPr>
            <w:tcW w:w="1250" w:type="pct"/>
            <w:vAlign w:val="center"/>
          </w:tcPr>
          <w:p w14:paraId="36B84982">
            <w:pPr>
              <w:pStyle w:val="13"/>
              <w:jc w:val="center"/>
              <w:rPr>
                <w:rFonts w:hint="eastAsia"/>
              </w:rPr>
            </w:pPr>
            <w:r>
              <w:rPr>
                <w:rFonts w:hint="eastAsia"/>
              </w:rPr>
              <w:t>4.92</w:t>
            </w:r>
          </w:p>
        </w:tc>
      </w:tr>
    </w:tbl>
    <w:p w14:paraId="389A6C1B">
      <w:pPr>
        <w:pStyle w:val="4"/>
        <w:rPr>
          <w:rFonts w:hint="eastAsia"/>
        </w:rPr>
      </w:pPr>
      <w:r>
        <w:t>表</w:t>
      </w:r>
      <w:r>
        <w:rPr>
          <w:rFonts w:hint="eastAsia"/>
        </w:rPr>
        <w:t>34-44  普通教育基本情况</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54"/>
        <w:gridCol w:w="2170"/>
        <w:gridCol w:w="2170"/>
        <w:gridCol w:w="2168"/>
      </w:tblGrid>
      <w:tr w14:paraId="59AE0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4" w:type="pct"/>
            <w:vAlign w:val="center"/>
          </w:tcPr>
          <w:p w14:paraId="22514FD2">
            <w:pPr>
              <w:pStyle w:val="13"/>
              <w:jc w:val="center"/>
              <w:rPr>
                <w:rFonts w:hint="eastAsia"/>
                <w:b/>
              </w:rPr>
            </w:pPr>
            <w:r>
              <w:rPr>
                <w:rFonts w:hint="eastAsia"/>
                <w:b/>
              </w:rPr>
              <w:t>指标名称</w:t>
            </w:r>
          </w:p>
        </w:tc>
        <w:tc>
          <w:tcPr>
            <w:tcW w:w="1089" w:type="pct"/>
            <w:vAlign w:val="center"/>
          </w:tcPr>
          <w:p w14:paraId="3FC3F66D">
            <w:pPr>
              <w:pStyle w:val="13"/>
              <w:jc w:val="center"/>
              <w:rPr>
                <w:rFonts w:hint="eastAsia"/>
                <w:b/>
              </w:rPr>
            </w:pPr>
            <w:r>
              <w:rPr>
                <w:rFonts w:hint="eastAsia"/>
                <w:b/>
              </w:rPr>
              <w:t>学校数（间）</w:t>
            </w:r>
          </w:p>
        </w:tc>
        <w:tc>
          <w:tcPr>
            <w:tcW w:w="1089" w:type="pct"/>
            <w:vAlign w:val="center"/>
          </w:tcPr>
          <w:p w14:paraId="4F32FE80">
            <w:pPr>
              <w:pStyle w:val="13"/>
              <w:jc w:val="center"/>
              <w:rPr>
                <w:rFonts w:hint="eastAsia"/>
                <w:b/>
              </w:rPr>
            </w:pPr>
            <w:r>
              <w:rPr>
                <w:rFonts w:hint="eastAsia"/>
                <w:b/>
              </w:rPr>
              <w:t>毕业生数（人）</w:t>
            </w:r>
          </w:p>
        </w:tc>
        <w:tc>
          <w:tcPr>
            <w:tcW w:w="1089" w:type="pct"/>
            <w:vAlign w:val="center"/>
          </w:tcPr>
          <w:p w14:paraId="3AE1B98B">
            <w:pPr>
              <w:pStyle w:val="13"/>
              <w:jc w:val="center"/>
              <w:rPr>
                <w:rFonts w:hint="eastAsia"/>
                <w:b/>
              </w:rPr>
            </w:pPr>
            <w:r>
              <w:rPr>
                <w:rFonts w:hint="eastAsia"/>
                <w:b/>
              </w:rPr>
              <w:t>招生数（人）</w:t>
            </w:r>
          </w:p>
        </w:tc>
      </w:tr>
      <w:tr w14:paraId="7E36D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4" w:type="pct"/>
            <w:vAlign w:val="center"/>
          </w:tcPr>
          <w:p w14:paraId="4C5847D9">
            <w:pPr>
              <w:pStyle w:val="13"/>
              <w:jc w:val="left"/>
              <w:rPr>
                <w:rFonts w:hint="eastAsia"/>
              </w:rPr>
            </w:pPr>
            <w:r>
              <w:rPr>
                <w:rFonts w:hint="eastAsia"/>
              </w:rPr>
              <w:t>总计</w:t>
            </w:r>
          </w:p>
        </w:tc>
        <w:tc>
          <w:tcPr>
            <w:tcW w:w="1089" w:type="pct"/>
            <w:vAlign w:val="center"/>
          </w:tcPr>
          <w:p w14:paraId="7CDFE554">
            <w:pPr>
              <w:pStyle w:val="13"/>
              <w:jc w:val="center"/>
              <w:rPr>
                <w:rFonts w:hint="eastAsia"/>
              </w:rPr>
            </w:pPr>
            <w:r>
              <w:rPr>
                <w:rFonts w:hint="eastAsia"/>
              </w:rPr>
              <w:t>136</w:t>
            </w:r>
          </w:p>
        </w:tc>
        <w:tc>
          <w:tcPr>
            <w:tcW w:w="1089" w:type="pct"/>
            <w:vAlign w:val="center"/>
          </w:tcPr>
          <w:p w14:paraId="40C21F49">
            <w:pPr>
              <w:pStyle w:val="13"/>
              <w:jc w:val="center"/>
              <w:rPr>
                <w:rFonts w:hint="eastAsia"/>
              </w:rPr>
            </w:pPr>
            <w:r>
              <w:rPr>
                <w:rFonts w:hint="eastAsia"/>
              </w:rPr>
              <w:t>18854</w:t>
            </w:r>
          </w:p>
        </w:tc>
        <w:tc>
          <w:tcPr>
            <w:tcW w:w="1089" w:type="pct"/>
            <w:vAlign w:val="center"/>
          </w:tcPr>
          <w:p w14:paraId="511A1D0A">
            <w:pPr>
              <w:pStyle w:val="13"/>
              <w:jc w:val="center"/>
              <w:rPr>
                <w:rFonts w:hint="eastAsia"/>
              </w:rPr>
            </w:pPr>
            <w:r>
              <w:rPr>
                <w:rFonts w:hint="eastAsia"/>
              </w:rPr>
              <w:t>19722</w:t>
            </w:r>
          </w:p>
        </w:tc>
      </w:tr>
      <w:tr w14:paraId="4E6D0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4" w:type="pct"/>
            <w:vAlign w:val="center"/>
          </w:tcPr>
          <w:p w14:paraId="0372073E">
            <w:pPr>
              <w:pStyle w:val="13"/>
              <w:jc w:val="left"/>
              <w:rPr>
                <w:rFonts w:hint="eastAsia"/>
              </w:rPr>
            </w:pPr>
            <w:r>
              <w:rPr>
                <w:rFonts w:hint="eastAsia"/>
              </w:rPr>
              <w:t>1、普通中学</w:t>
            </w:r>
          </w:p>
        </w:tc>
        <w:tc>
          <w:tcPr>
            <w:tcW w:w="1089" w:type="pct"/>
            <w:vAlign w:val="center"/>
          </w:tcPr>
          <w:p w14:paraId="482BB28C">
            <w:pPr>
              <w:pStyle w:val="13"/>
              <w:jc w:val="center"/>
              <w:rPr>
                <w:rFonts w:hint="eastAsia"/>
              </w:rPr>
            </w:pPr>
            <w:r>
              <w:rPr>
                <w:rFonts w:hint="eastAsia"/>
              </w:rPr>
              <w:t>20</w:t>
            </w:r>
          </w:p>
        </w:tc>
        <w:tc>
          <w:tcPr>
            <w:tcW w:w="1089" w:type="pct"/>
            <w:vAlign w:val="center"/>
          </w:tcPr>
          <w:p w14:paraId="093F6170">
            <w:pPr>
              <w:pStyle w:val="13"/>
              <w:jc w:val="center"/>
              <w:rPr>
                <w:rFonts w:hint="eastAsia"/>
              </w:rPr>
            </w:pPr>
            <w:r>
              <w:rPr>
                <w:rFonts w:hint="eastAsia"/>
              </w:rPr>
              <w:t>9881</w:t>
            </w:r>
          </w:p>
        </w:tc>
        <w:tc>
          <w:tcPr>
            <w:tcW w:w="1089" w:type="pct"/>
            <w:vAlign w:val="center"/>
          </w:tcPr>
          <w:p w14:paraId="6805CC34">
            <w:pPr>
              <w:pStyle w:val="13"/>
              <w:jc w:val="center"/>
              <w:rPr>
                <w:rFonts w:hint="eastAsia"/>
              </w:rPr>
            </w:pPr>
            <w:r>
              <w:rPr>
                <w:rFonts w:hint="eastAsia"/>
              </w:rPr>
              <w:t>9912</w:t>
            </w:r>
          </w:p>
        </w:tc>
      </w:tr>
      <w:tr w14:paraId="7133C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4" w:type="pct"/>
            <w:vAlign w:val="center"/>
          </w:tcPr>
          <w:p w14:paraId="5B4AE64F">
            <w:pPr>
              <w:pStyle w:val="13"/>
              <w:ind w:firstLine="420" w:firstLineChars="200"/>
              <w:jc w:val="left"/>
              <w:rPr>
                <w:rFonts w:hint="eastAsia"/>
              </w:rPr>
            </w:pPr>
            <w:r>
              <w:rPr>
                <w:rFonts w:hint="eastAsia"/>
              </w:rPr>
              <w:t>完全中学</w:t>
            </w:r>
          </w:p>
        </w:tc>
        <w:tc>
          <w:tcPr>
            <w:tcW w:w="1089" w:type="pct"/>
            <w:vAlign w:val="center"/>
          </w:tcPr>
          <w:p w14:paraId="4C7C2FDD">
            <w:pPr>
              <w:pStyle w:val="13"/>
              <w:jc w:val="center"/>
              <w:rPr>
                <w:rFonts w:hint="eastAsia"/>
              </w:rPr>
            </w:pPr>
            <w:r>
              <w:rPr>
                <w:rFonts w:hint="eastAsia"/>
              </w:rPr>
              <w:t>1</w:t>
            </w:r>
          </w:p>
        </w:tc>
        <w:tc>
          <w:tcPr>
            <w:tcW w:w="1089" w:type="pct"/>
            <w:vAlign w:val="center"/>
          </w:tcPr>
          <w:p w14:paraId="1B0DEB82">
            <w:pPr>
              <w:pStyle w:val="13"/>
              <w:jc w:val="center"/>
              <w:rPr>
                <w:rFonts w:hint="eastAsia"/>
              </w:rPr>
            </w:pPr>
            <w:r>
              <w:rPr>
                <w:rFonts w:hint="eastAsia"/>
              </w:rPr>
              <w:t>979</w:t>
            </w:r>
          </w:p>
        </w:tc>
        <w:tc>
          <w:tcPr>
            <w:tcW w:w="1089" w:type="pct"/>
            <w:vAlign w:val="center"/>
          </w:tcPr>
          <w:p w14:paraId="73D4A845">
            <w:pPr>
              <w:pStyle w:val="13"/>
              <w:jc w:val="center"/>
              <w:rPr>
                <w:rFonts w:hint="eastAsia"/>
              </w:rPr>
            </w:pPr>
            <w:r>
              <w:rPr>
                <w:rFonts w:hint="eastAsia"/>
              </w:rPr>
              <w:t>1025</w:t>
            </w:r>
          </w:p>
        </w:tc>
      </w:tr>
      <w:tr w14:paraId="60A90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4" w:type="pct"/>
            <w:vAlign w:val="center"/>
          </w:tcPr>
          <w:p w14:paraId="4CABA30A">
            <w:pPr>
              <w:pStyle w:val="13"/>
              <w:ind w:firstLine="420" w:firstLineChars="200"/>
              <w:jc w:val="left"/>
              <w:rPr>
                <w:rFonts w:hint="eastAsia"/>
              </w:rPr>
            </w:pPr>
            <w:r>
              <w:rPr>
                <w:rFonts w:hint="eastAsia"/>
              </w:rPr>
              <w:t>高级中学</w:t>
            </w:r>
          </w:p>
        </w:tc>
        <w:tc>
          <w:tcPr>
            <w:tcW w:w="1089" w:type="pct"/>
            <w:vAlign w:val="center"/>
          </w:tcPr>
          <w:p w14:paraId="0C8384DC">
            <w:pPr>
              <w:pStyle w:val="13"/>
              <w:jc w:val="center"/>
              <w:rPr>
                <w:rFonts w:hint="eastAsia"/>
              </w:rPr>
            </w:pPr>
            <w:r>
              <w:rPr>
                <w:rFonts w:hint="eastAsia"/>
              </w:rPr>
              <w:t>2</w:t>
            </w:r>
          </w:p>
        </w:tc>
        <w:tc>
          <w:tcPr>
            <w:tcW w:w="1089" w:type="pct"/>
            <w:vAlign w:val="center"/>
          </w:tcPr>
          <w:p w14:paraId="15C3E369">
            <w:pPr>
              <w:pStyle w:val="13"/>
              <w:jc w:val="center"/>
              <w:rPr>
                <w:rFonts w:hint="eastAsia"/>
              </w:rPr>
            </w:pPr>
            <w:r>
              <w:rPr>
                <w:rFonts w:hint="eastAsia"/>
              </w:rPr>
              <w:t>2771</w:t>
            </w:r>
          </w:p>
        </w:tc>
        <w:tc>
          <w:tcPr>
            <w:tcW w:w="1089" w:type="pct"/>
            <w:vAlign w:val="center"/>
          </w:tcPr>
          <w:p w14:paraId="0679E72E">
            <w:pPr>
              <w:pStyle w:val="13"/>
              <w:jc w:val="center"/>
              <w:rPr>
                <w:rFonts w:hint="eastAsia"/>
              </w:rPr>
            </w:pPr>
            <w:r>
              <w:rPr>
                <w:rFonts w:hint="eastAsia"/>
              </w:rPr>
              <w:t>2744</w:t>
            </w:r>
          </w:p>
        </w:tc>
      </w:tr>
      <w:tr w14:paraId="73CC5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4" w:type="pct"/>
            <w:vAlign w:val="center"/>
          </w:tcPr>
          <w:p w14:paraId="0CF1CDFC">
            <w:pPr>
              <w:pStyle w:val="13"/>
              <w:ind w:firstLine="420" w:firstLineChars="200"/>
              <w:jc w:val="left"/>
              <w:rPr>
                <w:rFonts w:hint="eastAsia"/>
              </w:rPr>
            </w:pPr>
            <w:r>
              <w:rPr>
                <w:rFonts w:hint="eastAsia"/>
              </w:rPr>
              <w:t>初级中学</w:t>
            </w:r>
          </w:p>
        </w:tc>
        <w:tc>
          <w:tcPr>
            <w:tcW w:w="1089" w:type="pct"/>
            <w:vAlign w:val="center"/>
          </w:tcPr>
          <w:p w14:paraId="723362E6">
            <w:pPr>
              <w:pStyle w:val="13"/>
              <w:jc w:val="center"/>
              <w:rPr>
                <w:rFonts w:hint="eastAsia"/>
              </w:rPr>
            </w:pPr>
            <w:r>
              <w:rPr>
                <w:rFonts w:hint="eastAsia"/>
              </w:rPr>
              <w:t>15</w:t>
            </w:r>
          </w:p>
        </w:tc>
        <w:tc>
          <w:tcPr>
            <w:tcW w:w="1089" w:type="pct"/>
            <w:vAlign w:val="center"/>
          </w:tcPr>
          <w:p w14:paraId="499DF11A">
            <w:pPr>
              <w:pStyle w:val="13"/>
              <w:jc w:val="center"/>
              <w:rPr>
                <w:rFonts w:hint="eastAsia"/>
              </w:rPr>
            </w:pPr>
            <w:r>
              <w:rPr>
                <w:rFonts w:hint="eastAsia"/>
              </w:rPr>
              <w:t>5953</w:t>
            </w:r>
          </w:p>
        </w:tc>
        <w:tc>
          <w:tcPr>
            <w:tcW w:w="1089" w:type="pct"/>
            <w:vAlign w:val="center"/>
          </w:tcPr>
          <w:p w14:paraId="29317948">
            <w:pPr>
              <w:pStyle w:val="13"/>
              <w:jc w:val="center"/>
              <w:rPr>
                <w:rFonts w:hint="eastAsia"/>
              </w:rPr>
            </w:pPr>
            <w:r>
              <w:rPr>
                <w:rFonts w:hint="eastAsia"/>
              </w:rPr>
              <w:t>5967</w:t>
            </w:r>
          </w:p>
        </w:tc>
      </w:tr>
      <w:tr w14:paraId="0F685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4" w:type="pct"/>
            <w:vAlign w:val="center"/>
          </w:tcPr>
          <w:p w14:paraId="461E8FB4">
            <w:pPr>
              <w:pStyle w:val="13"/>
              <w:ind w:firstLine="1050" w:firstLineChars="500"/>
              <w:jc w:val="left"/>
              <w:rPr>
                <w:rFonts w:hint="eastAsia"/>
              </w:rPr>
            </w:pPr>
            <w:r>
              <w:rPr>
                <w:rFonts w:hint="eastAsia"/>
              </w:rPr>
              <w:t>九年一贯制学校</w:t>
            </w:r>
          </w:p>
        </w:tc>
        <w:tc>
          <w:tcPr>
            <w:tcW w:w="1089" w:type="pct"/>
            <w:vAlign w:val="center"/>
          </w:tcPr>
          <w:p w14:paraId="1E2F8928">
            <w:pPr>
              <w:pStyle w:val="13"/>
              <w:jc w:val="center"/>
              <w:rPr>
                <w:rFonts w:hint="eastAsia"/>
              </w:rPr>
            </w:pPr>
            <w:r>
              <w:rPr>
                <w:rFonts w:hint="eastAsia"/>
              </w:rPr>
              <w:t>2</w:t>
            </w:r>
          </w:p>
        </w:tc>
        <w:tc>
          <w:tcPr>
            <w:tcW w:w="1089" w:type="pct"/>
            <w:vAlign w:val="center"/>
          </w:tcPr>
          <w:p w14:paraId="60891FB9">
            <w:pPr>
              <w:pStyle w:val="13"/>
              <w:jc w:val="center"/>
              <w:rPr>
                <w:rFonts w:hint="eastAsia"/>
              </w:rPr>
            </w:pPr>
            <w:r>
              <w:rPr>
                <w:rFonts w:hint="eastAsia"/>
              </w:rPr>
              <w:t>178</w:t>
            </w:r>
          </w:p>
        </w:tc>
        <w:tc>
          <w:tcPr>
            <w:tcW w:w="1089" w:type="pct"/>
            <w:vAlign w:val="center"/>
          </w:tcPr>
          <w:p w14:paraId="4B5E1EC7">
            <w:pPr>
              <w:pStyle w:val="13"/>
              <w:jc w:val="center"/>
              <w:rPr>
                <w:rFonts w:hint="eastAsia"/>
              </w:rPr>
            </w:pPr>
            <w:r>
              <w:rPr>
                <w:rFonts w:hint="eastAsia"/>
              </w:rPr>
              <w:t>176</w:t>
            </w:r>
          </w:p>
        </w:tc>
      </w:tr>
      <w:tr w14:paraId="27127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4" w:type="pct"/>
            <w:vAlign w:val="center"/>
          </w:tcPr>
          <w:p w14:paraId="179EC5E2">
            <w:pPr>
              <w:pStyle w:val="13"/>
              <w:jc w:val="left"/>
              <w:rPr>
                <w:rFonts w:hint="eastAsia"/>
              </w:rPr>
            </w:pPr>
            <w:r>
              <w:rPr>
                <w:rFonts w:hint="eastAsia"/>
              </w:rPr>
              <w:t>2、小学</w:t>
            </w:r>
          </w:p>
        </w:tc>
        <w:tc>
          <w:tcPr>
            <w:tcW w:w="1089" w:type="pct"/>
            <w:vAlign w:val="center"/>
          </w:tcPr>
          <w:p w14:paraId="2440D34D">
            <w:pPr>
              <w:pStyle w:val="13"/>
              <w:jc w:val="center"/>
              <w:rPr>
                <w:rFonts w:hint="eastAsia"/>
              </w:rPr>
            </w:pPr>
            <w:r>
              <w:rPr>
                <w:rFonts w:hint="eastAsia"/>
              </w:rPr>
              <w:t>71</w:t>
            </w:r>
          </w:p>
        </w:tc>
        <w:tc>
          <w:tcPr>
            <w:tcW w:w="1089" w:type="pct"/>
            <w:vAlign w:val="center"/>
          </w:tcPr>
          <w:p w14:paraId="13B1F106">
            <w:pPr>
              <w:pStyle w:val="13"/>
              <w:jc w:val="center"/>
              <w:rPr>
                <w:rFonts w:hint="eastAsia"/>
              </w:rPr>
            </w:pPr>
            <w:r>
              <w:rPr>
                <w:rFonts w:hint="eastAsia"/>
              </w:rPr>
              <w:t>6605</w:t>
            </w:r>
          </w:p>
        </w:tc>
        <w:tc>
          <w:tcPr>
            <w:tcW w:w="1089" w:type="pct"/>
            <w:vAlign w:val="center"/>
          </w:tcPr>
          <w:p w14:paraId="125D36E6">
            <w:pPr>
              <w:pStyle w:val="13"/>
              <w:jc w:val="center"/>
              <w:rPr>
                <w:rFonts w:hint="eastAsia"/>
              </w:rPr>
            </w:pPr>
            <w:r>
              <w:rPr>
                <w:rFonts w:hint="eastAsia"/>
              </w:rPr>
              <w:t>5107</w:t>
            </w:r>
          </w:p>
        </w:tc>
      </w:tr>
      <w:tr w14:paraId="33835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4" w:type="pct"/>
            <w:vAlign w:val="center"/>
          </w:tcPr>
          <w:p w14:paraId="65019B78">
            <w:pPr>
              <w:pStyle w:val="13"/>
              <w:jc w:val="left"/>
              <w:rPr>
                <w:rFonts w:hint="eastAsia"/>
              </w:rPr>
            </w:pPr>
            <w:r>
              <w:rPr>
                <w:rFonts w:hint="eastAsia"/>
              </w:rPr>
              <w:t>3、幼儿园</w:t>
            </w:r>
          </w:p>
        </w:tc>
        <w:tc>
          <w:tcPr>
            <w:tcW w:w="1089" w:type="pct"/>
            <w:vAlign w:val="center"/>
          </w:tcPr>
          <w:p w14:paraId="2ABAC549">
            <w:pPr>
              <w:pStyle w:val="13"/>
              <w:jc w:val="center"/>
              <w:rPr>
                <w:rFonts w:hint="eastAsia"/>
              </w:rPr>
            </w:pPr>
            <w:r>
              <w:rPr>
                <w:rFonts w:hint="eastAsia"/>
              </w:rPr>
              <w:t>45</w:t>
            </w:r>
          </w:p>
        </w:tc>
        <w:tc>
          <w:tcPr>
            <w:tcW w:w="1089" w:type="pct"/>
            <w:vAlign w:val="center"/>
          </w:tcPr>
          <w:p w14:paraId="2C2AA9EC">
            <w:pPr>
              <w:pStyle w:val="13"/>
              <w:jc w:val="center"/>
              <w:rPr>
                <w:rFonts w:hint="eastAsia"/>
              </w:rPr>
            </w:pPr>
            <w:r>
              <w:rPr>
                <w:rFonts w:hint="eastAsia"/>
              </w:rPr>
              <w:t>2368</w:t>
            </w:r>
          </w:p>
        </w:tc>
        <w:tc>
          <w:tcPr>
            <w:tcW w:w="1089" w:type="pct"/>
            <w:vAlign w:val="center"/>
          </w:tcPr>
          <w:p w14:paraId="0B8129ED">
            <w:pPr>
              <w:pStyle w:val="13"/>
              <w:jc w:val="center"/>
            </w:pPr>
            <w:r>
              <w:rPr>
                <w:rFonts w:hint="eastAsia"/>
              </w:rPr>
              <w:t>4703</w:t>
            </w:r>
          </w:p>
        </w:tc>
      </w:tr>
    </w:tbl>
    <w:p w14:paraId="2D85A863">
      <w:pPr>
        <w:pStyle w:val="4"/>
        <w:rPr>
          <w:rFonts w:hint="eastAsia"/>
        </w:rPr>
      </w:pPr>
      <w:r>
        <w:t>表</w:t>
      </w:r>
      <w:r>
        <w:rPr>
          <w:rFonts w:hint="eastAsia"/>
        </w:rPr>
        <w:t>34-45  成人教育、大中专院校录取情况</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71"/>
        <w:gridCol w:w="2030"/>
        <w:gridCol w:w="2030"/>
        <w:gridCol w:w="2031"/>
      </w:tblGrid>
      <w:tr w14:paraId="19626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37ACADB9">
            <w:pPr>
              <w:pStyle w:val="13"/>
              <w:jc w:val="center"/>
              <w:rPr>
                <w:rFonts w:hint="eastAsia"/>
                <w:b/>
              </w:rPr>
            </w:pPr>
            <w:r>
              <w:rPr>
                <w:rFonts w:hint="eastAsia"/>
                <w:b/>
              </w:rPr>
              <w:t>指标名称</w:t>
            </w:r>
          </w:p>
        </w:tc>
        <w:tc>
          <w:tcPr>
            <w:tcW w:w="1019" w:type="pct"/>
            <w:vAlign w:val="center"/>
          </w:tcPr>
          <w:p w14:paraId="3DE5698C">
            <w:pPr>
              <w:pStyle w:val="13"/>
              <w:jc w:val="center"/>
              <w:rPr>
                <w:rFonts w:hint="eastAsia"/>
                <w:b/>
              </w:rPr>
            </w:pPr>
            <w:r>
              <w:rPr>
                <w:rFonts w:hint="eastAsia"/>
                <w:b/>
              </w:rPr>
              <w:t>计算单位</w:t>
            </w:r>
          </w:p>
        </w:tc>
        <w:tc>
          <w:tcPr>
            <w:tcW w:w="1019" w:type="pct"/>
            <w:vAlign w:val="center"/>
          </w:tcPr>
          <w:p w14:paraId="28336411">
            <w:pPr>
              <w:pStyle w:val="13"/>
              <w:jc w:val="center"/>
              <w:rPr>
                <w:rFonts w:hint="eastAsia"/>
                <w:b/>
              </w:rPr>
            </w:pPr>
            <w:r>
              <w:rPr>
                <w:rFonts w:hint="eastAsia"/>
                <w:b/>
              </w:rPr>
              <w:t>2010年</w:t>
            </w:r>
          </w:p>
        </w:tc>
        <w:tc>
          <w:tcPr>
            <w:tcW w:w="1019" w:type="pct"/>
            <w:vAlign w:val="center"/>
          </w:tcPr>
          <w:p w14:paraId="1DCEAB40">
            <w:pPr>
              <w:pStyle w:val="13"/>
              <w:jc w:val="center"/>
              <w:rPr>
                <w:rFonts w:hint="eastAsia"/>
                <w:b/>
              </w:rPr>
            </w:pPr>
            <w:r>
              <w:rPr>
                <w:rFonts w:hint="eastAsia"/>
                <w:b/>
              </w:rPr>
              <w:t>比上年±％</w:t>
            </w:r>
          </w:p>
        </w:tc>
      </w:tr>
      <w:tr w14:paraId="79A01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3ABBEA67">
            <w:pPr>
              <w:pStyle w:val="13"/>
              <w:jc w:val="left"/>
              <w:rPr>
                <w:rFonts w:hint="eastAsia"/>
              </w:rPr>
            </w:pPr>
            <w:r>
              <w:rPr>
                <w:rFonts w:hint="eastAsia"/>
              </w:rPr>
              <w:t>年末在校学生</w:t>
            </w:r>
          </w:p>
        </w:tc>
        <w:tc>
          <w:tcPr>
            <w:tcW w:w="1019" w:type="pct"/>
            <w:vAlign w:val="center"/>
          </w:tcPr>
          <w:p w14:paraId="7E1293B1">
            <w:pPr>
              <w:pStyle w:val="13"/>
              <w:jc w:val="center"/>
              <w:rPr>
                <w:rFonts w:hint="eastAsia"/>
              </w:rPr>
            </w:pPr>
            <w:r>
              <w:rPr>
                <w:rFonts w:hint="eastAsia"/>
              </w:rPr>
              <w:t>人</w:t>
            </w:r>
          </w:p>
        </w:tc>
        <w:tc>
          <w:tcPr>
            <w:tcW w:w="1019" w:type="pct"/>
            <w:vAlign w:val="center"/>
          </w:tcPr>
          <w:p w14:paraId="3BA5184A">
            <w:pPr>
              <w:pStyle w:val="13"/>
              <w:jc w:val="center"/>
              <w:rPr>
                <w:rFonts w:hint="eastAsia"/>
              </w:rPr>
            </w:pPr>
            <w:r>
              <w:rPr>
                <w:rFonts w:hint="eastAsia"/>
              </w:rPr>
              <w:t>718</w:t>
            </w:r>
          </w:p>
        </w:tc>
        <w:tc>
          <w:tcPr>
            <w:tcW w:w="1019" w:type="pct"/>
            <w:vAlign w:val="center"/>
          </w:tcPr>
          <w:p w14:paraId="1C9A0D85">
            <w:pPr>
              <w:pStyle w:val="13"/>
              <w:jc w:val="center"/>
              <w:rPr>
                <w:rFonts w:hint="eastAsia"/>
              </w:rPr>
            </w:pPr>
            <w:r>
              <w:rPr>
                <w:rFonts w:hint="eastAsia"/>
              </w:rPr>
              <w:t>1.2</w:t>
            </w:r>
          </w:p>
        </w:tc>
      </w:tr>
      <w:tr w14:paraId="265460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73FE869A">
            <w:pPr>
              <w:pStyle w:val="13"/>
              <w:jc w:val="left"/>
              <w:rPr>
                <w:rFonts w:hint="eastAsia"/>
              </w:rPr>
            </w:pPr>
            <w:r>
              <w:rPr>
                <w:rFonts w:hint="eastAsia"/>
              </w:rPr>
              <w:t>当年毕业人数</w:t>
            </w:r>
          </w:p>
        </w:tc>
        <w:tc>
          <w:tcPr>
            <w:tcW w:w="1019" w:type="pct"/>
            <w:vAlign w:val="center"/>
          </w:tcPr>
          <w:p w14:paraId="75919ECB">
            <w:pPr>
              <w:pStyle w:val="13"/>
              <w:jc w:val="center"/>
              <w:rPr>
                <w:rFonts w:hint="eastAsia"/>
              </w:rPr>
            </w:pPr>
            <w:r>
              <w:rPr>
                <w:rFonts w:hint="eastAsia"/>
              </w:rPr>
              <w:t>人</w:t>
            </w:r>
          </w:p>
        </w:tc>
        <w:tc>
          <w:tcPr>
            <w:tcW w:w="1019" w:type="pct"/>
            <w:vAlign w:val="center"/>
          </w:tcPr>
          <w:p w14:paraId="68BFA98E">
            <w:pPr>
              <w:pStyle w:val="13"/>
              <w:jc w:val="center"/>
              <w:rPr>
                <w:rFonts w:hint="eastAsia"/>
              </w:rPr>
            </w:pPr>
            <w:r>
              <w:rPr>
                <w:rFonts w:hint="eastAsia"/>
              </w:rPr>
              <w:t>147</w:t>
            </w:r>
          </w:p>
        </w:tc>
        <w:tc>
          <w:tcPr>
            <w:tcW w:w="1019" w:type="pct"/>
            <w:vAlign w:val="center"/>
          </w:tcPr>
          <w:p w14:paraId="5A4198D0">
            <w:pPr>
              <w:pStyle w:val="13"/>
              <w:jc w:val="center"/>
              <w:rPr>
                <w:rFonts w:hint="eastAsia"/>
              </w:rPr>
            </w:pPr>
            <w:r>
              <w:rPr>
                <w:rFonts w:hint="eastAsia"/>
              </w:rPr>
              <w:t>-3.9</w:t>
            </w:r>
          </w:p>
        </w:tc>
      </w:tr>
      <w:tr w14:paraId="61BA5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3B7B5B3A">
            <w:pPr>
              <w:pStyle w:val="13"/>
              <w:jc w:val="left"/>
              <w:rPr>
                <w:rFonts w:hint="eastAsia"/>
              </w:rPr>
            </w:pPr>
            <w:r>
              <w:rPr>
                <w:rFonts w:hint="eastAsia"/>
              </w:rPr>
              <w:t>当年新生招生人数</w:t>
            </w:r>
          </w:p>
        </w:tc>
        <w:tc>
          <w:tcPr>
            <w:tcW w:w="1019" w:type="pct"/>
            <w:vAlign w:val="center"/>
          </w:tcPr>
          <w:p w14:paraId="20AFB4BF">
            <w:pPr>
              <w:pStyle w:val="13"/>
              <w:jc w:val="center"/>
              <w:rPr>
                <w:rFonts w:hint="eastAsia"/>
              </w:rPr>
            </w:pPr>
            <w:r>
              <w:rPr>
                <w:rFonts w:hint="eastAsia"/>
              </w:rPr>
              <w:t>人</w:t>
            </w:r>
          </w:p>
        </w:tc>
        <w:tc>
          <w:tcPr>
            <w:tcW w:w="1019" w:type="pct"/>
            <w:vAlign w:val="center"/>
          </w:tcPr>
          <w:p w14:paraId="54BF28E1">
            <w:pPr>
              <w:pStyle w:val="13"/>
              <w:jc w:val="center"/>
              <w:rPr>
                <w:rFonts w:hint="eastAsia"/>
              </w:rPr>
            </w:pPr>
            <w:r>
              <w:rPr>
                <w:rFonts w:hint="eastAsia"/>
              </w:rPr>
              <w:t>212</w:t>
            </w:r>
          </w:p>
        </w:tc>
        <w:tc>
          <w:tcPr>
            <w:tcW w:w="1019" w:type="pct"/>
            <w:vAlign w:val="center"/>
          </w:tcPr>
          <w:p w14:paraId="3B9DCD4C">
            <w:pPr>
              <w:pStyle w:val="13"/>
              <w:jc w:val="center"/>
              <w:rPr>
                <w:rFonts w:hint="eastAsia"/>
              </w:rPr>
            </w:pPr>
            <w:r>
              <w:rPr>
                <w:rFonts w:hint="eastAsia"/>
              </w:rPr>
              <w:t>1</w:t>
            </w:r>
          </w:p>
        </w:tc>
      </w:tr>
      <w:tr w14:paraId="68ED9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6EB98DE2">
            <w:pPr>
              <w:pStyle w:val="13"/>
              <w:jc w:val="left"/>
              <w:rPr>
                <w:rFonts w:hint="eastAsia"/>
              </w:rPr>
            </w:pPr>
            <w:r>
              <w:rPr>
                <w:rFonts w:hint="eastAsia"/>
              </w:rPr>
              <w:t>普通中学高考录取</w:t>
            </w:r>
          </w:p>
        </w:tc>
        <w:tc>
          <w:tcPr>
            <w:tcW w:w="1019" w:type="pct"/>
            <w:vAlign w:val="center"/>
          </w:tcPr>
          <w:p w14:paraId="6F7BC23A">
            <w:pPr>
              <w:pStyle w:val="13"/>
              <w:jc w:val="center"/>
              <w:rPr>
                <w:rFonts w:hint="eastAsia"/>
              </w:rPr>
            </w:pPr>
            <w:r>
              <w:rPr>
                <w:rFonts w:hint="eastAsia"/>
              </w:rPr>
              <w:t>人</w:t>
            </w:r>
          </w:p>
        </w:tc>
        <w:tc>
          <w:tcPr>
            <w:tcW w:w="1019" w:type="pct"/>
            <w:vAlign w:val="center"/>
          </w:tcPr>
          <w:p w14:paraId="22711AA4">
            <w:pPr>
              <w:pStyle w:val="13"/>
              <w:jc w:val="center"/>
              <w:rPr>
                <w:rFonts w:hint="eastAsia"/>
              </w:rPr>
            </w:pPr>
            <w:r>
              <w:rPr>
                <w:rFonts w:hint="eastAsia"/>
              </w:rPr>
              <w:t>2856</w:t>
            </w:r>
          </w:p>
        </w:tc>
        <w:tc>
          <w:tcPr>
            <w:tcW w:w="1019" w:type="pct"/>
            <w:vAlign w:val="center"/>
          </w:tcPr>
          <w:p w14:paraId="6FB1FD1B">
            <w:pPr>
              <w:pStyle w:val="13"/>
              <w:jc w:val="center"/>
              <w:rPr>
                <w:rFonts w:hint="eastAsia"/>
              </w:rPr>
            </w:pPr>
            <w:r>
              <w:rPr>
                <w:rFonts w:hint="eastAsia"/>
              </w:rPr>
              <w:t>2.9</w:t>
            </w:r>
          </w:p>
        </w:tc>
      </w:tr>
      <w:tr w14:paraId="459AB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2714B074">
            <w:pPr>
              <w:pStyle w:val="13"/>
              <w:ind w:firstLine="420" w:firstLineChars="200"/>
              <w:jc w:val="left"/>
              <w:rPr>
                <w:rFonts w:hint="eastAsia"/>
              </w:rPr>
            </w:pPr>
            <w:r>
              <w:rPr>
                <w:rFonts w:hint="eastAsia"/>
              </w:rPr>
              <w:t>其中：本科</w:t>
            </w:r>
          </w:p>
        </w:tc>
        <w:tc>
          <w:tcPr>
            <w:tcW w:w="1019" w:type="pct"/>
            <w:vAlign w:val="center"/>
          </w:tcPr>
          <w:p w14:paraId="131C9CD8">
            <w:pPr>
              <w:pStyle w:val="13"/>
              <w:jc w:val="center"/>
              <w:rPr>
                <w:rFonts w:hint="eastAsia"/>
              </w:rPr>
            </w:pPr>
            <w:r>
              <w:rPr>
                <w:rFonts w:hint="eastAsia"/>
              </w:rPr>
              <w:t>人</w:t>
            </w:r>
          </w:p>
        </w:tc>
        <w:tc>
          <w:tcPr>
            <w:tcW w:w="1019" w:type="pct"/>
            <w:vAlign w:val="center"/>
          </w:tcPr>
          <w:p w14:paraId="03758C94">
            <w:pPr>
              <w:pStyle w:val="13"/>
              <w:jc w:val="center"/>
              <w:rPr>
                <w:rFonts w:hint="eastAsia"/>
              </w:rPr>
            </w:pPr>
            <w:r>
              <w:rPr>
                <w:rFonts w:hint="eastAsia"/>
              </w:rPr>
              <w:t>917</w:t>
            </w:r>
          </w:p>
        </w:tc>
        <w:tc>
          <w:tcPr>
            <w:tcW w:w="1019" w:type="pct"/>
            <w:vAlign w:val="center"/>
          </w:tcPr>
          <w:p w14:paraId="39A245BF">
            <w:pPr>
              <w:pStyle w:val="13"/>
              <w:jc w:val="center"/>
              <w:rPr>
                <w:rFonts w:hint="eastAsia"/>
              </w:rPr>
            </w:pPr>
            <w:r>
              <w:rPr>
                <w:rFonts w:hint="eastAsia"/>
              </w:rPr>
              <w:t>1.5</w:t>
            </w:r>
          </w:p>
        </w:tc>
      </w:tr>
      <w:tr w14:paraId="7D443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3" w:type="pct"/>
            <w:vAlign w:val="center"/>
          </w:tcPr>
          <w:p w14:paraId="7145F60D">
            <w:pPr>
              <w:pStyle w:val="13"/>
              <w:ind w:firstLine="1050" w:firstLineChars="500"/>
              <w:jc w:val="left"/>
              <w:rPr>
                <w:rFonts w:hint="eastAsia"/>
              </w:rPr>
            </w:pPr>
            <w:r>
              <w:rPr>
                <w:rFonts w:hint="eastAsia"/>
              </w:rPr>
              <w:t>专科</w:t>
            </w:r>
          </w:p>
        </w:tc>
        <w:tc>
          <w:tcPr>
            <w:tcW w:w="1019" w:type="pct"/>
            <w:vAlign w:val="center"/>
          </w:tcPr>
          <w:p w14:paraId="1CA3653C">
            <w:pPr>
              <w:pStyle w:val="13"/>
              <w:jc w:val="center"/>
              <w:rPr>
                <w:rFonts w:hint="eastAsia"/>
              </w:rPr>
            </w:pPr>
            <w:r>
              <w:rPr>
                <w:rFonts w:hint="eastAsia"/>
              </w:rPr>
              <w:t>人</w:t>
            </w:r>
          </w:p>
        </w:tc>
        <w:tc>
          <w:tcPr>
            <w:tcW w:w="1019" w:type="pct"/>
            <w:vAlign w:val="center"/>
          </w:tcPr>
          <w:p w14:paraId="1AD81DC9">
            <w:pPr>
              <w:pStyle w:val="13"/>
              <w:jc w:val="center"/>
              <w:rPr>
                <w:rFonts w:hint="eastAsia"/>
              </w:rPr>
            </w:pPr>
            <w:r>
              <w:rPr>
                <w:rFonts w:hint="eastAsia"/>
              </w:rPr>
              <w:t>1939</w:t>
            </w:r>
          </w:p>
        </w:tc>
        <w:tc>
          <w:tcPr>
            <w:tcW w:w="1019" w:type="pct"/>
            <w:vAlign w:val="center"/>
          </w:tcPr>
          <w:p w14:paraId="4E0190E0">
            <w:pPr>
              <w:pStyle w:val="13"/>
              <w:jc w:val="center"/>
            </w:pPr>
            <w:r>
              <w:rPr>
                <w:rFonts w:hint="eastAsia"/>
              </w:rPr>
              <w:t>3.6</w:t>
            </w:r>
          </w:p>
        </w:tc>
      </w:tr>
    </w:tbl>
    <w:p w14:paraId="3C8CAE6A">
      <w:pPr>
        <w:pStyle w:val="4"/>
        <w:rPr>
          <w:rFonts w:hint="eastAsia"/>
        </w:rPr>
      </w:pPr>
      <w:r>
        <w:t>表</w:t>
      </w:r>
      <w:r>
        <w:rPr>
          <w:rFonts w:hint="eastAsia"/>
        </w:rPr>
        <w:t>34-46  体育文化事业情况</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12"/>
        <w:gridCol w:w="2525"/>
        <w:gridCol w:w="2525"/>
      </w:tblGrid>
      <w:tr w14:paraId="05BD2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4FF9C7AA">
            <w:pPr>
              <w:pStyle w:val="13"/>
              <w:jc w:val="center"/>
              <w:rPr>
                <w:rFonts w:hint="eastAsia"/>
                <w:b/>
              </w:rPr>
            </w:pPr>
            <w:r>
              <w:rPr>
                <w:rFonts w:hint="eastAsia"/>
                <w:b/>
              </w:rPr>
              <w:t>指标名称</w:t>
            </w:r>
          </w:p>
        </w:tc>
        <w:tc>
          <w:tcPr>
            <w:tcW w:w="1267" w:type="pct"/>
            <w:vAlign w:val="center"/>
          </w:tcPr>
          <w:p w14:paraId="77799E08">
            <w:pPr>
              <w:pStyle w:val="13"/>
              <w:jc w:val="center"/>
              <w:rPr>
                <w:rFonts w:hint="eastAsia"/>
                <w:b/>
              </w:rPr>
            </w:pPr>
            <w:r>
              <w:rPr>
                <w:rFonts w:hint="eastAsia"/>
                <w:b/>
              </w:rPr>
              <w:t>计算单位</w:t>
            </w:r>
          </w:p>
        </w:tc>
        <w:tc>
          <w:tcPr>
            <w:tcW w:w="1267" w:type="pct"/>
            <w:vAlign w:val="center"/>
          </w:tcPr>
          <w:p w14:paraId="422E4DDE">
            <w:pPr>
              <w:pStyle w:val="13"/>
              <w:jc w:val="center"/>
              <w:rPr>
                <w:rFonts w:hint="eastAsia"/>
                <w:b/>
              </w:rPr>
            </w:pPr>
            <w:r>
              <w:rPr>
                <w:rFonts w:hint="eastAsia"/>
                <w:b/>
              </w:rPr>
              <w:t>2010年</w:t>
            </w:r>
          </w:p>
        </w:tc>
      </w:tr>
      <w:tr w14:paraId="2BC52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5CD01CE8">
            <w:pPr>
              <w:pStyle w:val="13"/>
              <w:jc w:val="left"/>
              <w:rPr>
                <w:rFonts w:hint="eastAsia"/>
              </w:rPr>
            </w:pPr>
            <w:r>
              <w:rPr>
                <w:rFonts w:hint="eastAsia"/>
              </w:rPr>
              <w:t>体育场</w:t>
            </w:r>
          </w:p>
        </w:tc>
        <w:tc>
          <w:tcPr>
            <w:tcW w:w="1267" w:type="pct"/>
            <w:vAlign w:val="center"/>
          </w:tcPr>
          <w:p w14:paraId="35C03A7B">
            <w:pPr>
              <w:pStyle w:val="13"/>
              <w:jc w:val="center"/>
              <w:rPr>
                <w:rFonts w:hint="eastAsia"/>
              </w:rPr>
            </w:pPr>
            <w:r>
              <w:rPr>
                <w:rFonts w:hint="eastAsia"/>
              </w:rPr>
              <w:t>个</w:t>
            </w:r>
          </w:p>
        </w:tc>
        <w:tc>
          <w:tcPr>
            <w:tcW w:w="1267" w:type="pct"/>
            <w:vAlign w:val="center"/>
          </w:tcPr>
          <w:p w14:paraId="0FD75478">
            <w:pPr>
              <w:pStyle w:val="13"/>
              <w:jc w:val="center"/>
              <w:rPr>
                <w:rFonts w:hint="eastAsia"/>
              </w:rPr>
            </w:pPr>
            <w:r>
              <w:rPr>
                <w:rFonts w:hint="eastAsia"/>
              </w:rPr>
              <w:t>12</w:t>
            </w:r>
          </w:p>
        </w:tc>
      </w:tr>
      <w:tr w14:paraId="12E38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3B45688E">
            <w:pPr>
              <w:pStyle w:val="13"/>
              <w:jc w:val="left"/>
              <w:rPr>
                <w:rFonts w:hint="eastAsia"/>
              </w:rPr>
            </w:pPr>
            <w:r>
              <w:rPr>
                <w:rFonts w:hint="eastAsia"/>
              </w:rPr>
              <w:t>250米田径场</w:t>
            </w:r>
          </w:p>
        </w:tc>
        <w:tc>
          <w:tcPr>
            <w:tcW w:w="1267" w:type="pct"/>
            <w:vAlign w:val="center"/>
          </w:tcPr>
          <w:p w14:paraId="70A8D5D1">
            <w:pPr>
              <w:pStyle w:val="13"/>
              <w:jc w:val="center"/>
              <w:rPr>
                <w:rFonts w:hint="eastAsia"/>
              </w:rPr>
            </w:pPr>
            <w:r>
              <w:rPr>
                <w:rFonts w:hint="eastAsia"/>
              </w:rPr>
              <w:t>个</w:t>
            </w:r>
          </w:p>
        </w:tc>
        <w:tc>
          <w:tcPr>
            <w:tcW w:w="1267" w:type="pct"/>
            <w:vAlign w:val="center"/>
          </w:tcPr>
          <w:p w14:paraId="3379DE2E">
            <w:pPr>
              <w:pStyle w:val="13"/>
              <w:jc w:val="center"/>
              <w:rPr>
                <w:rFonts w:hint="eastAsia"/>
              </w:rPr>
            </w:pPr>
            <w:r>
              <w:rPr>
                <w:rFonts w:hint="eastAsia"/>
              </w:rPr>
              <w:t>28</w:t>
            </w:r>
          </w:p>
        </w:tc>
      </w:tr>
      <w:tr w14:paraId="6DAE6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7D0473D4">
            <w:pPr>
              <w:pStyle w:val="13"/>
              <w:jc w:val="left"/>
              <w:rPr>
                <w:rFonts w:hint="eastAsia"/>
              </w:rPr>
            </w:pPr>
            <w:r>
              <w:rPr>
                <w:rFonts w:hint="eastAsia"/>
              </w:rPr>
              <w:t>全市各单位举办运动会数</w:t>
            </w:r>
          </w:p>
        </w:tc>
        <w:tc>
          <w:tcPr>
            <w:tcW w:w="1267" w:type="pct"/>
            <w:vAlign w:val="center"/>
          </w:tcPr>
          <w:p w14:paraId="48620F93">
            <w:pPr>
              <w:pStyle w:val="13"/>
              <w:jc w:val="center"/>
              <w:rPr>
                <w:rFonts w:hint="eastAsia"/>
              </w:rPr>
            </w:pPr>
            <w:r>
              <w:rPr>
                <w:rFonts w:hint="eastAsia"/>
              </w:rPr>
              <w:t>次</w:t>
            </w:r>
          </w:p>
        </w:tc>
        <w:tc>
          <w:tcPr>
            <w:tcW w:w="1267" w:type="pct"/>
            <w:vAlign w:val="center"/>
          </w:tcPr>
          <w:p w14:paraId="1C884002">
            <w:pPr>
              <w:pStyle w:val="13"/>
              <w:jc w:val="center"/>
              <w:rPr>
                <w:rFonts w:hint="eastAsia"/>
              </w:rPr>
            </w:pPr>
            <w:r>
              <w:rPr>
                <w:rFonts w:hint="eastAsia"/>
              </w:rPr>
              <w:t>48</w:t>
            </w:r>
          </w:p>
        </w:tc>
      </w:tr>
      <w:tr w14:paraId="4125D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65A56203">
            <w:pPr>
              <w:pStyle w:val="13"/>
              <w:jc w:val="left"/>
              <w:rPr>
                <w:rFonts w:hint="eastAsia"/>
              </w:rPr>
            </w:pPr>
            <w:r>
              <w:rPr>
                <w:rFonts w:hint="eastAsia"/>
              </w:rPr>
              <w:t>参加运动比赛人数</w:t>
            </w:r>
          </w:p>
        </w:tc>
        <w:tc>
          <w:tcPr>
            <w:tcW w:w="1267" w:type="pct"/>
            <w:vAlign w:val="center"/>
          </w:tcPr>
          <w:p w14:paraId="6A6201D8">
            <w:pPr>
              <w:pStyle w:val="13"/>
              <w:jc w:val="center"/>
              <w:rPr>
                <w:rFonts w:hint="eastAsia"/>
              </w:rPr>
            </w:pPr>
            <w:r>
              <w:rPr>
                <w:rFonts w:hint="eastAsia"/>
              </w:rPr>
              <w:t>人次</w:t>
            </w:r>
          </w:p>
        </w:tc>
        <w:tc>
          <w:tcPr>
            <w:tcW w:w="1267" w:type="pct"/>
            <w:vAlign w:val="center"/>
          </w:tcPr>
          <w:p w14:paraId="2F87B02E">
            <w:pPr>
              <w:pStyle w:val="13"/>
              <w:jc w:val="center"/>
              <w:rPr>
                <w:rFonts w:hint="eastAsia"/>
              </w:rPr>
            </w:pPr>
            <w:r>
              <w:rPr>
                <w:rFonts w:hint="eastAsia"/>
              </w:rPr>
              <w:t>34170</w:t>
            </w:r>
          </w:p>
        </w:tc>
      </w:tr>
      <w:tr w14:paraId="309B6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0D9B6453">
            <w:pPr>
              <w:pStyle w:val="13"/>
              <w:jc w:val="left"/>
              <w:rPr>
                <w:rFonts w:hint="eastAsia"/>
              </w:rPr>
            </w:pPr>
            <w:r>
              <w:rPr>
                <w:rFonts w:hint="eastAsia"/>
              </w:rPr>
              <w:t>参加地级市以上竞赛获奖牌数</w:t>
            </w:r>
          </w:p>
        </w:tc>
        <w:tc>
          <w:tcPr>
            <w:tcW w:w="1267" w:type="pct"/>
            <w:vAlign w:val="center"/>
          </w:tcPr>
          <w:p w14:paraId="207B0DE3">
            <w:pPr>
              <w:pStyle w:val="13"/>
              <w:jc w:val="center"/>
              <w:rPr>
                <w:rFonts w:hint="eastAsia"/>
              </w:rPr>
            </w:pPr>
            <w:r>
              <w:rPr>
                <w:rFonts w:hint="eastAsia"/>
              </w:rPr>
              <w:t>枚</w:t>
            </w:r>
          </w:p>
        </w:tc>
        <w:tc>
          <w:tcPr>
            <w:tcW w:w="1267" w:type="pct"/>
            <w:vAlign w:val="center"/>
          </w:tcPr>
          <w:p w14:paraId="30A30731">
            <w:pPr>
              <w:pStyle w:val="13"/>
              <w:jc w:val="center"/>
              <w:rPr>
                <w:rFonts w:hint="eastAsia"/>
              </w:rPr>
            </w:pPr>
            <w:r>
              <w:rPr>
                <w:rFonts w:hint="eastAsia"/>
              </w:rPr>
              <w:t>45</w:t>
            </w:r>
          </w:p>
        </w:tc>
      </w:tr>
      <w:tr w14:paraId="2CBE8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031B5E08">
            <w:pPr>
              <w:pStyle w:val="13"/>
              <w:ind w:firstLine="420" w:firstLineChars="200"/>
              <w:jc w:val="left"/>
              <w:rPr>
                <w:rFonts w:hint="eastAsia"/>
              </w:rPr>
            </w:pPr>
            <w:r>
              <w:rPr>
                <w:rFonts w:hint="eastAsia"/>
              </w:rPr>
              <w:t>其中：金牌</w:t>
            </w:r>
          </w:p>
        </w:tc>
        <w:tc>
          <w:tcPr>
            <w:tcW w:w="1267" w:type="pct"/>
            <w:vAlign w:val="center"/>
          </w:tcPr>
          <w:p w14:paraId="607DD087">
            <w:pPr>
              <w:pStyle w:val="13"/>
              <w:jc w:val="center"/>
              <w:rPr>
                <w:rFonts w:hint="eastAsia"/>
              </w:rPr>
            </w:pPr>
            <w:r>
              <w:rPr>
                <w:rFonts w:hint="eastAsia"/>
              </w:rPr>
              <w:t>枚</w:t>
            </w:r>
          </w:p>
        </w:tc>
        <w:tc>
          <w:tcPr>
            <w:tcW w:w="1267" w:type="pct"/>
            <w:vAlign w:val="center"/>
          </w:tcPr>
          <w:p w14:paraId="36BC563C">
            <w:pPr>
              <w:pStyle w:val="13"/>
              <w:jc w:val="center"/>
              <w:rPr>
                <w:rFonts w:hint="eastAsia"/>
              </w:rPr>
            </w:pPr>
            <w:r>
              <w:rPr>
                <w:rFonts w:hint="eastAsia"/>
              </w:rPr>
              <w:t>21</w:t>
            </w:r>
          </w:p>
        </w:tc>
      </w:tr>
      <w:tr w14:paraId="6209E4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64D84DF7">
            <w:pPr>
              <w:pStyle w:val="13"/>
              <w:ind w:firstLine="1050" w:firstLineChars="500"/>
              <w:jc w:val="left"/>
              <w:rPr>
                <w:rFonts w:hint="eastAsia"/>
              </w:rPr>
            </w:pPr>
            <w:r>
              <w:rPr>
                <w:rFonts w:hint="eastAsia"/>
              </w:rPr>
              <w:t>银牌</w:t>
            </w:r>
          </w:p>
        </w:tc>
        <w:tc>
          <w:tcPr>
            <w:tcW w:w="1267" w:type="pct"/>
            <w:vAlign w:val="center"/>
          </w:tcPr>
          <w:p w14:paraId="7478FCB9">
            <w:pPr>
              <w:pStyle w:val="13"/>
              <w:jc w:val="center"/>
              <w:rPr>
                <w:rFonts w:hint="eastAsia"/>
              </w:rPr>
            </w:pPr>
            <w:r>
              <w:rPr>
                <w:rFonts w:hint="eastAsia"/>
              </w:rPr>
              <w:t>枚</w:t>
            </w:r>
          </w:p>
        </w:tc>
        <w:tc>
          <w:tcPr>
            <w:tcW w:w="1267" w:type="pct"/>
            <w:vAlign w:val="center"/>
          </w:tcPr>
          <w:p w14:paraId="1CD29E94">
            <w:pPr>
              <w:pStyle w:val="13"/>
              <w:jc w:val="center"/>
              <w:rPr>
                <w:rFonts w:hint="eastAsia"/>
              </w:rPr>
            </w:pPr>
            <w:r>
              <w:rPr>
                <w:rFonts w:hint="eastAsia"/>
              </w:rPr>
              <w:t>13</w:t>
            </w:r>
          </w:p>
        </w:tc>
      </w:tr>
      <w:tr w14:paraId="5168F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025B612E">
            <w:pPr>
              <w:pStyle w:val="13"/>
              <w:ind w:firstLine="1050" w:firstLineChars="500"/>
              <w:jc w:val="left"/>
              <w:rPr>
                <w:rFonts w:hint="eastAsia"/>
              </w:rPr>
            </w:pPr>
            <w:r>
              <w:rPr>
                <w:rFonts w:hint="eastAsia"/>
              </w:rPr>
              <w:t>铜牌</w:t>
            </w:r>
          </w:p>
        </w:tc>
        <w:tc>
          <w:tcPr>
            <w:tcW w:w="1267" w:type="pct"/>
            <w:vAlign w:val="center"/>
          </w:tcPr>
          <w:p w14:paraId="0E1F57E4">
            <w:pPr>
              <w:pStyle w:val="13"/>
              <w:jc w:val="center"/>
              <w:rPr>
                <w:rFonts w:hint="eastAsia"/>
              </w:rPr>
            </w:pPr>
            <w:r>
              <w:rPr>
                <w:rFonts w:hint="eastAsia"/>
              </w:rPr>
              <w:t>枚</w:t>
            </w:r>
          </w:p>
        </w:tc>
        <w:tc>
          <w:tcPr>
            <w:tcW w:w="1267" w:type="pct"/>
            <w:vAlign w:val="center"/>
          </w:tcPr>
          <w:p w14:paraId="3D898D4F">
            <w:pPr>
              <w:pStyle w:val="13"/>
              <w:jc w:val="center"/>
              <w:rPr>
                <w:rFonts w:hint="eastAsia"/>
              </w:rPr>
            </w:pPr>
            <w:r>
              <w:rPr>
                <w:rFonts w:hint="eastAsia"/>
              </w:rPr>
              <w:t>11</w:t>
            </w:r>
          </w:p>
        </w:tc>
      </w:tr>
      <w:tr w14:paraId="6EA728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488150AD">
            <w:pPr>
              <w:pStyle w:val="13"/>
              <w:jc w:val="left"/>
              <w:rPr>
                <w:rFonts w:hint="eastAsia"/>
              </w:rPr>
            </w:pPr>
            <w:r>
              <w:rPr>
                <w:rFonts w:hint="eastAsia"/>
              </w:rPr>
              <w:t>市级图书馆藏书</w:t>
            </w:r>
          </w:p>
        </w:tc>
        <w:tc>
          <w:tcPr>
            <w:tcW w:w="1267" w:type="pct"/>
            <w:vAlign w:val="center"/>
          </w:tcPr>
          <w:p w14:paraId="49F08439">
            <w:pPr>
              <w:pStyle w:val="13"/>
              <w:jc w:val="center"/>
              <w:rPr>
                <w:rFonts w:hint="eastAsia"/>
              </w:rPr>
            </w:pPr>
            <w:r>
              <w:rPr>
                <w:rFonts w:hint="eastAsia"/>
              </w:rPr>
              <w:t>册</w:t>
            </w:r>
          </w:p>
        </w:tc>
        <w:tc>
          <w:tcPr>
            <w:tcW w:w="1267" w:type="pct"/>
            <w:vAlign w:val="center"/>
          </w:tcPr>
          <w:p w14:paraId="1CFAF6DC">
            <w:pPr>
              <w:pStyle w:val="13"/>
              <w:jc w:val="center"/>
              <w:rPr>
                <w:rFonts w:hint="eastAsia"/>
              </w:rPr>
            </w:pPr>
            <w:r>
              <w:rPr>
                <w:rFonts w:hint="eastAsia"/>
              </w:rPr>
              <w:t>80145</w:t>
            </w:r>
          </w:p>
        </w:tc>
      </w:tr>
      <w:tr w14:paraId="195D0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785BFC7E">
            <w:pPr>
              <w:pStyle w:val="13"/>
              <w:ind w:firstLine="420" w:firstLineChars="200"/>
              <w:jc w:val="left"/>
              <w:rPr>
                <w:rFonts w:hint="eastAsia"/>
              </w:rPr>
            </w:pPr>
            <w:r>
              <w:rPr>
                <w:rFonts w:hint="eastAsia"/>
              </w:rPr>
              <w:t>其中：古籍</w:t>
            </w:r>
          </w:p>
        </w:tc>
        <w:tc>
          <w:tcPr>
            <w:tcW w:w="1267" w:type="pct"/>
            <w:vAlign w:val="center"/>
          </w:tcPr>
          <w:p w14:paraId="39BD5D74">
            <w:pPr>
              <w:pStyle w:val="13"/>
              <w:jc w:val="center"/>
              <w:rPr>
                <w:rFonts w:hint="eastAsia"/>
              </w:rPr>
            </w:pPr>
            <w:r>
              <w:rPr>
                <w:rFonts w:hint="eastAsia"/>
              </w:rPr>
              <w:t>册</w:t>
            </w:r>
          </w:p>
        </w:tc>
        <w:tc>
          <w:tcPr>
            <w:tcW w:w="1267" w:type="pct"/>
            <w:vAlign w:val="center"/>
          </w:tcPr>
          <w:p w14:paraId="7AB1154B">
            <w:pPr>
              <w:pStyle w:val="13"/>
              <w:jc w:val="center"/>
            </w:pPr>
            <w:r>
              <w:rPr>
                <w:rFonts w:hint="eastAsia"/>
              </w:rPr>
              <w:t>46</w:t>
            </w:r>
          </w:p>
        </w:tc>
      </w:tr>
    </w:tbl>
    <w:p w14:paraId="0EA670D6">
      <w:pPr>
        <w:pStyle w:val="4"/>
        <w:rPr>
          <w:rFonts w:hint="eastAsia"/>
        </w:rPr>
      </w:pPr>
      <w:r>
        <w:t>表</w:t>
      </w:r>
      <w:r>
        <w:rPr>
          <w:rFonts w:hint="eastAsia"/>
        </w:rPr>
        <w:t>34-47  环境保护情况</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12"/>
        <w:gridCol w:w="2525"/>
        <w:gridCol w:w="2525"/>
      </w:tblGrid>
      <w:tr w14:paraId="71402D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1A63B45B">
            <w:pPr>
              <w:pStyle w:val="13"/>
              <w:jc w:val="center"/>
              <w:rPr>
                <w:rFonts w:hint="eastAsia"/>
                <w:b/>
              </w:rPr>
            </w:pPr>
            <w:r>
              <w:rPr>
                <w:rFonts w:hint="eastAsia"/>
                <w:b/>
              </w:rPr>
              <w:t>指标名称</w:t>
            </w:r>
          </w:p>
        </w:tc>
        <w:tc>
          <w:tcPr>
            <w:tcW w:w="1267" w:type="pct"/>
            <w:vAlign w:val="center"/>
          </w:tcPr>
          <w:p w14:paraId="0CF8E705">
            <w:pPr>
              <w:pStyle w:val="13"/>
              <w:jc w:val="center"/>
              <w:rPr>
                <w:rFonts w:hint="eastAsia"/>
                <w:b/>
              </w:rPr>
            </w:pPr>
            <w:r>
              <w:rPr>
                <w:rFonts w:hint="eastAsia"/>
                <w:b/>
              </w:rPr>
              <w:t>计算单位</w:t>
            </w:r>
          </w:p>
        </w:tc>
        <w:tc>
          <w:tcPr>
            <w:tcW w:w="1267" w:type="pct"/>
            <w:vAlign w:val="center"/>
          </w:tcPr>
          <w:p w14:paraId="26F02F7D">
            <w:pPr>
              <w:pStyle w:val="13"/>
              <w:jc w:val="center"/>
              <w:rPr>
                <w:rFonts w:hint="eastAsia"/>
                <w:b/>
              </w:rPr>
            </w:pPr>
            <w:r>
              <w:rPr>
                <w:rFonts w:hint="eastAsia"/>
                <w:b/>
              </w:rPr>
              <w:t>2010年</w:t>
            </w:r>
          </w:p>
        </w:tc>
      </w:tr>
      <w:tr w14:paraId="7CDD5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768F05A9">
            <w:pPr>
              <w:pStyle w:val="13"/>
              <w:jc w:val="left"/>
              <w:rPr>
                <w:rFonts w:hint="eastAsia"/>
              </w:rPr>
            </w:pPr>
            <w:r>
              <w:rPr>
                <w:rFonts w:hint="eastAsia"/>
              </w:rPr>
              <w:t>一、废水排放量</w:t>
            </w:r>
          </w:p>
        </w:tc>
        <w:tc>
          <w:tcPr>
            <w:tcW w:w="1267" w:type="pct"/>
            <w:vAlign w:val="center"/>
          </w:tcPr>
          <w:p w14:paraId="3D0A95D2">
            <w:pPr>
              <w:pStyle w:val="13"/>
              <w:jc w:val="center"/>
              <w:rPr>
                <w:rFonts w:hint="eastAsia"/>
              </w:rPr>
            </w:pPr>
            <w:r>
              <w:rPr>
                <w:rFonts w:hint="eastAsia"/>
              </w:rPr>
              <w:t>万吨</w:t>
            </w:r>
          </w:p>
        </w:tc>
        <w:tc>
          <w:tcPr>
            <w:tcW w:w="1267" w:type="pct"/>
            <w:vAlign w:val="center"/>
          </w:tcPr>
          <w:p w14:paraId="21C5F922">
            <w:pPr>
              <w:pStyle w:val="13"/>
              <w:jc w:val="center"/>
              <w:rPr>
                <w:rFonts w:hint="eastAsia"/>
              </w:rPr>
            </w:pPr>
            <w:r>
              <w:rPr>
                <w:rFonts w:hint="eastAsia"/>
              </w:rPr>
              <w:t>893.21</w:t>
            </w:r>
          </w:p>
        </w:tc>
      </w:tr>
      <w:tr w14:paraId="4EDDF0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2100CFDE">
            <w:pPr>
              <w:pStyle w:val="13"/>
              <w:ind w:firstLine="420" w:firstLineChars="200"/>
              <w:jc w:val="left"/>
              <w:rPr>
                <w:rFonts w:hint="eastAsia"/>
              </w:rPr>
            </w:pPr>
            <w:r>
              <w:rPr>
                <w:rFonts w:hint="eastAsia"/>
              </w:rPr>
              <w:t>其中：工业废水</w:t>
            </w:r>
          </w:p>
        </w:tc>
        <w:tc>
          <w:tcPr>
            <w:tcW w:w="1267" w:type="pct"/>
            <w:vAlign w:val="center"/>
          </w:tcPr>
          <w:p w14:paraId="045FAF71">
            <w:pPr>
              <w:pStyle w:val="13"/>
              <w:jc w:val="center"/>
              <w:rPr>
                <w:rFonts w:hint="eastAsia"/>
              </w:rPr>
            </w:pPr>
            <w:r>
              <w:rPr>
                <w:rFonts w:hint="eastAsia"/>
              </w:rPr>
              <w:t>万吨</w:t>
            </w:r>
          </w:p>
        </w:tc>
        <w:tc>
          <w:tcPr>
            <w:tcW w:w="1267" w:type="pct"/>
            <w:vAlign w:val="center"/>
          </w:tcPr>
          <w:p w14:paraId="3B216CA5">
            <w:pPr>
              <w:pStyle w:val="13"/>
              <w:jc w:val="center"/>
              <w:rPr>
                <w:rFonts w:hint="eastAsia"/>
              </w:rPr>
            </w:pPr>
            <w:r>
              <w:rPr>
                <w:rFonts w:hint="eastAsia"/>
              </w:rPr>
              <w:t>425.64</w:t>
            </w:r>
          </w:p>
        </w:tc>
      </w:tr>
      <w:tr w14:paraId="714D4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46AB4D44">
            <w:pPr>
              <w:pStyle w:val="13"/>
              <w:jc w:val="left"/>
              <w:rPr>
                <w:rFonts w:hint="eastAsia"/>
              </w:rPr>
            </w:pPr>
            <w:r>
              <w:rPr>
                <w:rFonts w:hint="eastAsia"/>
              </w:rPr>
              <w:t>二、工业废气排放量</w:t>
            </w:r>
          </w:p>
        </w:tc>
        <w:tc>
          <w:tcPr>
            <w:tcW w:w="1267" w:type="pct"/>
            <w:vAlign w:val="center"/>
          </w:tcPr>
          <w:p w14:paraId="7803584D">
            <w:pPr>
              <w:pStyle w:val="13"/>
              <w:jc w:val="center"/>
              <w:rPr>
                <w:rFonts w:hint="eastAsia"/>
              </w:rPr>
            </w:pPr>
            <w:r>
              <w:rPr>
                <w:rFonts w:hint="eastAsia"/>
              </w:rPr>
              <w:t>万标立方米</w:t>
            </w:r>
          </w:p>
        </w:tc>
        <w:tc>
          <w:tcPr>
            <w:tcW w:w="1267" w:type="pct"/>
            <w:vAlign w:val="center"/>
          </w:tcPr>
          <w:p w14:paraId="2AC99243">
            <w:pPr>
              <w:pStyle w:val="13"/>
              <w:jc w:val="center"/>
              <w:rPr>
                <w:rFonts w:hint="eastAsia"/>
              </w:rPr>
            </w:pPr>
            <w:r>
              <w:rPr>
                <w:rFonts w:hint="eastAsia"/>
              </w:rPr>
              <w:t>77785</w:t>
            </w:r>
          </w:p>
        </w:tc>
      </w:tr>
      <w:tr w14:paraId="39738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4D4D97D9">
            <w:pPr>
              <w:pStyle w:val="13"/>
              <w:jc w:val="left"/>
              <w:rPr>
                <w:rFonts w:hint="eastAsia"/>
              </w:rPr>
            </w:pPr>
            <w:r>
              <w:rPr>
                <w:rFonts w:hint="eastAsia"/>
              </w:rPr>
              <w:t>三、工业烟、粉尘排放量</w:t>
            </w:r>
          </w:p>
        </w:tc>
        <w:tc>
          <w:tcPr>
            <w:tcW w:w="1267" w:type="pct"/>
            <w:vAlign w:val="center"/>
          </w:tcPr>
          <w:p w14:paraId="421481FD">
            <w:pPr>
              <w:pStyle w:val="13"/>
              <w:jc w:val="center"/>
              <w:rPr>
                <w:rFonts w:hint="eastAsia"/>
              </w:rPr>
            </w:pPr>
            <w:r>
              <w:rPr>
                <w:rFonts w:hint="eastAsia"/>
              </w:rPr>
              <w:t>吨</w:t>
            </w:r>
          </w:p>
        </w:tc>
        <w:tc>
          <w:tcPr>
            <w:tcW w:w="1267" w:type="pct"/>
            <w:vAlign w:val="center"/>
          </w:tcPr>
          <w:p w14:paraId="323E40C9">
            <w:pPr>
              <w:pStyle w:val="13"/>
              <w:jc w:val="center"/>
              <w:rPr>
                <w:rFonts w:hint="eastAsia"/>
              </w:rPr>
            </w:pPr>
            <w:r>
              <w:rPr>
                <w:rFonts w:hint="eastAsia"/>
              </w:rPr>
              <w:t>594.14</w:t>
            </w:r>
          </w:p>
        </w:tc>
      </w:tr>
      <w:tr w14:paraId="39FA6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05EA0EBA">
            <w:pPr>
              <w:pStyle w:val="13"/>
              <w:ind w:firstLine="420" w:firstLineChars="200"/>
              <w:jc w:val="left"/>
              <w:rPr>
                <w:rFonts w:hint="eastAsia"/>
              </w:rPr>
            </w:pPr>
            <w:r>
              <w:rPr>
                <w:rFonts w:hint="eastAsia"/>
              </w:rPr>
              <w:t>工业烟、粉尘去除量</w:t>
            </w:r>
          </w:p>
        </w:tc>
        <w:tc>
          <w:tcPr>
            <w:tcW w:w="1267" w:type="pct"/>
            <w:vAlign w:val="center"/>
          </w:tcPr>
          <w:p w14:paraId="3287AFCE">
            <w:pPr>
              <w:pStyle w:val="13"/>
              <w:jc w:val="center"/>
              <w:rPr>
                <w:rFonts w:hint="eastAsia"/>
              </w:rPr>
            </w:pPr>
            <w:r>
              <w:rPr>
                <w:rFonts w:hint="eastAsia"/>
              </w:rPr>
              <w:t>吨</w:t>
            </w:r>
          </w:p>
        </w:tc>
        <w:tc>
          <w:tcPr>
            <w:tcW w:w="1267" w:type="pct"/>
            <w:vAlign w:val="center"/>
          </w:tcPr>
          <w:p w14:paraId="0F8A7918">
            <w:pPr>
              <w:pStyle w:val="13"/>
              <w:jc w:val="center"/>
              <w:rPr>
                <w:rFonts w:hint="eastAsia"/>
              </w:rPr>
            </w:pPr>
            <w:r>
              <w:rPr>
                <w:rFonts w:hint="eastAsia"/>
              </w:rPr>
              <w:t>1397.05</w:t>
            </w:r>
          </w:p>
        </w:tc>
      </w:tr>
      <w:tr w14:paraId="2F278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29F7C8F7">
            <w:pPr>
              <w:pStyle w:val="13"/>
              <w:jc w:val="left"/>
              <w:rPr>
                <w:rFonts w:hint="eastAsia"/>
              </w:rPr>
            </w:pPr>
            <w:r>
              <w:rPr>
                <w:rFonts w:hint="eastAsia"/>
              </w:rPr>
              <w:t>四、工业固体废物综合利用率</w:t>
            </w:r>
          </w:p>
        </w:tc>
        <w:tc>
          <w:tcPr>
            <w:tcW w:w="1267" w:type="pct"/>
            <w:vAlign w:val="center"/>
          </w:tcPr>
          <w:p w14:paraId="0BE21BF6">
            <w:pPr>
              <w:pStyle w:val="13"/>
              <w:jc w:val="center"/>
              <w:rPr>
                <w:rFonts w:hint="eastAsia"/>
              </w:rPr>
            </w:pPr>
            <w:r>
              <w:rPr>
                <w:rFonts w:hint="eastAsia"/>
              </w:rPr>
              <w:t>%</w:t>
            </w:r>
          </w:p>
        </w:tc>
        <w:tc>
          <w:tcPr>
            <w:tcW w:w="1267" w:type="pct"/>
            <w:vAlign w:val="center"/>
          </w:tcPr>
          <w:p w14:paraId="2F8F1DAC">
            <w:pPr>
              <w:pStyle w:val="13"/>
              <w:jc w:val="center"/>
              <w:rPr>
                <w:rFonts w:hint="eastAsia"/>
              </w:rPr>
            </w:pPr>
            <w:r>
              <w:rPr>
                <w:rFonts w:hint="eastAsia"/>
              </w:rPr>
              <w:t>84.02</w:t>
            </w:r>
          </w:p>
        </w:tc>
      </w:tr>
      <w:tr w14:paraId="35022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4E52C5C8">
            <w:pPr>
              <w:pStyle w:val="13"/>
              <w:jc w:val="left"/>
              <w:rPr>
                <w:rFonts w:hint="eastAsia"/>
              </w:rPr>
            </w:pPr>
            <w:r>
              <w:rPr>
                <w:rFonts w:hint="eastAsia"/>
              </w:rPr>
              <w:t>五、生活污水处理率</w:t>
            </w:r>
          </w:p>
        </w:tc>
        <w:tc>
          <w:tcPr>
            <w:tcW w:w="1267" w:type="pct"/>
            <w:vAlign w:val="center"/>
          </w:tcPr>
          <w:p w14:paraId="283BBA2E">
            <w:pPr>
              <w:pStyle w:val="13"/>
              <w:jc w:val="center"/>
              <w:rPr>
                <w:rFonts w:hint="eastAsia"/>
              </w:rPr>
            </w:pPr>
            <w:r>
              <w:rPr>
                <w:rFonts w:hint="eastAsia"/>
              </w:rPr>
              <w:t>%</w:t>
            </w:r>
          </w:p>
        </w:tc>
        <w:tc>
          <w:tcPr>
            <w:tcW w:w="1267" w:type="pct"/>
            <w:vAlign w:val="center"/>
          </w:tcPr>
          <w:p w14:paraId="10EF70DA">
            <w:pPr>
              <w:pStyle w:val="13"/>
              <w:jc w:val="center"/>
              <w:rPr>
                <w:rFonts w:hint="eastAsia"/>
              </w:rPr>
            </w:pPr>
            <w:r>
              <w:rPr>
                <w:rFonts w:hint="eastAsia"/>
              </w:rPr>
              <w:t>86</w:t>
            </w:r>
          </w:p>
        </w:tc>
      </w:tr>
      <w:tr w14:paraId="1C26A8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28559A8D">
            <w:pPr>
              <w:pStyle w:val="13"/>
              <w:jc w:val="left"/>
              <w:rPr>
                <w:rFonts w:hint="eastAsia"/>
              </w:rPr>
            </w:pPr>
            <w:r>
              <w:rPr>
                <w:rFonts w:hint="eastAsia"/>
              </w:rPr>
              <w:t>六、污染治理资金使用</w:t>
            </w:r>
          </w:p>
        </w:tc>
        <w:tc>
          <w:tcPr>
            <w:tcW w:w="1267" w:type="pct"/>
            <w:vAlign w:val="center"/>
          </w:tcPr>
          <w:p w14:paraId="11B25677">
            <w:pPr>
              <w:pStyle w:val="13"/>
              <w:jc w:val="center"/>
              <w:rPr>
                <w:rFonts w:hint="eastAsia"/>
              </w:rPr>
            </w:pPr>
            <w:r>
              <w:rPr>
                <w:rFonts w:hint="eastAsia"/>
              </w:rPr>
              <w:t>万元</w:t>
            </w:r>
          </w:p>
        </w:tc>
        <w:tc>
          <w:tcPr>
            <w:tcW w:w="1267" w:type="pct"/>
            <w:vAlign w:val="center"/>
          </w:tcPr>
          <w:p w14:paraId="33381B06">
            <w:pPr>
              <w:pStyle w:val="13"/>
              <w:jc w:val="center"/>
              <w:rPr>
                <w:rFonts w:hint="eastAsia"/>
              </w:rPr>
            </w:pPr>
            <w:r>
              <w:rPr>
                <w:rFonts w:hint="eastAsia"/>
              </w:rPr>
              <w:t>173.8</w:t>
            </w:r>
          </w:p>
        </w:tc>
      </w:tr>
      <w:tr w14:paraId="1532DE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1276233A">
            <w:pPr>
              <w:pStyle w:val="13"/>
              <w:jc w:val="left"/>
              <w:rPr>
                <w:rFonts w:hint="eastAsia"/>
              </w:rPr>
            </w:pPr>
            <w:r>
              <w:rPr>
                <w:rFonts w:hint="eastAsia"/>
              </w:rPr>
              <w:t>七、当年安排治理项目</w:t>
            </w:r>
          </w:p>
        </w:tc>
        <w:tc>
          <w:tcPr>
            <w:tcW w:w="1267" w:type="pct"/>
            <w:vAlign w:val="center"/>
          </w:tcPr>
          <w:p w14:paraId="310BAA05">
            <w:pPr>
              <w:pStyle w:val="13"/>
              <w:jc w:val="center"/>
              <w:rPr>
                <w:rFonts w:hint="eastAsia"/>
              </w:rPr>
            </w:pPr>
            <w:r>
              <w:rPr>
                <w:rFonts w:hint="eastAsia"/>
              </w:rPr>
              <w:t>个</w:t>
            </w:r>
          </w:p>
        </w:tc>
        <w:tc>
          <w:tcPr>
            <w:tcW w:w="1267" w:type="pct"/>
            <w:vAlign w:val="center"/>
          </w:tcPr>
          <w:p w14:paraId="18AD0E35">
            <w:pPr>
              <w:pStyle w:val="13"/>
              <w:jc w:val="center"/>
              <w:rPr>
                <w:rFonts w:hint="eastAsia"/>
              </w:rPr>
            </w:pPr>
            <w:r>
              <w:rPr>
                <w:rFonts w:hint="eastAsia"/>
              </w:rPr>
              <w:t>2</w:t>
            </w:r>
          </w:p>
        </w:tc>
      </w:tr>
      <w:tr w14:paraId="456C6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7F44EADE">
            <w:pPr>
              <w:pStyle w:val="13"/>
              <w:jc w:val="left"/>
              <w:rPr>
                <w:rFonts w:hint="eastAsia"/>
              </w:rPr>
            </w:pPr>
            <w:r>
              <w:rPr>
                <w:rFonts w:hint="eastAsia"/>
              </w:rPr>
              <w:t>八、全年平均气温</w:t>
            </w:r>
          </w:p>
        </w:tc>
        <w:tc>
          <w:tcPr>
            <w:tcW w:w="1267" w:type="pct"/>
            <w:vAlign w:val="center"/>
          </w:tcPr>
          <w:p w14:paraId="2B52497C">
            <w:pPr>
              <w:pStyle w:val="13"/>
              <w:jc w:val="center"/>
              <w:rPr>
                <w:rFonts w:hint="eastAsia"/>
              </w:rPr>
            </w:pPr>
            <w:r>
              <w:rPr>
                <w:rFonts w:hint="eastAsia"/>
              </w:rPr>
              <w:t>℃</w:t>
            </w:r>
          </w:p>
        </w:tc>
        <w:tc>
          <w:tcPr>
            <w:tcW w:w="1267" w:type="pct"/>
            <w:vAlign w:val="center"/>
          </w:tcPr>
          <w:p w14:paraId="3C14930A">
            <w:pPr>
              <w:pStyle w:val="13"/>
              <w:jc w:val="center"/>
              <w:rPr>
                <w:rFonts w:hint="eastAsia"/>
              </w:rPr>
            </w:pPr>
            <w:r>
              <w:rPr>
                <w:rFonts w:hint="eastAsia"/>
              </w:rPr>
              <w:t>20.1</w:t>
            </w:r>
          </w:p>
        </w:tc>
      </w:tr>
      <w:tr w14:paraId="6A6A8E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5" w:type="pct"/>
            <w:vAlign w:val="center"/>
          </w:tcPr>
          <w:p w14:paraId="31459DA3">
            <w:pPr>
              <w:pStyle w:val="13"/>
              <w:jc w:val="left"/>
              <w:rPr>
                <w:rFonts w:hint="eastAsia"/>
              </w:rPr>
            </w:pPr>
            <w:r>
              <w:rPr>
                <w:rFonts w:hint="eastAsia"/>
              </w:rPr>
              <w:t>九、全年降雨量</w:t>
            </w:r>
          </w:p>
        </w:tc>
        <w:tc>
          <w:tcPr>
            <w:tcW w:w="1267" w:type="pct"/>
            <w:vAlign w:val="center"/>
          </w:tcPr>
          <w:p w14:paraId="0C2CFCC2">
            <w:pPr>
              <w:pStyle w:val="13"/>
              <w:jc w:val="center"/>
              <w:rPr>
                <w:rFonts w:hint="eastAsia"/>
              </w:rPr>
            </w:pPr>
            <w:r>
              <w:rPr>
                <w:rFonts w:hint="eastAsia"/>
              </w:rPr>
              <w:t>mm</w:t>
            </w:r>
          </w:p>
        </w:tc>
        <w:tc>
          <w:tcPr>
            <w:tcW w:w="1267" w:type="pct"/>
            <w:vAlign w:val="center"/>
          </w:tcPr>
          <w:p w14:paraId="4AB0070F">
            <w:pPr>
              <w:pStyle w:val="13"/>
              <w:jc w:val="center"/>
            </w:pPr>
            <w:r>
              <w:rPr>
                <w:rFonts w:hint="eastAsia"/>
              </w:rPr>
              <w:t>1694.4</w:t>
            </w:r>
          </w:p>
        </w:tc>
      </w:tr>
    </w:tbl>
    <w:p w14:paraId="35320DCE">
      <w:pPr>
        <w:pStyle w:val="4"/>
        <w:rPr>
          <w:rFonts w:hint="eastAsia"/>
        </w:rPr>
      </w:pPr>
      <w:r>
        <w:t>表</w:t>
      </w:r>
      <w:r>
        <w:rPr>
          <w:rFonts w:hint="eastAsia"/>
        </w:rPr>
        <w:t>34-48  韶关市属各县（市）主要经济指标（一）</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3"/>
        <w:gridCol w:w="2863"/>
        <w:gridCol w:w="2863"/>
        <w:gridCol w:w="2863"/>
      </w:tblGrid>
      <w:tr w14:paraId="0369E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pct"/>
            <w:vAlign w:val="center"/>
          </w:tcPr>
          <w:p w14:paraId="7A8F0221">
            <w:pPr>
              <w:pStyle w:val="13"/>
              <w:jc w:val="center"/>
              <w:rPr>
                <w:rFonts w:hint="eastAsia"/>
                <w:b/>
              </w:rPr>
            </w:pPr>
            <w:r>
              <w:rPr>
                <w:rFonts w:hint="eastAsia"/>
                <w:b/>
              </w:rPr>
              <w:t>单位名称</w:t>
            </w:r>
          </w:p>
        </w:tc>
        <w:tc>
          <w:tcPr>
            <w:tcW w:w="1437" w:type="pct"/>
            <w:vAlign w:val="center"/>
          </w:tcPr>
          <w:p w14:paraId="29FEA1E8">
            <w:pPr>
              <w:pStyle w:val="13"/>
              <w:jc w:val="center"/>
              <w:rPr>
                <w:rFonts w:hint="eastAsia"/>
                <w:b/>
              </w:rPr>
            </w:pPr>
            <w:r>
              <w:rPr>
                <w:rFonts w:hint="eastAsia"/>
                <w:b/>
              </w:rPr>
              <w:t>户籍人口（万人）</w:t>
            </w:r>
          </w:p>
        </w:tc>
        <w:tc>
          <w:tcPr>
            <w:tcW w:w="1437" w:type="pct"/>
            <w:vAlign w:val="center"/>
          </w:tcPr>
          <w:p w14:paraId="6F29FC0D">
            <w:pPr>
              <w:pStyle w:val="13"/>
              <w:jc w:val="center"/>
              <w:rPr>
                <w:rFonts w:hint="eastAsia"/>
                <w:b/>
              </w:rPr>
            </w:pPr>
            <w:r>
              <w:rPr>
                <w:rFonts w:hint="eastAsia"/>
                <w:b/>
              </w:rPr>
              <w:t>年末常住人口（万人）</w:t>
            </w:r>
          </w:p>
        </w:tc>
        <w:tc>
          <w:tcPr>
            <w:tcW w:w="1437" w:type="pct"/>
            <w:vAlign w:val="center"/>
          </w:tcPr>
          <w:p w14:paraId="26E75C97">
            <w:pPr>
              <w:pStyle w:val="13"/>
              <w:jc w:val="center"/>
              <w:rPr>
                <w:rFonts w:hint="eastAsia"/>
                <w:b/>
              </w:rPr>
            </w:pPr>
            <w:r>
              <w:rPr>
                <w:rFonts w:hint="eastAsia"/>
                <w:b/>
              </w:rPr>
              <w:t>生产总值(当年价、亿元)</w:t>
            </w:r>
          </w:p>
        </w:tc>
      </w:tr>
      <w:tr w14:paraId="5A685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pct"/>
            <w:vAlign w:val="center"/>
          </w:tcPr>
          <w:p w14:paraId="7F4E9749">
            <w:pPr>
              <w:pStyle w:val="13"/>
              <w:jc w:val="center"/>
              <w:rPr>
                <w:rFonts w:hint="eastAsia"/>
              </w:rPr>
            </w:pPr>
            <w:r>
              <w:rPr>
                <w:rFonts w:hint="eastAsia"/>
              </w:rPr>
              <w:t>全市</w:t>
            </w:r>
          </w:p>
        </w:tc>
        <w:tc>
          <w:tcPr>
            <w:tcW w:w="1437" w:type="pct"/>
            <w:vAlign w:val="center"/>
          </w:tcPr>
          <w:p w14:paraId="04F234A8">
            <w:pPr>
              <w:pStyle w:val="13"/>
              <w:jc w:val="center"/>
              <w:rPr>
                <w:rFonts w:hint="eastAsia"/>
              </w:rPr>
            </w:pPr>
            <w:r>
              <w:rPr>
                <w:rFonts w:hint="eastAsia"/>
              </w:rPr>
              <w:t>328.10</w:t>
            </w:r>
          </w:p>
        </w:tc>
        <w:tc>
          <w:tcPr>
            <w:tcW w:w="1437" w:type="pct"/>
            <w:vAlign w:val="center"/>
          </w:tcPr>
          <w:p w14:paraId="2631FAC1">
            <w:pPr>
              <w:pStyle w:val="13"/>
              <w:jc w:val="center"/>
              <w:rPr>
                <w:rFonts w:hint="eastAsia"/>
              </w:rPr>
            </w:pPr>
            <w:r>
              <w:rPr>
                <w:rFonts w:hint="eastAsia"/>
              </w:rPr>
              <w:t>283.02</w:t>
            </w:r>
          </w:p>
        </w:tc>
        <w:tc>
          <w:tcPr>
            <w:tcW w:w="1437" w:type="pct"/>
            <w:vAlign w:val="center"/>
          </w:tcPr>
          <w:p w14:paraId="5F44F1ED">
            <w:pPr>
              <w:pStyle w:val="13"/>
              <w:jc w:val="center"/>
              <w:rPr>
                <w:rFonts w:hint="eastAsia"/>
              </w:rPr>
            </w:pPr>
            <w:r>
              <w:rPr>
                <w:rFonts w:hint="eastAsia"/>
              </w:rPr>
              <w:t>683.1</w:t>
            </w:r>
          </w:p>
        </w:tc>
      </w:tr>
      <w:tr w14:paraId="632D82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pct"/>
            <w:vAlign w:val="center"/>
          </w:tcPr>
          <w:p w14:paraId="1DB95EC8">
            <w:pPr>
              <w:pStyle w:val="13"/>
              <w:jc w:val="center"/>
              <w:rPr>
                <w:rFonts w:hint="eastAsia"/>
              </w:rPr>
            </w:pPr>
            <w:r>
              <w:rPr>
                <w:rFonts w:hint="eastAsia"/>
              </w:rPr>
              <w:t>始兴</w:t>
            </w:r>
          </w:p>
        </w:tc>
        <w:tc>
          <w:tcPr>
            <w:tcW w:w="1437" w:type="pct"/>
            <w:vAlign w:val="center"/>
          </w:tcPr>
          <w:p w14:paraId="511B89DE">
            <w:pPr>
              <w:pStyle w:val="13"/>
              <w:jc w:val="center"/>
              <w:rPr>
                <w:rFonts w:hint="eastAsia"/>
              </w:rPr>
            </w:pPr>
            <w:r>
              <w:rPr>
                <w:rFonts w:hint="eastAsia"/>
              </w:rPr>
              <w:t>24.79</w:t>
            </w:r>
          </w:p>
        </w:tc>
        <w:tc>
          <w:tcPr>
            <w:tcW w:w="1437" w:type="pct"/>
            <w:vAlign w:val="center"/>
          </w:tcPr>
          <w:p w14:paraId="5B962472">
            <w:pPr>
              <w:pStyle w:val="13"/>
              <w:jc w:val="center"/>
              <w:rPr>
                <w:rFonts w:hint="eastAsia"/>
              </w:rPr>
            </w:pPr>
            <w:r>
              <w:rPr>
                <w:rFonts w:hint="eastAsia"/>
              </w:rPr>
              <w:t>20.58</w:t>
            </w:r>
          </w:p>
        </w:tc>
        <w:tc>
          <w:tcPr>
            <w:tcW w:w="1437" w:type="pct"/>
            <w:vAlign w:val="center"/>
          </w:tcPr>
          <w:p w14:paraId="5BAD6391">
            <w:pPr>
              <w:pStyle w:val="13"/>
              <w:jc w:val="center"/>
              <w:rPr>
                <w:rFonts w:hint="eastAsia"/>
              </w:rPr>
            </w:pPr>
            <w:r>
              <w:rPr>
                <w:rFonts w:hint="eastAsia"/>
              </w:rPr>
              <w:t>34.18</w:t>
            </w:r>
          </w:p>
        </w:tc>
      </w:tr>
      <w:tr w14:paraId="769FB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pct"/>
            <w:vAlign w:val="center"/>
          </w:tcPr>
          <w:p w14:paraId="3436CFF3">
            <w:pPr>
              <w:pStyle w:val="13"/>
              <w:jc w:val="center"/>
              <w:rPr>
                <w:rFonts w:hint="eastAsia"/>
              </w:rPr>
            </w:pPr>
            <w:r>
              <w:rPr>
                <w:rFonts w:hint="eastAsia"/>
              </w:rPr>
              <w:t>仁化</w:t>
            </w:r>
          </w:p>
        </w:tc>
        <w:tc>
          <w:tcPr>
            <w:tcW w:w="1437" w:type="pct"/>
            <w:vAlign w:val="center"/>
          </w:tcPr>
          <w:p w14:paraId="08D9ECFC">
            <w:pPr>
              <w:pStyle w:val="13"/>
              <w:jc w:val="center"/>
              <w:rPr>
                <w:rFonts w:hint="eastAsia"/>
              </w:rPr>
            </w:pPr>
            <w:r>
              <w:rPr>
                <w:rFonts w:hint="eastAsia"/>
              </w:rPr>
              <w:t>23.33</w:t>
            </w:r>
          </w:p>
        </w:tc>
        <w:tc>
          <w:tcPr>
            <w:tcW w:w="1437" w:type="pct"/>
            <w:vAlign w:val="center"/>
          </w:tcPr>
          <w:p w14:paraId="43BF8EC4">
            <w:pPr>
              <w:pStyle w:val="13"/>
              <w:jc w:val="center"/>
              <w:rPr>
                <w:rFonts w:hint="eastAsia"/>
              </w:rPr>
            </w:pPr>
            <w:r>
              <w:rPr>
                <w:rFonts w:hint="eastAsia"/>
              </w:rPr>
              <w:t>20.07</w:t>
            </w:r>
          </w:p>
        </w:tc>
        <w:tc>
          <w:tcPr>
            <w:tcW w:w="1437" w:type="pct"/>
            <w:vAlign w:val="center"/>
          </w:tcPr>
          <w:p w14:paraId="13724B9D">
            <w:pPr>
              <w:pStyle w:val="13"/>
              <w:jc w:val="center"/>
              <w:rPr>
                <w:rFonts w:hint="eastAsia"/>
              </w:rPr>
            </w:pPr>
            <w:r>
              <w:rPr>
                <w:rFonts w:hint="eastAsia"/>
              </w:rPr>
              <w:t>62.88</w:t>
            </w:r>
          </w:p>
        </w:tc>
      </w:tr>
      <w:tr w14:paraId="19263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pct"/>
            <w:vAlign w:val="center"/>
          </w:tcPr>
          <w:p w14:paraId="64A784CA">
            <w:pPr>
              <w:pStyle w:val="13"/>
              <w:jc w:val="center"/>
              <w:rPr>
                <w:rFonts w:hint="eastAsia"/>
              </w:rPr>
            </w:pPr>
            <w:r>
              <w:rPr>
                <w:rFonts w:hint="eastAsia"/>
              </w:rPr>
              <w:t>翁源</w:t>
            </w:r>
          </w:p>
        </w:tc>
        <w:tc>
          <w:tcPr>
            <w:tcW w:w="1437" w:type="pct"/>
            <w:vAlign w:val="center"/>
          </w:tcPr>
          <w:p w14:paraId="1C8951FC">
            <w:pPr>
              <w:pStyle w:val="13"/>
              <w:jc w:val="center"/>
              <w:rPr>
                <w:rFonts w:hint="eastAsia"/>
              </w:rPr>
            </w:pPr>
            <w:r>
              <w:rPr>
                <w:rFonts w:hint="eastAsia"/>
              </w:rPr>
              <w:t>39.74</w:t>
            </w:r>
          </w:p>
        </w:tc>
        <w:tc>
          <w:tcPr>
            <w:tcW w:w="1437" w:type="pct"/>
            <w:vAlign w:val="center"/>
          </w:tcPr>
          <w:p w14:paraId="46235EA0">
            <w:pPr>
              <w:pStyle w:val="13"/>
              <w:jc w:val="center"/>
              <w:rPr>
                <w:rFonts w:hint="eastAsia"/>
              </w:rPr>
            </w:pPr>
            <w:r>
              <w:rPr>
                <w:rFonts w:hint="eastAsia"/>
              </w:rPr>
              <w:t>33.17</w:t>
            </w:r>
          </w:p>
        </w:tc>
        <w:tc>
          <w:tcPr>
            <w:tcW w:w="1437" w:type="pct"/>
            <w:vAlign w:val="center"/>
          </w:tcPr>
          <w:p w14:paraId="221350B5">
            <w:pPr>
              <w:pStyle w:val="13"/>
              <w:jc w:val="center"/>
              <w:rPr>
                <w:rFonts w:hint="eastAsia"/>
              </w:rPr>
            </w:pPr>
            <w:r>
              <w:rPr>
                <w:rFonts w:hint="eastAsia"/>
              </w:rPr>
              <w:t>40.47</w:t>
            </w:r>
          </w:p>
        </w:tc>
      </w:tr>
      <w:tr w14:paraId="0D1743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pct"/>
            <w:vAlign w:val="center"/>
          </w:tcPr>
          <w:p w14:paraId="76054ABC">
            <w:pPr>
              <w:pStyle w:val="13"/>
              <w:jc w:val="center"/>
              <w:rPr>
                <w:rFonts w:hint="eastAsia"/>
              </w:rPr>
            </w:pPr>
            <w:r>
              <w:rPr>
                <w:rFonts w:hint="eastAsia"/>
              </w:rPr>
              <w:t>乳源</w:t>
            </w:r>
          </w:p>
        </w:tc>
        <w:tc>
          <w:tcPr>
            <w:tcW w:w="1437" w:type="pct"/>
            <w:vAlign w:val="center"/>
          </w:tcPr>
          <w:p w14:paraId="7371779A">
            <w:pPr>
              <w:pStyle w:val="13"/>
              <w:jc w:val="center"/>
              <w:rPr>
                <w:rFonts w:hint="eastAsia"/>
              </w:rPr>
            </w:pPr>
            <w:r>
              <w:rPr>
                <w:rFonts w:hint="eastAsia"/>
              </w:rPr>
              <w:t>21.70</w:t>
            </w:r>
          </w:p>
        </w:tc>
        <w:tc>
          <w:tcPr>
            <w:tcW w:w="1437" w:type="pct"/>
            <w:vAlign w:val="center"/>
          </w:tcPr>
          <w:p w14:paraId="063C3DF5">
            <w:pPr>
              <w:pStyle w:val="13"/>
              <w:jc w:val="center"/>
              <w:rPr>
                <w:rFonts w:hint="eastAsia"/>
              </w:rPr>
            </w:pPr>
            <w:r>
              <w:rPr>
                <w:rFonts w:hint="eastAsia"/>
              </w:rPr>
              <w:t>17.77</w:t>
            </w:r>
          </w:p>
        </w:tc>
        <w:tc>
          <w:tcPr>
            <w:tcW w:w="1437" w:type="pct"/>
            <w:vAlign w:val="center"/>
          </w:tcPr>
          <w:p w14:paraId="583BA330">
            <w:pPr>
              <w:pStyle w:val="13"/>
              <w:jc w:val="center"/>
              <w:rPr>
                <w:rFonts w:hint="eastAsia"/>
              </w:rPr>
            </w:pPr>
            <w:r>
              <w:rPr>
                <w:rFonts w:hint="eastAsia"/>
              </w:rPr>
              <w:t>38.7</w:t>
            </w:r>
          </w:p>
        </w:tc>
      </w:tr>
      <w:tr w14:paraId="3BB996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pct"/>
            <w:vAlign w:val="center"/>
          </w:tcPr>
          <w:p w14:paraId="17306760">
            <w:pPr>
              <w:pStyle w:val="13"/>
              <w:jc w:val="center"/>
              <w:rPr>
                <w:rFonts w:hint="eastAsia"/>
              </w:rPr>
            </w:pPr>
            <w:r>
              <w:rPr>
                <w:rFonts w:hint="eastAsia"/>
              </w:rPr>
              <w:t>新丰</w:t>
            </w:r>
          </w:p>
        </w:tc>
        <w:tc>
          <w:tcPr>
            <w:tcW w:w="1437" w:type="pct"/>
            <w:vAlign w:val="center"/>
          </w:tcPr>
          <w:p w14:paraId="043080B4">
            <w:pPr>
              <w:pStyle w:val="13"/>
              <w:jc w:val="center"/>
              <w:rPr>
                <w:rFonts w:hint="eastAsia"/>
              </w:rPr>
            </w:pPr>
            <w:r>
              <w:rPr>
                <w:rFonts w:hint="eastAsia"/>
              </w:rPr>
              <w:t>25.38</w:t>
            </w:r>
          </w:p>
        </w:tc>
        <w:tc>
          <w:tcPr>
            <w:tcW w:w="1437" w:type="pct"/>
            <w:vAlign w:val="center"/>
          </w:tcPr>
          <w:p w14:paraId="69A116C3">
            <w:pPr>
              <w:pStyle w:val="13"/>
              <w:jc w:val="center"/>
              <w:rPr>
                <w:rFonts w:hint="eastAsia"/>
              </w:rPr>
            </w:pPr>
            <w:r>
              <w:rPr>
                <w:rFonts w:hint="eastAsia"/>
              </w:rPr>
              <w:t>20.64</w:t>
            </w:r>
          </w:p>
        </w:tc>
        <w:tc>
          <w:tcPr>
            <w:tcW w:w="1437" w:type="pct"/>
            <w:vAlign w:val="center"/>
          </w:tcPr>
          <w:p w14:paraId="2D3979C5">
            <w:pPr>
              <w:pStyle w:val="13"/>
              <w:jc w:val="center"/>
              <w:rPr>
                <w:rFonts w:hint="eastAsia"/>
              </w:rPr>
            </w:pPr>
            <w:r>
              <w:rPr>
                <w:rFonts w:hint="eastAsia"/>
              </w:rPr>
              <w:t>30.61</w:t>
            </w:r>
          </w:p>
        </w:tc>
      </w:tr>
      <w:tr w14:paraId="31E78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pct"/>
            <w:vAlign w:val="center"/>
          </w:tcPr>
          <w:p w14:paraId="14612435">
            <w:pPr>
              <w:pStyle w:val="13"/>
              <w:jc w:val="center"/>
              <w:rPr>
                <w:rFonts w:hint="eastAsia"/>
              </w:rPr>
            </w:pPr>
            <w:r>
              <w:rPr>
                <w:rFonts w:hint="eastAsia"/>
              </w:rPr>
              <w:t>乐昌</w:t>
            </w:r>
          </w:p>
        </w:tc>
        <w:tc>
          <w:tcPr>
            <w:tcW w:w="1437" w:type="pct"/>
            <w:vAlign w:val="center"/>
          </w:tcPr>
          <w:p w14:paraId="0C248BAB">
            <w:pPr>
              <w:pStyle w:val="13"/>
              <w:jc w:val="center"/>
              <w:rPr>
                <w:rFonts w:hint="eastAsia"/>
              </w:rPr>
            </w:pPr>
            <w:r>
              <w:rPr>
                <w:rFonts w:hint="eastAsia"/>
              </w:rPr>
              <w:t>52.99</w:t>
            </w:r>
          </w:p>
        </w:tc>
        <w:tc>
          <w:tcPr>
            <w:tcW w:w="1437" w:type="pct"/>
            <w:vAlign w:val="center"/>
          </w:tcPr>
          <w:p w14:paraId="00994284">
            <w:pPr>
              <w:pStyle w:val="13"/>
              <w:jc w:val="center"/>
              <w:rPr>
                <w:rFonts w:hint="eastAsia"/>
              </w:rPr>
            </w:pPr>
            <w:r>
              <w:rPr>
                <w:rFonts w:hint="eastAsia"/>
              </w:rPr>
              <w:t>39.87</w:t>
            </w:r>
          </w:p>
        </w:tc>
        <w:tc>
          <w:tcPr>
            <w:tcW w:w="1437" w:type="pct"/>
            <w:vAlign w:val="center"/>
          </w:tcPr>
          <w:p w14:paraId="66976458">
            <w:pPr>
              <w:pStyle w:val="13"/>
              <w:jc w:val="center"/>
              <w:rPr>
                <w:rFonts w:hint="eastAsia"/>
              </w:rPr>
            </w:pPr>
            <w:r>
              <w:rPr>
                <w:rFonts w:hint="eastAsia"/>
              </w:rPr>
              <w:t>64.78</w:t>
            </w:r>
          </w:p>
        </w:tc>
      </w:tr>
      <w:tr w14:paraId="2DD98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pct"/>
            <w:vAlign w:val="center"/>
          </w:tcPr>
          <w:p w14:paraId="1D00ABE6">
            <w:pPr>
              <w:pStyle w:val="13"/>
              <w:jc w:val="center"/>
              <w:rPr>
                <w:rFonts w:hint="eastAsia"/>
              </w:rPr>
            </w:pPr>
            <w:r>
              <w:rPr>
                <w:rFonts w:hint="eastAsia"/>
              </w:rPr>
              <w:t>南雄</w:t>
            </w:r>
          </w:p>
        </w:tc>
        <w:tc>
          <w:tcPr>
            <w:tcW w:w="1437" w:type="pct"/>
            <w:vAlign w:val="center"/>
          </w:tcPr>
          <w:p w14:paraId="7668755D">
            <w:pPr>
              <w:pStyle w:val="13"/>
              <w:jc w:val="center"/>
              <w:rPr>
                <w:rFonts w:hint="eastAsia"/>
              </w:rPr>
            </w:pPr>
            <w:r>
              <w:rPr>
                <w:rFonts w:hint="eastAsia"/>
              </w:rPr>
              <w:t>47.10</w:t>
            </w:r>
          </w:p>
        </w:tc>
        <w:tc>
          <w:tcPr>
            <w:tcW w:w="1437" w:type="pct"/>
            <w:vAlign w:val="center"/>
          </w:tcPr>
          <w:p w14:paraId="5FE2A5BE">
            <w:pPr>
              <w:pStyle w:val="13"/>
              <w:jc w:val="center"/>
              <w:rPr>
                <w:rFonts w:hint="eastAsia"/>
              </w:rPr>
            </w:pPr>
            <w:r>
              <w:rPr>
                <w:rFonts w:hint="eastAsia"/>
              </w:rPr>
              <w:t>31.66</w:t>
            </w:r>
          </w:p>
        </w:tc>
        <w:tc>
          <w:tcPr>
            <w:tcW w:w="1437" w:type="pct"/>
            <w:vAlign w:val="center"/>
          </w:tcPr>
          <w:p w14:paraId="2F6E725F">
            <w:pPr>
              <w:pStyle w:val="13"/>
              <w:jc w:val="center"/>
              <w:rPr>
                <w:rFonts w:hint="eastAsia"/>
              </w:rPr>
            </w:pPr>
            <w:r>
              <w:rPr>
                <w:rFonts w:hint="eastAsia"/>
              </w:rPr>
              <w:t>60.26</w:t>
            </w:r>
          </w:p>
        </w:tc>
      </w:tr>
      <w:tr w14:paraId="196C0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pct"/>
            <w:vAlign w:val="center"/>
          </w:tcPr>
          <w:p w14:paraId="45D57C60">
            <w:pPr>
              <w:pStyle w:val="13"/>
              <w:jc w:val="center"/>
              <w:rPr>
                <w:rFonts w:hint="eastAsia"/>
              </w:rPr>
            </w:pPr>
            <w:r>
              <w:rPr>
                <w:rFonts w:hint="eastAsia"/>
              </w:rPr>
              <w:t>武江</w:t>
            </w:r>
          </w:p>
        </w:tc>
        <w:tc>
          <w:tcPr>
            <w:tcW w:w="1437" w:type="pct"/>
            <w:vAlign w:val="center"/>
          </w:tcPr>
          <w:p w14:paraId="3EAFADAA">
            <w:pPr>
              <w:pStyle w:val="13"/>
              <w:jc w:val="center"/>
              <w:rPr>
                <w:rFonts w:hint="eastAsia"/>
              </w:rPr>
            </w:pPr>
            <w:r>
              <w:rPr>
                <w:rFonts w:hint="eastAsia"/>
              </w:rPr>
              <w:t>25.89</w:t>
            </w:r>
          </w:p>
        </w:tc>
        <w:tc>
          <w:tcPr>
            <w:tcW w:w="1437" w:type="pct"/>
            <w:vAlign w:val="center"/>
          </w:tcPr>
          <w:p w14:paraId="416FA163">
            <w:pPr>
              <w:pStyle w:val="13"/>
              <w:jc w:val="center"/>
              <w:rPr>
                <w:rFonts w:hint="eastAsia"/>
              </w:rPr>
            </w:pPr>
            <w:r>
              <w:rPr>
                <w:rFonts w:hint="eastAsia"/>
              </w:rPr>
              <w:t>29.5</w:t>
            </w:r>
          </w:p>
        </w:tc>
        <w:tc>
          <w:tcPr>
            <w:tcW w:w="1437" w:type="pct"/>
            <w:vAlign w:val="center"/>
          </w:tcPr>
          <w:p w14:paraId="5E122CD6">
            <w:pPr>
              <w:pStyle w:val="13"/>
              <w:jc w:val="center"/>
              <w:rPr>
                <w:rFonts w:hint="eastAsia"/>
              </w:rPr>
            </w:pPr>
            <w:r>
              <w:rPr>
                <w:rFonts w:hint="eastAsia"/>
              </w:rPr>
              <w:t>123.91</w:t>
            </w:r>
          </w:p>
        </w:tc>
      </w:tr>
      <w:tr w14:paraId="63EE6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pct"/>
            <w:vAlign w:val="center"/>
          </w:tcPr>
          <w:p w14:paraId="12150E20">
            <w:pPr>
              <w:pStyle w:val="13"/>
              <w:jc w:val="center"/>
              <w:rPr>
                <w:rFonts w:hint="eastAsia"/>
              </w:rPr>
            </w:pPr>
            <w:r>
              <w:rPr>
                <w:rFonts w:hint="eastAsia"/>
              </w:rPr>
              <w:t>浈江</w:t>
            </w:r>
          </w:p>
        </w:tc>
        <w:tc>
          <w:tcPr>
            <w:tcW w:w="1437" w:type="pct"/>
            <w:vAlign w:val="center"/>
          </w:tcPr>
          <w:p w14:paraId="2E8D62DA">
            <w:pPr>
              <w:pStyle w:val="13"/>
              <w:jc w:val="center"/>
              <w:rPr>
                <w:rFonts w:hint="eastAsia"/>
              </w:rPr>
            </w:pPr>
            <w:r>
              <w:rPr>
                <w:rFonts w:hint="eastAsia"/>
              </w:rPr>
              <w:t>35.58</w:t>
            </w:r>
          </w:p>
        </w:tc>
        <w:tc>
          <w:tcPr>
            <w:tcW w:w="1437" w:type="pct"/>
            <w:vAlign w:val="center"/>
          </w:tcPr>
          <w:p w14:paraId="7FDDB7DE">
            <w:pPr>
              <w:pStyle w:val="13"/>
              <w:jc w:val="center"/>
              <w:rPr>
                <w:rFonts w:hint="eastAsia"/>
              </w:rPr>
            </w:pPr>
            <w:r>
              <w:rPr>
                <w:rFonts w:hint="eastAsia"/>
              </w:rPr>
              <w:t>39.38</w:t>
            </w:r>
          </w:p>
        </w:tc>
        <w:tc>
          <w:tcPr>
            <w:tcW w:w="1437" w:type="pct"/>
            <w:vAlign w:val="center"/>
          </w:tcPr>
          <w:p w14:paraId="1DDE5F61">
            <w:pPr>
              <w:pStyle w:val="13"/>
              <w:jc w:val="center"/>
              <w:rPr>
                <w:rFonts w:hint="eastAsia"/>
              </w:rPr>
            </w:pPr>
            <w:r>
              <w:rPr>
                <w:rFonts w:hint="eastAsia"/>
              </w:rPr>
              <w:t>123.06</w:t>
            </w:r>
          </w:p>
        </w:tc>
      </w:tr>
      <w:tr w14:paraId="5F3B6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9" w:type="pct"/>
            <w:vAlign w:val="center"/>
          </w:tcPr>
          <w:p w14:paraId="0F0428D0">
            <w:pPr>
              <w:pStyle w:val="13"/>
              <w:jc w:val="center"/>
              <w:rPr>
                <w:rFonts w:hint="eastAsia"/>
              </w:rPr>
            </w:pPr>
            <w:r>
              <w:rPr>
                <w:rFonts w:hint="eastAsia"/>
              </w:rPr>
              <w:t>曲江</w:t>
            </w:r>
          </w:p>
        </w:tc>
        <w:tc>
          <w:tcPr>
            <w:tcW w:w="1437" w:type="pct"/>
            <w:vAlign w:val="center"/>
          </w:tcPr>
          <w:p w14:paraId="707F3248">
            <w:pPr>
              <w:pStyle w:val="13"/>
              <w:jc w:val="center"/>
              <w:rPr>
                <w:rFonts w:hint="eastAsia"/>
              </w:rPr>
            </w:pPr>
            <w:r>
              <w:rPr>
                <w:rFonts w:hint="eastAsia"/>
              </w:rPr>
              <w:t>31.60</w:t>
            </w:r>
          </w:p>
        </w:tc>
        <w:tc>
          <w:tcPr>
            <w:tcW w:w="1437" w:type="pct"/>
            <w:vAlign w:val="center"/>
          </w:tcPr>
          <w:p w14:paraId="5471553A">
            <w:pPr>
              <w:pStyle w:val="13"/>
              <w:jc w:val="center"/>
              <w:rPr>
                <w:rFonts w:hint="eastAsia"/>
              </w:rPr>
            </w:pPr>
            <w:r>
              <w:rPr>
                <w:rFonts w:hint="eastAsia"/>
              </w:rPr>
              <w:t>30.38</w:t>
            </w:r>
          </w:p>
        </w:tc>
        <w:tc>
          <w:tcPr>
            <w:tcW w:w="1437" w:type="pct"/>
            <w:vAlign w:val="center"/>
          </w:tcPr>
          <w:p w14:paraId="7C071512">
            <w:pPr>
              <w:pStyle w:val="13"/>
              <w:jc w:val="center"/>
              <w:rPr>
                <w:rFonts w:hint="eastAsia"/>
              </w:rPr>
            </w:pPr>
            <w:r>
              <w:rPr>
                <w:rFonts w:hint="eastAsia"/>
              </w:rPr>
              <w:t>93.67</w:t>
            </w:r>
          </w:p>
        </w:tc>
      </w:tr>
    </w:tbl>
    <w:p w14:paraId="44D017B2">
      <w:pPr>
        <w:pStyle w:val="4"/>
        <w:rPr>
          <w:rFonts w:hint="eastAsia"/>
        </w:rPr>
      </w:pPr>
      <w:r>
        <w:t>表</w:t>
      </w:r>
      <w:r>
        <w:rPr>
          <w:rFonts w:hint="eastAsia"/>
        </w:rPr>
        <w:t>34-49  韶关市属各县（市）主要经济指标（二）</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1"/>
        <w:gridCol w:w="1661"/>
        <w:gridCol w:w="1660"/>
        <w:gridCol w:w="1660"/>
        <w:gridCol w:w="1660"/>
        <w:gridCol w:w="1660"/>
      </w:tblGrid>
      <w:tr w14:paraId="005A7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64198EA1">
            <w:pPr>
              <w:pStyle w:val="13"/>
              <w:jc w:val="center"/>
              <w:rPr>
                <w:rFonts w:hint="eastAsia"/>
                <w:b/>
              </w:rPr>
            </w:pPr>
            <w:r>
              <w:rPr>
                <w:rFonts w:hint="eastAsia"/>
                <w:b/>
              </w:rPr>
              <w:t>单位名称</w:t>
            </w:r>
          </w:p>
        </w:tc>
        <w:tc>
          <w:tcPr>
            <w:tcW w:w="834" w:type="pct"/>
            <w:vAlign w:val="center"/>
          </w:tcPr>
          <w:p w14:paraId="58929783">
            <w:pPr>
              <w:pStyle w:val="13"/>
              <w:jc w:val="center"/>
              <w:rPr>
                <w:rFonts w:hint="eastAsia"/>
                <w:b/>
              </w:rPr>
            </w:pPr>
            <w:r>
              <w:rPr>
                <w:rFonts w:hint="eastAsia"/>
                <w:b/>
              </w:rPr>
              <w:t>全社会固定资产投资额(亿元)</w:t>
            </w:r>
          </w:p>
        </w:tc>
        <w:tc>
          <w:tcPr>
            <w:tcW w:w="833" w:type="pct"/>
            <w:vAlign w:val="center"/>
          </w:tcPr>
          <w:p w14:paraId="15DC9F25">
            <w:pPr>
              <w:pStyle w:val="13"/>
              <w:jc w:val="center"/>
              <w:rPr>
                <w:rFonts w:hint="eastAsia"/>
                <w:b/>
              </w:rPr>
            </w:pPr>
            <w:r>
              <w:rPr>
                <w:rFonts w:hint="eastAsia"/>
                <w:b/>
              </w:rPr>
              <w:t>地方财政一般预算收入(亿元)</w:t>
            </w:r>
          </w:p>
        </w:tc>
        <w:tc>
          <w:tcPr>
            <w:tcW w:w="833" w:type="pct"/>
            <w:vAlign w:val="center"/>
          </w:tcPr>
          <w:p w14:paraId="071FF1FC">
            <w:pPr>
              <w:pStyle w:val="13"/>
              <w:jc w:val="center"/>
              <w:rPr>
                <w:rFonts w:hint="eastAsia"/>
                <w:b/>
              </w:rPr>
            </w:pPr>
            <w:r>
              <w:rPr>
                <w:rFonts w:hint="eastAsia"/>
                <w:b/>
              </w:rPr>
              <w:t>社会消费品零售总额(亿元)</w:t>
            </w:r>
          </w:p>
        </w:tc>
        <w:tc>
          <w:tcPr>
            <w:tcW w:w="833" w:type="pct"/>
            <w:vAlign w:val="center"/>
          </w:tcPr>
          <w:p w14:paraId="78D06DC6">
            <w:pPr>
              <w:pStyle w:val="13"/>
              <w:jc w:val="center"/>
              <w:rPr>
                <w:rFonts w:hint="eastAsia"/>
                <w:b/>
              </w:rPr>
            </w:pPr>
            <w:r>
              <w:rPr>
                <w:rFonts w:hint="eastAsia"/>
                <w:b/>
              </w:rPr>
              <w:t>城乡居民储蓄存款余额(亿元)</w:t>
            </w:r>
          </w:p>
        </w:tc>
        <w:tc>
          <w:tcPr>
            <w:tcW w:w="833" w:type="pct"/>
            <w:vAlign w:val="center"/>
          </w:tcPr>
          <w:p w14:paraId="15DDFBE3">
            <w:pPr>
              <w:pStyle w:val="13"/>
              <w:jc w:val="center"/>
              <w:rPr>
                <w:rFonts w:hint="eastAsia"/>
                <w:b/>
              </w:rPr>
            </w:pPr>
            <w:r>
              <w:rPr>
                <w:rFonts w:hint="eastAsia"/>
                <w:b/>
              </w:rPr>
              <w:t>在岗职工年平均工资(元/人)</w:t>
            </w:r>
          </w:p>
        </w:tc>
      </w:tr>
      <w:tr w14:paraId="44005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5CC610A0">
            <w:pPr>
              <w:pStyle w:val="13"/>
              <w:jc w:val="center"/>
              <w:rPr>
                <w:rFonts w:hint="eastAsia"/>
              </w:rPr>
            </w:pPr>
            <w:r>
              <w:rPr>
                <w:rFonts w:hint="eastAsia"/>
              </w:rPr>
              <w:t>全市</w:t>
            </w:r>
          </w:p>
        </w:tc>
        <w:tc>
          <w:tcPr>
            <w:tcW w:w="834" w:type="pct"/>
            <w:vAlign w:val="center"/>
          </w:tcPr>
          <w:p w14:paraId="61E620B8">
            <w:pPr>
              <w:pStyle w:val="13"/>
              <w:jc w:val="center"/>
              <w:rPr>
                <w:rFonts w:hint="eastAsia"/>
              </w:rPr>
            </w:pPr>
            <w:r>
              <w:rPr>
                <w:rFonts w:hint="eastAsia"/>
              </w:rPr>
              <w:t>433.73</w:t>
            </w:r>
          </w:p>
        </w:tc>
        <w:tc>
          <w:tcPr>
            <w:tcW w:w="833" w:type="pct"/>
            <w:vAlign w:val="center"/>
          </w:tcPr>
          <w:p w14:paraId="26BF184D">
            <w:pPr>
              <w:pStyle w:val="13"/>
              <w:jc w:val="center"/>
              <w:rPr>
                <w:rFonts w:hint="eastAsia"/>
              </w:rPr>
            </w:pPr>
            <w:r>
              <w:rPr>
                <w:rFonts w:hint="eastAsia"/>
              </w:rPr>
              <w:t>47.81</w:t>
            </w:r>
          </w:p>
        </w:tc>
        <w:tc>
          <w:tcPr>
            <w:tcW w:w="833" w:type="pct"/>
            <w:vAlign w:val="center"/>
          </w:tcPr>
          <w:p w14:paraId="119CD08C">
            <w:pPr>
              <w:pStyle w:val="13"/>
              <w:jc w:val="center"/>
              <w:rPr>
                <w:rFonts w:hint="eastAsia"/>
              </w:rPr>
            </w:pPr>
            <w:r>
              <w:rPr>
                <w:rFonts w:hint="eastAsia"/>
              </w:rPr>
              <w:t>329.78</w:t>
            </w:r>
          </w:p>
        </w:tc>
        <w:tc>
          <w:tcPr>
            <w:tcW w:w="833" w:type="pct"/>
            <w:vAlign w:val="center"/>
          </w:tcPr>
          <w:p w14:paraId="7134370B">
            <w:pPr>
              <w:pStyle w:val="13"/>
              <w:jc w:val="center"/>
              <w:rPr>
                <w:rFonts w:hint="eastAsia"/>
              </w:rPr>
            </w:pPr>
            <w:r>
              <w:rPr>
                <w:rFonts w:hint="eastAsia"/>
              </w:rPr>
              <w:t>559.16</w:t>
            </w:r>
          </w:p>
        </w:tc>
        <w:tc>
          <w:tcPr>
            <w:tcW w:w="833" w:type="pct"/>
            <w:vAlign w:val="center"/>
          </w:tcPr>
          <w:p w14:paraId="60F4E34A">
            <w:pPr>
              <w:pStyle w:val="13"/>
              <w:jc w:val="center"/>
              <w:rPr>
                <w:rFonts w:hint="eastAsia"/>
              </w:rPr>
            </w:pPr>
            <w:r>
              <w:rPr>
                <w:rFonts w:hint="eastAsia"/>
              </w:rPr>
              <w:t>31873</w:t>
            </w:r>
          </w:p>
        </w:tc>
      </w:tr>
      <w:tr w14:paraId="5F5DF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5E0D6BAC">
            <w:pPr>
              <w:pStyle w:val="13"/>
              <w:jc w:val="center"/>
              <w:rPr>
                <w:rFonts w:hint="eastAsia"/>
              </w:rPr>
            </w:pPr>
            <w:r>
              <w:rPr>
                <w:rFonts w:hint="eastAsia"/>
              </w:rPr>
              <w:t>始兴</w:t>
            </w:r>
          </w:p>
        </w:tc>
        <w:tc>
          <w:tcPr>
            <w:tcW w:w="834" w:type="pct"/>
            <w:vAlign w:val="center"/>
          </w:tcPr>
          <w:p w14:paraId="27413C10">
            <w:pPr>
              <w:pStyle w:val="13"/>
              <w:jc w:val="center"/>
              <w:rPr>
                <w:rFonts w:hint="eastAsia"/>
              </w:rPr>
            </w:pPr>
            <w:r>
              <w:rPr>
                <w:rFonts w:hint="eastAsia"/>
              </w:rPr>
              <w:t>36.33</w:t>
            </w:r>
          </w:p>
        </w:tc>
        <w:tc>
          <w:tcPr>
            <w:tcW w:w="833" w:type="pct"/>
            <w:vAlign w:val="center"/>
          </w:tcPr>
          <w:p w14:paraId="23CDC1BB">
            <w:pPr>
              <w:pStyle w:val="13"/>
              <w:jc w:val="center"/>
              <w:rPr>
                <w:rFonts w:hint="eastAsia"/>
              </w:rPr>
            </w:pPr>
            <w:r>
              <w:rPr>
                <w:rFonts w:hint="eastAsia"/>
              </w:rPr>
              <w:t>1.67</w:t>
            </w:r>
          </w:p>
        </w:tc>
        <w:tc>
          <w:tcPr>
            <w:tcW w:w="833" w:type="pct"/>
            <w:vAlign w:val="center"/>
          </w:tcPr>
          <w:p w14:paraId="5A80C5F8">
            <w:pPr>
              <w:pStyle w:val="13"/>
              <w:jc w:val="center"/>
              <w:rPr>
                <w:rFonts w:hint="eastAsia"/>
              </w:rPr>
            </w:pPr>
            <w:r>
              <w:rPr>
                <w:rFonts w:hint="eastAsia"/>
              </w:rPr>
              <w:t>9.31</w:t>
            </w:r>
          </w:p>
        </w:tc>
        <w:tc>
          <w:tcPr>
            <w:tcW w:w="833" w:type="pct"/>
            <w:vAlign w:val="center"/>
          </w:tcPr>
          <w:p w14:paraId="68DBCC72">
            <w:pPr>
              <w:pStyle w:val="13"/>
              <w:jc w:val="center"/>
              <w:rPr>
                <w:rFonts w:hint="eastAsia"/>
              </w:rPr>
            </w:pPr>
            <w:r>
              <w:rPr>
                <w:rFonts w:hint="eastAsia"/>
              </w:rPr>
              <w:t>33.64</w:t>
            </w:r>
          </w:p>
        </w:tc>
        <w:tc>
          <w:tcPr>
            <w:tcW w:w="833" w:type="pct"/>
            <w:vAlign w:val="center"/>
          </w:tcPr>
          <w:p w14:paraId="3480867B">
            <w:pPr>
              <w:pStyle w:val="13"/>
              <w:jc w:val="center"/>
              <w:rPr>
                <w:rFonts w:hint="eastAsia"/>
              </w:rPr>
            </w:pPr>
            <w:r>
              <w:rPr>
                <w:rFonts w:hint="eastAsia"/>
              </w:rPr>
              <w:t>21679</w:t>
            </w:r>
          </w:p>
        </w:tc>
      </w:tr>
      <w:tr w14:paraId="4B466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4720ACFA">
            <w:pPr>
              <w:pStyle w:val="13"/>
              <w:jc w:val="center"/>
              <w:rPr>
                <w:rFonts w:hint="eastAsia"/>
              </w:rPr>
            </w:pPr>
            <w:r>
              <w:rPr>
                <w:rFonts w:hint="eastAsia"/>
              </w:rPr>
              <w:t>仁化</w:t>
            </w:r>
          </w:p>
        </w:tc>
        <w:tc>
          <w:tcPr>
            <w:tcW w:w="834" w:type="pct"/>
            <w:vAlign w:val="center"/>
          </w:tcPr>
          <w:p w14:paraId="7BE7F054">
            <w:pPr>
              <w:pStyle w:val="13"/>
              <w:jc w:val="center"/>
              <w:rPr>
                <w:rFonts w:hint="eastAsia"/>
              </w:rPr>
            </w:pPr>
            <w:r>
              <w:rPr>
                <w:rFonts w:hint="eastAsia"/>
              </w:rPr>
              <w:t>37.43</w:t>
            </w:r>
          </w:p>
        </w:tc>
        <w:tc>
          <w:tcPr>
            <w:tcW w:w="833" w:type="pct"/>
            <w:vAlign w:val="center"/>
          </w:tcPr>
          <w:p w14:paraId="07468074">
            <w:pPr>
              <w:pStyle w:val="13"/>
              <w:jc w:val="center"/>
              <w:rPr>
                <w:rFonts w:hint="eastAsia"/>
              </w:rPr>
            </w:pPr>
            <w:r>
              <w:rPr>
                <w:rFonts w:hint="eastAsia"/>
              </w:rPr>
              <w:t>3.37</w:t>
            </w:r>
          </w:p>
        </w:tc>
        <w:tc>
          <w:tcPr>
            <w:tcW w:w="833" w:type="pct"/>
            <w:vAlign w:val="center"/>
          </w:tcPr>
          <w:p w14:paraId="703EA224">
            <w:pPr>
              <w:pStyle w:val="13"/>
              <w:jc w:val="center"/>
              <w:rPr>
                <w:rFonts w:hint="eastAsia"/>
              </w:rPr>
            </w:pPr>
            <w:r>
              <w:rPr>
                <w:rFonts w:hint="eastAsia"/>
              </w:rPr>
              <w:t>14.65</w:t>
            </w:r>
          </w:p>
        </w:tc>
        <w:tc>
          <w:tcPr>
            <w:tcW w:w="833" w:type="pct"/>
            <w:vAlign w:val="center"/>
          </w:tcPr>
          <w:p w14:paraId="3506476B">
            <w:pPr>
              <w:pStyle w:val="13"/>
              <w:jc w:val="center"/>
              <w:rPr>
                <w:rFonts w:hint="eastAsia"/>
              </w:rPr>
            </w:pPr>
            <w:r>
              <w:rPr>
                <w:rFonts w:hint="eastAsia"/>
              </w:rPr>
              <w:t>33.59</w:t>
            </w:r>
          </w:p>
        </w:tc>
        <w:tc>
          <w:tcPr>
            <w:tcW w:w="833" w:type="pct"/>
            <w:vAlign w:val="center"/>
          </w:tcPr>
          <w:p w14:paraId="2350B52E">
            <w:pPr>
              <w:pStyle w:val="13"/>
              <w:jc w:val="center"/>
              <w:rPr>
                <w:rFonts w:hint="eastAsia"/>
              </w:rPr>
            </w:pPr>
            <w:r>
              <w:rPr>
                <w:rFonts w:hint="eastAsia"/>
              </w:rPr>
              <w:t>31217</w:t>
            </w:r>
          </w:p>
        </w:tc>
      </w:tr>
      <w:tr w14:paraId="52B51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74ACFB0B">
            <w:pPr>
              <w:pStyle w:val="13"/>
              <w:jc w:val="center"/>
              <w:rPr>
                <w:rFonts w:hint="eastAsia"/>
              </w:rPr>
            </w:pPr>
            <w:r>
              <w:rPr>
                <w:rFonts w:hint="eastAsia"/>
              </w:rPr>
              <w:t>翁源</w:t>
            </w:r>
          </w:p>
        </w:tc>
        <w:tc>
          <w:tcPr>
            <w:tcW w:w="834" w:type="pct"/>
            <w:vAlign w:val="center"/>
          </w:tcPr>
          <w:p w14:paraId="25407A39">
            <w:pPr>
              <w:pStyle w:val="13"/>
              <w:jc w:val="center"/>
              <w:rPr>
                <w:rFonts w:hint="eastAsia"/>
              </w:rPr>
            </w:pPr>
            <w:r>
              <w:rPr>
                <w:rFonts w:hint="eastAsia"/>
              </w:rPr>
              <w:t>23.16</w:t>
            </w:r>
          </w:p>
        </w:tc>
        <w:tc>
          <w:tcPr>
            <w:tcW w:w="833" w:type="pct"/>
            <w:vAlign w:val="center"/>
          </w:tcPr>
          <w:p w14:paraId="28B48FAE">
            <w:pPr>
              <w:pStyle w:val="13"/>
              <w:jc w:val="center"/>
              <w:rPr>
                <w:rFonts w:hint="eastAsia"/>
              </w:rPr>
            </w:pPr>
            <w:r>
              <w:rPr>
                <w:rFonts w:hint="eastAsia"/>
              </w:rPr>
              <w:t>1.63</w:t>
            </w:r>
          </w:p>
        </w:tc>
        <w:tc>
          <w:tcPr>
            <w:tcW w:w="833" w:type="pct"/>
            <w:vAlign w:val="center"/>
          </w:tcPr>
          <w:p w14:paraId="3C7A8C04">
            <w:pPr>
              <w:pStyle w:val="13"/>
              <w:jc w:val="center"/>
              <w:rPr>
                <w:rFonts w:hint="eastAsia"/>
              </w:rPr>
            </w:pPr>
            <w:r>
              <w:rPr>
                <w:rFonts w:hint="eastAsia"/>
              </w:rPr>
              <w:t>17.89</w:t>
            </w:r>
          </w:p>
        </w:tc>
        <w:tc>
          <w:tcPr>
            <w:tcW w:w="833" w:type="pct"/>
            <w:vAlign w:val="center"/>
          </w:tcPr>
          <w:p w14:paraId="0D3D2AE4">
            <w:pPr>
              <w:pStyle w:val="13"/>
              <w:jc w:val="center"/>
              <w:rPr>
                <w:rFonts w:hint="eastAsia"/>
              </w:rPr>
            </w:pPr>
            <w:r>
              <w:rPr>
                <w:rFonts w:hint="eastAsia"/>
              </w:rPr>
              <w:t>43.50</w:t>
            </w:r>
          </w:p>
        </w:tc>
        <w:tc>
          <w:tcPr>
            <w:tcW w:w="833" w:type="pct"/>
            <w:vAlign w:val="center"/>
          </w:tcPr>
          <w:p w14:paraId="7BC95421">
            <w:pPr>
              <w:pStyle w:val="13"/>
              <w:jc w:val="center"/>
              <w:rPr>
                <w:rFonts w:hint="eastAsia"/>
              </w:rPr>
            </w:pPr>
            <w:r>
              <w:rPr>
                <w:rFonts w:hint="eastAsia"/>
              </w:rPr>
              <w:t>21090</w:t>
            </w:r>
          </w:p>
        </w:tc>
      </w:tr>
      <w:tr w14:paraId="7819C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29D66ECB">
            <w:pPr>
              <w:pStyle w:val="13"/>
              <w:jc w:val="center"/>
              <w:rPr>
                <w:rFonts w:hint="eastAsia"/>
              </w:rPr>
            </w:pPr>
            <w:r>
              <w:rPr>
                <w:rFonts w:hint="eastAsia"/>
              </w:rPr>
              <w:t>乳源</w:t>
            </w:r>
          </w:p>
        </w:tc>
        <w:tc>
          <w:tcPr>
            <w:tcW w:w="834" w:type="pct"/>
            <w:vAlign w:val="center"/>
          </w:tcPr>
          <w:p w14:paraId="6C14D999">
            <w:pPr>
              <w:pStyle w:val="13"/>
              <w:jc w:val="center"/>
              <w:rPr>
                <w:rFonts w:hint="eastAsia"/>
              </w:rPr>
            </w:pPr>
            <w:r>
              <w:rPr>
                <w:rFonts w:hint="eastAsia"/>
              </w:rPr>
              <w:t>24.51</w:t>
            </w:r>
          </w:p>
        </w:tc>
        <w:tc>
          <w:tcPr>
            <w:tcW w:w="833" w:type="pct"/>
            <w:vAlign w:val="center"/>
          </w:tcPr>
          <w:p w14:paraId="2BD38D39">
            <w:pPr>
              <w:pStyle w:val="13"/>
              <w:jc w:val="center"/>
              <w:rPr>
                <w:rFonts w:hint="eastAsia"/>
              </w:rPr>
            </w:pPr>
            <w:r>
              <w:rPr>
                <w:rFonts w:hint="eastAsia"/>
              </w:rPr>
              <w:t>3.09</w:t>
            </w:r>
          </w:p>
        </w:tc>
        <w:tc>
          <w:tcPr>
            <w:tcW w:w="833" w:type="pct"/>
            <w:vAlign w:val="center"/>
          </w:tcPr>
          <w:p w14:paraId="041A123E">
            <w:pPr>
              <w:pStyle w:val="13"/>
              <w:jc w:val="center"/>
              <w:rPr>
                <w:rFonts w:hint="eastAsia"/>
              </w:rPr>
            </w:pPr>
            <w:r>
              <w:rPr>
                <w:rFonts w:hint="eastAsia"/>
              </w:rPr>
              <w:t>11.04</w:t>
            </w:r>
          </w:p>
        </w:tc>
        <w:tc>
          <w:tcPr>
            <w:tcW w:w="833" w:type="pct"/>
            <w:vAlign w:val="center"/>
          </w:tcPr>
          <w:p w14:paraId="481433A2">
            <w:pPr>
              <w:pStyle w:val="13"/>
              <w:jc w:val="center"/>
              <w:rPr>
                <w:rFonts w:hint="eastAsia"/>
              </w:rPr>
            </w:pPr>
            <w:r>
              <w:rPr>
                <w:rFonts w:hint="eastAsia"/>
              </w:rPr>
              <w:t>21.69</w:t>
            </w:r>
          </w:p>
        </w:tc>
        <w:tc>
          <w:tcPr>
            <w:tcW w:w="833" w:type="pct"/>
            <w:vAlign w:val="center"/>
          </w:tcPr>
          <w:p w14:paraId="73B2F9D7">
            <w:pPr>
              <w:pStyle w:val="13"/>
              <w:jc w:val="center"/>
              <w:rPr>
                <w:rFonts w:hint="eastAsia"/>
              </w:rPr>
            </w:pPr>
            <w:r>
              <w:rPr>
                <w:rFonts w:hint="eastAsia"/>
              </w:rPr>
              <w:t>26482</w:t>
            </w:r>
          </w:p>
        </w:tc>
      </w:tr>
      <w:tr w14:paraId="4BD34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3E61C99D">
            <w:pPr>
              <w:pStyle w:val="13"/>
              <w:jc w:val="center"/>
              <w:rPr>
                <w:rFonts w:hint="eastAsia"/>
              </w:rPr>
            </w:pPr>
            <w:r>
              <w:rPr>
                <w:rFonts w:hint="eastAsia"/>
              </w:rPr>
              <w:t>新丰</w:t>
            </w:r>
          </w:p>
        </w:tc>
        <w:tc>
          <w:tcPr>
            <w:tcW w:w="834" w:type="pct"/>
            <w:vAlign w:val="center"/>
          </w:tcPr>
          <w:p w14:paraId="58808B66">
            <w:pPr>
              <w:pStyle w:val="13"/>
              <w:jc w:val="center"/>
              <w:rPr>
                <w:rFonts w:hint="eastAsia"/>
              </w:rPr>
            </w:pPr>
            <w:r>
              <w:rPr>
                <w:rFonts w:hint="eastAsia"/>
              </w:rPr>
              <w:t>15.47</w:t>
            </w:r>
          </w:p>
        </w:tc>
        <w:tc>
          <w:tcPr>
            <w:tcW w:w="833" w:type="pct"/>
            <w:vAlign w:val="center"/>
          </w:tcPr>
          <w:p w14:paraId="172CCD22">
            <w:pPr>
              <w:pStyle w:val="13"/>
              <w:jc w:val="center"/>
              <w:rPr>
                <w:rFonts w:hint="eastAsia"/>
              </w:rPr>
            </w:pPr>
            <w:r>
              <w:rPr>
                <w:rFonts w:hint="eastAsia"/>
              </w:rPr>
              <w:t>1.48</w:t>
            </w:r>
          </w:p>
        </w:tc>
        <w:tc>
          <w:tcPr>
            <w:tcW w:w="833" w:type="pct"/>
            <w:vAlign w:val="center"/>
          </w:tcPr>
          <w:p w14:paraId="513ADB90">
            <w:pPr>
              <w:pStyle w:val="13"/>
              <w:jc w:val="center"/>
              <w:rPr>
                <w:rFonts w:hint="eastAsia"/>
              </w:rPr>
            </w:pPr>
            <w:r>
              <w:rPr>
                <w:rFonts w:hint="eastAsia"/>
              </w:rPr>
              <w:t>11.3</w:t>
            </w:r>
          </w:p>
        </w:tc>
        <w:tc>
          <w:tcPr>
            <w:tcW w:w="833" w:type="pct"/>
            <w:vAlign w:val="center"/>
          </w:tcPr>
          <w:p w14:paraId="22C84681">
            <w:pPr>
              <w:pStyle w:val="13"/>
              <w:jc w:val="center"/>
              <w:rPr>
                <w:rFonts w:hint="eastAsia"/>
              </w:rPr>
            </w:pPr>
            <w:r>
              <w:rPr>
                <w:rFonts w:hint="eastAsia"/>
              </w:rPr>
              <w:t>24.75</w:t>
            </w:r>
          </w:p>
        </w:tc>
        <w:tc>
          <w:tcPr>
            <w:tcW w:w="833" w:type="pct"/>
            <w:vAlign w:val="center"/>
          </w:tcPr>
          <w:p w14:paraId="3E96B0A9">
            <w:pPr>
              <w:pStyle w:val="13"/>
              <w:jc w:val="center"/>
              <w:rPr>
                <w:rFonts w:hint="eastAsia"/>
              </w:rPr>
            </w:pPr>
            <w:r>
              <w:rPr>
                <w:rFonts w:hint="eastAsia"/>
              </w:rPr>
              <w:t>19852</w:t>
            </w:r>
          </w:p>
        </w:tc>
      </w:tr>
      <w:tr w14:paraId="7FF04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0CC77ACA">
            <w:pPr>
              <w:pStyle w:val="13"/>
              <w:jc w:val="center"/>
              <w:rPr>
                <w:rFonts w:hint="eastAsia"/>
              </w:rPr>
            </w:pPr>
            <w:r>
              <w:rPr>
                <w:rFonts w:hint="eastAsia"/>
              </w:rPr>
              <w:t>乐昌</w:t>
            </w:r>
          </w:p>
        </w:tc>
        <w:tc>
          <w:tcPr>
            <w:tcW w:w="834" w:type="pct"/>
            <w:vAlign w:val="center"/>
          </w:tcPr>
          <w:p w14:paraId="0DEAC6B4">
            <w:pPr>
              <w:pStyle w:val="13"/>
              <w:jc w:val="center"/>
              <w:rPr>
                <w:rFonts w:hint="eastAsia"/>
              </w:rPr>
            </w:pPr>
            <w:r>
              <w:rPr>
                <w:rFonts w:hint="eastAsia"/>
              </w:rPr>
              <w:t>55.59</w:t>
            </w:r>
          </w:p>
        </w:tc>
        <w:tc>
          <w:tcPr>
            <w:tcW w:w="833" w:type="pct"/>
            <w:vAlign w:val="center"/>
          </w:tcPr>
          <w:p w14:paraId="556FAB00">
            <w:pPr>
              <w:pStyle w:val="13"/>
              <w:jc w:val="center"/>
              <w:rPr>
                <w:rFonts w:hint="eastAsia"/>
              </w:rPr>
            </w:pPr>
            <w:r>
              <w:rPr>
                <w:rFonts w:hint="eastAsia"/>
              </w:rPr>
              <w:t>3.08</w:t>
            </w:r>
          </w:p>
        </w:tc>
        <w:tc>
          <w:tcPr>
            <w:tcW w:w="833" w:type="pct"/>
            <w:vAlign w:val="center"/>
          </w:tcPr>
          <w:p w14:paraId="332FFC24">
            <w:pPr>
              <w:pStyle w:val="13"/>
              <w:jc w:val="center"/>
              <w:rPr>
                <w:rFonts w:hint="eastAsia"/>
              </w:rPr>
            </w:pPr>
            <w:r>
              <w:rPr>
                <w:rFonts w:hint="eastAsia"/>
              </w:rPr>
              <w:t>31.82</w:t>
            </w:r>
          </w:p>
        </w:tc>
        <w:tc>
          <w:tcPr>
            <w:tcW w:w="833" w:type="pct"/>
            <w:vAlign w:val="center"/>
          </w:tcPr>
          <w:p w14:paraId="2ADACDBD">
            <w:pPr>
              <w:pStyle w:val="13"/>
              <w:jc w:val="center"/>
              <w:rPr>
                <w:rFonts w:hint="eastAsia"/>
              </w:rPr>
            </w:pPr>
            <w:r>
              <w:rPr>
                <w:rFonts w:hint="eastAsia"/>
              </w:rPr>
              <w:t>60.09</w:t>
            </w:r>
          </w:p>
        </w:tc>
        <w:tc>
          <w:tcPr>
            <w:tcW w:w="833" w:type="pct"/>
            <w:vAlign w:val="center"/>
          </w:tcPr>
          <w:p w14:paraId="2FC4F382">
            <w:pPr>
              <w:pStyle w:val="13"/>
              <w:jc w:val="center"/>
              <w:rPr>
                <w:rFonts w:hint="eastAsia"/>
              </w:rPr>
            </w:pPr>
            <w:r>
              <w:rPr>
                <w:rFonts w:hint="eastAsia"/>
              </w:rPr>
              <w:t>28816</w:t>
            </w:r>
          </w:p>
        </w:tc>
      </w:tr>
      <w:tr w14:paraId="451D9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11E82AEA">
            <w:pPr>
              <w:pStyle w:val="13"/>
              <w:jc w:val="center"/>
              <w:rPr>
                <w:rFonts w:hint="eastAsia"/>
              </w:rPr>
            </w:pPr>
            <w:r>
              <w:rPr>
                <w:rFonts w:hint="eastAsia"/>
              </w:rPr>
              <w:t>南雄</w:t>
            </w:r>
          </w:p>
        </w:tc>
        <w:tc>
          <w:tcPr>
            <w:tcW w:w="834" w:type="pct"/>
            <w:vAlign w:val="center"/>
          </w:tcPr>
          <w:p w14:paraId="06C05455">
            <w:pPr>
              <w:pStyle w:val="13"/>
              <w:jc w:val="center"/>
              <w:rPr>
                <w:rFonts w:hint="eastAsia"/>
              </w:rPr>
            </w:pPr>
            <w:r>
              <w:rPr>
                <w:rFonts w:hint="eastAsia"/>
              </w:rPr>
              <w:t>58.03</w:t>
            </w:r>
          </w:p>
        </w:tc>
        <w:tc>
          <w:tcPr>
            <w:tcW w:w="833" w:type="pct"/>
            <w:vAlign w:val="center"/>
          </w:tcPr>
          <w:p w14:paraId="5F1CC081">
            <w:pPr>
              <w:pStyle w:val="13"/>
              <w:jc w:val="center"/>
              <w:rPr>
                <w:rFonts w:hint="eastAsia"/>
              </w:rPr>
            </w:pPr>
            <w:r>
              <w:rPr>
                <w:rFonts w:hint="eastAsia"/>
              </w:rPr>
              <w:t>2.83</w:t>
            </w:r>
          </w:p>
        </w:tc>
        <w:tc>
          <w:tcPr>
            <w:tcW w:w="833" w:type="pct"/>
            <w:vAlign w:val="center"/>
          </w:tcPr>
          <w:p w14:paraId="649E0B4C">
            <w:pPr>
              <w:pStyle w:val="13"/>
              <w:jc w:val="center"/>
              <w:rPr>
                <w:rFonts w:hint="eastAsia"/>
              </w:rPr>
            </w:pPr>
            <w:r>
              <w:rPr>
                <w:rFonts w:hint="eastAsia"/>
              </w:rPr>
              <w:t>24.53</w:t>
            </w:r>
          </w:p>
        </w:tc>
        <w:tc>
          <w:tcPr>
            <w:tcW w:w="833" w:type="pct"/>
            <w:vAlign w:val="center"/>
          </w:tcPr>
          <w:p w14:paraId="61501BBA">
            <w:pPr>
              <w:pStyle w:val="13"/>
              <w:jc w:val="center"/>
              <w:rPr>
                <w:rFonts w:hint="eastAsia"/>
              </w:rPr>
            </w:pPr>
            <w:r>
              <w:rPr>
                <w:rFonts w:hint="eastAsia"/>
              </w:rPr>
              <w:t>44.89</w:t>
            </w:r>
          </w:p>
        </w:tc>
        <w:tc>
          <w:tcPr>
            <w:tcW w:w="833" w:type="pct"/>
            <w:vAlign w:val="center"/>
          </w:tcPr>
          <w:p w14:paraId="1A101BFB">
            <w:pPr>
              <w:pStyle w:val="13"/>
              <w:jc w:val="center"/>
              <w:rPr>
                <w:rFonts w:hint="eastAsia"/>
              </w:rPr>
            </w:pPr>
            <w:r>
              <w:rPr>
                <w:rFonts w:hint="eastAsia"/>
              </w:rPr>
              <w:t>26392</w:t>
            </w:r>
          </w:p>
        </w:tc>
      </w:tr>
      <w:tr w14:paraId="6291A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5903DB7D">
            <w:pPr>
              <w:pStyle w:val="13"/>
              <w:jc w:val="center"/>
              <w:rPr>
                <w:rFonts w:hint="eastAsia"/>
              </w:rPr>
            </w:pPr>
            <w:r>
              <w:rPr>
                <w:rFonts w:hint="eastAsia"/>
              </w:rPr>
              <w:t>武江</w:t>
            </w:r>
          </w:p>
        </w:tc>
        <w:tc>
          <w:tcPr>
            <w:tcW w:w="834" w:type="pct"/>
            <w:vAlign w:val="center"/>
          </w:tcPr>
          <w:p w14:paraId="037B154B">
            <w:pPr>
              <w:pStyle w:val="13"/>
              <w:jc w:val="center"/>
              <w:rPr>
                <w:rFonts w:hint="eastAsia"/>
              </w:rPr>
            </w:pPr>
            <w:r>
              <w:rPr>
                <w:rFonts w:hint="eastAsia"/>
              </w:rPr>
              <w:t>53.48</w:t>
            </w:r>
          </w:p>
        </w:tc>
        <w:tc>
          <w:tcPr>
            <w:tcW w:w="833" w:type="pct"/>
            <w:vAlign w:val="center"/>
          </w:tcPr>
          <w:p w14:paraId="75577BC5">
            <w:pPr>
              <w:pStyle w:val="13"/>
              <w:jc w:val="center"/>
              <w:rPr>
                <w:rFonts w:hint="eastAsia"/>
              </w:rPr>
            </w:pPr>
            <w:r>
              <w:rPr>
                <w:rFonts w:hint="eastAsia"/>
              </w:rPr>
              <w:t>2.23</w:t>
            </w:r>
          </w:p>
        </w:tc>
        <w:tc>
          <w:tcPr>
            <w:tcW w:w="833" w:type="pct"/>
            <w:vAlign w:val="center"/>
          </w:tcPr>
          <w:p w14:paraId="091D43A6">
            <w:pPr>
              <w:pStyle w:val="13"/>
              <w:jc w:val="center"/>
              <w:rPr>
                <w:rFonts w:hint="eastAsia"/>
              </w:rPr>
            </w:pPr>
            <w:r>
              <w:rPr>
                <w:rFonts w:hint="eastAsia"/>
              </w:rPr>
              <w:t>59.12</w:t>
            </w:r>
          </w:p>
        </w:tc>
        <w:tc>
          <w:tcPr>
            <w:tcW w:w="833" w:type="pct"/>
            <w:vAlign w:val="center"/>
          </w:tcPr>
          <w:p w14:paraId="5E91EB6C">
            <w:pPr>
              <w:pStyle w:val="13"/>
              <w:jc w:val="center"/>
              <w:rPr>
                <w:rFonts w:hint="eastAsia"/>
              </w:rPr>
            </w:pPr>
          </w:p>
        </w:tc>
        <w:tc>
          <w:tcPr>
            <w:tcW w:w="833" w:type="pct"/>
            <w:vAlign w:val="center"/>
          </w:tcPr>
          <w:p w14:paraId="797ECD5A">
            <w:pPr>
              <w:pStyle w:val="13"/>
              <w:jc w:val="center"/>
              <w:rPr>
                <w:rFonts w:hint="eastAsia"/>
              </w:rPr>
            </w:pPr>
            <w:r>
              <w:rPr>
                <w:rFonts w:hint="eastAsia"/>
              </w:rPr>
              <w:t>32712</w:t>
            </w:r>
          </w:p>
        </w:tc>
      </w:tr>
      <w:tr w14:paraId="2BC589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666F63B5">
            <w:pPr>
              <w:pStyle w:val="13"/>
              <w:jc w:val="center"/>
              <w:rPr>
                <w:rFonts w:hint="eastAsia"/>
              </w:rPr>
            </w:pPr>
            <w:r>
              <w:rPr>
                <w:rFonts w:hint="eastAsia"/>
              </w:rPr>
              <w:t>浈江</w:t>
            </w:r>
          </w:p>
        </w:tc>
        <w:tc>
          <w:tcPr>
            <w:tcW w:w="834" w:type="pct"/>
            <w:vAlign w:val="center"/>
          </w:tcPr>
          <w:p w14:paraId="37861E31">
            <w:pPr>
              <w:pStyle w:val="13"/>
              <w:jc w:val="center"/>
              <w:rPr>
                <w:rFonts w:hint="eastAsia"/>
              </w:rPr>
            </w:pPr>
            <w:r>
              <w:rPr>
                <w:rFonts w:hint="eastAsia"/>
              </w:rPr>
              <w:t>58.51</w:t>
            </w:r>
          </w:p>
        </w:tc>
        <w:tc>
          <w:tcPr>
            <w:tcW w:w="833" w:type="pct"/>
            <w:vAlign w:val="center"/>
          </w:tcPr>
          <w:p w14:paraId="69C114D8">
            <w:pPr>
              <w:pStyle w:val="13"/>
              <w:jc w:val="center"/>
              <w:rPr>
                <w:rFonts w:hint="eastAsia"/>
              </w:rPr>
            </w:pPr>
            <w:r>
              <w:rPr>
                <w:rFonts w:hint="eastAsia"/>
              </w:rPr>
              <w:t>2.37</w:t>
            </w:r>
          </w:p>
        </w:tc>
        <w:tc>
          <w:tcPr>
            <w:tcW w:w="833" w:type="pct"/>
            <w:vAlign w:val="center"/>
          </w:tcPr>
          <w:p w14:paraId="34AF26D3">
            <w:pPr>
              <w:pStyle w:val="13"/>
              <w:jc w:val="center"/>
              <w:rPr>
                <w:rFonts w:hint="eastAsia"/>
              </w:rPr>
            </w:pPr>
            <w:r>
              <w:rPr>
                <w:rFonts w:hint="eastAsia"/>
              </w:rPr>
              <w:t>117.11</w:t>
            </w:r>
          </w:p>
        </w:tc>
        <w:tc>
          <w:tcPr>
            <w:tcW w:w="833" w:type="pct"/>
            <w:vAlign w:val="center"/>
          </w:tcPr>
          <w:p w14:paraId="642803F0">
            <w:pPr>
              <w:pStyle w:val="13"/>
              <w:jc w:val="center"/>
              <w:rPr>
                <w:rFonts w:hint="eastAsia"/>
              </w:rPr>
            </w:pPr>
          </w:p>
        </w:tc>
        <w:tc>
          <w:tcPr>
            <w:tcW w:w="833" w:type="pct"/>
            <w:vAlign w:val="center"/>
          </w:tcPr>
          <w:p w14:paraId="45FC66DC">
            <w:pPr>
              <w:pStyle w:val="13"/>
              <w:jc w:val="center"/>
              <w:rPr>
                <w:rFonts w:hint="eastAsia"/>
              </w:rPr>
            </w:pPr>
            <w:r>
              <w:rPr>
                <w:rFonts w:hint="eastAsia"/>
              </w:rPr>
              <w:t>41571</w:t>
            </w:r>
          </w:p>
        </w:tc>
      </w:tr>
      <w:tr w14:paraId="3C032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4" w:type="pct"/>
            <w:vAlign w:val="center"/>
          </w:tcPr>
          <w:p w14:paraId="0ECEE103">
            <w:pPr>
              <w:pStyle w:val="13"/>
              <w:jc w:val="center"/>
              <w:rPr>
                <w:rFonts w:hint="eastAsia"/>
              </w:rPr>
            </w:pPr>
            <w:r>
              <w:rPr>
                <w:rFonts w:hint="eastAsia"/>
              </w:rPr>
              <w:t>曲江</w:t>
            </w:r>
          </w:p>
        </w:tc>
        <w:tc>
          <w:tcPr>
            <w:tcW w:w="834" w:type="pct"/>
            <w:vAlign w:val="center"/>
          </w:tcPr>
          <w:p w14:paraId="25DB2A05">
            <w:pPr>
              <w:pStyle w:val="13"/>
              <w:jc w:val="center"/>
              <w:rPr>
                <w:rFonts w:hint="eastAsia"/>
              </w:rPr>
            </w:pPr>
            <w:r>
              <w:rPr>
                <w:rFonts w:hint="eastAsia"/>
              </w:rPr>
              <w:t>69.57</w:t>
            </w:r>
          </w:p>
        </w:tc>
        <w:tc>
          <w:tcPr>
            <w:tcW w:w="833" w:type="pct"/>
            <w:vAlign w:val="center"/>
          </w:tcPr>
          <w:p w14:paraId="0E35D441">
            <w:pPr>
              <w:pStyle w:val="13"/>
              <w:jc w:val="center"/>
              <w:rPr>
                <w:rFonts w:hint="eastAsia"/>
              </w:rPr>
            </w:pPr>
            <w:r>
              <w:rPr>
                <w:rFonts w:hint="eastAsia"/>
              </w:rPr>
              <w:t>4.41</w:t>
            </w:r>
          </w:p>
        </w:tc>
        <w:tc>
          <w:tcPr>
            <w:tcW w:w="833" w:type="pct"/>
            <w:vAlign w:val="center"/>
          </w:tcPr>
          <w:p w14:paraId="7D9AAD31">
            <w:pPr>
              <w:pStyle w:val="13"/>
              <w:jc w:val="center"/>
              <w:rPr>
                <w:rFonts w:hint="eastAsia"/>
              </w:rPr>
            </w:pPr>
            <w:r>
              <w:rPr>
                <w:rFonts w:hint="eastAsia"/>
              </w:rPr>
              <w:t>33.01</w:t>
            </w:r>
          </w:p>
        </w:tc>
        <w:tc>
          <w:tcPr>
            <w:tcW w:w="833" w:type="pct"/>
            <w:vAlign w:val="center"/>
          </w:tcPr>
          <w:p w14:paraId="49DAD419">
            <w:pPr>
              <w:pStyle w:val="13"/>
              <w:jc w:val="center"/>
              <w:rPr>
                <w:rFonts w:hint="eastAsia"/>
              </w:rPr>
            </w:pPr>
            <w:r>
              <w:rPr>
                <w:rFonts w:hint="eastAsia"/>
              </w:rPr>
              <w:t>58.05</w:t>
            </w:r>
          </w:p>
        </w:tc>
        <w:tc>
          <w:tcPr>
            <w:tcW w:w="833" w:type="pct"/>
            <w:vAlign w:val="center"/>
          </w:tcPr>
          <w:p w14:paraId="0F7AE712">
            <w:pPr>
              <w:pStyle w:val="13"/>
              <w:jc w:val="center"/>
            </w:pPr>
            <w:r>
              <w:rPr>
                <w:rFonts w:hint="eastAsia"/>
              </w:rPr>
              <w:t>43032</w:t>
            </w:r>
          </w:p>
        </w:tc>
      </w:tr>
    </w:tbl>
    <w:p w14:paraId="18ED1F27">
      <w:pPr>
        <w:pStyle w:val="2"/>
      </w:pPr>
      <w:r>
        <w:t>附录</w:t>
      </w:r>
    </w:p>
    <w:p w14:paraId="592550EF">
      <w:pPr>
        <w:pStyle w:val="3"/>
      </w:pPr>
      <w:r>
        <w:t>南雄市国民经济和社会发展第十二个五年规划纲要</w:t>
      </w:r>
    </w:p>
    <w:p w14:paraId="27B4BE46">
      <w:pPr>
        <w:ind w:firstLine="420"/>
        <w:rPr>
          <w:rFonts w:ascii="宋体" w:hAnsi="宋体"/>
        </w:rPr>
      </w:pPr>
      <w:r>
        <w:rPr>
          <w:rFonts w:ascii="宋体" w:hAnsi="宋体"/>
        </w:rPr>
        <w:t>2011-2015年，是我市贯彻落实科学发展观，全面建设小康社会的重要五年；是深入实施《珠江三角洲地区改革发展规划纲要（2008-2020年）》和《关于促进粤北山区跨越发展的指导性意见》，推动我市实现跨越发展的重要五年；是我市按照可持续发展实验区的要求，实施“调整结构，提升水平，三产联动，做大总量”，提高经济发展质量，增强综合经济实力，加快实现富裕文明和谐安康的粤北门户城市奋斗目标的重要五年。科学编制和实施“十二五”规划，对于今后一段时期内推动我市经济社会持续、健康、快速发展至关重要。</w:t>
      </w:r>
    </w:p>
    <w:p w14:paraId="0E1AEF6B">
      <w:pPr>
        <w:ind w:firstLine="422"/>
        <w:rPr>
          <w:rFonts w:ascii="宋体" w:hAnsi="宋体"/>
          <w:b/>
          <w:bCs/>
        </w:rPr>
      </w:pPr>
      <w:r>
        <w:rPr>
          <w:rFonts w:ascii="宋体" w:hAnsi="宋体"/>
          <w:b/>
          <w:bCs/>
        </w:rPr>
        <w:t>一、发展基础</w:t>
      </w:r>
    </w:p>
    <w:p w14:paraId="04C34C7A">
      <w:pPr>
        <w:ind w:firstLine="420"/>
        <w:rPr>
          <w:rFonts w:ascii="宋体" w:hAnsi="宋体"/>
        </w:rPr>
      </w:pPr>
      <w:r>
        <w:rPr>
          <w:rFonts w:ascii="宋体" w:hAnsi="宋体"/>
        </w:rPr>
        <w:t>“十一五”时期是极不平凡的五年。我市坚持以科学发展观统领经济社会发展全局，解放思想，锐意进取，成功克服了自然灾害的不利影响，积极应对国际金融危机的严重冲击，努力探索实践争当广东欠发达地区科学发展排头兵的新路子——创出了南雄干劲、南雄速度、南雄服务和南雄模式。全市经济、社会发展取得了新的成绩，“十一五”规划确定的主要目标和任务完成状况良好，为“十二五”的跨越发展打下了坚实的基础。</w:t>
      </w:r>
    </w:p>
    <w:p w14:paraId="09690516">
      <w:pPr>
        <w:ind w:firstLine="422"/>
        <w:rPr>
          <w:rFonts w:ascii="宋体" w:hAnsi="宋体"/>
        </w:rPr>
      </w:pPr>
      <w:r>
        <w:rPr>
          <w:rFonts w:hint="eastAsia" w:ascii="宋体" w:hAnsi="宋体"/>
          <w:b/>
          <w:bCs/>
        </w:rPr>
        <w:t>——</w:t>
      </w:r>
      <w:r>
        <w:rPr>
          <w:rFonts w:ascii="宋体" w:hAnsi="宋体"/>
          <w:b/>
          <w:bCs/>
        </w:rPr>
        <w:t>综合经济实力明显提升</w:t>
      </w:r>
      <w:r>
        <w:rPr>
          <w:rFonts w:ascii="宋体" w:hAnsi="宋体"/>
        </w:rPr>
        <w:t>。</w:t>
      </w:r>
      <w:r>
        <w:rPr>
          <w:rFonts w:hint="eastAsia" w:ascii="宋体" w:hAnsi="宋体"/>
        </w:rPr>
        <w:t xml:space="preserve">  </w:t>
      </w:r>
      <w:r>
        <w:rPr>
          <w:rFonts w:ascii="宋体" w:hAnsi="宋体"/>
        </w:rPr>
        <w:t>预计（下同）2010年完成生产总值56亿元，超过规划目标6亿元，五年平均增长16.5%（不变价），超出规划目标1.5个百分点；地方财政一般预算提前一年完成规划目标，2010年达2.8亿元，年均增长24.8%，高出规划9.8个百分点。地区生产总值、地方财政一般预算收入、工业增加值、固定资产投资等主要经济指标“十一五”期间平均发展速度均超过国家、省、韶关市平均发展水平。</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DAFD9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B838506">
            <w:pPr>
              <w:ind w:firstLine="0" w:firstLineChars="0"/>
              <w:jc w:val="center"/>
              <w:rPr>
                <w:rFonts w:ascii="宋体" w:hAnsi="宋体"/>
              </w:rPr>
            </w:pPr>
            <w:r>
              <w:rPr>
                <w:rFonts w:ascii="宋体" w:hAnsi="宋体"/>
              </w:rPr>
              <w:drawing>
                <wp:inline distT="0" distB="0" distL="114300" distR="114300">
                  <wp:extent cx="6181090" cy="3211195"/>
                  <wp:effectExtent l="0" t="0" r="10160" b="8255"/>
                  <wp:docPr id="13" name="图片 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5" descr="1"/>
                          <pic:cNvPicPr>
                            <a:picLocks noChangeAspect="1"/>
                          </pic:cNvPicPr>
                        </pic:nvPicPr>
                        <pic:blipFill>
                          <a:blip r:embed="rId167"/>
                          <a:stretch>
                            <a:fillRect/>
                          </a:stretch>
                        </pic:blipFill>
                        <pic:spPr>
                          <a:xfrm>
                            <a:off x="0" y="0"/>
                            <a:ext cx="6181090" cy="3211195"/>
                          </a:xfrm>
                          <a:prstGeom prst="rect">
                            <a:avLst/>
                          </a:prstGeom>
                          <a:noFill/>
                          <a:ln>
                            <a:noFill/>
                          </a:ln>
                        </pic:spPr>
                      </pic:pic>
                    </a:graphicData>
                  </a:graphic>
                </wp:inline>
              </w:drawing>
            </w:r>
          </w:p>
        </w:tc>
      </w:tr>
      <w:tr w14:paraId="037CA5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7DAA7EF">
            <w:pPr>
              <w:ind w:firstLine="0" w:firstLineChars="0"/>
              <w:jc w:val="center"/>
              <w:rPr>
                <w:rFonts w:ascii="宋体" w:hAnsi="宋体"/>
              </w:rPr>
            </w:pPr>
            <w:commentRangeStart w:id="18"/>
            <w:r>
              <w:rPr>
                <w:rFonts w:hint="eastAsia" w:ascii="宋体" w:hAnsi="宋体"/>
                <w:b/>
                <w:bCs/>
              </w:rPr>
              <w:t>表一：“十一五”期间地区生产总值增长情况</w:t>
            </w:r>
            <w:commentRangeEnd w:id="18"/>
            <w:r>
              <w:rPr>
                <w:rFonts w:ascii="宋体" w:hAnsi="宋体"/>
              </w:rPr>
              <w:commentReference w:id="18"/>
            </w:r>
          </w:p>
        </w:tc>
      </w:tr>
    </w:tbl>
    <w:p w14:paraId="07CA38FE">
      <w:pPr>
        <w:ind w:firstLine="420"/>
        <w:rPr>
          <w:rFonts w:ascii="宋体" w:hAnsi="宋体"/>
        </w:rPr>
      </w:pPr>
      <w:r>
        <w:rPr>
          <w:rFonts w:ascii="宋体" w:hAnsi="宋体"/>
        </w:rPr>
        <w:t>2010年，我市实现工业总产值37.8亿元，比上年增长42.1%，“十一五”期间年均增长27%；实现工业增加值9.3亿元，同比增长35.8%；五年规模以上工业企业达到55家，规模以上工业完成增加值5.87亿元，增幅达到53.3%。产业转移园快速发展，2010年完成工业总产值11.9亿元，实现工业增加值2个多亿元，产业转移工业园已成为推我市经济快速发展的最主要引擎。</w:t>
      </w:r>
    </w:p>
    <w:p w14:paraId="1390C4BE">
      <w:pPr>
        <w:ind w:firstLine="422"/>
        <w:rPr>
          <w:rFonts w:ascii="宋体" w:hAnsi="宋体"/>
        </w:rPr>
      </w:pPr>
      <w:r>
        <w:rPr>
          <w:rFonts w:hint="eastAsia" w:ascii="宋体" w:hAnsi="宋体"/>
          <w:b/>
          <w:bCs/>
        </w:rPr>
        <w:t>——</w:t>
      </w:r>
      <w:r>
        <w:rPr>
          <w:rFonts w:ascii="宋体" w:hAnsi="宋体"/>
          <w:b/>
          <w:bCs/>
        </w:rPr>
        <w:t>经济结构逐步得到优化</w:t>
      </w:r>
      <w:r>
        <w:rPr>
          <w:rFonts w:ascii="宋体" w:hAnsi="宋体"/>
        </w:rPr>
        <w:t>。</w:t>
      </w:r>
      <w:r>
        <w:rPr>
          <w:rFonts w:hint="eastAsia" w:ascii="宋体" w:hAnsi="宋体"/>
        </w:rPr>
        <w:t xml:space="preserve">  </w:t>
      </w:r>
      <w:r>
        <w:rPr>
          <w:rFonts w:ascii="宋体" w:hAnsi="宋体"/>
        </w:rPr>
        <w:t>三次产业的比重由2005年的39.1：17：43.9调整为2010年的29.5：26.1：44.4，工业对经济发展的贡献逐年加大。城镇化稳步推进，城镇</w:t>
      </w:r>
      <w:r>
        <w:rPr>
          <w:rFonts w:hint="eastAsia" w:ascii="宋体" w:hAnsi="宋体"/>
        </w:rPr>
        <w:t>化水平由2006年的18.5%调整为2010年的35.4%。</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34C92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1220EA6">
            <w:pPr>
              <w:ind w:firstLine="0" w:firstLineChars="0"/>
              <w:jc w:val="center"/>
              <w:rPr>
                <w:rFonts w:ascii="宋体" w:hAnsi="宋体"/>
              </w:rPr>
            </w:pPr>
            <w:r>
              <w:rPr>
                <w:rFonts w:ascii="宋体" w:hAnsi="宋体"/>
              </w:rPr>
              <w:drawing>
                <wp:inline distT="0" distB="0" distL="114300" distR="114300">
                  <wp:extent cx="6181090" cy="3160395"/>
                  <wp:effectExtent l="0" t="0" r="10160" b="1905"/>
                  <wp:docPr id="14" name="图片 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6" descr="2"/>
                          <pic:cNvPicPr>
                            <a:picLocks noChangeAspect="1"/>
                          </pic:cNvPicPr>
                        </pic:nvPicPr>
                        <pic:blipFill>
                          <a:blip r:embed="rId168"/>
                          <a:stretch>
                            <a:fillRect/>
                          </a:stretch>
                        </pic:blipFill>
                        <pic:spPr>
                          <a:xfrm>
                            <a:off x="0" y="0"/>
                            <a:ext cx="6181090" cy="3160395"/>
                          </a:xfrm>
                          <a:prstGeom prst="rect">
                            <a:avLst/>
                          </a:prstGeom>
                          <a:noFill/>
                          <a:ln>
                            <a:noFill/>
                          </a:ln>
                        </pic:spPr>
                      </pic:pic>
                    </a:graphicData>
                  </a:graphic>
                </wp:inline>
              </w:drawing>
            </w:r>
          </w:p>
        </w:tc>
      </w:tr>
      <w:tr w14:paraId="07DC9F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C4F1150">
            <w:pPr>
              <w:ind w:firstLine="0" w:firstLineChars="0"/>
              <w:jc w:val="center"/>
              <w:rPr>
                <w:rFonts w:ascii="宋体" w:hAnsi="宋体"/>
              </w:rPr>
            </w:pPr>
            <w:r>
              <w:rPr>
                <w:rFonts w:hint="eastAsia" w:ascii="宋体" w:hAnsi="宋体"/>
                <w:b/>
                <w:bCs/>
              </w:rPr>
              <w:t>表二：“十一五”期间地方财政一般预算收入增长情况</w:t>
            </w:r>
          </w:p>
        </w:tc>
      </w:tr>
    </w:tbl>
    <w:p w14:paraId="6237C4A3">
      <w:pPr>
        <w:ind w:firstLine="420"/>
        <w:rPr>
          <w:rFonts w:ascii="宋体" w:hAnsi="宋体"/>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2498A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13493F4">
            <w:pPr>
              <w:ind w:firstLine="0" w:firstLineChars="0"/>
              <w:jc w:val="center"/>
              <w:rPr>
                <w:rFonts w:ascii="宋体" w:hAnsi="宋体"/>
              </w:rPr>
            </w:pPr>
            <w:r>
              <w:rPr>
                <w:rFonts w:ascii="宋体" w:hAnsi="宋体"/>
              </w:rPr>
              <w:drawing>
                <wp:inline distT="0" distB="0" distL="114300" distR="114300">
                  <wp:extent cx="6188710" cy="1791970"/>
                  <wp:effectExtent l="0" t="0" r="2540" b="17780"/>
                  <wp:docPr id="8" name="图片 7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7" descr="3"/>
                          <pic:cNvPicPr>
                            <a:picLocks noChangeAspect="1"/>
                          </pic:cNvPicPr>
                        </pic:nvPicPr>
                        <pic:blipFill>
                          <a:blip r:embed="rId169"/>
                          <a:stretch>
                            <a:fillRect/>
                          </a:stretch>
                        </pic:blipFill>
                        <pic:spPr>
                          <a:xfrm>
                            <a:off x="0" y="0"/>
                            <a:ext cx="6188710" cy="1791970"/>
                          </a:xfrm>
                          <a:prstGeom prst="rect">
                            <a:avLst/>
                          </a:prstGeom>
                          <a:noFill/>
                          <a:ln>
                            <a:noFill/>
                          </a:ln>
                        </pic:spPr>
                      </pic:pic>
                    </a:graphicData>
                  </a:graphic>
                </wp:inline>
              </w:drawing>
            </w:r>
          </w:p>
        </w:tc>
      </w:tr>
      <w:tr w14:paraId="0A9CDB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E76EE07">
            <w:pPr>
              <w:ind w:firstLine="422"/>
              <w:jc w:val="center"/>
              <w:rPr>
                <w:rFonts w:ascii="宋体" w:hAnsi="宋体"/>
              </w:rPr>
            </w:pPr>
            <w:r>
              <w:rPr>
                <w:rFonts w:hint="eastAsia" w:ascii="宋体" w:hAnsi="宋体"/>
                <w:b/>
                <w:bCs/>
              </w:rPr>
              <w:t>表三：2008-2010年南雄GDP增长速度与全国、全省、全韶关市对比</w:t>
            </w:r>
          </w:p>
        </w:tc>
      </w:tr>
    </w:tbl>
    <w:p w14:paraId="3C025480">
      <w:pPr>
        <w:ind w:firstLine="420"/>
        <w:rPr>
          <w:rFonts w:ascii="宋体" w:hAnsi="宋体"/>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9ED08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A08F706">
            <w:pPr>
              <w:ind w:firstLine="0" w:firstLineChars="0"/>
              <w:jc w:val="center"/>
              <w:rPr>
                <w:rFonts w:ascii="宋体" w:hAnsi="宋体"/>
              </w:rPr>
            </w:pPr>
            <w:r>
              <w:rPr>
                <w:rFonts w:ascii="宋体" w:hAnsi="宋体"/>
              </w:rPr>
              <w:drawing>
                <wp:inline distT="0" distB="0" distL="114300" distR="114300">
                  <wp:extent cx="6181090" cy="3225800"/>
                  <wp:effectExtent l="0" t="0" r="10160" b="12700"/>
                  <wp:docPr id="15" name="图片 7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8" descr="4"/>
                          <pic:cNvPicPr>
                            <a:picLocks noChangeAspect="1"/>
                          </pic:cNvPicPr>
                        </pic:nvPicPr>
                        <pic:blipFill>
                          <a:blip r:embed="rId170"/>
                          <a:stretch>
                            <a:fillRect/>
                          </a:stretch>
                        </pic:blipFill>
                        <pic:spPr>
                          <a:xfrm>
                            <a:off x="0" y="0"/>
                            <a:ext cx="6181090" cy="3225800"/>
                          </a:xfrm>
                          <a:prstGeom prst="rect">
                            <a:avLst/>
                          </a:prstGeom>
                          <a:noFill/>
                          <a:ln>
                            <a:noFill/>
                          </a:ln>
                        </pic:spPr>
                      </pic:pic>
                    </a:graphicData>
                  </a:graphic>
                </wp:inline>
              </w:drawing>
            </w:r>
          </w:p>
        </w:tc>
      </w:tr>
      <w:tr w14:paraId="0FDB44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5BA5239">
            <w:pPr>
              <w:ind w:firstLine="0" w:firstLineChars="0"/>
              <w:jc w:val="center"/>
              <w:rPr>
                <w:rFonts w:ascii="宋体" w:hAnsi="宋体"/>
              </w:rPr>
            </w:pPr>
            <w:r>
              <w:rPr>
                <w:rFonts w:hint="eastAsia" w:ascii="宋体" w:hAnsi="宋体"/>
                <w:b/>
                <w:bCs/>
              </w:rPr>
              <w:t>表四：一、二、三产业结构调整对比图</w:t>
            </w:r>
          </w:p>
        </w:tc>
      </w:tr>
    </w:tbl>
    <w:p w14:paraId="744DE5C0">
      <w:pPr>
        <w:ind w:firstLine="422"/>
        <w:rPr>
          <w:rFonts w:ascii="宋体" w:hAnsi="宋体"/>
        </w:rPr>
      </w:pPr>
      <w:r>
        <w:rPr>
          <w:rFonts w:hint="eastAsia" w:ascii="宋体" w:hAnsi="宋体"/>
          <w:b/>
          <w:bCs/>
        </w:rPr>
        <w:t>——</w:t>
      </w:r>
      <w:r>
        <w:rPr>
          <w:rFonts w:ascii="宋体" w:hAnsi="宋体"/>
          <w:b/>
          <w:bCs/>
        </w:rPr>
        <w:t>基础设施进一步完善</w:t>
      </w:r>
      <w:r>
        <w:rPr>
          <w:rFonts w:ascii="宋体" w:hAnsi="宋体"/>
        </w:rPr>
        <w:t>。</w:t>
      </w:r>
      <w:r>
        <w:rPr>
          <w:rFonts w:hint="eastAsia" w:ascii="宋体" w:hAnsi="宋体"/>
        </w:rPr>
        <w:t xml:space="preserve">  </w:t>
      </w:r>
      <w:r>
        <w:rPr>
          <w:rFonts w:ascii="宋体" w:hAnsi="宋体"/>
        </w:rPr>
        <w:t>通过实施城市经营战略，五年投入城市改造资金约11亿元，城市面貌焕然一新。交通条件进一步改善，韶赣高速公路通车在即，赣韶铁路建设顺利推进，南雄作为广东通向泛珠三角腹地的桥头堡作用日益明显。五年投入电网建设资金7.8亿元，新建了珠玑220KV变电站一大批电力设施，基本完成了农村电网改造，实现了城乡同网同价。国家西气东输二线管道工程基本建成，南雄支线正在规划设计。全市城市水利防灾减灾工程和中小型水库除险加固工程基本完成。“十一五”期间，全社会固定资产投资累计超过163亿元，平均每年投资30亿元以上。</w:t>
      </w:r>
    </w:p>
    <w:p w14:paraId="0202AAF6">
      <w:pPr>
        <w:ind w:firstLine="422"/>
        <w:rPr>
          <w:rFonts w:ascii="宋体" w:hAnsi="宋体"/>
        </w:rPr>
      </w:pPr>
      <w:r>
        <w:rPr>
          <w:rFonts w:hint="eastAsia" w:ascii="宋体" w:hAnsi="宋体"/>
          <w:b/>
          <w:bCs/>
        </w:rPr>
        <w:t>——</w:t>
      </w:r>
      <w:r>
        <w:rPr>
          <w:rFonts w:ascii="宋体" w:hAnsi="宋体"/>
          <w:b/>
          <w:bCs/>
        </w:rPr>
        <w:t>人民生活进一步改善</w:t>
      </w:r>
      <w:r>
        <w:rPr>
          <w:rFonts w:ascii="宋体" w:hAnsi="宋体"/>
        </w:rPr>
        <w:t>。2010年，城镇在岗职工人年均工资26955元，年均增长11.1%；农村人均纯收入5945元，年均增长10%以上。城乡居民储蓄存款余额2010年达到44.97亿元，五年年均增长15%以上。2010年全市小学适龄人口入学率100%，初中毕业生升学率99.5%，高中阶段毛入学率90%。就业问题得到较好解决，社会保障能力进一步增强，社会保险覆盖面进一步扩大，2010年全市社会养老保险参保2.31万人，城镇职工居民医疗保险参保2.38万人，新型农村合作医疗覆盖率达到100%，并积极稳步推进医药卫生体制改革。文化广电新闻出版事业繁荣，非物质文化遗产认证工作成果喜人，群众文化活动精彩纷呈。人口与计生工作稳步推进，政策生育率达到了94.24%，人口自然增长率控制在7.5%以内，成功创建了省计生优质服务先进县。环境保护得到进一步加强，节能减排任务如期完成，城镇生活污水处理率达到76%。森林覆盖率达到62%。</w:t>
      </w:r>
    </w:p>
    <w:p w14:paraId="7FF03254">
      <w:pPr>
        <w:ind w:firstLine="420"/>
        <w:rPr>
          <w:rFonts w:ascii="宋体" w:hAnsi="宋体"/>
        </w:rPr>
      </w:pPr>
      <w:r>
        <w:rPr>
          <w:rFonts w:ascii="宋体" w:hAnsi="宋体"/>
        </w:rPr>
        <w:t>五年期间，我市先后获得广东省文明城市、广东省历史文化名城、广东省文化先进市和广东省可持续发展实验区等荣誉称号，同时，我市被中央党史研究室确认为“原中央苏区县”，被省政府列为财政省直管试点县之一，产业转移工业园被确认为省级产业转移工业园。</w:t>
      </w:r>
    </w:p>
    <w:p w14:paraId="1CED557F">
      <w:pPr>
        <w:ind w:firstLine="420"/>
        <w:rPr>
          <w:rFonts w:hint="eastAsia" w:ascii="宋体" w:hAnsi="宋体"/>
        </w:rPr>
      </w:pPr>
      <w:r>
        <w:rPr>
          <w:rFonts w:ascii="宋体" w:hAnsi="宋体"/>
        </w:rPr>
        <w:t>在“十一五”规划实施中，也存在一些不容忽视的问题：一是外贸出口总额、三大产业结构调整等指标未能如期完成；部分指标低于省、韶关市平均水平；产业结构比重仍不合理，工业主导地位没有确立，传统农业产业比重仍然过高。二是“两路”建设不尽人意，我市交通制约经济发展瓶颈因素没有得到有效破解，地区竞争优势仍不够凸显；随着征地拆迁难度的增大，重点项目建设难度也越来越大。三是财政收入来源结构有待优化，收支矛盾仍然比较突出。</w:t>
      </w:r>
    </w:p>
    <w:p w14:paraId="2BD4B7CD">
      <w:pPr>
        <w:ind w:firstLine="0" w:firstLineChars="0"/>
        <w:jc w:val="center"/>
        <w:rPr>
          <w:rFonts w:hint="eastAsia" w:ascii="宋体" w:hAnsi="宋体"/>
          <w:b/>
        </w:rPr>
      </w:pPr>
      <w:commentRangeStart w:id="19"/>
      <w:r>
        <w:rPr>
          <w:rFonts w:hint="eastAsia" w:ascii="宋体" w:hAnsi="宋体"/>
          <w:b/>
        </w:rPr>
        <w:t>表35-1  “十一五”规划主要目标预计完成情况一览表</w:t>
      </w:r>
      <w:commentRangeEnd w:id="19"/>
      <w:r>
        <w:rPr>
          <w:rStyle w:val="12"/>
          <w:rFonts w:ascii="宋体" w:hAnsi="宋体"/>
        </w:rPr>
        <w:commentReference w:id="19"/>
      </w:r>
    </w:p>
    <w:tbl>
      <w:tblPr>
        <w:tblStyle w:val="1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28"/>
        <w:gridCol w:w="1419"/>
        <w:gridCol w:w="1982"/>
        <w:gridCol w:w="1845"/>
        <w:gridCol w:w="1488"/>
      </w:tblGrid>
      <w:tr w14:paraId="756AA1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1620" w:type="pct"/>
            <w:vAlign w:val="center"/>
          </w:tcPr>
          <w:p w14:paraId="6D99CF64">
            <w:pPr>
              <w:pStyle w:val="13"/>
              <w:jc w:val="center"/>
              <w:rPr>
                <w:rFonts w:hint="eastAsia"/>
                <w:b/>
              </w:rPr>
            </w:pPr>
            <w:r>
              <w:rPr>
                <w:rFonts w:hint="eastAsia"/>
                <w:b/>
              </w:rPr>
              <w:t>指标</w:t>
            </w:r>
          </w:p>
        </w:tc>
        <w:tc>
          <w:tcPr>
            <w:tcW w:w="712" w:type="pct"/>
            <w:vAlign w:val="center"/>
          </w:tcPr>
          <w:p w14:paraId="313F2FA7">
            <w:pPr>
              <w:pStyle w:val="13"/>
              <w:jc w:val="center"/>
              <w:rPr>
                <w:rFonts w:hint="eastAsia"/>
                <w:b/>
              </w:rPr>
            </w:pPr>
            <w:r>
              <w:rPr>
                <w:rFonts w:hint="eastAsia"/>
                <w:b/>
              </w:rPr>
              <w:t>“十一五”目标（2010年）</w:t>
            </w:r>
          </w:p>
        </w:tc>
        <w:tc>
          <w:tcPr>
            <w:tcW w:w="995" w:type="pct"/>
            <w:vAlign w:val="center"/>
          </w:tcPr>
          <w:p w14:paraId="6EF11DFC">
            <w:pPr>
              <w:pStyle w:val="13"/>
              <w:jc w:val="center"/>
              <w:rPr>
                <w:rFonts w:hint="eastAsia"/>
                <w:b/>
              </w:rPr>
            </w:pPr>
            <w:r>
              <w:rPr>
                <w:rFonts w:hint="eastAsia"/>
                <w:b/>
              </w:rPr>
              <w:t>2010年(亿元)</w:t>
            </w:r>
          </w:p>
        </w:tc>
        <w:tc>
          <w:tcPr>
            <w:tcW w:w="926" w:type="pct"/>
            <w:vAlign w:val="center"/>
          </w:tcPr>
          <w:p w14:paraId="46981B15">
            <w:pPr>
              <w:pStyle w:val="13"/>
              <w:jc w:val="center"/>
              <w:rPr>
                <w:rFonts w:hint="eastAsia"/>
                <w:b/>
              </w:rPr>
            </w:pPr>
            <w:r>
              <w:rPr>
                <w:rFonts w:hint="eastAsia"/>
                <w:b/>
              </w:rPr>
              <w:t>与规划目标</w:t>
            </w:r>
          </w:p>
          <w:p w14:paraId="33652910">
            <w:pPr>
              <w:pStyle w:val="13"/>
              <w:jc w:val="center"/>
              <w:rPr>
                <w:rFonts w:hint="eastAsia"/>
                <w:b/>
              </w:rPr>
            </w:pPr>
            <w:r>
              <w:rPr>
                <w:rFonts w:hint="eastAsia"/>
                <w:b/>
              </w:rPr>
              <w:t>相比较</w:t>
            </w:r>
          </w:p>
        </w:tc>
        <w:tc>
          <w:tcPr>
            <w:tcW w:w="747" w:type="pct"/>
            <w:vAlign w:val="center"/>
          </w:tcPr>
          <w:p w14:paraId="37F9748C">
            <w:pPr>
              <w:pStyle w:val="13"/>
              <w:jc w:val="center"/>
              <w:rPr>
                <w:rFonts w:hint="eastAsia"/>
                <w:b/>
              </w:rPr>
            </w:pPr>
            <w:r>
              <w:rPr>
                <w:rFonts w:hint="eastAsia"/>
                <w:b/>
              </w:rPr>
              <w:t>年均增长率（%）</w:t>
            </w:r>
          </w:p>
        </w:tc>
      </w:tr>
      <w:tr w14:paraId="5DA89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620" w:type="pct"/>
            <w:vAlign w:val="center"/>
          </w:tcPr>
          <w:p w14:paraId="4628DE28">
            <w:pPr>
              <w:pStyle w:val="13"/>
              <w:jc w:val="left"/>
              <w:rPr>
                <w:rFonts w:hint="eastAsia"/>
              </w:rPr>
            </w:pPr>
            <w:r>
              <w:rPr>
                <w:rFonts w:hint="eastAsia"/>
              </w:rPr>
              <w:t>1</w:t>
            </w:r>
            <w:r>
              <w:rPr>
                <w:rFonts w:hint="eastAsia" w:ascii="宋体" w:hAnsi="宋体" w:cs="宋体"/>
              </w:rPr>
              <w:t>.</w:t>
            </w:r>
            <w:r>
              <w:rPr>
                <w:rFonts w:hint="eastAsia"/>
              </w:rPr>
              <w:t>GDP（亿元）</w:t>
            </w:r>
          </w:p>
        </w:tc>
        <w:tc>
          <w:tcPr>
            <w:tcW w:w="712" w:type="pct"/>
            <w:vAlign w:val="center"/>
          </w:tcPr>
          <w:p w14:paraId="35EF4ECF">
            <w:pPr>
              <w:pStyle w:val="13"/>
              <w:jc w:val="center"/>
              <w:rPr>
                <w:rFonts w:hint="eastAsia"/>
              </w:rPr>
            </w:pPr>
            <w:r>
              <w:rPr>
                <w:rFonts w:hint="eastAsia"/>
              </w:rPr>
              <w:t>50</w:t>
            </w:r>
          </w:p>
        </w:tc>
        <w:tc>
          <w:tcPr>
            <w:tcW w:w="995" w:type="pct"/>
            <w:vAlign w:val="center"/>
          </w:tcPr>
          <w:p w14:paraId="4E38B673">
            <w:pPr>
              <w:pStyle w:val="13"/>
              <w:jc w:val="center"/>
              <w:rPr>
                <w:rFonts w:hint="eastAsia"/>
              </w:rPr>
            </w:pPr>
            <w:r>
              <w:rPr>
                <w:rFonts w:hint="eastAsia"/>
              </w:rPr>
              <w:t>56</w:t>
            </w:r>
          </w:p>
        </w:tc>
        <w:tc>
          <w:tcPr>
            <w:tcW w:w="926" w:type="pct"/>
            <w:vAlign w:val="center"/>
          </w:tcPr>
          <w:p w14:paraId="4BE98D41">
            <w:pPr>
              <w:pStyle w:val="13"/>
              <w:jc w:val="center"/>
              <w:rPr>
                <w:rFonts w:hint="eastAsia"/>
              </w:rPr>
            </w:pPr>
            <w:r>
              <w:rPr>
                <w:rFonts w:hint="eastAsia"/>
              </w:rPr>
              <w:t>超出6亿元</w:t>
            </w:r>
          </w:p>
        </w:tc>
        <w:tc>
          <w:tcPr>
            <w:tcW w:w="747" w:type="pct"/>
            <w:vAlign w:val="center"/>
          </w:tcPr>
          <w:p w14:paraId="1A135D9A">
            <w:pPr>
              <w:pStyle w:val="13"/>
              <w:jc w:val="center"/>
              <w:rPr>
                <w:rFonts w:hint="eastAsia"/>
              </w:rPr>
            </w:pPr>
            <w:r>
              <w:rPr>
                <w:rFonts w:hint="eastAsia"/>
              </w:rPr>
              <w:t>16</w:t>
            </w:r>
            <w:r>
              <w:rPr>
                <w:rFonts w:hint="eastAsia" w:ascii="宋体" w:hAnsi="宋体" w:cs="宋体"/>
              </w:rPr>
              <w:t>.</w:t>
            </w:r>
            <w:r>
              <w:rPr>
                <w:rFonts w:hint="eastAsia"/>
              </w:rPr>
              <w:t>5</w:t>
            </w:r>
          </w:p>
        </w:tc>
      </w:tr>
      <w:tr w14:paraId="0FA3AD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1620" w:type="pct"/>
            <w:vAlign w:val="center"/>
          </w:tcPr>
          <w:p w14:paraId="05175191">
            <w:pPr>
              <w:pStyle w:val="13"/>
              <w:jc w:val="left"/>
              <w:rPr>
                <w:rFonts w:hint="eastAsia"/>
              </w:rPr>
            </w:pPr>
            <w:r>
              <w:rPr>
                <w:rFonts w:hint="eastAsia"/>
              </w:rPr>
              <w:t>第一产业（亿元）</w:t>
            </w:r>
          </w:p>
        </w:tc>
        <w:tc>
          <w:tcPr>
            <w:tcW w:w="712" w:type="pct"/>
            <w:vAlign w:val="center"/>
          </w:tcPr>
          <w:p w14:paraId="489ACF82">
            <w:pPr>
              <w:pStyle w:val="13"/>
              <w:jc w:val="center"/>
              <w:rPr>
                <w:rFonts w:hint="eastAsia"/>
              </w:rPr>
            </w:pPr>
            <w:r>
              <w:rPr>
                <w:rFonts w:hint="eastAsia"/>
              </w:rPr>
              <w:t>13</w:t>
            </w:r>
            <w:r>
              <w:rPr>
                <w:rFonts w:hint="eastAsia" w:ascii="宋体" w:hAnsi="宋体" w:cs="宋体"/>
              </w:rPr>
              <w:t>.</w:t>
            </w:r>
            <w:r>
              <w:rPr>
                <w:rFonts w:hint="eastAsia"/>
              </w:rPr>
              <w:t>5</w:t>
            </w:r>
          </w:p>
        </w:tc>
        <w:tc>
          <w:tcPr>
            <w:tcW w:w="995" w:type="pct"/>
            <w:vAlign w:val="center"/>
          </w:tcPr>
          <w:p w14:paraId="4A037966">
            <w:pPr>
              <w:pStyle w:val="13"/>
              <w:jc w:val="center"/>
              <w:rPr>
                <w:rFonts w:hint="eastAsia"/>
              </w:rPr>
            </w:pPr>
            <w:r>
              <w:rPr>
                <w:rFonts w:hint="eastAsia"/>
              </w:rPr>
              <w:t>16</w:t>
            </w:r>
            <w:r>
              <w:rPr>
                <w:rFonts w:hint="eastAsia" w:ascii="宋体" w:hAnsi="宋体" w:cs="宋体"/>
              </w:rPr>
              <w:t>.</w:t>
            </w:r>
            <w:r>
              <w:rPr>
                <w:rFonts w:hint="eastAsia"/>
              </w:rPr>
              <w:t>6</w:t>
            </w:r>
          </w:p>
        </w:tc>
        <w:tc>
          <w:tcPr>
            <w:tcW w:w="926" w:type="pct"/>
            <w:vAlign w:val="center"/>
          </w:tcPr>
          <w:p w14:paraId="1EC92C2B">
            <w:pPr>
              <w:pStyle w:val="13"/>
              <w:jc w:val="center"/>
              <w:rPr>
                <w:rFonts w:hint="eastAsia"/>
              </w:rPr>
            </w:pPr>
            <w:r>
              <w:rPr>
                <w:rFonts w:hint="eastAsia"/>
              </w:rPr>
              <w:t>超出3</w:t>
            </w:r>
            <w:r>
              <w:rPr>
                <w:rFonts w:hint="eastAsia" w:ascii="宋体" w:hAnsi="宋体" w:cs="宋体"/>
              </w:rPr>
              <w:t>.</w:t>
            </w:r>
            <w:r>
              <w:rPr>
                <w:rFonts w:hint="eastAsia"/>
              </w:rPr>
              <w:t>1亿元</w:t>
            </w:r>
          </w:p>
        </w:tc>
        <w:tc>
          <w:tcPr>
            <w:tcW w:w="747" w:type="pct"/>
            <w:vAlign w:val="center"/>
          </w:tcPr>
          <w:p w14:paraId="2D916F33">
            <w:pPr>
              <w:pStyle w:val="13"/>
              <w:jc w:val="center"/>
              <w:rPr>
                <w:rFonts w:hint="eastAsia"/>
              </w:rPr>
            </w:pPr>
            <w:r>
              <w:rPr>
                <w:rFonts w:hint="eastAsia"/>
              </w:rPr>
              <w:t>7</w:t>
            </w:r>
          </w:p>
        </w:tc>
      </w:tr>
      <w:tr w14:paraId="33EAA7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1620" w:type="pct"/>
            <w:vAlign w:val="center"/>
          </w:tcPr>
          <w:p w14:paraId="21EF4AFF">
            <w:pPr>
              <w:pStyle w:val="13"/>
              <w:jc w:val="left"/>
              <w:rPr>
                <w:rFonts w:hint="eastAsia"/>
              </w:rPr>
            </w:pPr>
            <w:r>
              <w:rPr>
                <w:rFonts w:hint="eastAsia"/>
              </w:rPr>
              <w:t>第二产业（亿元）</w:t>
            </w:r>
          </w:p>
        </w:tc>
        <w:tc>
          <w:tcPr>
            <w:tcW w:w="712" w:type="pct"/>
            <w:vAlign w:val="center"/>
          </w:tcPr>
          <w:p w14:paraId="6E22A2B9">
            <w:pPr>
              <w:pStyle w:val="13"/>
              <w:jc w:val="center"/>
              <w:rPr>
                <w:rFonts w:hint="eastAsia"/>
              </w:rPr>
            </w:pPr>
            <w:r>
              <w:rPr>
                <w:rFonts w:hint="eastAsia"/>
              </w:rPr>
              <w:t>16</w:t>
            </w:r>
            <w:r>
              <w:rPr>
                <w:rFonts w:hint="eastAsia" w:ascii="宋体" w:hAnsi="宋体" w:cs="宋体"/>
              </w:rPr>
              <w:t>.</w:t>
            </w:r>
            <w:r>
              <w:rPr>
                <w:rFonts w:hint="eastAsia"/>
              </w:rPr>
              <w:t>5</w:t>
            </w:r>
          </w:p>
        </w:tc>
        <w:tc>
          <w:tcPr>
            <w:tcW w:w="995" w:type="pct"/>
            <w:vAlign w:val="center"/>
          </w:tcPr>
          <w:p w14:paraId="510C17A5">
            <w:pPr>
              <w:pStyle w:val="13"/>
              <w:jc w:val="center"/>
              <w:rPr>
                <w:rFonts w:hint="eastAsia"/>
              </w:rPr>
            </w:pPr>
            <w:r>
              <w:rPr>
                <w:rFonts w:hint="eastAsia"/>
              </w:rPr>
              <w:t>14</w:t>
            </w:r>
            <w:r>
              <w:rPr>
                <w:rFonts w:hint="eastAsia" w:ascii="宋体" w:hAnsi="宋体" w:cs="宋体"/>
              </w:rPr>
              <w:t>.</w:t>
            </w:r>
            <w:r>
              <w:rPr>
                <w:rFonts w:hint="eastAsia"/>
              </w:rPr>
              <w:t>7</w:t>
            </w:r>
          </w:p>
        </w:tc>
        <w:tc>
          <w:tcPr>
            <w:tcW w:w="926" w:type="pct"/>
            <w:vAlign w:val="center"/>
          </w:tcPr>
          <w:p w14:paraId="6D85BA18">
            <w:pPr>
              <w:pStyle w:val="13"/>
              <w:jc w:val="center"/>
              <w:rPr>
                <w:rFonts w:hint="eastAsia"/>
              </w:rPr>
            </w:pPr>
            <w:r>
              <w:rPr>
                <w:rFonts w:hint="eastAsia"/>
              </w:rPr>
              <w:t>低1</w:t>
            </w:r>
            <w:r>
              <w:rPr>
                <w:rFonts w:hint="eastAsia" w:ascii="宋体" w:hAnsi="宋体" w:cs="宋体"/>
              </w:rPr>
              <w:t>.</w:t>
            </w:r>
            <w:r>
              <w:rPr>
                <w:rFonts w:hint="eastAsia"/>
              </w:rPr>
              <w:t>8亿元</w:t>
            </w:r>
          </w:p>
        </w:tc>
        <w:tc>
          <w:tcPr>
            <w:tcW w:w="747" w:type="pct"/>
            <w:vAlign w:val="center"/>
          </w:tcPr>
          <w:p w14:paraId="16CDC241">
            <w:pPr>
              <w:pStyle w:val="13"/>
              <w:jc w:val="center"/>
              <w:rPr>
                <w:rFonts w:hint="eastAsia"/>
              </w:rPr>
            </w:pPr>
            <w:r>
              <w:rPr>
                <w:rFonts w:hint="eastAsia"/>
              </w:rPr>
              <w:t>33</w:t>
            </w:r>
          </w:p>
        </w:tc>
      </w:tr>
      <w:tr w14:paraId="6E5B7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1620" w:type="pct"/>
            <w:vAlign w:val="center"/>
          </w:tcPr>
          <w:p w14:paraId="661F53E8">
            <w:pPr>
              <w:pStyle w:val="13"/>
              <w:jc w:val="left"/>
              <w:rPr>
                <w:rFonts w:hint="eastAsia"/>
              </w:rPr>
            </w:pPr>
            <w:r>
              <w:rPr>
                <w:rFonts w:hint="eastAsia"/>
              </w:rPr>
              <w:t>第三产业（亿元）</w:t>
            </w:r>
          </w:p>
        </w:tc>
        <w:tc>
          <w:tcPr>
            <w:tcW w:w="712" w:type="pct"/>
            <w:vAlign w:val="center"/>
          </w:tcPr>
          <w:p w14:paraId="7F68E0A5">
            <w:pPr>
              <w:pStyle w:val="13"/>
              <w:jc w:val="center"/>
              <w:rPr>
                <w:rFonts w:hint="eastAsia"/>
              </w:rPr>
            </w:pPr>
            <w:r>
              <w:rPr>
                <w:rFonts w:hint="eastAsia"/>
              </w:rPr>
              <w:t>20</w:t>
            </w:r>
          </w:p>
        </w:tc>
        <w:tc>
          <w:tcPr>
            <w:tcW w:w="995" w:type="pct"/>
            <w:vAlign w:val="center"/>
          </w:tcPr>
          <w:p w14:paraId="6CA29BA6">
            <w:pPr>
              <w:pStyle w:val="13"/>
              <w:jc w:val="center"/>
              <w:rPr>
                <w:rFonts w:hint="eastAsia"/>
              </w:rPr>
            </w:pPr>
            <w:r>
              <w:rPr>
                <w:rFonts w:hint="eastAsia"/>
              </w:rPr>
              <w:t>25</w:t>
            </w:r>
          </w:p>
        </w:tc>
        <w:tc>
          <w:tcPr>
            <w:tcW w:w="926" w:type="pct"/>
            <w:vAlign w:val="center"/>
          </w:tcPr>
          <w:p w14:paraId="5AA436DD">
            <w:pPr>
              <w:pStyle w:val="13"/>
              <w:jc w:val="center"/>
              <w:rPr>
                <w:rFonts w:hint="eastAsia"/>
              </w:rPr>
            </w:pPr>
            <w:r>
              <w:rPr>
                <w:rFonts w:hint="eastAsia"/>
              </w:rPr>
              <w:t>超出5亿元</w:t>
            </w:r>
          </w:p>
        </w:tc>
        <w:tc>
          <w:tcPr>
            <w:tcW w:w="747" w:type="pct"/>
            <w:vAlign w:val="center"/>
          </w:tcPr>
          <w:p w14:paraId="43D14733">
            <w:pPr>
              <w:pStyle w:val="13"/>
              <w:jc w:val="center"/>
              <w:rPr>
                <w:rFonts w:hint="eastAsia"/>
              </w:rPr>
            </w:pPr>
            <w:r>
              <w:rPr>
                <w:rFonts w:hint="eastAsia"/>
              </w:rPr>
              <w:t>15</w:t>
            </w:r>
          </w:p>
        </w:tc>
      </w:tr>
      <w:tr w14:paraId="241F3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620" w:type="pct"/>
            <w:vAlign w:val="center"/>
          </w:tcPr>
          <w:p w14:paraId="6F661D5A">
            <w:pPr>
              <w:pStyle w:val="13"/>
              <w:jc w:val="left"/>
              <w:rPr>
                <w:rFonts w:hint="eastAsia"/>
              </w:rPr>
            </w:pPr>
            <w:r>
              <w:rPr>
                <w:rFonts w:hint="eastAsia"/>
              </w:rPr>
              <w:t>2</w:t>
            </w:r>
            <w:r>
              <w:rPr>
                <w:rFonts w:hint="eastAsia" w:ascii="宋体" w:hAnsi="宋体" w:cs="宋体"/>
              </w:rPr>
              <w:t>.人均生产总值（元）</w:t>
            </w:r>
          </w:p>
        </w:tc>
        <w:tc>
          <w:tcPr>
            <w:tcW w:w="712" w:type="pct"/>
            <w:vAlign w:val="center"/>
          </w:tcPr>
          <w:p w14:paraId="100E5D65">
            <w:pPr>
              <w:pStyle w:val="13"/>
              <w:jc w:val="center"/>
              <w:rPr>
                <w:rFonts w:hint="eastAsia"/>
              </w:rPr>
            </w:pPr>
            <w:r>
              <w:rPr>
                <w:rFonts w:hint="eastAsia"/>
              </w:rPr>
              <w:t>12500</w:t>
            </w:r>
          </w:p>
        </w:tc>
        <w:tc>
          <w:tcPr>
            <w:tcW w:w="995" w:type="pct"/>
            <w:vAlign w:val="center"/>
          </w:tcPr>
          <w:p w14:paraId="2DFD71CF">
            <w:pPr>
              <w:pStyle w:val="13"/>
              <w:jc w:val="center"/>
              <w:rPr>
                <w:rFonts w:hint="eastAsia"/>
              </w:rPr>
            </w:pPr>
            <w:r>
              <w:rPr>
                <w:rFonts w:hint="eastAsia"/>
              </w:rPr>
              <w:t>13400</w:t>
            </w:r>
          </w:p>
        </w:tc>
        <w:tc>
          <w:tcPr>
            <w:tcW w:w="926" w:type="pct"/>
            <w:vAlign w:val="center"/>
          </w:tcPr>
          <w:p w14:paraId="3E829856">
            <w:pPr>
              <w:pStyle w:val="13"/>
              <w:jc w:val="center"/>
              <w:rPr>
                <w:rFonts w:hint="eastAsia"/>
              </w:rPr>
            </w:pPr>
            <w:r>
              <w:rPr>
                <w:rFonts w:hint="eastAsia"/>
              </w:rPr>
              <w:t>高900元</w:t>
            </w:r>
          </w:p>
        </w:tc>
        <w:tc>
          <w:tcPr>
            <w:tcW w:w="747" w:type="pct"/>
            <w:vAlign w:val="center"/>
          </w:tcPr>
          <w:p w14:paraId="76BA7549">
            <w:pPr>
              <w:pStyle w:val="13"/>
              <w:jc w:val="center"/>
              <w:rPr>
                <w:rFonts w:hint="eastAsia"/>
              </w:rPr>
            </w:pPr>
            <w:r>
              <w:rPr>
                <w:rFonts w:hint="eastAsia"/>
              </w:rPr>
              <w:t>16</w:t>
            </w:r>
            <w:r>
              <w:rPr>
                <w:rFonts w:hint="eastAsia" w:ascii="宋体" w:hAnsi="宋体" w:cs="宋体"/>
              </w:rPr>
              <w:t>.</w:t>
            </w:r>
            <w:r>
              <w:rPr>
                <w:rFonts w:hint="eastAsia"/>
              </w:rPr>
              <w:t>1</w:t>
            </w:r>
          </w:p>
        </w:tc>
      </w:tr>
      <w:tr w14:paraId="3FE639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1620" w:type="pct"/>
            <w:vAlign w:val="center"/>
          </w:tcPr>
          <w:p w14:paraId="4DDDDFA6">
            <w:pPr>
              <w:pStyle w:val="13"/>
              <w:jc w:val="left"/>
              <w:rPr>
                <w:rFonts w:hint="eastAsia"/>
              </w:rPr>
            </w:pPr>
            <w:r>
              <w:rPr>
                <w:rFonts w:hint="eastAsia"/>
              </w:rPr>
              <w:t>3．三次产业增加值比重（%）</w:t>
            </w:r>
          </w:p>
        </w:tc>
        <w:tc>
          <w:tcPr>
            <w:tcW w:w="712" w:type="pct"/>
            <w:vAlign w:val="center"/>
          </w:tcPr>
          <w:p w14:paraId="6C55587D">
            <w:pPr>
              <w:pStyle w:val="13"/>
              <w:jc w:val="center"/>
              <w:rPr>
                <w:rFonts w:hint="eastAsia"/>
              </w:rPr>
            </w:pPr>
            <w:r>
              <w:rPr>
                <w:rFonts w:hint="eastAsia"/>
              </w:rPr>
              <w:t>27：33：40</w:t>
            </w:r>
          </w:p>
        </w:tc>
        <w:tc>
          <w:tcPr>
            <w:tcW w:w="995" w:type="pct"/>
            <w:vAlign w:val="center"/>
          </w:tcPr>
          <w:p w14:paraId="0301259D">
            <w:pPr>
              <w:pStyle w:val="13"/>
              <w:jc w:val="center"/>
              <w:rPr>
                <w:rFonts w:hint="eastAsia"/>
              </w:rPr>
            </w:pPr>
            <w:r>
              <w:rPr>
                <w:rFonts w:hint="eastAsia"/>
              </w:rPr>
              <w:t>29</w:t>
            </w:r>
            <w:r>
              <w:rPr>
                <w:rFonts w:hint="eastAsia" w:ascii="宋体" w:hAnsi="宋体" w:cs="宋体"/>
              </w:rPr>
              <w:t>.</w:t>
            </w:r>
            <w:r>
              <w:rPr>
                <w:rFonts w:hint="eastAsia"/>
              </w:rPr>
              <w:t>5：26</w:t>
            </w:r>
            <w:r>
              <w:rPr>
                <w:rFonts w:hint="eastAsia" w:ascii="宋体" w:hAnsi="宋体" w:cs="宋体"/>
              </w:rPr>
              <w:t>.</w:t>
            </w:r>
            <w:r>
              <w:rPr>
                <w:rFonts w:hint="eastAsia"/>
              </w:rPr>
              <w:t>1：44</w:t>
            </w:r>
            <w:r>
              <w:rPr>
                <w:rFonts w:hint="eastAsia" w:ascii="宋体" w:hAnsi="宋体" w:cs="宋体"/>
              </w:rPr>
              <w:t>.</w:t>
            </w:r>
            <w:r>
              <w:rPr>
                <w:rFonts w:hint="eastAsia"/>
              </w:rPr>
              <w:t>4</w:t>
            </w:r>
          </w:p>
        </w:tc>
        <w:tc>
          <w:tcPr>
            <w:tcW w:w="926" w:type="pct"/>
            <w:vAlign w:val="center"/>
          </w:tcPr>
          <w:p w14:paraId="2E941F30">
            <w:pPr>
              <w:pStyle w:val="13"/>
              <w:jc w:val="center"/>
              <w:rPr>
                <w:rFonts w:hint="eastAsia"/>
              </w:rPr>
            </w:pPr>
          </w:p>
        </w:tc>
        <w:tc>
          <w:tcPr>
            <w:tcW w:w="747" w:type="pct"/>
            <w:vAlign w:val="center"/>
          </w:tcPr>
          <w:p w14:paraId="6C762E67">
            <w:pPr>
              <w:pStyle w:val="13"/>
              <w:jc w:val="center"/>
              <w:rPr>
                <w:rFonts w:hint="eastAsia"/>
              </w:rPr>
            </w:pPr>
          </w:p>
        </w:tc>
      </w:tr>
      <w:tr w14:paraId="18681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1620" w:type="pct"/>
            <w:vAlign w:val="center"/>
          </w:tcPr>
          <w:p w14:paraId="36086BDC">
            <w:pPr>
              <w:pStyle w:val="13"/>
              <w:jc w:val="left"/>
              <w:rPr>
                <w:rFonts w:hint="eastAsia"/>
              </w:rPr>
            </w:pPr>
            <w:r>
              <w:rPr>
                <w:rFonts w:hint="eastAsia"/>
              </w:rPr>
              <w:t>4</w:t>
            </w:r>
            <w:r>
              <w:rPr>
                <w:rFonts w:hint="eastAsia" w:ascii="宋体" w:hAnsi="宋体" w:cs="宋体"/>
              </w:rPr>
              <w:t>.社会消费品零售总额</w:t>
            </w:r>
            <w:r>
              <w:rPr>
                <w:rFonts w:hint="eastAsia"/>
              </w:rPr>
              <w:t>(亿元)</w:t>
            </w:r>
          </w:p>
        </w:tc>
        <w:tc>
          <w:tcPr>
            <w:tcW w:w="712" w:type="pct"/>
            <w:vAlign w:val="center"/>
          </w:tcPr>
          <w:p w14:paraId="74F72DFB">
            <w:pPr>
              <w:pStyle w:val="13"/>
              <w:jc w:val="center"/>
              <w:rPr>
                <w:rFonts w:hint="eastAsia"/>
              </w:rPr>
            </w:pPr>
            <w:r>
              <w:rPr>
                <w:rFonts w:hint="eastAsia"/>
              </w:rPr>
              <w:t>20</w:t>
            </w:r>
          </w:p>
        </w:tc>
        <w:tc>
          <w:tcPr>
            <w:tcW w:w="995" w:type="pct"/>
            <w:vAlign w:val="center"/>
          </w:tcPr>
          <w:p w14:paraId="199354EC">
            <w:pPr>
              <w:pStyle w:val="13"/>
              <w:jc w:val="center"/>
              <w:rPr>
                <w:rFonts w:hint="eastAsia"/>
              </w:rPr>
            </w:pPr>
            <w:r>
              <w:rPr>
                <w:rFonts w:hint="eastAsia"/>
              </w:rPr>
              <w:t>24</w:t>
            </w:r>
            <w:r>
              <w:rPr>
                <w:rFonts w:hint="eastAsia" w:ascii="宋体" w:hAnsi="宋体" w:cs="宋体"/>
              </w:rPr>
              <w:t>.</w:t>
            </w:r>
            <w:r>
              <w:rPr>
                <w:rFonts w:hint="eastAsia"/>
              </w:rPr>
              <w:t>5</w:t>
            </w:r>
          </w:p>
        </w:tc>
        <w:tc>
          <w:tcPr>
            <w:tcW w:w="926" w:type="pct"/>
            <w:vAlign w:val="center"/>
          </w:tcPr>
          <w:p w14:paraId="0E99E9EF">
            <w:pPr>
              <w:pStyle w:val="13"/>
              <w:jc w:val="center"/>
              <w:rPr>
                <w:rFonts w:hint="eastAsia"/>
              </w:rPr>
            </w:pPr>
            <w:r>
              <w:rPr>
                <w:rFonts w:hint="eastAsia"/>
              </w:rPr>
              <w:t>超出4</w:t>
            </w:r>
            <w:r>
              <w:rPr>
                <w:rFonts w:hint="eastAsia" w:ascii="宋体" w:hAnsi="宋体" w:cs="宋体"/>
              </w:rPr>
              <w:t>.</w:t>
            </w:r>
            <w:r>
              <w:rPr>
                <w:rFonts w:hint="eastAsia"/>
              </w:rPr>
              <w:t>5亿元</w:t>
            </w:r>
          </w:p>
        </w:tc>
        <w:tc>
          <w:tcPr>
            <w:tcW w:w="747" w:type="pct"/>
            <w:vAlign w:val="center"/>
          </w:tcPr>
          <w:p w14:paraId="4D109CD2">
            <w:pPr>
              <w:pStyle w:val="13"/>
              <w:jc w:val="center"/>
              <w:rPr>
                <w:rFonts w:hint="eastAsia"/>
              </w:rPr>
            </w:pPr>
            <w:r>
              <w:rPr>
                <w:rFonts w:hint="eastAsia"/>
              </w:rPr>
              <w:t>20</w:t>
            </w:r>
            <w:r>
              <w:rPr>
                <w:rFonts w:hint="eastAsia" w:ascii="宋体" w:hAnsi="宋体" w:cs="宋体"/>
              </w:rPr>
              <w:t>.</w:t>
            </w:r>
            <w:r>
              <w:rPr>
                <w:rFonts w:hint="eastAsia"/>
              </w:rPr>
              <w:t>2</w:t>
            </w:r>
          </w:p>
        </w:tc>
      </w:tr>
      <w:tr w14:paraId="65F40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1620" w:type="pct"/>
            <w:vAlign w:val="center"/>
          </w:tcPr>
          <w:p w14:paraId="24F250EA">
            <w:pPr>
              <w:pStyle w:val="13"/>
              <w:jc w:val="left"/>
              <w:rPr>
                <w:rFonts w:hint="eastAsia"/>
              </w:rPr>
            </w:pPr>
            <w:r>
              <w:rPr>
                <w:rFonts w:hint="eastAsia"/>
              </w:rPr>
              <w:t>5</w:t>
            </w:r>
            <w:r>
              <w:rPr>
                <w:rFonts w:hint="eastAsia" w:ascii="宋体" w:hAnsi="宋体" w:cs="宋体"/>
              </w:rPr>
              <w:t>.外贸出口总额（亿美元）</w:t>
            </w:r>
          </w:p>
        </w:tc>
        <w:tc>
          <w:tcPr>
            <w:tcW w:w="712" w:type="pct"/>
            <w:vAlign w:val="center"/>
          </w:tcPr>
          <w:p w14:paraId="4BC1DE2F">
            <w:pPr>
              <w:pStyle w:val="13"/>
              <w:jc w:val="center"/>
              <w:rPr>
                <w:rFonts w:hint="eastAsia"/>
              </w:rPr>
            </w:pPr>
            <w:r>
              <w:rPr>
                <w:rFonts w:hint="eastAsia"/>
              </w:rPr>
              <w:t>0</w:t>
            </w:r>
            <w:r>
              <w:rPr>
                <w:rFonts w:hint="eastAsia" w:ascii="宋体" w:hAnsi="宋体" w:cs="宋体"/>
              </w:rPr>
              <w:t>.</w:t>
            </w:r>
            <w:r>
              <w:rPr>
                <w:rFonts w:hint="eastAsia"/>
              </w:rPr>
              <w:t>4</w:t>
            </w:r>
          </w:p>
        </w:tc>
        <w:tc>
          <w:tcPr>
            <w:tcW w:w="995" w:type="pct"/>
            <w:vAlign w:val="center"/>
          </w:tcPr>
          <w:p w14:paraId="6730E7F3">
            <w:pPr>
              <w:pStyle w:val="13"/>
              <w:jc w:val="center"/>
              <w:rPr>
                <w:rFonts w:hint="eastAsia"/>
              </w:rPr>
            </w:pPr>
            <w:r>
              <w:rPr>
                <w:rFonts w:hint="eastAsia"/>
              </w:rPr>
              <w:t>0</w:t>
            </w:r>
            <w:r>
              <w:rPr>
                <w:rFonts w:hint="eastAsia" w:ascii="宋体" w:hAnsi="宋体" w:cs="宋体"/>
              </w:rPr>
              <w:t>.</w:t>
            </w:r>
            <w:r>
              <w:rPr>
                <w:rFonts w:hint="eastAsia"/>
              </w:rPr>
              <w:t>18</w:t>
            </w:r>
          </w:p>
        </w:tc>
        <w:tc>
          <w:tcPr>
            <w:tcW w:w="926" w:type="pct"/>
            <w:vAlign w:val="center"/>
          </w:tcPr>
          <w:p w14:paraId="5B88536E">
            <w:pPr>
              <w:pStyle w:val="13"/>
              <w:jc w:val="center"/>
              <w:rPr>
                <w:rFonts w:hint="eastAsia"/>
              </w:rPr>
            </w:pPr>
            <w:r>
              <w:rPr>
                <w:rFonts w:hint="eastAsia"/>
              </w:rPr>
              <w:t>低0</w:t>
            </w:r>
            <w:r>
              <w:rPr>
                <w:rFonts w:hint="eastAsia" w:ascii="宋体" w:hAnsi="宋体" w:cs="宋体"/>
              </w:rPr>
              <w:t>.</w:t>
            </w:r>
            <w:r>
              <w:rPr>
                <w:rFonts w:hint="eastAsia"/>
              </w:rPr>
              <w:t>22亿美元</w:t>
            </w:r>
          </w:p>
        </w:tc>
        <w:tc>
          <w:tcPr>
            <w:tcW w:w="747" w:type="pct"/>
            <w:vAlign w:val="center"/>
          </w:tcPr>
          <w:p w14:paraId="564F9939">
            <w:pPr>
              <w:pStyle w:val="13"/>
              <w:jc w:val="center"/>
              <w:rPr>
                <w:rFonts w:hint="eastAsia"/>
              </w:rPr>
            </w:pPr>
          </w:p>
        </w:tc>
      </w:tr>
      <w:tr w14:paraId="293BE9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9" w:hRule="atLeast"/>
          <w:jc w:val="center"/>
        </w:trPr>
        <w:tc>
          <w:tcPr>
            <w:tcW w:w="1620" w:type="pct"/>
            <w:vAlign w:val="center"/>
          </w:tcPr>
          <w:p w14:paraId="37B43F3E">
            <w:pPr>
              <w:pStyle w:val="13"/>
              <w:jc w:val="left"/>
              <w:rPr>
                <w:rFonts w:hint="eastAsia"/>
              </w:rPr>
            </w:pPr>
            <w:r>
              <w:rPr>
                <w:rFonts w:hint="eastAsia"/>
              </w:rPr>
              <w:t>6</w:t>
            </w:r>
            <w:r>
              <w:rPr>
                <w:rFonts w:hint="eastAsia" w:ascii="宋体" w:hAnsi="宋体" w:cs="宋体"/>
              </w:rPr>
              <w:t>.全市社会固定资产投资</w:t>
            </w:r>
            <w:r>
              <w:rPr>
                <w:rFonts w:hint="eastAsia"/>
              </w:rPr>
              <w:t>(亿元)</w:t>
            </w:r>
          </w:p>
        </w:tc>
        <w:tc>
          <w:tcPr>
            <w:tcW w:w="712" w:type="pct"/>
            <w:vAlign w:val="center"/>
          </w:tcPr>
          <w:p w14:paraId="70444D18">
            <w:pPr>
              <w:pStyle w:val="13"/>
              <w:jc w:val="center"/>
              <w:rPr>
                <w:rFonts w:hint="eastAsia"/>
              </w:rPr>
            </w:pPr>
            <w:r>
              <w:rPr>
                <w:rFonts w:hint="eastAsia"/>
              </w:rPr>
              <w:t>30%</w:t>
            </w:r>
          </w:p>
        </w:tc>
        <w:tc>
          <w:tcPr>
            <w:tcW w:w="995" w:type="pct"/>
            <w:vAlign w:val="center"/>
          </w:tcPr>
          <w:p w14:paraId="0E6B06DE">
            <w:pPr>
              <w:pStyle w:val="13"/>
              <w:jc w:val="center"/>
              <w:rPr>
                <w:rFonts w:hint="eastAsia"/>
              </w:rPr>
            </w:pPr>
            <w:r>
              <w:rPr>
                <w:rFonts w:hint="eastAsia"/>
              </w:rPr>
              <w:t>58</w:t>
            </w:r>
          </w:p>
        </w:tc>
        <w:tc>
          <w:tcPr>
            <w:tcW w:w="926" w:type="pct"/>
            <w:vAlign w:val="center"/>
          </w:tcPr>
          <w:p w14:paraId="220D4E2A">
            <w:pPr>
              <w:pStyle w:val="13"/>
              <w:jc w:val="center"/>
              <w:rPr>
                <w:rFonts w:hint="eastAsia"/>
              </w:rPr>
            </w:pPr>
            <w:r>
              <w:rPr>
                <w:rFonts w:hint="eastAsia"/>
              </w:rPr>
              <w:t>超出8亿元</w:t>
            </w:r>
          </w:p>
        </w:tc>
        <w:tc>
          <w:tcPr>
            <w:tcW w:w="747" w:type="pct"/>
            <w:vAlign w:val="center"/>
          </w:tcPr>
          <w:p w14:paraId="26FF1C21">
            <w:pPr>
              <w:pStyle w:val="13"/>
              <w:jc w:val="center"/>
              <w:rPr>
                <w:rFonts w:hint="eastAsia"/>
              </w:rPr>
            </w:pPr>
            <w:r>
              <w:rPr>
                <w:rFonts w:hint="eastAsia"/>
              </w:rPr>
              <w:t>40</w:t>
            </w:r>
            <w:r>
              <w:rPr>
                <w:rFonts w:hint="eastAsia" w:ascii="宋体" w:hAnsi="宋体" w:cs="宋体"/>
              </w:rPr>
              <w:t>.</w:t>
            </w:r>
            <w:r>
              <w:rPr>
                <w:rFonts w:hint="eastAsia"/>
              </w:rPr>
              <w:t>4</w:t>
            </w:r>
          </w:p>
        </w:tc>
      </w:tr>
      <w:tr w14:paraId="25862A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620" w:type="pct"/>
            <w:vAlign w:val="center"/>
          </w:tcPr>
          <w:p w14:paraId="3092C4E5">
            <w:pPr>
              <w:pStyle w:val="13"/>
              <w:jc w:val="left"/>
              <w:rPr>
                <w:rFonts w:hint="eastAsia"/>
              </w:rPr>
            </w:pPr>
            <w:r>
              <w:rPr>
                <w:rFonts w:hint="eastAsia"/>
              </w:rPr>
              <w:t>7</w:t>
            </w:r>
            <w:r>
              <w:rPr>
                <w:rFonts w:hint="eastAsia" w:ascii="宋体" w:hAnsi="宋体" w:cs="宋体"/>
              </w:rPr>
              <w:t>.地方一般财政收入（亿元）</w:t>
            </w:r>
          </w:p>
        </w:tc>
        <w:tc>
          <w:tcPr>
            <w:tcW w:w="712" w:type="pct"/>
            <w:vAlign w:val="center"/>
          </w:tcPr>
          <w:p w14:paraId="38D44975">
            <w:pPr>
              <w:pStyle w:val="13"/>
              <w:jc w:val="center"/>
              <w:rPr>
                <w:rFonts w:hint="eastAsia"/>
              </w:rPr>
            </w:pPr>
            <w:r>
              <w:rPr>
                <w:rFonts w:hint="eastAsia"/>
              </w:rPr>
              <w:t>1</w:t>
            </w:r>
            <w:r>
              <w:rPr>
                <w:rFonts w:hint="eastAsia" w:ascii="宋体" w:hAnsi="宋体" w:cs="宋体"/>
              </w:rPr>
              <w:t>.</w:t>
            </w:r>
            <w:r>
              <w:rPr>
                <w:rFonts w:hint="eastAsia"/>
              </w:rPr>
              <w:t>9</w:t>
            </w:r>
          </w:p>
        </w:tc>
        <w:tc>
          <w:tcPr>
            <w:tcW w:w="995" w:type="pct"/>
            <w:vAlign w:val="center"/>
          </w:tcPr>
          <w:p w14:paraId="2FC04421">
            <w:pPr>
              <w:pStyle w:val="13"/>
              <w:jc w:val="center"/>
              <w:rPr>
                <w:rFonts w:hint="eastAsia"/>
              </w:rPr>
            </w:pPr>
            <w:r>
              <w:rPr>
                <w:rFonts w:hint="eastAsia"/>
              </w:rPr>
              <w:t>2</w:t>
            </w:r>
            <w:r>
              <w:rPr>
                <w:rFonts w:hint="eastAsia" w:ascii="宋体" w:hAnsi="宋体" w:cs="宋体"/>
              </w:rPr>
              <w:t>.</w:t>
            </w:r>
            <w:r>
              <w:rPr>
                <w:rFonts w:hint="eastAsia"/>
              </w:rPr>
              <w:t>8</w:t>
            </w:r>
          </w:p>
        </w:tc>
        <w:tc>
          <w:tcPr>
            <w:tcW w:w="926" w:type="pct"/>
            <w:vAlign w:val="center"/>
          </w:tcPr>
          <w:p w14:paraId="00DC02FC">
            <w:pPr>
              <w:pStyle w:val="13"/>
              <w:jc w:val="center"/>
              <w:rPr>
                <w:rFonts w:hint="eastAsia"/>
              </w:rPr>
            </w:pPr>
            <w:r>
              <w:rPr>
                <w:rFonts w:hint="eastAsia"/>
              </w:rPr>
              <w:t>超出0</w:t>
            </w:r>
            <w:r>
              <w:rPr>
                <w:rFonts w:hint="eastAsia" w:ascii="宋体" w:hAnsi="宋体" w:cs="宋体"/>
              </w:rPr>
              <w:t>.</w:t>
            </w:r>
            <w:r>
              <w:rPr>
                <w:rFonts w:hint="eastAsia"/>
              </w:rPr>
              <w:t>9亿元</w:t>
            </w:r>
          </w:p>
        </w:tc>
        <w:tc>
          <w:tcPr>
            <w:tcW w:w="747" w:type="pct"/>
            <w:vAlign w:val="center"/>
          </w:tcPr>
          <w:p w14:paraId="20A35B41">
            <w:pPr>
              <w:pStyle w:val="13"/>
              <w:jc w:val="center"/>
              <w:rPr>
                <w:rFonts w:hint="eastAsia"/>
              </w:rPr>
            </w:pPr>
            <w:r>
              <w:rPr>
                <w:rFonts w:hint="eastAsia"/>
              </w:rPr>
              <w:t>24</w:t>
            </w:r>
            <w:r>
              <w:rPr>
                <w:rFonts w:hint="eastAsia" w:ascii="宋体" w:hAnsi="宋体" w:cs="宋体"/>
              </w:rPr>
              <w:t>.</w:t>
            </w:r>
            <w:r>
              <w:rPr>
                <w:rFonts w:hint="eastAsia"/>
              </w:rPr>
              <w:t>8</w:t>
            </w:r>
          </w:p>
        </w:tc>
      </w:tr>
    </w:tbl>
    <w:p w14:paraId="6560D67B">
      <w:pPr>
        <w:ind w:firstLine="422"/>
        <w:rPr>
          <w:rFonts w:ascii="宋体" w:hAnsi="宋体"/>
          <w:b/>
          <w:bCs/>
        </w:rPr>
      </w:pPr>
      <w:r>
        <w:rPr>
          <w:rFonts w:ascii="宋体" w:hAnsi="宋体"/>
          <w:b/>
          <w:bCs/>
        </w:rPr>
        <w:t>二、总体要求和发展目标</w:t>
      </w:r>
    </w:p>
    <w:p w14:paraId="10DC6902">
      <w:pPr>
        <w:ind w:firstLine="420"/>
        <w:rPr>
          <w:rFonts w:ascii="宋体" w:hAnsi="宋体"/>
        </w:rPr>
      </w:pPr>
      <w:r>
        <w:rPr>
          <w:rFonts w:ascii="宋体" w:hAnsi="宋体"/>
        </w:rPr>
        <w:t>“十二五”时期，我市正处于做强产业、经济发展提速的关键时期，经济社会实现跨越发展将迎来众多难得的机遇，也将面临许多的艰难挑战。准确把握不断变化和发展的形势，因势导利，因时制宜，进一步完善发展思路，转变经济发展方式，发扬“南雄干劲、南雄速度”，努力推动南雄经济社会实现跨越发展。</w:t>
      </w:r>
    </w:p>
    <w:p w14:paraId="408B8670">
      <w:pPr>
        <w:ind w:firstLine="420"/>
        <w:rPr>
          <w:rFonts w:ascii="宋体" w:hAnsi="宋体"/>
        </w:rPr>
      </w:pPr>
      <w:r>
        <w:rPr>
          <w:rFonts w:ascii="宋体" w:hAnsi="宋体"/>
        </w:rPr>
        <w:t>（一）发展环境</w:t>
      </w:r>
    </w:p>
    <w:p w14:paraId="7019CEAB">
      <w:pPr>
        <w:ind w:firstLine="422"/>
        <w:rPr>
          <w:rFonts w:ascii="宋体" w:hAnsi="宋体"/>
          <w:b/>
          <w:bCs/>
        </w:rPr>
      </w:pPr>
      <w:r>
        <w:rPr>
          <w:rFonts w:ascii="宋体" w:hAnsi="宋体"/>
          <w:b/>
          <w:bCs/>
        </w:rPr>
        <w:t>1、面临的发展机遇</w:t>
      </w:r>
    </w:p>
    <w:p w14:paraId="0EED6C28">
      <w:pPr>
        <w:ind w:firstLine="420"/>
        <w:rPr>
          <w:rFonts w:ascii="宋体" w:hAnsi="宋体"/>
        </w:rPr>
      </w:pPr>
      <w:r>
        <w:rPr>
          <w:rFonts w:ascii="宋体" w:hAnsi="宋体"/>
        </w:rPr>
        <w:t>从国际环境看，在各国持续积极政策的促动下，国际金融危机的影响持续减弱，世界经济回暖的态势日益良好，国际金融市场渐趋稳定，经济全球化深入发展的大趋势没有改变。世界经济格局大变革、大调整，孕育着新的大发展，经济社会将迎来新的发展周期。</w:t>
      </w:r>
    </w:p>
    <w:p w14:paraId="4F5A0F2D">
      <w:pPr>
        <w:ind w:firstLine="420"/>
        <w:rPr>
          <w:rFonts w:ascii="宋体" w:hAnsi="宋体"/>
        </w:rPr>
      </w:pPr>
      <w:r>
        <w:rPr>
          <w:rFonts w:ascii="宋体" w:hAnsi="宋体"/>
        </w:rPr>
        <w:t>从国内环境看，我国仍处在重要战略机遇期。经济向好回升的基础进一步巩固，扩大内需和改善民生的政策效应显现，企业适应市场变化的能力和竞争力不断提高，国内经济将迎来新一轮的快速发展时期。“稳增长、调结构、防通胀”仍将是今后一段时间内宏观政策的主基调，国家将围绕转变经济发展方式、扩大内需、优化产业结构、优化城乡结构、提高城乡居民收入、促进区域协调发展、增强可持续发展能力、促进社会和谐稳定等工作重点，突出可持续发展战略，着力搞好宏观调控和保持经济平稳较快发展，着力加快经济发展方式转变和经济结构调整，着力推进改革开放和自主创新，着力改善民生和促进社会和谐稳定，实现经济社会又好又快发展。</w:t>
      </w:r>
    </w:p>
    <w:p w14:paraId="1EFE89BB">
      <w:pPr>
        <w:ind w:firstLine="420"/>
        <w:rPr>
          <w:rFonts w:ascii="宋体" w:hAnsi="宋体"/>
        </w:rPr>
      </w:pPr>
      <w:r>
        <w:rPr>
          <w:rFonts w:ascii="宋体" w:hAnsi="宋体"/>
        </w:rPr>
        <w:t>从省内环境看，随着《珠江三角洲地区改革发展规划纲要（2008-2020年）》和省委、省政府《关于促进粤北山区跨越发展的指导意见》的深入实施，粤北经济社会发展将在政策、资金、重点项目等方面获得更多支持。省主体功能区划分已基本明确，省委、省政府将进一步加大全省生态发展区建设力度，研究出台对生态发展区域的政策、资金等扶持措施。</w:t>
      </w:r>
    </w:p>
    <w:p w14:paraId="7B1C6B6A">
      <w:pPr>
        <w:ind w:firstLine="420"/>
        <w:rPr>
          <w:rFonts w:ascii="宋体" w:hAnsi="宋体"/>
        </w:rPr>
      </w:pPr>
      <w:r>
        <w:rPr>
          <w:rFonts w:ascii="宋体" w:hAnsi="宋体"/>
        </w:rPr>
        <w:t>从市内环境看，近年来，在全市人民共同努力下，经济社会发展爬坡越坎，加快发展的态势日趋增强，实现跨越发展的有利因素日趋凸显：一是发展思路已成共识。一心一意抓集聚，同心同德促产业，全力以赴抓好精细化工、竹浆制造、陶瓷建材和热电能源四大工业产业的发展思路已成共识，产业规模集聚效应将进一步凸显，工业经济拉动经济实现跨越发展的引擎作用更加凸显。二是发展硬环境日臻完善。韶赣高速公路、赣韶铁路、天然气管道项目以及热电冷联供等一大批重点建设项目的顺利建设和稳步推进，我市基础设施进一步完善，将更有利于承接珠三角和长三角的产业转移，南雄作为广东连接内地的桥头堡的作用更加呈现。三是发展软环境不断优化。通过近几年来的发展，全市人民看到了“南雄翻身”的希望，自觉服务于经济发展的意识不断增强。此外，我市作为生态发展区、原中央苏区县、财政省直管试点县和省级产业转移工业园，将会在项目、资金、政策等方面获得国家和省的更多支持。综合以上因素，在众多难得的机遇的促动下，“十二五”期间我市将迎来一个新的发展高峰。</w:t>
      </w:r>
    </w:p>
    <w:p w14:paraId="1BE58C50">
      <w:pPr>
        <w:ind w:firstLine="422"/>
        <w:rPr>
          <w:rFonts w:ascii="宋体" w:hAnsi="宋体"/>
          <w:b/>
          <w:bCs/>
        </w:rPr>
      </w:pPr>
      <w:r>
        <w:rPr>
          <w:rFonts w:ascii="宋体" w:hAnsi="宋体"/>
          <w:b/>
          <w:bCs/>
        </w:rPr>
        <w:t>2、面临的主要挑战</w:t>
      </w:r>
    </w:p>
    <w:p w14:paraId="035A4F2E">
      <w:pPr>
        <w:ind w:firstLine="422"/>
        <w:rPr>
          <w:rFonts w:ascii="宋体" w:hAnsi="宋体"/>
        </w:rPr>
      </w:pPr>
      <w:r>
        <w:rPr>
          <w:rFonts w:ascii="宋体" w:hAnsi="宋体"/>
          <w:b/>
          <w:bCs/>
        </w:rPr>
        <w:t>一是经济总量偏小，实现跨越发展任务艰巨繁重。</w:t>
      </w:r>
      <w:r>
        <w:rPr>
          <w:rFonts w:hint="eastAsia" w:ascii="宋体" w:hAnsi="宋体"/>
          <w:b/>
          <w:bCs/>
        </w:rPr>
        <w:t xml:space="preserve">  </w:t>
      </w:r>
      <w:r>
        <w:rPr>
          <w:rFonts w:ascii="宋体" w:hAnsi="宋体"/>
        </w:rPr>
        <w:t>虽然经过近年来的努力，我市经济社会有了长足发展，但经济总量仍然偏小，欠发达、贫困落后的面貌仍未得到根本改变，经济发展的整体水平与全省的差距仍然比较大，脱贫奔康的任务较为艰巨。加上经济社会发展与能源资源、生态环境建设之间的矛盾比较突出等等问题，实现跨越发展的任务十分艰巨和繁重。</w:t>
      </w:r>
    </w:p>
    <w:p w14:paraId="1A37EF8A">
      <w:pPr>
        <w:ind w:firstLine="422"/>
        <w:rPr>
          <w:rFonts w:ascii="宋体" w:hAnsi="宋体"/>
        </w:rPr>
      </w:pPr>
      <w:r>
        <w:rPr>
          <w:rFonts w:ascii="宋体" w:hAnsi="宋体"/>
          <w:b/>
          <w:bCs/>
        </w:rPr>
        <w:t>二是经济结构不合理，区域产业同质化现象严重</w:t>
      </w:r>
      <w:r>
        <w:rPr>
          <w:rFonts w:ascii="宋体" w:hAnsi="宋体"/>
        </w:rPr>
        <w:t>。</w:t>
      </w:r>
      <w:r>
        <w:rPr>
          <w:rFonts w:hint="eastAsia" w:ascii="宋体" w:hAnsi="宋体"/>
        </w:rPr>
        <w:t xml:space="preserve">  </w:t>
      </w:r>
      <w:r>
        <w:rPr>
          <w:rFonts w:ascii="宋体" w:hAnsi="宋体"/>
        </w:rPr>
        <w:t>传统农业经济占据GDP的比重大，工业经济的主导地位仍未完全确立，第三产业的龙头支柱产业尚未形成，经济增长速度离跨越发展有较大差距，调整和优化经济结构，提高经济发展质量和实现经济增长方式的转变将是我市未来经济社会发展面临的关键问题；同时，区域间产业发展同质化现象严重。如何提高我市精细化工产业的集聚优势，增强市场竞争力，避免产业重复发展，努力寻求新的经济增长点将是我市亟需解决的一个重点难题。</w:t>
      </w:r>
    </w:p>
    <w:p w14:paraId="50A31338">
      <w:pPr>
        <w:ind w:firstLine="422"/>
        <w:rPr>
          <w:rFonts w:ascii="宋体" w:hAnsi="宋体"/>
        </w:rPr>
      </w:pPr>
      <w:r>
        <w:rPr>
          <w:rFonts w:ascii="宋体" w:hAnsi="宋体"/>
          <w:b/>
          <w:bCs/>
        </w:rPr>
        <w:t>三是产业结构和社会转型加快，面临诸多深层次矛盾。</w:t>
      </w:r>
      <w:r>
        <w:rPr>
          <w:rFonts w:hint="eastAsia" w:ascii="宋体" w:hAnsi="宋体"/>
          <w:b/>
          <w:bCs/>
        </w:rPr>
        <w:t xml:space="preserve">  </w:t>
      </w:r>
      <w:r>
        <w:rPr>
          <w:rFonts w:ascii="宋体" w:hAnsi="宋体"/>
        </w:rPr>
        <w:t>虽然南雄的经济发展在前一阶段取得了突出的成绩，但经济社会发展过程中一些长期累积的、深层次的矛盾逐渐显现：技术创新能力不强等“技术瓶颈”制约严重，影响我市经济的可持续发展；高层次人才和技术工人严重短缺、劳动力素质偏低等“人才瓶颈”，使我市难以适应新形势下对高技术、高层次管理要素的需要和产业升级的需求；人民群众多样化、多层次的公共服务需求快速增长，人们思想观念的独立性、选择性、多变性和差异性明显增强，社会管理更加复杂，公共服务供求矛盾成为社会关注的焦点，而体制性障碍的制约，在利益主体多元化下，又使深化改革面临的不同群体利益关系的深层次重新调整，改革攻坚更具艰巨性和复杂性。</w:t>
      </w:r>
    </w:p>
    <w:p w14:paraId="7730FEAF">
      <w:pPr>
        <w:ind w:firstLine="422"/>
        <w:rPr>
          <w:rFonts w:ascii="宋体" w:hAnsi="宋体"/>
        </w:rPr>
      </w:pPr>
      <w:r>
        <w:rPr>
          <w:rFonts w:ascii="宋体" w:hAnsi="宋体"/>
          <w:b/>
          <w:bCs/>
        </w:rPr>
        <w:t>四是我市被列为生态发展区，生态建设压力巨大。</w:t>
      </w:r>
      <w:r>
        <w:rPr>
          <w:rFonts w:hint="eastAsia" w:ascii="宋体" w:hAnsi="宋体"/>
          <w:b/>
          <w:bCs/>
        </w:rPr>
        <w:t xml:space="preserve">  </w:t>
      </w:r>
      <w:r>
        <w:rPr>
          <w:rFonts w:ascii="宋体" w:hAnsi="宋体"/>
        </w:rPr>
        <w:t>《广东省主体功能区规划》即将出台，在省主体功能区划分中，我市被列入全省11个（韶关5个）生态发展区之一，实行生态保护绩效评价优先，重点评价水质、水土流失治理、森林覆盖率等生态环境状况，势必对我市工业经济发展造成一定影响。与此同时，根据省委、省政府《推进南岭山地森林生态及生物多样性功能区建设与保护项目工作方案》的要求，南岭生态建设项目以市、县政府为主导，这就意味着市、县地方财政将需要投入更多的资金进行生态建设，对本已比较窘迫的我市财政无疑是雪上加霜，将进一步加剧财政收支不平衡的矛盾。</w:t>
      </w:r>
    </w:p>
    <w:p w14:paraId="6503184B">
      <w:pPr>
        <w:ind w:firstLine="420"/>
        <w:rPr>
          <w:rFonts w:ascii="宋体" w:hAnsi="宋体"/>
        </w:rPr>
      </w:pPr>
      <w:r>
        <w:rPr>
          <w:rFonts w:ascii="宋体" w:hAnsi="宋体"/>
        </w:rPr>
        <w:t>面对新的形势，我们必须有高度的历史使命感和责任感、强烈的忧患意识，着眼全局，立足市情，审时度势，妥善应对各种挑战，认真解决长期积累的突出矛盾和问题，突破发展的各种瓶颈制约，实现经济社会又好又快发展。</w:t>
      </w:r>
    </w:p>
    <w:p w14:paraId="5847703C">
      <w:pPr>
        <w:ind w:firstLine="422"/>
        <w:rPr>
          <w:rFonts w:ascii="宋体" w:hAnsi="宋体"/>
          <w:b/>
          <w:bCs/>
        </w:rPr>
      </w:pPr>
      <w:r>
        <w:rPr>
          <w:rFonts w:ascii="宋体" w:hAnsi="宋体"/>
          <w:b/>
          <w:bCs/>
        </w:rPr>
        <w:t>（二）总体要求和发展目标</w:t>
      </w:r>
    </w:p>
    <w:p w14:paraId="5560C828">
      <w:pPr>
        <w:ind w:firstLine="422"/>
        <w:rPr>
          <w:rFonts w:ascii="宋体" w:hAnsi="宋体"/>
          <w:b/>
          <w:bCs/>
        </w:rPr>
      </w:pPr>
      <w:r>
        <w:rPr>
          <w:rFonts w:ascii="宋体" w:hAnsi="宋体"/>
          <w:b/>
          <w:bCs/>
        </w:rPr>
        <w:t>1、指导思想</w:t>
      </w:r>
    </w:p>
    <w:p w14:paraId="7A7C96B8">
      <w:pPr>
        <w:ind w:firstLine="420"/>
        <w:rPr>
          <w:rFonts w:ascii="宋体" w:hAnsi="宋体"/>
        </w:rPr>
      </w:pPr>
      <w:r>
        <w:rPr>
          <w:rFonts w:ascii="宋体" w:hAnsi="宋体"/>
        </w:rPr>
        <w:t>坚持以邓小平理论和“三个代表”重要思想为指导，贯彻落实科学发展观，按照生态发展区的要求，充分发挥“原中央苏区县”、省级产业转移工业园和财政省直管试点县三块金字招牌的作用，着力实施“一个目标五大战略”。坚持以“一点两轴”（即产业转移园为点状集聚发展区，沿高速公路、铁路和省道342线为两轴）为载体，转变经济发展方式，着力抓好精细化工、陶瓷建材、竹浆制造、热电能源四大主导产业发展，推进粤赣湘边物流中心建设，构建现代产业体系，做大经济总量。坚持以人为本，着力推进以保障和改善民生为重点的社会建设。坚持绿色崛起战略，突出生态建设重点，打造六大农业产业基地，优化产业布局，实现业与环境协调发展、经济社会与自然和谐发展，努力打造富裕文明和谐安康的粤北门户城市，建设幸福美好南雄。</w:t>
      </w:r>
    </w:p>
    <w:p w14:paraId="44C978C6">
      <w:pPr>
        <w:ind w:firstLine="422"/>
        <w:rPr>
          <w:rFonts w:ascii="宋体" w:hAnsi="宋体"/>
          <w:b/>
          <w:bCs/>
        </w:rPr>
      </w:pPr>
      <w:r>
        <w:rPr>
          <w:rFonts w:ascii="宋体" w:hAnsi="宋体"/>
          <w:b/>
          <w:bCs/>
        </w:rPr>
        <w:t>注：“一个目标五大战略”。“一个目标”即：打造粤北门户城市和建设幸福美好南雄。“五大战略”即：着力打造科技创新、金融服务两大平台；着力构建粤赣边贸、粤赣化工、粤赣铁路口岸三大物流体系；着力加快精细化工、陶瓷建材、竹浆制造、热电能源等四大特色工业主导产业发展；着力推进珠玑文化、红色文化、恐龙文化、温泉养生、生态观光五大旅游品牌建设，融入韶关“大丹霞、大南华、大南岭”旅游圈；着力创建年出栏量80万头生猪和100万只五黑鸡的禽畜养殖基地、20万亩优质米生产供应基地、20万亩油茶生产基地、12万亩特色优质烟叶生产基地、1万亩中药材基地和农土特生产加工销售等六大基地。</w:t>
      </w:r>
    </w:p>
    <w:p w14:paraId="12F22943">
      <w:pPr>
        <w:ind w:firstLine="422"/>
        <w:rPr>
          <w:rFonts w:ascii="宋体" w:hAnsi="宋体"/>
          <w:b/>
          <w:bCs/>
        </w:rPr>
      </w:pPr>
      <w:r>
        <w:rPr>
          <w:rFonts w:ascii="宋体" w:hAnsi="宋体"/>
          <w:b/>
          <w:bCs/>
        </w:rPr>
        <w:t>2、发展定位</w:t>
      </w:r>
    </w:p>
    <w:p w14:paraId="7499736F">
      <w:pPr>
        <w:ind w:firstLine="422"/>
        <w:rPr>
          <w:rFonts w:ascii="宋体" w:hAnsi="宋体"/>
        </w:rPr>
      </w:pPr>
      <w:r>
        <w:rPr>
          <w:rFonts w:hint="eastAsia" w:ascii="宋体" w:hAnsi="宋体"/>
          <w:b/>
          <w:bCs/>
        </w:rPr>
        <w:t>——</w:t>
      </w:r>
      <w:r>
        <w:rPr>
          <w:rFonts w:ascii="宋体" w:hAnsi="宋体"/>
          <w:b/>
          <w:bCs/>
        </w:rPr>
        <w:t>宜居宜业的粤北门户城市。</w:t>
      </w:r>
      <w:r>
        <w:rPr>
          <w:rFonts w:hint="eastAsia" w:ascii="宋体" w:hAnsi="宋体"/>
          <w:b/>
          <w:bCs/>
        </w:rPr>
        <w:t xml:space="preserve">  </w:t>
      </w:r>
      <w:r>
        <w:rPr>
          <w:rFonts w:ascii="宋体" w:hAnsi="宋体"/>
        </w:rPr>
        <w:t>按照城乡规划一体化、产业布局一体化、基础设施一体化、公共服务一体化的总体要求，稳步推进城区北移东扩、西建南绿发展战略，着力完善和提升城市功能，把我市建设成为区域性中等城市；加强生态环境保护，努力构建“经济发展、生活富裕、环境优美、和谐稳定、文明安康”的生态经济体系、生态居住体系、生态文化体系，优化城乡空间布局，打造富裕文明和谐安康、宜居宜业的粤北门户城市。</w:t>
      </w:r>
    </w:p>
    <w:p w14:paraId="6E0DD383">
      <w:pPr>
        <w:ind w:firstLine="422"/>
        <w:rPr>
          <w:rFonts w:ascii="宋体" w:hAnsi="宋体"/>
        </w:rPr>
      </w:pPr>
      <w:r>
        <w:rPr>
          <w:rFonts w:hint="eastAsia" w:ascii="宋体" w:hAnsi="宋体"/>
          <w:b/>
          <w:bCs/>
        </w:rPr>
        <w:t>——</w:t>
      </w:r>
      <w:r>
        <w:rPr>
          <w:rFonts w:ascii="宋体" w:hAnsi="宋体"/>
          <w:b/>
          <w:bCs/>
        </w:rPr>
        <w:t>华南地区精细化工产业集聚发展示范园。</w:t>
      </w:r>
      <w:r>
        <w:rPr>
          <w:rFonts w:hint="eastAsia" w:ascii="宋体" w:hAnsi="宋体"/>
        </w:rPr>
        <w:t xml:space="preserve">  </w:t>
      </w:r>
      <w:r>
        <w:rPr>
          <w:rFonts w:ascii="宋体" w:hAnsi="宋体"/>
        </w:rPr>
        <w:t>以发展循环低碳经济为指导，以产业转移工业园为载体，以韶赣高速公路、韶赣铁路和S342线为依托，着力规划建设点状聚集发展区和“两轴”沿线产业带，突出集聚发展特色，加快发展精细化工产业集群。推动园区研发平台、仓储、物流、危化物应急处理、铁路运输专线等基础设施建设，加强园区管理和服务水平，把产业转移工业园打造成推动南雄经济跨越发展的强大引擎，成为粤北经济最强劲的增长极。</w:t>
      </w:r>
    </w:p>
    <w:p w14:paraId="7FC0CBAC">
      <w:pPr>
        <w:ind w:firstLine="422"/>
        <w:rPr>
          <w:rFonts w:ascii="宋体" w:hAnsi="宋体"/>
        </w:rPr>
      </w:pPr>
      <w:r>
        <w:rPr>
          <w:rFonts w:hint="eastAsia" w:ascii="宋体" w:hAnsi="宋体"/>
          <w:b/>
          <w:bCs/>
        </w:rPr>
        <w:t>——</w:t>
      </w:r>
      <w:r>
        <w:rPr>
          <w:rFonts w:ascii="宋体" w:hAnsi="宋体"/>
          <w:b/>
          <w:bCs/>
        </w:rPr>
        <w:t>粤北竹浆制造产业升级发展区。</w:t>
      </w:r>
      <w:r>
        <w:rPr>
          <w:rFonts w:ascii="宋体" w:hAnsi="宋体"/>
        </w:rPr>
        <w:t>加快优化调整产业结构，延长产业链条，采用先进技术和现代管理技术改造提升竹浆制造产业，做大做强珠玑纸业和绿洲环保餐具，着力形成新的经济增长点。</w:t>
      </w:r>
    </w:p>
    <w:p w14:paraId="38083A1B">
      <w:pPr>
        <w:ind w:firstLine="422"/>
        <w:rPr>
          <w:rFonts w:ascii="宋体" w:hAnsi="宋体"/>
        </w:rPr>
      </w:pPr>
      <w:r>
        <w:rPr>
          <w:rFonts w:hint="eastAsia" w:ascii="宋体" w:hAnsi="宋体"/>
          <w:b/>
          <w:bCs/>
        </w:rPr>
        <w:t>——</w:t>
      </w:r>
      <w:r>
        <w:rPr>
          <w:rFonts w:ascii="宋体" w:hAnsi="宋体"/>
          <w:b/>
          <w:bCs/>
        </w:rPr>
        <w:t>粤赣湘边区域物流中心。</w:t>
      </w:r>
      <w:r>
        <w:rPr>
          <w:rFonts w:ascii="宋体" w:hAnsi="宋体"/>
        </w:rPr>
        <w:t>以“两路”建设为契机，充分发挥我市地处粤、赣、湘边和连接长三角与珠三角的地缘优势，加快物流基地的规划与建设，推进韶关海关南雄装卸口岸项目建设，着力引进物流企业，完善物流配套，打造辐射三省周边地界的区域物流中心。</w:t>
      </w:r>
    </w:p>
    <w:p w14:paraId="0E1BB270">
      <w:pPr>
        <w:ind w:firstLine="422"/>
        <w:rPr>
          <w:rFonts w:ascii="宋体" w:hAnsi="宋体"/>
        </w:rPr>
      </w:pPr>
      <w:r>
        <w:rPr>
          <w:rFonts w:hint="eastAsia" w:ascii="宋体" w:hAnsi="宋体"/>
          <w:b/>
          <w:bCs/>
        </w:rPr>
        <w:t>——</w:t>
      </w:r>
      <w:r>
        <w:rPr>
          <w:rFonts w:ascii="宋体" w:hAnsi="宋体"/>
          <w:b/>
          <w:bCs/>
        </w:rPr>
        <w:t>省际生态旅游休闲度假优选地。</w:t>
      </w:r>
      <w:r>
        <w:rPr>
          <w:rFonts w:hint="eastAsia" w:ascii="宋体" w:hAnsi="宋体"/>
        </w:rPr>
        <w:t xml:space="preserve">  </w:t>
      </w:r>
      <w:r>
        <w:rPr>
          <w:rFonts w:ascii="宋体" w:hAnsi="宋体"/>
        </w:rPr>
        <w:t>加大特色旅游规划力度，打造“大珠玑”文化品牌，突出温泉养身、自然生态、人文历史、红色经典、溯源寻根五大特色，提升南雄特色旅游品牌和旅游发展水平，建设广东省旅游强县，使我市逐步成为粤赣边生态旅游休闲度假优选地。</w:t>
      </w:r>
    </w:p>
    <w:p w14:paraId="280CC538">
      <w:pPr>
        <w:ind w:firstLine="422"/>
        <w:rPr>
          <w:rFonts w:ascii="宋体" w:hAnsi="宋体"/>
        </w:rPr>
      </w:pPr>
      <w:r>
        <w:rPr>
          <w:rFonts w:hint="eastAsia" w:ascii="宋体" w:hAnsi="宋体"/>
          <w:b/>
          <w:bCs/>
        </w:rPr>
        <w:t>——</w:t>
      </w:r>
      <w:r>
        <w:rPr>
          <w:rFonts w:ascii="宋体" w:hAnsi="宋体"/>
          <w:b/>
          <w:bCs/>
        </w:rPr>
        <w:t>粤北现代生态农业示范区。</w:t>
      </w:r>
      <w:r>
        <w:rPr>
          <w:rFonts w:hint="eastAsia" w:ascii="宋体" w:hAnsi="宋体"/>
          <w:b/>
          <w:bCs/>
        </w:rPr>
        <w:t xml:space="preserve">  </w:t>
      </w:r>
      <w:r>
        <w:rPr>
          <w:rFonts w:ascii="宋体" w:hAnsi="宋体"/>
        </w:rPr>
        <w:t>深化农业和农村经济结构调整，转变农业经济发展方式，大力推进科技兴农、科技兴烟，积极发展“一村一品，一镇一特色”，围绕珠三角鲜活农产品的市场需求，加快生猪和五黑鸡、特色优质烟草生产、有机米、油茶、农土特加工和中药材“六大基地”建设，坚持不懈地抓好优质高效农业、绿色生态农业、休闲观光农业基地建设，打造具有粤北特色的现代生态农业示范区。</w:t>
      </w:r>
    </w:p>
    <w:p w14:paraId="4CF023F9">
      <w:pPr>
        <w:ind w:firstLine="422"/>
        <w:rPr>
          <w:rFonts w:ascii="宋体" w:hAnsi="宋体"/>
          <w:b/>
          <w:bCs/>
        </w:rPr>
      </w:pPr>
      <w:r>
        <w:rPr>
          <w:rFonts w:ascii="宋体" w:hAnsi="宋体"/>
          <w:b/>
          <w:bCs/>
        </w:rPr>
        <w:t>3、具体目标</w:t>
      </w:r>
    </w:p>
    <w:p w14:paraId="394C7DE4">
      <w:pPr>
        <w:ind w:firstLine="420"/>
        <w:rPr>
          <w:rFonts w:ascii="宋体" w:hAnsi="宋体"/>
        </w:rPr>
      </w:pPr>
      <w:r>
        <w:rPr>
          <w:rFonts w:ascii="宋体" w:hAnsi="宋体"/>
        </w:rPr>
        <w:t>重点围绕转变经济发展方式、增强综合经济实力、优化调整经济结构、发展特色经济、推进重点项目建设、提高人民生活水平、建设生态环境等方面，确定我市“十二五”经济社会发展的具体目标为：</w:t>
      </w:r>
    </w:p>
    <w:p w14:paraId="65C5340E">
      <w:pPr>
        <w:ind w:firstLine="422"/>
        <w:rPr>
          <w:rFonts w:ascii="宋体" w:hAnsi="宋体"/>
        </w:rPr>
      </w:pPr>
      <w:r>
        <w:rPr>
          <w:rFonts w:ascii="宋体" w:hAnsi="宋体"/>
          <w:b/>
          <w:bCs/>
        </w:rPr>
        <w:t>——县域经济实力实现新跨越。</w:t>
      </w:r>
      <w:r>
        <w:rPr>
          <w:rFonts w:hint="eastAsia" w:ascii="宋体" w:hAnsi="宋体"/>
          <w:b/>
          <w:bCs/>
        </w:rPr>
        <w:t xml:space="preserve">  </w:t>
      </w:r>
      <w:r>
        <w:rPr>
          <w:rFonts w:ascii="宋体" w:hAnsi="宋体"/>
        </w:rPr>
        <w:t>力争到2013年，全市生产总值、财税收入比2009年翻一番。到2015年，全市生产总值超过110亿元，年均增长16%以上；人均生产总值达到30000元左右，年均增长速度为16%左右，人均生产总值增速与全韶关市人均生产总值增速基本同步；地方财政一般预算收入达到6.5亿元左右，年均增长18%左右。</w:t>
      </w:r>
    </w:p>
    <w:p w14:paraId="1BA0B512">
      <w:pPr>
        <w:ind w:firstLine="422"/>
        <w:rPr>
          <w:rFonts w:ascii="宋体" w:hAnsi="宋体"/>
        </w:rPr>
      </w:pPr>
      <w:r>
        <w:rPr>
          <w:rFonts w:ascii="宋体" w:hAnsi="宋体"/>
          <w:b/>
          <w:bCs/>
        </w:rPr>
        <w:t>——产业结构优化取得新成效。</w:t>
      </w:r>
      <w:r>
        <w:rPr>
          <w:rFonts w:hint="eastAsia" w:ascii="宋体" w:hAnsi="宋体"/>
          <w:b/>
          <w:bCs/>
        </w:rPr>
        <w:t xml:space="preserve">  </w:t>
      </w:r>
      <w:r>
        <w:rPr>
          <w:rFonts w:ascii="宋体" w:hAnsi="宋体"/>
        </w:rPr>
        <w:t>力争到2015年，全市实现工业生产总值200亿元，年均增长40%以上，工业增加值达到45亿元，年均增长35%左右。全市农业生产总值达到32亿元，年均增长5%，农业综合生产能力进一步增强，特色农业、效益农业、现代农业有较大发展。培育发展壮大第三产业龙头企业，优化第三产业比重，到2015年第三产业增加值达到35亿元左右，年均增长11%左右。三大产业比例由2010年的29.5：26.1：44.4调整为18：50：32。</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7E1EB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416A4A7">
            <w:pPr>
              <w:ind w:firstLine="0" w:firstLineChars="0"/>
              <w:jc w:val="center"/>
              <w:rPr>
                <w:rFonts w:ascii="宋体" w:hAnsi="宋体"/>
              </w:rPr>
            </w:pPr>
            <w:r>
              <w:rPr>
                <w:rFonts w:ascii="宋体" w:hAnsi="宋体"/>
              </w:rPr>
              <w:drawing>
                <wp:inline distT="0" distB="0" distL="114300" distR="114300">
                  <wp:extent cx="6181090" cy="3218815"/>
                  <wp:effectExtent l="0" t="0" r="10160" b="635"/>
                  <wp:docPr id="16" name="图片 7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9" descr="5"/>
                          <pic:cNvPicPr>
                            <a:picLocks noChangeAspect="1"/>
                          </pic:cNvPicPr>
                        </pic:nvPicPr>
                        <pic:blipFill>
                          <a:blip r:embed="rId171"/>
                          <a:stretch>
                            <a:fillRect/>
                          </a:stretch>
                        </pic:blipFill>
                        <pic:spPr>
                          <a:xfrm>
                            <a:off x="0" y="0"/>
                            <a:ext cx="6181090" cy="3218815"/>
                          </a:xfrm>
                          <a:prstGeom prst="rect">
                            <a:avLst/>
                          </a:prstGeom>
                          <a:noFill/>
                          <a:ln>
                            <a:noFill/>
                          </a:ln>
                        </pic:spPr>
                      </pic:pic>
                    </a:graphicData>
                  </a:graphic>
                </wp:inline>
              </w:drawing>
            </w:r>
          </w:p>
        </w:tc>
      </w:tr>
      <w:tr w14:paraId="67046B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EC6D53F">
            <w:pPr>
              <w:ind w:firstLine="0" w:firstLineChars="0"/>
              <w:jc w:val="center"/>
              <w:rPr>
                <w:rFonts w:ascii="宋体" w:hAnsi="宋体"/>
              </w:rPr>
            </w:pPr>
            <w:r>
              <w:rPr>
                <w:rFonts w:hint="eastAsia" w:ascii="宋体" w:hAnsi="宋体"/>
                <w:b/>
                <w:bCs/>
              </w:rPr>
              <w:t>表六：“十二五”期间地区生产总值增长情况</w:t>
            </w:r>
          </w:p>
        </w:tc>
      </w:tr>
    </w:tbl>
    <w:p w14:paraId="64A83C10">
      <w:pPr>
        <w:ind w:firstLine="420"/>
        <w:rPr>
          <w:rFonts w:ascii="宋体" w:hAnsi="宋体"/>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E8F3E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C748E29">
            <w:pPr>
              <w:ind w:firstLine="0" w:firstLineChars="0"/>
              <w:jc w:val="center"/>
              <w:rPr>
                <w:rFonts w:ascii="宋体" w:hAnsi="宋体"/>
              </w:rPr>
            </w:pPr>
            <w:r>
              <w:rPr>
                <w:rFonts w:ascii="宋体" w:hAnsi="宋体"/>
              </w:rPr>
              <w:drawing>
                <wp:inline distT="0" distB="0" distL="114300" distR="114300">
                  <wp:extent cx="6188710" cy="3204210"/>
                  <wp:effectExtent l="0" t="0" r="2540" b="15240"/>
                  <wp:docPr id="12" name="图片 8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0" descr="6"/>
                          <pic:cNvPicPr>
                            <a:picLocks noChangeAspect="1"/>
                          </pic:cNvPicPr>
                        </pic:nvPicPr>
                        <pic:blipFill>
                          <a:blip r:embed="rId172"/>
                          <a:stretch>
                            <a:fillRect/>
                          </a:stretch>
                        </pic:blipFill>
                        <pic:spPr>
                          <a:xfrm>
                            <a:off x="0" y="0"/>
                            <a:ext cx="6188710" cy="3204210"/>
                          </a:xfrm>
                          <a:prstGeom prst="rect">
                            <a:avLst/>
                          </a:prstGeom>
                          <a:noFill/>
                          <a:ln>
                            <a:noFill/>
                          </a:ln>
                        </pic:spPr>
                      </pic:pic>
                    </a:graphicData>
                  </a:graphic>
                </wp:inline>
              </w:drawing>
            </w:r>
          </w:p>
        </w:tc>
      </w:tr>
      <w:tr w14:paraId="590190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F26FFD4">
            <w:pPr>
              <w:ind w:firstLine="0" w:firstLineChars="0"/>
              <w:jc w:val="center"/>
              <w:rPr>
                <w:rFonts w:ascii="宋体" w:hAnsi="宋体"/>
              </w:rPr>
            </w:pPr>
            <w:r>
              <w:rPr>
                <w:rFonts w:hint="eastAsia" w:ascii="宋体" w:hAnsi="宋体"/>
                <w:b/>
                <w:bCs/>
              </w:rPr>
              <w:t>表七：“十二五”期间地方财政一般预算收入预计增长情况</w:t>
            </w:r>
          </w:p>
        </w:tc>
      </w:tr>
    </w:tbl>
    <w:p w14:paraId="76074869">
      <w:pPr>
        <w:ind w:firstLine="420"/>
        <w:rPr>
          <w:rFonts w:ascii="宋体" w:hAnsi="宋体"/>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08629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A67213B">
            <w:pPr>
              <w:ind w:firstLine="0" w:firstLineChars="0"/>
              <w:jc w:val="center"/>
              <w:rPr>
                <w:rFonts w:ascii="宋体" w:hAnsi="宋体"/>
              </w:rPr>
            </w:pPr>
            <w:r>
              <w:rPr>
                <w:rFonts w:ascii="宋体" w:hAnsi="宋体"/>
              </w:rPr>
              <w:drawing>
                <wp:inline distT="0" distB="0" distL="114300" distR="114300">
                  <wp:extent cx="6181090" cy="3299460"/>
                  <wp:effectExtent l="0" t="0" r="10160" b="15240"/>
                  <wp:docPr id="9" name="图片 8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1" descr="7"/>
                          <pic:cNvPicPr>
                            <a:picLocks noChangeAspect="1"/>
                          </pic:cNvPicPr>
                        </pic:nvPicPr>
                        <pic:blipFill>
                          <a:blip r:embed="rId173"/>
                          <a:stretch>
                            <a:fillRect/>
                          </a:stretch>
                        </pic:blipFill>
                        <pic:spPr>
                          <a:xfrm>
                            <a:off x="0" y="0"/>
                            <a:ext cx="6181090" cy="3299460"/>
                          </a:xfrm>
                          <a:prstGeom prst="rect">
                            <a:avLst/>
                          </a:prstGeom>
                          <a:noFill/>
                          <a:ln>
                            <a:noFill/>
                          </a:ln>
                        </pic:spPr>
                      </pic:pic>
                    </a:graphicData>
                  </a:graphic>
                </wp:inline>
              </w:drawing>
            </w:r>
          </w:p>
        </w:tc>
      </w:tr>
      <w:tr w14:paraId="5BF93F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5C21021">
            <w:pPr>
              <w:ind w:firstLine="0" w:firstLineChars="0"/>
              <w:jc w:val="center"/>
              <w:rPr>
                <w:rFonts w:ascii="宋体" w:hAnsi="宋体"/>
              </w:rPr>
            </w:pPr>
            <w:r>
              <w:rPr>
                <w:rFonts w:hint="eastAsia" w:ascii="宋体" w:hAnsi="宋体"/>
                <w:b/>
                <w:bCs/>
              </w:rPr>
              <w:t>表四：一、二、三产业结构调整对比图</w:t>
            </w:r>
          </w:p>
        </w:tc>
      </w:tr>
    </w:tbl>
    <w:p w14:paraId="08507CFB">
      <w:pPr>
        <w:ind w:firstLine="422"/>
        <w:rPr>
          <w:rFonts w:ascii="宋体" w:hAnsi="宋体"/>
        </w:rPr>
      </w:pPr>
      <w:r>
        <w:rPr>
          <w:rFonts w:hint="eastAsia" w:ascii="宋体" w:hAnsi="宋体"/>
          <w:b/>
          <w:bCs/>
        </w:rPr>
        <w:t>——</w:t>
      </w:r>
      <w:r>
        <w:rPr>
          <w:rFonts w:ascii="宋体" w:hAnsi="宋体"/>
          <w:b/>
          <w:bCs/>
        </w:rPr>
        <w:t>重点项目建设取得新突破。</w:t>
      </w:r>
      <w:r>
        <w:rPr>
          <w:rFonts w:hint="eastAsia" w:ascii="宋体" w:hAnsi="宋体"/>
          <w:b/>
          <w:bCs/>
        </w:rPr>
        <w:t xml:space="preserve">  </w:t>
      </w:r>
      <w:r>
        <w:rPr>
          <w:rFonts w:ascii="宋体" w:hAnsi="宋体"/>
        </w:rPr>
        <w:t>充分利用南雄被确认为中央苏区县、生态发展区和中央继续实施扩大内需的政策机遇，突出重点项目建设对经济社会发展的拉动作用。继续加大“跑部进厅”工作力度，加大华电热电冷联供、水泥厂、龙华山温泉酒店等项目的报批跟踪力度，围绕农田改造、水利建设道路硬化、生态建设等惠民利民领域建设一批重点基础设施项目。力争五年内完成重点项目投资180亿元以上。</w:t>
      </w:r>
    </w:p>
    <w:p w14:paraId="3DDA12BD">
      <w:pPr>
        <w:ind w:firstLine="422"/>
        <w:rPr>
          <w:rFonts w:ascii="宋体" w:hAnsi="宋体"/>
        </w:rPr>
      </w:pPr>
      <w:r>
        <w:rPr>
          <w:rFonts w:hint="eastAsia" w:ascii="宋体" w:hAnsi="宋体"/>
          <w:b/>
          <w:bCs/>
        </w:rPr>
        <w:t>——</w:t>
      </w:r>
      <w:r>
        <w:rPr>
          <w:rFonts w:ascii="宋体" w:hAnsi="宋体"/>
          <w:b/>
          <w:bCs/>
        </w:rPr>
        <w:t>生态建设取得新发展。</w:t>
      </w:r>
      <w:r>
        <w:rPr>
          <w:rFonts w:hint="eastAsia" w:ascii="宋体" w:hAnsi="宋体"/>
          <w:b/>
          <w:bCs/>
        </w:rPr>
        <w:t xml:space="preserve">  </w:t>
      </w:r>
      <w:r>
        <w:rPr>
          <w:rFonts w:ascii="宋体" w:hAnsi="宋体"/>
        </w:rPr>
        <w:t>以构建资源节约型、环境友好型社会为目标，逐步建立以预防为主、综合治理的生态环境保护体系，不断增强可持续发展能力。到2015年，全市生态环境得到较大改善，节能降耗减排工作成效明显，工业废水排放达标率100%，认真落实中央、省关于节能减排单位地区生产总值能耗下降的有关政策；城镇污水处理率达80%以上、生活垃圾无害化处理达100%，启动农村生活垃圾无害化处理工程；森林生态市建设加快，森林覆盖率达到63%以上，城市人均公园绿地面积超过12平方米。</w:t>
      </w:r>
    </w:p>
    <w:p w14:paraId="30418552">
      <w:pPr>
        <w:ind w:firstLine="422"/>
        <w:rPr>
          <w:rFonts w:ascii="宋体" w:hAnsi="宋体"/>
        </w:rPr>
      </w:pPr>
      <w:r>
        <w:rPr>
          <w:rFonts w:hint="eastAsia" w:ascii="宋体" w:hAnsi="宋体"/>
          <w:b/>
          <w:bCs/>
        </w:rPr>
        <w:t>——</w:t>
      </w:r>
      <w:r>
        <w:rPr>
          <w:rFonts w:ascii="宋体" w:hAnsi="宋体"/>
          <w:b/>
          <w:bCs/>
        </w:rPr>
        <w:t>人民生活水平得到新提高。</w:t>
      </w:r>
      <w:r>
        <w:rPr>
          <w:rFonts w:hint="eastAsia" w:ascii="宋体" w:hAnsi="宋体"/>
          <w:b/>
          <w:bCs/>
        </w:rPr>
        <w:t xml:space="preserve">  </w:t>
      </w:r>
      <w:r>
        <w:rPr>
          <w:rFonts w:ascii="宋体" w:hAnsi="宋体"/>
        </w:rPr>
        <w:t>实现城乡居民收入普遍较快增长的目标，坚持民生优先，推进基本公共服务均等化，力争实现到2013年社会事业和公共服务支出比2009年翻一番，促进社会和谐发展。在岗职工工资平均收入年均增长10%左右；农村人均纯收入年均增长10%左右。</w:t>
      </w:r>
    </w:p>
    <w:p w14:paraId="315D625D">
      <w:pPr>
        <w:ind w:firstLine="420"/>
        <w:rPr>
          <w:rFonts w:ascii="宋体" w:hAnsi="宋体"/>
        </w:rPr>
      </w:pPr>
      <w:r>
        <w:rPr>
          <w:rFonts w:ascii="宋体" w:hAnsi="宋体"/>
        </w:rPr>
        <w:t>社会事业发展有新的进步，建设教育强市，力争高中阶段教育毛入学率达到92%以上，中等职业教育有新的突破，力争实现普通高中在校学生与中等职业学校在校学生比例达到5：5。进一步完善以社会保险为主，社会救济、社会福利全面发展的社会保障体系，按第二、三产业从业人数计算的基本养老保险参保达到70%，基本医疗保险参保达到80%，新型农村合作医疗参合率达到100%；进一步加大就业和再就业工作力度，城镇登记失业率控制在3.5%以内；人口自然增长率控制在7.3%以下。</w:t>
      </w:r>
    </w:p>
    <w:p w14:paraId="7014BE71">
      <w:pPr>
        <w:ind w:firstLine="422"/>
        <w:rPr>
          <w:rFonts w:ascii="宋体" w:hAnsi="宋体"/>
          <w:b/>
          <w:bCs/>
        </w:rPr>
      </w:pPr>
      <w:r>
        <w:rPr>
          <w:rFonts w:ascii="宋体" w:hAnsi="宋体"/>
          <w:b/>
          <w:bCs/>
        </w:rPr>
        <w:t>三、主要任务和对策</w:t>
      </w:r>
    </w:p>
    <w:p w14:paraId="30A41202">
      <w:pPr>
        <w:ind w:firstLine="420"/>
        <w:rPr>
          <w:rFonts w:ascii="宋体" w:hAnsi="宋体"/>
        </w:rPr>
      </w:pPr>
      <w:r>
        <w:rPr>
          <w:rFonts w:ascii="宋体" w:hAnsi="宋体"/>
        </w:rPr>
        <w:t>按照《珠江三角洲地区改革发展规划纲要》和《促进粤北山区跨越发展的指导意见》的要求，结合省主体功能区划分，实现“十二五”我市“一年开好局、三年大发展、五年新跨越”的经济社会发展目标，必须全面贯彻落实中央、省、韶关市的各项政策和方针，紧密结合我市实际，在转变经济发展方式、优化调整经济结构、构建现代产业体系、完善基础设施建设、促进区域协调发展、建设生态南雄、深化改革开放、改善民生和增加城乡居民收入等方面实现新的突破。</w:t>
      </w:r>
    </w:p>
    <w:p w14:paraId="474D8383">
      <w:pPr>
        <w:ind w:firstLine="422"/>
        <w:rPr>
          <w:rFonts w:ascii="宋体" w:hAnsi="宋体"/>
          <w:b/>
          <w:bCs/>
        </w:rPr>
      </w:pPr>
      <w:r>
        <w:rPr>
          <w:rFonts w:ascii="宋体" w:hAnsi="宋体"/>
          <w:b/>
          <w:bCs/>
        </w:rPr>
        <w:t>（一）转变经济发展方式，优化调整经济结构，加快产业转型升级</w:t>
      </w:r>
    </w:p>
    <w:p w14:paraId="522C1336">
      <w:pPr>
        <w:ind w:firstLine="420"/>
        <w:rPr>
          <w:rFonts w:ascii="宋体" w:hAnsi="宋体"/>
        </w:rPr>
      </w:pPr>
      <w:r>
        <w:rPr>
          <w:rFonts w:ascii="宋体" w:hAnsi="宋体"/>
        </w:rPr>
        <w:t>推动产业集聚和转型升级，构建现代产业体系，增强三次产业的协调性，是“十二五”期间提高全市国民经济素质和产业核心竞争力的关键所在。要以发展循环经济为主线，突出产业集聚和结构调整，改变我市不合理的经济结构现状，提高经济发展质量，推动产业转型升级，提升综合经济实力和产业核心竞争力，形成以精细化工、陶瓷建材、竹浆制造和热电能源四大产业为主导，外向型生态农业经济为基础，生态旅游为重点，三次产业协调发展的现代产业体系新格局。</w:t>
      </w:r>
    </w:p>
    <w:p w14:paraId="40FF667E">
      <w:pPr>
        <w:ind w:firstLine="422"/>
        <w:rPr>
          <w:rFonts w:ascii="宋体" w:hAnsi="宋体"/>
        </w:rPr>
      </w:pPr>
      <w:r>
        <w:rPr>
          <w:rFonts w:ascii="宋体" w:hAnsi="宋体"/>
          <w:b/>
          <w:bCs/>
        </w:rPr>
        <w:t>1、把发展循环工业经济作为经济结构调整的主战场。</w:t>
      </w:r>
      <w:r>
        <w:rPr>
          <w:rFonts w:hint="eastAsia" w:ascii="宋体" w:hAnsi="宋体"/>
        </w:rPr>
        <w:t xml:space="preserve">  </w:t>
      </w:r>
      <w:r>
        <w:rPr>
          <w:rFonts w:ascii="宋体" w:hAnsi="宋体"/>
        </w:rPr>
        <w:t>工业是南雄未来经济发展的主要增长极，发展工业经济，是南雄经济社会实现跨越发展的关键。按照省主体功能区规划的要求，着重发展循环低碳工业，是我市优化调整经济结构、实现绿色崛起的必然要求。</w:t>
      </w:r>
    </w:p>
    <w:p w14:paraId="5566C3F9">
      <w:pPr>
        <w:ind w:firstLine="422"/>
        <w:rPr>
          <w:rFonts w:ascii="宋体" w:hAnsi="宋体"/>
        </w:rPr>
      </w:pPr>
      <w:r>
        <w:rPr>
          <w:rFonts w:ascii="宋体" w:hAnsi="宋体"/>
          <w:b/>
          <w:bCs/>
        </w:rPr>
        <w:t>突出产业转移工业园建设。</w:t>
      </w:r>
      <w:r>
        <w:rPr>
          <w:rFonts w:hint="eastAsia" w:ascii="宋体" w:hAnsi="宋体"/>
          <w:b/>
          <w:bCs/>
        </w:rPr>
        <w:t xml:space="preserve">  </w:t>
      </w:r>
      <w:r>
        <w:rPr>
          <w:rFonts w:ascii="宋体" w:hAnsi="宋体"/>
        </w:rPr>
        <w:t>继续贯彻落实省委、省政府“双转移”战略和市委、市政府工业兴市战略，继续实施发展工业“绿灯工程”，致力于把东莞大岭山（南雄）产业转移工业园打造成华南地区最大的精细化工基地。进一步完善园区一期的基础设施建设和仓储、物流、信息平台、原材料供应平台以及研发产品交易平台建设等配套设施建设，抓紧铁路货运专线的规划建设，高起点做好园区二期工程的规划和建设，坚持“企业入园，产业发展”的园区建设指导思想，按照“谁投资，谁受益”的原则，鼓励企业、社会团体和民间资本参与园区的建设。</w:t>
      </w:r>
    </w:p>
    <w:p w14:paraId="20F75562">
      <w:pPr>
        <w:ind w:firstLine="422"/>
        <w:rPr>
          <w:rFonts w:ascii="宋体" w:hAnsi="宋体"/>
        </w:rPr>
      </w:pPr>
      <w:r>
        <w:rPr>
          <w:rFonts w:ascii="宋体" w:hAnsi="宋体"/>
          <w:b/>
          <w:bCs/>
        </w:rPr>
        <w:t>突出培育四大产业集群。</w:t>
      </w:r>
      <w:r>
        <w:rPr>
          <w:rFonts w:hint="eastAsia" w:ascii="宋体" w:hAnsi="宋体"/>
          <w:b/>
          <w:bCs/>
        </w:rPr>
        <w:t xml:space="preserve">  </w:t>
      </w:r>
      <w:r>
        <w:rPr>
          <w:rFonts w:ascii="宋体" w:hAnsi="宋体"/>
        </w:rPr>
        <w:t>坚持市委、市政府确定的抓集聚、促产业，全力以赴抓好精细化工、陶瓷建材、竹浆制造和热电能源四大产业集群发展的思路，充分利用政策导向，实行财力、资源、资金向四大产业汇集，政策向四大产业倾斜，促进四大产业向集约化、规模化、专业化、低碳化方向发展。坚持提高产业规模和档次，逐步按照产业链招商的思路，着力引进国际、国内行业龙头领军企业，加大对产业的招商力度，逐步完善、丰富和延长产业链。推进“产、学、研”平台建设。力争五年内实现进入园区精细化工企业达到200家以上，投入生产企业120家以上，实现精细化工产业产值120亿元以上。建设陶瓷生产线10条以上，水泥产能600万吨，陶瓷建材产业工业产值20亿元以上。珠玑纸业生产规模达到年产浆纸20万吨以上，绿洲环保餐具建成30条全自动生产线，进入世界前10强，竹浆制造产业工业产值达到20亿元以上。华电（南雄）热电冷联供项目力争“十二五”期间建成投产，产值达到20亿元以上。与此同时，坚持扶优扶强战略，重点支持金友公司、金叶包装等企业增资技改扩产，实现规模与效益双突破。完善金融服务平台，进一步加强政府与金融行业的合作，充分利用与国家开发银行广东分行签署的9亿元授信贷款协议，依托南雄国际会展中心的建设和与国家开发银行良好的合作为基础，创新金融服务模式，解决融资难问题。</w:t>
      </w:r>
    </w:p>
    <w:p w14:paraId="60D94582">
      <w:pPr>
        <w:ind w:firstLine="422"/>
        <w:rPr>
          <w:rFonts w:ascii="宋体" w:hAnsi="宋体"/>
        </w:rPr>
      </w:pPr>
      <w:r>
        <w:rPr>
          <w:rFonts w:ascii="宋体" w:hAnsi="宋体"/>
          <w:b/>
          <w:bCs/>
        </w:rPr>
        <w:t>突出“两轴”沿线工业带规划和建设。</w:t>
      </w:r>
      <w:r>
        <w:rPr>
          <w:rFonts w:ascii="宋体" w:hAnsi="宋体"/>
        </w:rPr>
        <w:t>依托韶赣高速公路、赣韶铁路以及省道342线，按照科学规划、合理布局、突出特色、统筹兼顾的原则，加快“两轴”沿线工业带的规划和建设，加快发展电子信息、生物制药等生产性产业，逐步形成以产业转移工业园点状聚集发展区为中心、“两轴”工业带齐头并进的的工业发展新格局。做到既承接珠三角产业转移又不简单复制其早期的粗放发展模式，探索走出一条具有南雄特色的山区科学发展新路子。</w:t>
      </w:r>
    </w:p>
    <w:p w14:paraId="1D0E8E7F">
      <w:pPr>
        <w:ind w:firstLine="422"/>
        <w:rPr>
          <w:rFonts w:ascii="宋体" w:hAnsi="宋体"/>
        </w:rPr>
      </w:pPr>
      <w:r>
        <w:rPr>
          <w:rFonts w:ascii="宋体" w:hAnsi="宋体"/>
          <w:b/>
          <w:bCs/>
        </w:rPr>
        <w:t>注重提升民营经济发展水平。</w:t>
      </w:r>
      <w:r>
        <w:rPr>
          <w:rFonts w:hint="eastAsia" w:ascii="宋体" w:hAnsi="宋体"/>
          <w:b/>
          <w:bCs/>
        </w:rPr>
        <w:t xml:space="preserve">  </w:t>
      </w:r>
      <w:r>
        <w:rPr>
          <w:rFonts w:ascii="宋体" w:hAnsi="宋体"/>
        </w:rPr>
        <w:t>按照“政治平等、政策公平、法律保障、放手发展”的原则，大力优化有利于民营经济发展的政策、政务、法制、市场、舆论等环境。放宽民营经济进入领域，降低民营企业设立和准入门槛，构建全民创业绿色通道，推动民营经济成为我市经济社会发展的主力军。支持民营企业通过并购和控股、参股等多种形式，建立与大企业生产协作配套体系。鼓励有条件的民营企业通过兼并、收购、联合等方式做大做强，发展成为主业突出、市场竞争能力强的大公司大集团。支持中小企业技术创新、技术改造。引导民营企业提高自身素质，完善企业组织制度。到2015年，全市民营经济增加值达到60亿元以上，年均增长16%，占全市国民生产总值的55%左右，力争培育产值超亿元企业30家左右。</w:t>
      </w:r>
    </w:p>
    <w:p w14:paraId="60374732">
      <w:pPr>
        <w:ind w:firstLine="422"/>
        <w:rPr>
          <w:rFonts w:ascii="宋体" w:hAnsi="宋体"/>
        </w:rPr>
      </w:pPr>
      <w:r>
        <w:rPr>
          <w:rFonts w:ascii="宋体" w:hAnsi="宋体"/>
          <w:b/>
          <w:bCs/>
        </w:rPr>
        <w:t>注重提升招商引资质量和水平。</w:t>
      </w:r>
      <w:r>
        <w:rPr>
          <w:rFonts w:hint="eastAsia" w:ascii="宋体" w:hAnsi="宋体"/>
          <w:b/>
          <w:bCs/>
        </w:rPr>
        <w:t xml:space="preserve">  </w:t>
      </w:r>
      <w:r>
        <w:rPr>
          <w:rFonts w:ascii="宋体" w:hAnsi="宋体"/>
        </w:rPr>
        <w:t>充分利用我市被确认为中央苏区县的大好时机，发挥南雄毗邻湘赣、衔接珠三角与长三角的特殊区位优势，做好对接珠三角工作，提升精细化工产业集聚和辐射能力，做到招商与引智相结合，提高招商成效。继续围绕精细化工、建材陶瓷、竹浆制造、旅游休闲、农土特加工五大产业进行招商引资，坚持“三要三不要三不忽视”的招商引资原则，着重引进低污染、高效益、具有一定规模的企业项目，全力引进几家国际国内行业龙头领军企业。全方位推介南雄良好的投资环境，通过产业带动企业，项目带动项目，着力引进一批科技含量高、用地规模小、创新能力强、劳动力素质高、经济效益好的骨干企业。进一步改进招商引资方式，充分挖掘和发动本地本土的招商人脉关系，发挥各类行业协会等社会团体的作用，采取网上招商、中介招商、以商引商等多种形式和方式开展招商引资工作，开创招商引资工作政府主导、社会参与的新局面。进一步强化“南雄富不富，关键看服务”的意识，加强干部队伍作风和服务建设，认真落实好有关服务、收费等优惠政策，解决好融资、用工等实际问题，营造良好的“亲商、安商、富商”的发展环境，用热情和真诚感动客商，用服务和发展留住投资者。进一步提高利用外资水平。</w:t>
      </w:r>
    </w:p>
    <w:p w14:paraId="29E92C6B">
      <w:pPr>
        <w:ind w:firstLine="422"/>
        <w:rPr>
          <w:rFonts w:ascii="宋体" w:hAnsi="宋体"/>
        </w:rPr>
      </w:pPr>
      <w:r>
        <w:rPr>
          <w:rFonts w:ascii="宋体" w:hAnsi="宋体"/>
          <w:b/>
          <w:bCs/>
        </w:rPr>
        <w:t>注重提升产业自主创新能力。</w:t>
      </w:r>
      <w:r>
        <w:rPr>
          <w:rFonts w:hint="eastAsia" w:ascii="宋体" w:hAnsi="宋体"/>
          <w:b/>
          <w:bCs/>
        </w:rPr>
        <w:t xml:space="preserve">  </w:t>
      </w:r>
      <w:r>
        <w:rPr>
          <w:rFonts w:ascii="宋体" w:hAnsi="宋体"/>
        </w:rPr>
        <w:t>自主创新是推动产业转型升级、增强产业竞争力的中心环节。进一步提升自主创新的战略地位，把科技创新作为提升产业升级的根本动力，把增强自主创新能力作为发展科学技术的战略基点，坚持原始性创新、集成创新与引进消化吸收再创新相结合，大力推进自主创新和科技成果转化，构建科技创新服务平台。强化企业的自主创新主体地位，进一步创造条件、优化环境、深化改革，引导创新资源向企业靠拢，支持企业建立研发机构，切实增强企业技术创新的动力和活力。建立为中小企业创新服务的科技平台，促进科技型中小企业的发展。要以中国科学院广州化学研究所南雄基地的建立为突破口，大力推进产学研合作，充分发挥高校和科研院所的作用，建立产学研互动机制。加大财政对科技投入的力度，调整和优化投入结构，增强政府投入调动全社会科技资源配置的能力，形成多元化、多渠道、高效率的科技投入体系。完善知识产权保护，引导企事业单位建立和完善知识产权方面的管理制度，提高运用知识产权制度的水平。要以精细化工南雄质检中心建立为契机，坚持实施品牌带动战略，加大区域名牌的培育力度，扶持企业创建名牌产品和驰（著）名商标。</w:t>
      </w:r>
    </w:p>
    <w:p w14:paraId="68ECDD24">
      <w:pPr>
        <w:ind w:firstLine="422"/>
        <w:rPr>
          <w:rFonts w:ascii="宋体" w:hAnsi="宋体"/>
        </w:rPr>
      </w:pPr>
      <w:r>
        <w:rPr>
          <w:rFonts w:ascii="宋体" w:hAnsi="宋体"/>
          <w:b/>
          <w:bCs/>
        </w:rPr>
        <w:t>注重规范和引导房地产行业健康发展。</w:t>
      </w:r>
      <w:r>
        <w:rPr>
          <w:rFonts w:hint="eastAsia" w:ascii="宋体" w:hAnsi="宋体"/>
          <w:b/>
          <w:bCs/>
        </w:rPr>
        <w:t xml:space="preserve">  </w:t>
      </w:r>
      <w:r>
        <w:rPr>
          <w:rFonts w:ascii="宋体" w:hAnsi="宋体"/>
        </w:rPr>
        <w:t>充分发挥政府职能，加强房地产一级市场调控，培育和完善二、三级市场，建立和完善由商品房、经济适用房和廉租房构成的住房供应保障体系。进一步加强对房地产价格的监管力度，完善土地转让制度，严厉查处和打击房产预售、捂盘惜售、哄抬房价、擅改土地用途、擅自提高容积率、囤积土地等违法违规行为，规范和引导房地产行业健康发展。科学规划，合理布局，提高房地产整体开发水平和建设档次。按照城区北移东扩、西建南绿的发展战略，在抓好旧城区改造的同时，重点加快北城区的开发和建设。不断完善和规范物业管理制度，促进物业管理向专业化、社会化方向发展。</w:t>
      </w:r>
    </w:p>
    <w:p w14:paraId="5EF8CFA1">
      <w:pPr>
        <w:ind w:firstLine="422"/>
        <w:rPr>
          <w:rFonts w:ascii="宋体" w:hAnsi="宋体"/>
        </w:rPr>
      </w:pPr>
      <w:r>
        <w:rPr>
          <w:rFonts w:ascii="宋体" w:hAnsi="宋体"/>
          <w:b/>
          <w:bCs/>
        </w:rPr>
        <w:t>2、把发展现代生态农业作为经济结构调整的重要基础。</w:t>
      </w:r>
      <w:r>
        <w:rPr>
          <w:rFonts w:hint="eastAsia" w:ascii="宋体" w:hAnsi="宋体"/>
          <w:b/>
          <w:bCs/>
        </w:rPr>
        <w:t xml:space="preserve">  </w:t>
      </w:r>
      <w:r>
        <w:rPr>
          <w:rFonts w:ascii="宋体" w:hAnsi="宋体"/>
        </w:rPr>
        <w:t>要以建设现代农业示范区为目标，进一步调整优化农业产业结构，培育具有地方特色、区域比较优势和竞争力强的农业主导产业，加快发展效益农业、特色农业和生态农业，提高农业综合生产能力，推动农业增效农民增收。</w:t>
      </w:r>
    </w:p>
    <w:p w14:paraId="4BC71700">
      <w:pPr>
        <w:ind w:firstLine="422"/>
        <w:rPr>
          <w:rFonts w:ascii="宋体" w:hAnsi="宋体"/>
        </w:rPr>
      </w:pPr>
      <w:r>
        <w:rPr>
          <w:rFonts w:ascii="宋体" w:hAnsi="宋体"/>
          <w:b/>
          <w:bCs/>
        </w:rPr>
        <w:t>着力加强农业基础设施建设。</w:t>
      </w:r>
      <w:r>
        <w:rPr>
          <w:rFonts w:hint="eastAsia" w:ascii="宋体" w:hAnsi="宋体"/>
          <w:b/>
          <w:bCs/>
        </w:rPr>
        <w:t xml:space="preserve">  </w:t>
      </w:r>
      <w:r>
        <w:rPr>
          <w:rFonts w:ascii="宋体" w:hAnsi="宋体"/>
        </w:rPr>
        <w:t>积极争取国家和省、韶关市的支持，通过争取项目、招商引资和群众集资等多种渠道和形式，进一步完善各大灌区和镇、村级水利设施和旱坡地节水灌溉工程建设，提高农业防洪、抗旱能力，为农业发展创造良好环境和必要条件；加快浈江河、南山水小流域水土流失治理及综合治理，加快古市、主田等镇农业综合开发进程，着力推动现代标准农田示范建设，力争完成农田整治5万亩以上，提高农业经济效益；加大科技兴农力度，多渠道、多层次地引进和推广优良品种10-15个，推广农业新技术10个以上，力争“十二五”期间每年建设一个以上高标准、高起点的现代化农业示范园区，全市良种覆盖率达到98%以上，科技转化率达到60%以上。</w:t>
      </w:r>
    </w:p>
    <w:p w14:paraId="17CB1384">
      <w:pPr>
        <w:ind w:firstLine="422"/>
        <w:rPr>
          <w:rFonts w:ascii="宋体" w:hAnsi="宋体"/>
        </w:rPr>
      </w:pPr>
      <w:r>
        <w:rPr>
          <w:rFonts w:ascii="宋体" w:hAnsi="宋体"/>
          <w:b/>
          <w:bCs/>
        </w:rPr>
        <w:t>着力优化农业经济结构。</w:t>
      </w:r>
      <w:r>
        <w:rPr>
          <w:rFonts w:hint="eastAsia" w:ascii="宋体" w:hAnsi="宋体"/>
          <w:b/>
          <w:bCs/>
        </w:rPr>
        <w:t xml:space="preserve">  </w:t>
      </w:r>
      <w:r>
        <w:rPr>
          <w:rFonts w:ascii="宋体" w:hAnsi="宋体"/>
        </w:rPr>
        <w:t>围绕建设全国现代烟草示范基地目标，加快建设现代烟草农业建设，进一步探索和完善烟叶生产的组织模式，加快烟叶生产“集约化经营、规模化种植、专业化管理、社会化服务”的现代化进程，巩固发展烟叶生产支柱产业。到2015年，力争全市烟叶种植面积稳定在12万亩左右，其中特色烟6万亩，收购量35万担左右。狠抓科技兴农各项措施的落实，逐步扩大有机稻、地膜花生、大棚蔬菜等优质高效生态农业经济作物的种植面积，大力发展五黑鸡、黑山羊、瘦肉猪、优质鱼等区域特色种养业。到2015年，力争优质稻年种植面积达到35万亩，产量达到17.5万吨，其中有机稻达到1万亩，无公害优质稻达到15万亩。</w:t>
      </w:r>
    </w:p>
    <w:p w14:paraId="78B020FD">
      <w:pPr>
        <w:ind w:firstLine="422"/>
        <w:rPr>
          <w:rFonts w:ascii="宋体" w:hAnsi="宋体"/>
        </w:rPr>
      </w:pPr>
      <w:r>
        <w:rPr>
          <w:rFonts w:ascii="宋体" w:hAnsi="宋体"/>
          <w:b/>
          <w:bCs/>
        </w:rPr>
        <w:t>着力建设“六大基地”。</w:t>
      </w:r>
      <w:r>
        <w:rPr>
          <w:rFonts w:hint="eastAsia" w:ascii="宋体" w:hAnsi="宋体"/>
          <w:b/>
          <w:bCs/>
        </w:rPr>
        <w:t xml:space="preserve">  </w:t>
      </w:r>
      <w:r>
        <w:rPr>
          <w:rFonts w:ascii="宋体" w:hAnsi="宋体"/>
        </w:rPr>
        <w:t>主动对接《珠江三角洲改革发展规划纲要（2008-2020年）》，围绕珠三角的鲜活农产品市场需求，在保护基本农田、确保粮食安全、巩固黄烟生产的前提下，充分发挥区域比较优势，重点推进“六大基地”建设，力争三到五年时间内，建立起以温氏集团为龙头，打造年出栏量达80万头生猪为主的畜牧生产基地，把创建生猪基地与发展现代生态农业结合起来，实现“零”污染；以农民自主创业为载体，建设100万只五黑一绿鸡养殖规模的生产供应基地；以金友集团为龙头，打造15万亩优质米生产供应基地；以发挥山区地缘优势为主导，打造20万亩的油茶生产基地；以政策引导为动力，打造农土特生产加工销售基地。积极培育中药材产业，推动界址、江头金银花基地和百顺罗汉果基地建设，规划建设中药材交易市场。</w:t>
      </w:r>
    </w:p>
    <w:p w14:paraId="7A5CD3F5">
      <w:pPr>
        <w:ind w:firstLine="422"/>
        <w:rPr>
          <w:rFonts w:ascii="宋体" w:hAnsi="宋体"/>
        </w:rPr>
      </w:pPr>
      <w:r>
        <w:rPr>
          <w:rFonts w:ascii="宋体" w:hAnsi="宋体"/>
          <w:b/>
          <w:bCs/>
        </w:rPr>
        <w:t>着力培育“外向型”农业产业。</w:t>
      </w:r>
      <w:r>
        <w:rPr>
          <w:rFonts w:hint="eastAsia" w:ascii="宋体" w:hAnsi="宋体"/>
          <w:b/>
          <w:bCs/>
        </w:rPr>
        <w:t xml:space="preserve">  </w:t>
      </w:r>
      <w:r>
        <w:rPr>
          <w:rFonts w:ascii="宋体" w:hAnsi="宋体"/>
        </w:rPr>
        <w:t>坚持以市场为导向，围绕珠三角“从田头到餐桌”农产品的市场需求，以农产品加工为突破口，重点开发水果、禽畜、蔬菜、花卉等农业产业，加快珠玑、乌迳、南亩等镇发展以农产品为主要原料的加工产业。引导各镇（街道）围绕“一镇一业”、“一村一品”加快农业特色产业建设，鼓励主攻无公害农产品、绿色食品和有机食品生产，加快现代生态农业示范园区建设。积极扩大高效经济作物比重，扶持和引导农民扩大反季节蔬菜和高效经济作物的种植规模，支持发展壮大镇村经济，支持镇、村结合自身资源发展高效生态农业，逐步形成以全安、雄州、珠玑为中心的2万亩优质高效时令蔬菜基地，以江头、主田、邓坊、油山、南亩等高寒山区1万亩反季节蔬菜基地，以乌迳为中心，辐射带动界址坪田、水口、黄坑、油山等镇发展朝天椒3万亩。充分利用我市山水资源，构建温泉、山地、森林和乡村生态农业旅游黄金路线，培育和发展特色生态观光农业。建立农产品交易市场，加快与珠三角建立绿色农产品直销渠道。</w:t>
      </w:r>
    </w:p>
    <w:p w14:paraId="545C499A">
      <w:pPr>
        <w:ind w:firstLine="422"/>
        <w:rPr>
          <w:rFonts w:ascii="宋体" w:hAnsi="宋体"/>
        </w:rPr>
      </w:pPr>
      <w:r>
        <w:rPr>
          <w:rFonts w:ascii="宋体" w:hAnsi="宋体"/>
          <w:b/>
          <w:bCs/>
        </w:rPr>
        <w:t>着力扶持生态农业龙头企业。</w:t>
      </w:r>
      <w:r>
        <w:rPr>
          <w:rFonts w:hint="eastAsia" w:ascii="宋体" w:hAnsi="宋体"/>
          <w:b/>
          <w:bCs/>
        </w:rPr>
        <w:t xml:space="preserve">  </w:t>
      </w:r>
      <w:r>
        <w:rPr>
          <w:rFonts w:ascii="宋体" w:hAnsi="宋体"/>
        </w:rPr>
        <w:t>加大扶持力度，培育发展一批经营规模大，科技含量高，辐射面广，带动力强的龙头企业，重点扶持金友集团、温氏集团、永骏食品等农业企业不断发展壮大，力争将金友集团打造成国家级农业龙头企业。积极开展农业招商，鼓励和支持各类资本进入农业开发领域。降低农土特生产加工销售企业进入南雄的门槛，引进规模较大企业开发观光、生态、特色农业，鼓励珠三角涉农企业到南雄发展。</w:t>
      </w:r>
    </w:p>
    <w:p w14:paraId="2802A722">
      <w:pPr>
        <w:ind w:firstLine="422"/>
        <w:rPr>
          <w:rFonts w:ascii="宋体" w:hAnsi="宋体"/>
        </w:rPr>
      </w:pPr>
      <w:r>
        <w:rPr>
          <w:rFonts w:ascii="宋体" w:hAnsi="宋体"/>
          <w:b/>
          <w:bCs/>
        </w:rPr>
        <w:t>3、把繁荣第三产业作为经济结构调整的必要支持。</w:t>
      </w:r>
      <w:r>
        <w:rPr>
          <w:rFonts w:hint="eastAsia" w:ascii="宋体" w:hAnsi="宋体"/>
        </w:rPr>
        <w:t xml:space="preserve">  </w:t>
      </w:r>
      <w:r>
        <w:rPr>
          <w:rFonts w:ascii="宋体" w:hAnsi="宋体"/>
        </w:rPr>
        <w:t>发达的第三产业，是经济社会现代化的重要标志，是城市繁荣兴旺的重要支撑。随着韶赣高速公路和赣韶铁路的建设，我市以旅游服务为重点的第三产业迎来了新的发展良机。</w:t>
      </w:r>
    </w:p>
    <w:p w14:paraId="3A8CB62D">
      <w:pPr>
        <w:ind w:firstLine="422"/>
        <w:rPr>
          <w:rFonts w:ascii="宋体" w:hAnsi="宋体"/>
        </w:rPr>
      </w:pPr>
      <w:r>
        <w:rPr>
          <w:rFonts w:ascii="宋体" w:hAnsi="宋体"/>
          <w:b/>
          <w:bCs/>
        </w:rPr>
        <w:t>着力提升生态旅游业发展水平。</w:t>
      </w:r>
      <w:r>
        <w:rPr>
          <w:rFonts w:ascii="宋体" w:hAnsi="宋体"/>
        </w:rPr>
        <w:t>“十二五”时期是实现南雄旅游业新跨越、把旅游业培育成为南雄重要产业的关键时期。要围绕创建广东省旅游强县（市）的目标，充分利用面向珠三角，背向长三角的地理优势，坚持把旅游业作为第三产业的龙头来抓，抓紧编制旅游发展总体规划，加快规划和建设旅游服务项目，着力打造省际旅游休闲度假优选地。实施旅游兴市战略，深化旅游资源整合，着力推进珠玑文化、红色文化、恐龙文化、温泉养生、生态观光五大旅游品牌建设，打造“大珠玑”旅游文化品牌，融入韶关“大丹霞、大南华、大南岭、大珠玑”旅游圈，全面提升旅游业发展水平。扎实推动珠玑古巷、梅关古道、青嶂山—小流坑自然保护区、南雄恐龙博物馆等景区的规划建设，完善旅游交通、住宿、购物、娱乐等各项旅游配套设施，加快推进龙华山旅游休闲度假项目建设，力争珠玑古巷、梅关古道旅游景区和龙华山温泉达到国家4A级旅游景区标准。五年内建成一到三家四星、五星级宾馆。到2015年，实现游客量100万人次，旅游总收入突破11亿元，年均增长20%以上。</w:t>
      </w:r>
    </w:p>
    <w:p w14:paraId="11406EE6">
      <w:pPr>
        <w:ind w:firstLine="422"/>
        <w:rPr>
          <w:rFonts w:ascii="宋体" w:hAnsi="宋体"/>
        </w:rPr>
      </w:pPr>
      <w:r>
        <w:rPr>
          <w:rFonts w:ascii="宋体" w:hAnsi="宋体"/>
          <w:b/>
          <w:bCs/>
        </w:rPr>
        <w:t>着力建设现代物流网络体系。</w:t>
      </w:r>
      <w:r>
        <w:rPr>
          <w:rFonts w:hint="eastAsia" w:ascii="宋体" w:hAnsi="宋体"/>
          <w:b/>
          <w:bCs/>
        </w:rPr>
        <w:t xml:space="preserve">  </w:t>
      </w:r>
      <w:r>
        <w:rPr>
          <w:rFonts w:ascii="宋体" w:hAnsi="宋体"/>
        </w:rPr>
        <w:t>充分利用我市地处粤赣湘边的地域优势，建设粤赣化工、粤赣边贸和粤赣物流中心，力争把我市建设成联通三省、对接长珠的区域性物流中心。配合高速公路、铁路建设以及产业转移工业园建设，规划建设韶关海关南雄装卸点和精细化工产品交易中心，促进我市现代物流业的发展。整合现有物流资源，培育和壮大本地物流产业，引入国内外先进的物流企业，推动我市现代物流企业发展。加快对传统运输企业的改造，促进传统运输服务向现代物流转化。</w:t>
      </w:r>
    </w:p>
    <w:p w14:paraId="734385A3">
      <w:pPr>
        <w:ind w:firstLine="422"/>
        <w:rPr>
          <w:rFonts w:ascii="宋体" w:hAnsi="宋体"/>
        </w:rPr>
      </w:pPr>
      <w:r>
        <w:rPr>
          <w:rFonts w:ascii="宋体" w:hAnsi="宋体"/>
          <w:b/>
          <w:bCs/>
        </w:rPr>
        <w:t>着力发展交通运输、批发零售、餐饮、信息等服务产业。</w:t>
      </w:r>
      <w:r>
        <w:rPr>
          <w:rFonts w:hint="eastAsia" w:ascii="宋体" w:hAnsi="宋体"/>
          <w:b/>
          <w:bCs/>
        </w:rPr>
        <w:t xml:space="preserve">  </w:t>
      </w:r>
      <w:r>
        <w:rPr>
          <w:rFonts w:ascii="宋体" w:hAnsi="宋体"/>
        </w:rPr>
        <w:t>紧紧抓住扩大内需的有利时机，全面提升批发零售、餐饮等传统服务业，加快发展以科技服务、信息服务、金融服务等为重点的生产性服务业。</w:t>
      </w:r>
    </w:p>
    <w:p w14:paraId="73A1CD03">
      <w:pPr>
        <w:ind w:firstLine="422"/>
        <w:rPr>
          <w:rFonts w:ascii="宋体" w:hAnsi="宋体"/>
        </w:rPr>
      </w:pPr>
      <w:r>
        <w:rPr>
          <w:rFonts w:ascii="宋体" w:hAnsi="宋体"/>
          <w:b/>
          <w:bCs/>
        </w:rPr>
        <w:t>大力发展交通运输业。</w:t>
      </w:r>
      <w:r>
        <w:rPr>
          <w:rFonts w:hint="eastAsia" w:ascii="宋体" w:hAnsi="宋体"/>
          <w:b/>
          <w:bCs/>
        </w:rPr>
        <w:t xml:space="preserve">  </w:t>
      </w:r>
      <w:r>
        <w:rPr>
          <w:rFonts w:ascii="宋体" w:hAnsi="宋体"/>
        </w:rPr>
        <w:t>加快国道、省道、县道以及乡村公路改造和客货运输站场建设，促进运输业向集团化方向发展，扩大运输服务的能力和范围，提高运输效率和运输服务质量，构建面向社会的具有运输组织、中转和装卸储运、中介代理、信息服务等多种功能的综合运输体系。</w:t>
      </w:r>
    </w:p>
    <w:p w14:paraId="6006D15E">
      <w:pPr>
        <w:ind w:firstLine="422"/>
        <w:rPr>
          <w:rFonts w:ascii="宋体" w:hAnsi="宋体"/>
        </w:rPr>
      </w:pPr>
      <w:r>
        <w:rPr>
          <w:rFonts w:ascii="宋体" w:hAnsi="宋体"/>
          <w:b/>
          <w:bCs/>
        </w:rPr>
        <w:t>大力发展批发零售业。</w:t>
      </w:r>
      <w:r>
        <w:rPr>
          <w:rFonts w:hint="eastAsia" w:ascii="宋体" w:hAnsi="宋体"/>
          <w:b/>
          <w:bCs/>
        </w:rPr>
        <w:t xml:space="preserve">  </w:t>
      </w:r>
      <w:r>
        <w:rPr>
          <w:rFonts w:ascii="宋体" w:hAnsi="宋体"/>
        </w:rPr>
        <w:t>围绕把南雄建设成为粤赣边地区农土特产品贸易集散地的目标，加快农土特产品市场体系建设，扩大农产品销售；做好城市商业网点规划，着力引进一批连锁企业、大型超市，仓储超市，建设城市商务中心和社区商贸中心，提高城市消费档次；开拓农村消费市场，引导城市连锁店和超市向农村延伸发展，增加中小型超市，方便城乡居民生活。</w:t>
      </w:r>
    </w:p>
    <w:p w14:paraId="6316722A">
      <w:pPr>
        <w:ind w:firstLine="422"/>
        <w:rPr>
          <w:rFonts w:ascii="宋体" w:hAnsi="宋体"/>
        </w:rPr>
      </w:pPr>
      <w:r>
        <w:rPr>
          <w:rFonts w:ascii="宋体" w:hAnsi="宋体"/>
          <w:b/>
          <w:bCs/>
        </w:rPr>
        <w:t>大力发展餐饮业。</w:t>
      </w:r>
      <w:r>
        <w:rPr>
          <w:rFonts w:hint="eastAsia" w:ascii="宋体" w:hAnsi="宋体"/>
          <w:b/>
          <w:bCs/>
        </w:rPr>
        <w:t xml:space="preserve">  </w:t>
      </w:r>
      <w:r>
        <w:rPr>
          <w:rFonts w:ascii="宋体" w:hAnsi="宋体"/>
        </w:rPr>
        <w:t>抓住当前我市工业、旅游业加快发展，外来流动人口增加的时机，挖掘和创新南雄特色名菜、小食，推动餐饮业加快发展；鼓励和支持外资和民营资本建设星级宾馆、酒店，全面实施餐饮业服务质量标准化、规范化管理，提高我市宾馆酒店的档次和服务质量、管理水平。</w:t>
      </w:r>
    </w:p>
    <w:p w14:paraId="7D97A70D">
      <w:pPr>
        <w:ind w:firstLine="422"/>
        <w:rPr>
          <w:rFonts w:ascii="宋体" w:hAnsi="宋体"/>
        </w:rPr>
      </w:pPr>
      <w:r>
        <w:rPr>
          <w:rFonts w:ascii="宋体" w:hAnsi="宋体"/>
          <w:b/>
          <w:bCs/>
        </w:rPr>
        <w:t>大力发展信息产业。</w:t>
      </w:r>
      <w:r>
        <w:rPr>
          <w:rFonts w:hint="eastAsia" w:ascii="宋体" w:hAnsi="宋体"/>
          <w:b/>
          <w:bCs/>
        </w:rPr>
        <w:t xml:space="preserve">  </w:t>
      </w:r>
      <w:r>
        <w:rPr>
          <w:rFonts w:ascii="宋体" w:hAnsi="宋体"/>
        </w:rPr>
        <w:t>不断完善我市信息基础设施建设，加强和完善多媒体信息传输网络建设；充分发挥信息中心的作用，加快我市机关事业单位办公室自动化建设和局域网建设；着力推进电子商务和电子政务，加快推进政府科技、教育、文化、医疗等公共领域的信息化建设；积极应用信息技术为农业育种、种植、加工、流通等全过程服务，建立和完善农业信息服务网络系统。</w:t>
      </w:r>
    </w:p>
    <w:p w14:paraId="59063887">
      <w:pPr>
        <w:ind w:firstLine="422"/>
        <w:rPr>
          <w:rFonts w:ascii="宋体" w:hAnsi="宋体"/>
          <w:b/>
          <w:bCs/>
        </w:rPr>
      </w:pPr>
      <w:r>
        <w:rPr>
          <w:rFonts w:ascii="宋体" w:hAnsi="宋体"/>
          <w:b/>
          <w:bCs/>
        </w:rPr>
        <w:t>（二）实施扩大内需战略，坚持项目带动，增强经济社会发展后劲</w:t>
      </w:r>
    </w:p>
    <w:p w14:paraId="2734F1B7">
      <w:pPr>
        <w:ind w:firstLine="420"/>
        <w:rPr>
          <w:rFonts w:ascii="宋体" w:hAnsi="宋体"/>
        </w:rPr>
      </w:pPr>
      <w:r>
        <w:rPr>
          <w:rFonts w:ascii="宋体" w:hAnsi="宋体"/>
        </w:rPr>
        <w:t>要紧紧抓住国家、省继续实施扩大内需政策的战略机遇，发挥重点建设项目对经济的拉动作用，重点围绕基础设施、优势产业、民生工程、生态环境等领域，争取推进一批强农惠农的重点工程，实现投资与消费相协调，不断增强经济增长的内生动力。</w:t>
      </w:r>
    </w:p>
    <w:p w14:paraId="5EE56259">
      <w:pPr>
        <w:ind w:firstLine="422"/>
        <w:rPr>
          <w:rFonts w:ascii="宋体" w:hAnsi="宋体"/>
        </w:rPr>
      </w:pPr>
      <w:r>
        <w:rPr>
          <w:rFonts w:ascii="宋体" w:hAnsi="宋体"/>
          <w:b/>
          <w:bCs/>
        </w:rPr>
        <w:t>1、重点扩大消费需求。</w:t>
      </w:r>
      <w:r>
        <w:rPr>
          <w:rFonts w:hint="eastAsia" w:ascii="宋体" w:hAnsi="宋体"/>
          <w:b/>
          <w:bCs/>
        </w:rPr>
        <w:t xml:space="preserve">  </w:t>
      </w:r>
      <w:r>
        <w:rPr>
          <w:rFonts w:ascii="宋体" w:hAnsi="宋体"/>
        </w:rPr>
        <w:t>认真落实国家刺激消费政策，拓展消费领域，创新消费形式，引导消费升级，促进消费转型。要适应居民购买力增强、消费结构升级的需要，研究制定促进消费的政策措施，完善促进消费结构和生产结构良性互动的机制，正确引导居民扩大在居住、交通、通讯、教育、文化、保险等服务领域的消费，提升消费结构。积极开拓城乡市场，拓展销售渠道和服务网络体系，积极引导城市和乡村消费扩展升级。进一步落实粮食综补、农机补贴、黄烟补贴等国家关于惠农强农的各项政策措施，落实汽车、摩托车、家电下乡等相关配套政策，鼓励和扶持优势工业产品下乡和农产品进城，切实提高农民收入，促进农村消费。大力促进节庆消费，培育文化娱乐、体育健身和旅游休闲等消费热点，促进健康的精神文化消费，构筑和谐消费环境。完善消费信贷政策，扩大消费信贷品种、范围和规模，加快建立和健全社会诚信体系。逐步建立起有利于扩大内需特别是消费需求的长效机制，促进经济增长由主要依靠投资向依靠消费、投资、出口协调拉动转变。</w:t>
      </w:r>
    </w:p>
    <w:p w14:paraId="34C51E53">
      <w:pPr>
        <w:ind w:firstLine="422"/>
        <w:rPr>
          <w:rFonts w:ascii="宋体" w:hAnsi="宋体"/>
        </w:rPr>
      </w:pPr>
      <w:r>
        <w:rPr>
          <w:rFonts w:ascii="宋体" w:hAnsi="宋体"/>
          <w:b/>
          <w:bCs/>
        </w:rPr>
        <w:t>2、着力推进基础设施建设。</w:t>
      </w:r>
      <w:r>
        <w:rPr>
          <w:rFonts w:hint="eastAsia" w:ascii="宋体" w:hAnsi="宋体"/>
          <w:b/>
          <w:bCs/>
        </w:rPr>
        <w:t xml:space="preserve">  </w:t>
      </w:r>
      <w:r>
        <w:rPr>
          <w:rFonts w:ascii="宋体" w:hAnsi="宋体"/>
        </w:rPr>
        <w:t>“十二五”时期，是全市基础设施大提高、大跨越的重要时期。要坚持将投资作为扩大内需、推动经济社会发展的重要抓手，充分发挥投资对拉动经济增长的作用，实施重大项目投资带动战略，加强跑部进厅，加强以农村电力、交通、能源、水利为重点的基础设施建设，提高基础设施对经济社会发展的支撑和保障作用。</w:t>
      </w:r>
    </w:p>
    <w:p w14:paraId="1244F369">
      <w:pPr>
        <w:ind w:firstLine="422"/>
        <w:rPr>
          <w:rFonts w:ascii="宋体" w:hAnsi="宋体"/>
        </w:rPr>
      </w:pPr>
      <w:r>
        <w:rPr>
          <w:rFonts w:ascii="宋体" w:hAnsi="宋体"/>
          <w:b/>
          <w:bCs/>
        </w:rPr>
        <w:t>构建现代综合交通运输网络体系。</w:t>
      </w:r>
      <w:r>
        <w:rPr>
          <w:rFonts w:hint="eastAsia" w:ascii="宋体" w:hAnsi="宋体"/>
          <w:b/>
          <w:bCs/>
        </w:rPr>
        <w:t xml:space="preserve">  </w:t>
      </w:r>
      <w:r>
        <w:rPr>
          <w:rFonts w:ascii="宋体" w:hAnsi="宋体"/>
        </w:rPr>
        <w:t>坚持统筹兼顾、适度超前的原则，以构建大交通框架为目标，以快速、持续、健康发展为主题，加快以国道、省道、县道改造和农村公路建设为重点的基础设施建设，加速以物流为重点的现代运输业发展，加强以交通公共服务和市场监管为重点的交通行业管理，逐步建设多层次、多功能、四通八达、相互协调的交通运输网络，推动我市交通运输业实现新的跨越式发展。继续做好G323线路面扩建和S342线市区至界址分水岭段改造的续建工作；抓紧规划和建设X341长浦桥至长龙韶赣高速公路进出口工程、赣韶铁路配套客货运输站场，加快赣韶铁路南雄货运专线建设，新建年吞吐能力散货500万吨的赣韶铁路口岸南雄装卸点及其配套设施；加快推进全市通自然村水泥公路体系；新建雄州客货运输站场和珠玑客运站。</w:t>
      </w:r>
    </w:p>
    <w:p w14:paraId="44369A1C">
      <w:pPr>
        <w:ind w:firstLine="422"/>
        <w:rPr>
          <w:rFonts w:ascii="宋体" w:hAnsi="宋体"/>
        </w:rPr>
      </w:pPr>
      <w:r>
        <w:rPr>
          <w:rFonts w:ascii="宋体" w:hAnsi="宋体"/>
          <w:b/>
          <w:bCs/>
        </w:rPr>
        <w:t>构建能源保障体系。</w:t>
      </w:r>
      <w:r>
        <w:rPr>
          <w:rFonts w:hint="eastAsia" w:ascii="宋体" w:hAnsi="宋体"/>
          <w:b/>
          <w:bCs/>
        </w:rPr>
        <w:t xml:space="preserve">  </w:t>
      </w:r>
      <w:r>
        <w:rPr>
          <w:rFonts w:ascii="宋体" w:hAnsi="宋体"/>
        </w:rPr>
        <w:t>以构建开发、多元、清洁、安全、经济的现代能源保障体系为目标，继续完善城乡输变电网建设，进一步加强各电压等级的电网建设，提高安全、优质供电能力，打造具备良好适应性、安全性、稳定性、灵活性的智能化电网。重点加快推进生物质发电和华电热电冷联供等重要能源项目的立项报批，加强项目贴身服务，力争项目在“十二五”期间建成投产。加快推进西气东输南雄支线管网的规划和建设，早日为市民和企业供气，提升城市功能和搭建一个优质的招商引资平台。巩固发展农村沼气、太阳能等新型能源，提高能源二次利用能力。提倡和引导能源节约意识。</w:t>
      </w:r>
    </w:p>
    <w:p w14:paraId="757F1EA6">
      <w:pPr>
        <w:ind w:firstLine="422"/>
        <w:rPr>
          <w:rFonts w:ascii="宋体" w:hAnsi="宋体"/>
        </w:rPr>
      </w:pPr>
      <w:r>
        <w:rPr>
          <w:rFonts w:ascii="宋体" w:hAnsi="宋体"/>
          <w:b/>
          <w:bCs/>
        </w:rPr>
        <w:t>完善水利基础设施体系。</w:t>
      </w:r>
      <w:r>
        <w:rPr>
          <w:rFonts w:hint="eastAsia" w:ascii="宋体" w:hAnsi="宋体"/>
        </w:rPr>
        <w:t xml:space="preserve">  </w:t>
      </w:r>
      <w:r>
        <w:rPr>
          <w:rFonts w:ascii="宋体" w:hAnsi="宋体"/>
        </w:rPr>
        <w:t>按照人水和谐的理念，坚持综合利用、综合治理、保护水资源的治理原则，科学合理地安排各类水利建设工程。进一步提高我市的防洪安全建设，推进凌江流域里洞水库、潭溪水库工程；进一步加强对水源地的保护；继续建设农村饮水解困工程和饮水安全工程，力争五年内全面解决全市人民的饮水安全问题，争取让80%以上的农村群众用上自来水；加快推进界址南水北调工程；加快孔江灌区节水配套改造工程，推动宝江、瀑布、中坪、横江中型水库及凌江灌区和镇村级水利设施的节水配套改造工程建设；落实杨梅水库等3个水库为市管水库，解决好管水人员的待遇问题；进一步完善“三防”指挥信息系统和水库工程自动化监测信息系统建设；创建孔江国家湿地公园；加强水土流失治理与保护，完善水土保持监测与管理信息系统建设，重点对凌江流域、浈江流域的实施综合治理</w:t>
      </w:r>
      <w:r>
        <w:rPr>
          <w:rFonts w:hint="eastAsia" w:ascii="宋体" w:hAnsi="宋体"/>
        </w:rPr>
        <w:t>。</w:t>
      </w:r>
    </w:p>
    <w:p w14:paraId="217E0D7A">
      <w:pPr>
        <w:ind w:firstLine="422"/>
        <w:rPr>
          <w:rFonts w:ascii="宋体" w:hAnsi="宋体"/>
        </w:rPr>
      </w:pPr>
      <w:r>
        <w:rPr>
          <w:rFonts w:ascii="宋体" w:hAnsi="宋体"/>
          <w:b/>
          <w:bCs/>
        </w:rPr>
        <w:t>完善工业基础设施建设。</w:t>
      </w:r>
      <w:r>
        <w:rPr>
          <w:rFonts w:hint="eastAsia" w:ascii="宋体" w:hAnsi="宋体"/>
          <w:b/>
          <w:bCs/>
        </w:rPr>
        <w:t xml:space="preserve">  </w:t>
      </w:r>
      <w:r>
        <w:rPr>
          <w:rFonts w:ascii="宋体" w:hAnsi="宋体"/>
        </w:rPr>
        <w:t>完善产业转移园内的基础设施建设，按照园区建设规划，完善物流、危化品运输专线、交易区、行政生活服务区、污水处理厂、应急救援以及基地闭路监控系统等配套服务设施；以产业转移工业园为中心，以珠玑纸业、绿洲公司、乐华陶瓷、彤置富水泥等企业为主轴，加快沿线的各项基础设施建设。</w:t>
      </w:r>
    </w:p>
    <w:p w14:paraId="4E9805F7">
      <w:pPr>
        <w:ind w:firstLine="422"/>
        <w:rPr>
          <w:rFonts w:ascii="宋体" w:hAnsi="宋体"/>
        </w:rPr>
      </w:pPr>
      <w:r>
        <w:rPr>
          <w:rFonts w:ascii="宋体" w:hAnsi="宋体"/>
          <w:b/>
          <w:bCs/>
        </w:rPr>
        <w:t>完善城市功能基础设施建设。</w:t>
      </w:r>
      <w:r>
        <w:rPr>
          <w:rFonts w:hint="eastAsia" w:ascii="宋体" w:hAnsi="宋体"/>
          <w:b/>
          <w:bCs/>
        </w:rPr>
        <w:t xml:space="preserve">  </w:t>
      </w:r>
      <w:r>
        <w:rPr>
          <w:rFonts w:ascii="宋体" w:hAnsi="宋体"/>
        </w:rPr>
        <w:t>按照城市城区北移东扩、西建南绿发展战略的要求，结合当前经济社会发展的趋势，做好中心城区总体规划，统筹安排、合理利益城市土地资源；完善城市污水管网建设，扩大污水处理规模和能力，力争到2015年，市污水厂处理达到30万吨/日；规划和建设文化中心综合大楼、图书馆、青少年宫等增强社会公共服务能力的项目，丰富市民生活；加大对文化遗产、遗址的保护和开发力度，推动市博物馆建立红色文化展厅、恐龙展厅等并对外开放；加快推进城镇化进程，协调城乡空间布局，加快乌迳、珠玑、黄坑等中心镇建设；充分发挥中心城区对周边乡镇的带动作用，实现工业与农业、城市与乡村发展的良性互动，优化产业资源、人力资源和金融资源配置；继续完善城市供水、供电、道路、垃圾处理等基础设施建设。</w:t>
      </w:r>
    </w:p>
    <w:p w14:paraId="450E98AD">
      <w:pPr>
        <w:ind w:firstLine="422"/>
        <w:rPr>
          <w:rFonts w:ascii="宋体" w:hAnsi="宋体"/>
          <w:b/>
          <w:bCs/>
        </w:rPr>
      </w:pPr>
      <w:r>
        <w:rPr>
          <w:rFonts w:ascii="宋体" w:hAnsi="宋体"/>
          <w:b/>
          <w:bCs/>
        </w:rPr>
        <w:t>（三）优化区域功能布局，统筹城乡协调发展，推进城乡一体化发展</w:t>
      </w:r>
    </w:p>
    <w:p w14:paraId="1D4B6F86">
      <w:pPr>
        <w:ind w:firstLine="420"/>
        <w:rPr>
          <w:rFonts w:ascii="宋体" w:hAnsi="宋体"/>
        </w:rPr>
      </w:pPr>
      <w:r>
        <w:rPr>
          <w:rFonts w:ascii="宋体" w:hAnsi="宋体"/>
        </w:rPr>
        <w:t>按照城乡一体化发展的要求和适度超前的原则，坚持用现代理念指导，谋划城市的功能定位、空间框架、产业布局和重大基础设施建设，坚持建管并重，改变传统的城乡建设模式，努力增加城乡建设管理中的创新元素，积极推进城镇化，组织实施好新一轮城市总体规划，积极探索发展产业经济与推进城镇化建设有机结合的发展模式，逐步形成主体功能清晰、发展导向明确、经济发展与人口资源环境相协调、区域之间分工合理的有序发展格局。</w:t>
      </w:r>
    </w:p>
    <w:p w14:paraId="6B9F5AE7">
      <w:pPr>
        <w:ind w:firstLine="422"/>
        <w:rPr>
          <w:rFonts w:ascii="宋体" w:hAnsi="宋体"/>
        </w:rPr>
      </w:pPr>
      <w:r>
        <w:rPr>
          <w:rFonts w:ascii="宋体" w:hAnsi="宋体"/>
          <w:b/>
          <w:bCs/>
        </w:rPr>
        <w:t>1、推进区域差异化发展。</w:t>
      </w:r>
      <w:r>
        <w:rPr>
          <w:rFonts w:hint="eastAsia" w:ascii="宋体" w:hAnsi="宋体"/>
          <w:b/>
          <w:bCs/>
        </w:rPr>
        <w:t xml:space="preserve">  </w:t>
      </w:r>
      <w:r>
        <w:rPr>
          <w:rFonts w:ascii="宋体" w:hAnsi="宋体"/>
        </w:rPr>
        <w:t>要围绕建设富裕文明和谐安康的粤北门户城市目标，结合各区域的现有发展状况和自然禀赋，按照统筹城乡、布局合理、节约用地、功能完善、以大带小的原则，实现差异发展和优势互补，将全市规划为重点开发区（新型工业发展区）、优化开发区（宜居宜业发展区）、生态发展区（生态农林业和生态旅游发展区）三大功能圈，促进区域互补互动协调发展。</w:t>
      </w:r>
    </w:p>
    <w:p w14:paraId="5F80ED6B">
      <w:pPr>
        <w:ind w:firstLine="420"/>
        <w:rPr>
          <w:rFonts w:ascii="宋体" w:hAnsi="宋体"/>
        </w:rPr>
      </w:pPr>
      <w:r>
        <w:rPr>
          <w:rFonts w:ascii="宋体" w:hAnsi="宋体"/>
        </w:rPr>
        <w:t>（1）重点开发区（新型工业发展区）。根据我市区域资源分布、交通干线分布以及社会劳动力分布的特点，以产业转移园为中心以及古市、主田、全安等毗邻地区（省主体功能区里定位为点状集聚发展区），具备较强的集聚经济和人口能力，与韶赣高速公路、赣韶铁路、G323线距离较近，有较好的配套设施，工业承载能力较好。据此，把该区域和韶赣高速公路、赣韶铁路、省道342沿线（即“一点两轴”发展区）定位新型工业发展区，予以重点开发，实施特色经济发展战略，发展工业四大主导产业，培育新兴产业，推进工业化进程，形成比较完备的产业体系；进一步优化投资环境，加强基础设施建设，加快城镇化步伐，增强吸纳资金、技术和产业集聚的能力，使这类地区成为我市经济增长的核心区域。</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88FE0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3B9D27F">
            <w:pPr>
              <w:ind w:firstLine="0" w:firstLineChars="0"/>
              <w:jc w:val="center"/>
              <w:rPr>
                <w:rFonts w:ascii="宋体" w:hAnsi="宋体"/>
              </w:rPr>
            </w:pPr>
            <w:r>
              <w:rPr>
                <w:rFonts w:ascii="宋体" w:hAnsi="宋体"/>
              </w:rPr>
              <w:drawing>
                <wp:inline distT="0" distB="0" distL="114300" distR="114300">
                  <wp:extent cx="6188710" cy="4645025"/>
                  <wp:effectExtent l="0" t="0" r="2540" b="3175"/>
                  <wp:docPr id="17" name="图片 82" descr="南雄年鉴 2011_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2" descr="南雄年鉴 2011_0079"/>
                          <pic:cNvPicPr>
                            <a:picLocks noChangeAspect="1"/>
                          </pic:cNvPicPr>
                        </pic:nvPicPr>
                        <pic:blipFill>
                          <a:blip r:embed="rId174"/>
                          <a:stretch>
                            <a:fillRect/>
                          </a:stretch>
                        </pic:blipFill>
                        <pic:spPr>
                          <a:xfrm>
                            <a:off x="0" y="0"/>
                            <a:ext cx="6188710" cy="4645025"/>
                          </a:xfrm>
                          <a:prstGeom prst="rect">
                            <a:avLst/>
                          </a:prstGeom>
                          <a:noFill/>
                          <a:ln>
                            <a:noFill/>
                          </a:ln>
                        </pic:spPr>
                      </pic:pic>
                    </a:graphicData>
                  </a:graphic>
                </wp:inline>
              </w:drawing>
            </w:r>
          </w:p>
        </w:tc>
      </w:tr>
    </w:tbl>
    <w:p w14:paraId="199B7A98">
      <w:pPr>
        <w:ind w:firstLine="420"/>
        <w:rPr>
          <w:rFonts w:ascii="宋体" w:hAnsi="宋体"/>
        </w:rPr>
      </w:pPr>
      <w:r>
        <w:rPr>
          <w:rFonts w:ascii="宋体" w:hAnsi="宋体"/>
        </w:rPr>
        <w:t>（2）宜居宜业发展区（优化开发区）。雄州地处我市中心城区，也是全市政治、经济、文化中心，城市公共服务和配套设施较为完善，重点建设宜居宜业宜商的区域性中等城市。珠玑距离城区较近，人口相对集中，兼有丰富的旅游资源，有一定的公共配套基础，重点发展旅游业。乌迳小城镇发展较快，人口相对集中，边贸经济较为发达，且有一定的公共配套基础，重点发展边贸经济。</w:t>
      </w:r>
    </w:p>
    <w:p w14:paraId="2776D5EF">
      <w:pPr>
        <w:ind w:firstLine="420"/>
        <w:rPr>
          <w:rFonts w:ascii="宋体" w:hAnsi="宋体"/>
        </w:rPr>
      </w:pPr>
      <w:r>
        <w:rPr>
          <w:rFonts w:ascii="宋体" w:hAnsi="宋体"/>
        </w:rPr>
        <w:t>（3）生态发展区（生态林业、生态农业和生态旅游发展区）。江头和全安至百顺沿线定为生态林业发展区，限制发展工业。以青嶂山—小流坑、恐龙自然保护区、孔江水库湿地公园为中心，整合坪田、江头、帽子峰、水口、黄坑、南亩等镇等的生态和人文资源，定位为生态农业和生态旅游发展区，营造粤北乡村生态大公园，大力发展生态农业和生态旅游，形成生态农业与生态旅游圈。</w:t>
      </w:r>
    </w:p>
    <w:p w14:paraId="6906151E">
      <w:pPr>
        <w:ind w:firstLine="422"/>
        <w:rPr>
          <w:rFonts w:ascii="宋体" w:hAnsi="宋体"/>
        </w:rPr>
      </w:pPr>
      <w:r>
        <w:rPr>
          <w:rFonts w:ascii="宋体" w:hAnsi="宋体"/>
          <w:b/>
          <w:bCs/>
        </w:rPr>
        <w:t>2、推进生产力合理布局。</w:t>
      </w:r>
      <w:r>
        <w:rPr>
          <w:rFonts w:hint="eastAsia" w:ascii="宋体" w:hAnsi="宋体"/>
          <w:b/>
          <w:bCs/>
        </w:rPr>
        <w:t xml:space="preserve">  </w:t>
      </w:r>
      <w:r>
        <w:rPr>
          <w:rFonts w:ascii="宋体" w:hAnsi="宋体"/>
        </w:rPr>
        <w:t>大力抓好总体规划，按照“一镇一特色、一村一品”的发展要求，结合区域经济特点，把发展特色农业作为优化区域的重点来抓，实现产业布局区域化、生产规模化、管理标准化、经营产业化、产品品牌化，实施以市场为导向，以科技为动力，科学合理地优化生产力布局。</w:t>
      </w:r>
    </w:p>
    <w:p w14:paraId="64E611BB">
      <w:pPr>
        <w:ind w:firstLine="420"/>
        <w:rPr>
          <w:rFonts w:ascii="宋体" w:hAnsi="宋体"/>
        </w:rPr>
      </w:pPr>
      <w:r>
        <w:rPr>
          <w:rFonts w:ascii="宋体" w:hAnsi="宋体"/>
        </w:rPr>
        <w:t>（1）优化工业产业布局。工业要按照以产业转移工业园（点状集聚发展区）为中心、辐射周边区域的发展理念，以产业链条、产业方向、产品上下游为纽带，对全市工业区域布局和生产力空间布局及城乡一体化科学规划。产业转移园点状集聚发展区重点发展精细化工、竹浆制造、陶瓷建材和热电能源四大产业，逐步带动加工业、包装业、高新技术产业、生物制药、日用化工和轻手工业等产业发展。赣韶铁路、韶赣高速公路和S342线沿线规划为工业产业带。</w:t>
      </w:r>
    </w:p>
    <w:p w14:paraId="7F46677B">
      <w:pPr>
        <w:ind w:firstLine="420"/>
        <w:rPr>
          <w:rFonts w:hint="eastAsia" w:ascii="宋体" w:hAnsi="宋体"/>
        </w:rPr>
      </w:pPr>
      <w:r>
        <w:rPr>
          <w:rFonts w:ascii="宋体" w:hAnsi="宋体"/>
        </w:rPr>
        <w:t>（2）优化农业产业布局。稳步推进湖口、水口、江头、南亩等4个镇和雄州街道勋口、荆岗村委会现代烟草农业试点工作，加快主田、古市、湖口、水口、黄坑、乌迳、油山、珠玑、雄州的现代烟草基地建设；着力推广优质稻和地膜花生，优质稻以雄州、全安、湖口、乌迳、黄坑、油山为核心产区，花生以乌迳、油山、湖口为核心产区；以满足城区人民生活需求为基础，加快雄州、全安蔬菜基地建设；以雄州、邓坊、珠玑、乌迳、南亩为中心，加快养殖基地建设；百顺、澜河、帽子峰、主田、江头、油山充分发挥山地优势，形成竹、木核心产区；坪田继续打造白果品牌，扩大白果生产；界址、江头充分利用山区昼夜温差大的气候条件，大力发展金银花产业；百顺进一步巩固和推广罗汉果的种植。</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5CCF3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CCCE941">
            <w:pPr>
              <w:ind w:firstLine="0" w:firstLineChars="0"/>
              <w:jc w:val="center"/>
              <w:rPr>
                <w:rFonts w:ascii="宋体" w:hAnsi="宋体"/>
              </w:rPr>
            </w:pPr>
            <w:r>
              <w:rPr>
                <w:rFonts w:ascii="宋体" w:hAnsi="宋体"/>
              </w:rPr>
              <w:drawing>
                <wp:inline distT="0" distB="0" distL="114300" distR="114300">
                  <wp:extent cx="6188710" cy="4681855"/>
                  <wp:effectExtent l="0" t="0" r="2540" b="4445"/>
                  <wp:docPr id="10" name="图片 83" descr="南雄年鉴 2011_0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3" descr="南雄年鉴 2011_0080"/>
                          <pic:cNvPicPr>
                            <a:picLocks noChangeAspect="1"/>
                          </pic:cNvPicPr>
                        </pic:nvPicPr>
                        <pic:blipFill>
                          <a:blip r:embed="rId175"/>
                          <a:stretch>
                            <a:fillRect/>
                          </a:stretch>
                        </pic:blipFill>
                        <pic:spPr>
                          <a:xfrm>
                            <a:off x="0" y="0"/>
                            <a:ext cx="6188710" cy="4681855"/>
                          </a:xfrm>
                          <a:prstGeom prst="rect">
                            <a:avLst/>
                          </a:prstGeom>
                          <a:noFill/>
                          <a:ln>
                            <a:noFill/>
                          </a:ln>
                        </pic:spPr>
                      </pic:pic>
                    </a:graphicData>
                  </a:graphic>
                </wp:inline>
              </w:drawing>
            </w:r>
          </w:p>
        </w:tc>
      </w:tr>
    </w:tbl>
    <w:p w14:paraId="49FDF2B2">
      <w:pPr>
        <w:ind w:firstLine="420"/>
        <w:rPr>
          <w:rFonts w:ascii="宋体" w:hAnsi="宋体"/>
        </w:rPr>
      </w:pPr>
      <w:r>
        <w:rPr>
          <w:rFonts w:ascii="宋体" w:hAnsi="宋体"/>
        </w:rPr>
        <w:t>（3）优化服务业产业布局。优先发展现代服务业，努力提升第三产业的发展水平。市区按照城市的功能定位，雄州以政治、经济、科教、文化、金融为中心，着重发展现代服务业；北城区以交通运输业、仓储业、物流业为主。乌迳以建设边贸城市为目标，全安、珠玑、江头以完善旅游业基础设施为主。</w:t>
      </w:r>
    </w:p>
    <w:p w14:paraId="146DADAB">
      <w:pPr>
        <w:ind w:firstLine="422"/>
        <w:rPr>
          <w:rFonts w:ascii="宋体" w:hAnsi="宋体"/>
        </w:rPr>
      </w:pPr>
      <w:r>
        <w:rPr>
          <w:rFonts w:ascii="宋体" w:hAnsi="宋体"/>
          <w:b/>
          <w:bCs/>
        </w:rPr>
        <w:t>3、推进城镇化进程。</w:t>
      </w:r>
      <w:r>
        <w:rPr>
          <w:rFonts w:hint="eastAsia" w:ascii="宋体" w:hAnsi="宋体"/>
          <w:b/>
          <w:bCs/>
        </w:rPr>
        <w:t xml:space="preserve">  </w:t>
      </w:r>
      <w:r>
        <w:rPr>
          <w:rFonts w:ascii="宋体" w:hAnsi="宋体"/>
        </w:rPr>
        <w:t>按照城市北移东扩、西建南绿发展战略的要求，加快中心城区总体规划修编和城区控制性规划编制，做好北城区开发建设项目详细规划设计，努力构建城区面积30平方公里、人口15万左右、“两江四岸”、生态型的山水城市，逐步实施城乡绿化、美化和亮化工程，规划建设雄州公园，把中心城区建成宜居宜业的粤北门户城市。加快珠玑、乌迳、黄坑等中心镇建设，按照超前、科学、合理的原则，做好城镇总体规划城镇建设实施规划，抓好控制性详细规划的编制与实施。建设珠玑卫星城并逐步实现与中心城区同城化，发展壮大乌迳边贸城市。以政策引导社会资金投入城镇开发，完善城镇交通、能源、通讯、供水、环保、抗灾防灾等基础设施建设，促进资金、信息、技术、人才等生产要素向城镇集聚，使之成为县域经济的重要支撑。把乡镇规划纳入城市总体规划，明确各镇（街道）的发展定位。逐步实现以城带镇、以镇带村、梯度推进、协调发展的城镇化新格局。进一步完善城镇功能，配套完善城镇的教育、文化、体育、市政、环保等服务功能，提高人民群众生活质量。认真落实中央和省有关促进农民进城安居创业的支持，积极制定人口有序转移的政策，逐步推进城乡居民户口统一登记制度，进一步加强和完善农民工保障体制建设，促进农村人口向城镇有序转移。“十二五”期间，力争我市城镇化水平达到50%以上。</w:t>
      </w:r>
    </w:p>
    <w:p w14:paraId="18CA9F39">
      <w:pPr>
        <w:ind w:firstLine="422"/>
        <w:rPr>
          <w:rFonts w:ascii="宋体" w:hAnsi="宋体"/>
        </w:rPr>
      </w:pPr>
      <w:r>
        <w:rPr>
          <w:rFonts w:ascii="宋体" w:hAnsi="宋体"/>
          <w:b/>
          <w:bCs/>
        </w:rPr>
        <w:t>4、推进城乡一体化发展。</w:t>
      </w:r>
      <w:r>
        <w:rPr>
          <w:rFonts w:hint="eastAsia" w:ascii="宋体" w:hAnsi="宋体"/>
          <w:b/>
          <w:bCs/>
        </w:rPr>
        <w:t xml:space="preserve">  </w:t>
      </w:r>
      <w:r>
        <w:rPr>
          <w:rFonts w:ascii="宋体" w:hAnsi="宋体"/>
        </w:rPr>
        <w:t>统筹城乡发展总体规划、土地利用总体规划，细化产业发展、基础建设、社会事业等专项规划，使城乡之间生产社会要素优化组合，互为资源，互相服务，和谐发展。充分发挥工业对农业、城市对农村的支持和带动作用。发展壮大镇村经济，支持镇村走特色农业道路，协调一二三产业发展。加快城市公共设施向农村延伸，改善农民生产生活条件。加快农村劳动力转移就业，加大对农村劳动力的技能培训，提高农村劳动力素质。建立和健全劳动就业管理体制，实现城乡平等。着力解决好工业化、城镇化进程中失地农民的就业生活保障问题。</w:t>
      </w:r>
    </w:p>
    <w:p w14:paraId="4E156370">
      <w:pPr>
        <w:ind w:firstLine="422"/>
        <w:rPr>
          <w:rFonts w:ascii="宋体" w:hAnsi="宋体"/>
          <w:b/>
          <w:bCs/>
        </w:rPr>
      </w:pPr>
      <w:r>
        <w:rPr>
          <w:rFonts w:ascii="宋体" w:hAnsi="宋体"/>
          <w:b/>
          <w:bCs/>
        </w:rPr>
        <w:t>（四）实施绿色南雄战略，建设宜居城乡，推动经济社会可持续发展</w:t>
      </w:r>
    </w:p>
    <w:p w14:paraId="66115B45">
      <w:pPr>
        <w:ind w:firstLine="420"/>
        <w:rPr>
          <w:rFonts w:ascii="宋体" w:hAnsi="宋体"/>
        </w:rPr>
      </w:pPr>
      <w:r>
        <w:rPr>
          <w:rFonts w:ascii="宋体" w:hAnsi="宋体"/>
        </w:rPr>
        <w:t>树立保护也是发展的理念，坚持预防为主、综合治理的环境保护方针，积极发展生态产业，着力推进生态文明建设，一年打基础、三年见成效，五年上台阶，力争到2015年，初步建立生态文明体系，形成社会经济与自然环境和谐发展、城市与乡村统筹发展的新格局。</w:t>
      </w:r>
    </w:p>
    <w:p w14:paraId="1B6DDDCE">
      <w:pPr>
        <w:ind w:firstLine="422"/>
        <w:rPr>
          <w:rFonts w:ascii="宋体" w:hAnsi="宋体"/>
        </w:rPr>
      </w:pPr>
      <w:r>
        <w:rPr>
          <w:rFonts w:ascii="宋体" w:hAnsi="宋体"/>
          <w:b/>
          <w:bCs/>
        </w:rPr>
        <w:t>1、加快发展生态产业。</w:t>
      </w:r>
      <w:r>
        <w:rPr>
          <w:rFonts w:hint="eastAsia" w:ascii="宋体" w:hAnsi="宋体"/>
          <w:b/>
          <w:bCs/>
        </w:rPr>
        <w:t xml:space="preserve">  </w:t>
      </w:r>
      <w:r>
        <w:rPr>
          <w:rFonts w:ascii="宋体" w:hAnsi="宋体"/>
        </w:rPr>
        <w:t>坚持环保优先的理念，加快以循环低碳经济为核心的生态工业、生态农业、生态服务业等产业体系建设，将生态优势转化为经济优势，实现经济效益、社会效益、生态效益的有机统一。以产业转移工业园园区为基础平台，完善已建成工业园区的环保基础设施和环保监管机制，继续深化循环低碳经济体制机制创新，探索具有南雄特色的循环低碳经济发展模式，把产业转移工业园打造成全国低碳循环经济示范园；严格执行“三不上”原则，重点引进“零排污”或“低排污”企业，严把项目环保准入关，加快工业、建筑、交通等领域的节能技术改造，推进工业的可持续发展，逐步构建以政府为主导、企业为主体、全社会共同推进的节能减排新格局。</w:t>
      </w:r>
    </w:p>
    <w:p w14:paraId="1B56F197">
      <w:pPr>
        <w:ind w:firstLine="422"/>
        <w:rPr>
          <w:rFonts w:ascii="宋体" w:hAnsi="宋体"/>
        </w:rPr>
      </w:pPr>
      <w:r>
        <w:rPr>
          <w:rFonts w:ascii="宋体" w:hAnsi="宋体"/>
          <w:b/>
          <w:bCs/>
        </w:rPr>
        <w:t>2、加快推进生态市建设。</w:t>
      </w:r>
      <w:r>
        <w:rPr>
          <w:rFonts w:hint="eastAsia" w:ascii="宋体" w:hAnsi="宋体"/>
          <w:b/>
          <w:bCs/>
        </w:rPr>
        <w:t xml:space="preserve">  </w:t>
      </w:r>
      <w:r>
        <w:rPr>
          <w:rFonts w:ascii="宋体" w:hAnsi="宋体"/>
        </w:rPr>
        <w:t>要进一步把建设生态强市作为推动区域生态安全、保持生态系统良性循环、保障经济社会可持续发展的一项战略任务来抓实抓好。要以建设国家级可持续发展实验区为目标，按照生态文明建设规划的要求，加强生态系统建设，形成完整的区域自然环境体系。加强城市环境综合整治工作，遵循生态规律，科学划分城区功能，从环境容量和资源保障能力出发，逐步完善城区建设总体规划，合理确定城市规模和发展方向。加强城市环境基础设施建设，加快绿道建设，规划建设雄州公园，加快建设城镇污水处理、截污管网、城镇生活垃圾处理设施建设，努力把南雄建设成为一个山青、水秀、空气清新的山水城市。根据各镇的实际情况，实施不同的财政、投资、产业、土地、人口、环保等政策及绩效评价和考核办法，推进区域生态建设。</w:t>
      </w:r>
    </w:p>
    <w:p w14:paraId="3E9A3009">
      <w:pPr>
        <w:ind w:firstLine="422"/>
        <w:rPr>
          <w:rFonts w:ascii="宋体" w:hAnsi="宋体"/>
        </w:rPr>
      </w:pPr>
      <w:r>
        <w:rPr>
          <w:rFonts w:ascii="宋体" w:hAnsi="宋体"/>
          <w:b/>
          <w:bCs/>
        </w:rPr>
        <w:t>3、加强能源资源综合开发利用。</w:t>
      </w:r>
      <w:r>
        <w:rPr>
          <w:rFonts w:hint="eastAsia" w:ascii="宋体" w:hAnsi="宋体"/>
          <w:b/>
          <w:bCs/>
        </w:rPr>
        <w:t xml:space="preserve">  </w:t>
      </w:r>
      <w:r>
        <w:rPr>
          <w:rFonts w:ascii="宋体" w:hAnsi="宋体"/>
        </w:rPr>
        <w:t>加强资源综合利用，鼓励使用节能节水节材产品、可再生产品和节能环保汽车。实行水电资源定量定额管理。加快推进“三旧”改造，盘活存量建设用地，逐步推进交通基础设施、城市建设用地集约化。落实节能减排责任工作制，建立健全节能减排和循环经济发展的市场化新机制，严禁高污染、高能耗、低效益的企业入驻南雄，加快淘汰高能耗、高排放、低效益的落后产能。</w:t>
      </w:r>
    </w:p>
    <w:p w14:paraId="7114C166">
      <w:pPr>
        <w:ind w:firstLine="422"/>
        <w:rPr>
          <w:rFonts w:ascii="宋体" w:hAnsi="宋体"/>
        </w:rPr>
      </w:pPr>
      <w:r>
        <w:rPr>
          <w:rFonts w:ascii="宋体" w:hAnsi="宋体"/>
          <w:b/>
          <w:bCs/>
        </w:rPr>
        <w:t>4、加快生态林业建设。</w:t>
      </w:r>
      <w:r>
        <w:rPr>
          <w:rFonts w:hint="eastAsia" w:ascii="宋体" w:hAnsi="宋体"/>
          <w:b/>
          <w:bCs/>
        </w:rPr>
        <w:t xml:space="preserve">  </w:t>
      </w:r>
      <w:r>
        <w:rPr>
          <w:rFonts w:ascii="宋体" w:hAnsi="宋体"/>
        </w:rPr>
        <w:t>以加强生态公益林和自然保护区、森林公园管护为重点，开展封山育林，恢复和增加森林植被，抓好森林资源保护，扎实做好护林防火工作，保持森林生态系统的稳定，维护生物多样性；加大造林力度，推进林分改造，实行森林分类管理，分类指导，分区建设，构建多林种、多树种、多层次、多功能、多效益、功能齐全的生态公益林体系，力争五年内新增造林面积20万亩；积极改良林木品种，大力推广优良乡土树种和良种阔叶树；加大林业秩序整顿力度，严厉整治乱砍滥伐行为，严厉打击林业走私和非法开采稀土矿行为；规范竹木加工市场，落实各镇（街道）保护森林资源责任制，巩固集体林权制度改革成果。加快水土流失治理和浈江水源的涵养，保护南雄生态环境。力争“十二五”期间实现森林覆盖率63%以上，林业产值年均达到5亿元，林地年均亩产值提高到180元。</w:t>
      </w:r>
    </w:p>
    <w:p w14:paraId="183DBEC7">
      <w:pPr>
        <w:ind w:firstLine="422"/>
        <w:rPr>
          <w:rFonts w:ascii="宋体" w:hAnsi="宋体"/>
        </w:rPr>
      </w:pPr>
      <w:r>
        <w:rPr>
          <w:rFonts w:ascii="宋体" w:hAnsi="宋体"/>
          <w:b/>
          <w:bCs/>
        </w:rPr>
        <w:t>5、开展生态文明建设联创工程。</w:t>
      </w:r>
      <w:r>
        <w:rPr>
          <w:rFonts w:hint="eastAsia" w:ascii="宋体" w:hAnsi="宋体"/>
          <w:b/>
          <w:bCs/>
        </w:rPr>
        <w:t xml:space="preserve">  </w:t>
      </w:r>
      <w:r>
        <w:rPr>
          <w:rFonts w:ascii="宋体" w:hAnsi="宋体"/>
        </w:rPr>
        <w:t>坚持项目整合、相互联动的建设理念，把生态文明建设与开展生态示范镇，创建省级卫生村、文明村，饮用水安全及“万村绿”等工作结合起来，进行综合整治，全面提升新农村生态文明建设的水平。加大宣传力度，创新宣传方式，开展生态文明建设进校园、入课堂活动，加强中小学生的环保理念，带动家庭乃至全市人民公共参与生态文明建设。</w:t>
      </w:r>
    </w:p>
    <w:p w14:paraId="00E91A3B">
      <w:pPr>
        <w:ind w:firstLine="422"/>
        <w:rPr>
          <w:rFonts w:ascii="宋体" w:hAnsi="宋体"/>
        </w:rPr>
      </w:pPr>
      <w:r>
        <w:rPr>
          <w:rFonts w:ascii="宋体" w:hAnsi="宋体"/>
          <w:b/>
          <w:bCs/>
        </w:rPr>
        <w:t>6、努力改善人居环境。</w:t>
      </w:r>
      <w:r>
        <w:rPr>
          <w:rFonts w:hint="eastAsia" w:ascii="宋体" w:hAnsi="宋体"/>
          <w:b/>
          <w:bCs/>
        </w:rPr>
        <w:t xml:space="preserve">  </w:t>
      </w:r>
      <w:r>
        <w:rPr>
          <w:rFonts w:ascii="宋体" w:hAnsi="宋体"/>
        </w:rPr>
        <w:t>进一步加强和巩固生态文明建设成果，建设总量适宜、分布合理、植物多样、景观优美的城市绿地系统，加强对区域和城市生态具有重大影响的生态绿地、河流水系、各类湿地的保护和绿化建设，加快构建宜居宜业的生态格局；加强水环境综合治理，确保主要江河水、水库水水质达标及居民饮用水安全；</w:t>
      </w:r>
    </w:p>
    <w:p w14:paraId="52E68786">
      <w:pPr>
        <w:ind w:firstLine="420"/>
        <w:rPr>
          <w:rFonts w:ascii="宋体" w:hAnsi="宋体"/>
        </w:rPr>
      </w:pPr>
      <w:r>
        <w:rPr>
          <w:rFonts w:ascii="宋体" w:hAnsi="宋体"/>
        </w:rPr>
        <w:t>积极应对气候变化。积极应对全球气候变化，是加快转变经济发展方式、推动科学发展的战略选择。要充分认识到气候变化问题的严峻性和紧迫性，坚定不移地走持续发展的道路，按照中央和省的要求，大幅降低能源消耗强度和二氧化碳排放强度，有效控制温室气体排放，抑制高耗能产业过快增长；实施重点节能工程，推广先进节能技术和产品，努力优化能源消费结构，提高能源利用效率；深化能源价格改革，完善财税和金融支持政策，建立健全生态补偿机制；加快建立应急机制，提高综合监测和预报预警能力。确保到2015年我市二氧化碳排放比2010年降低10%~15%。</w:t>
      </w:r>
    </w:p>
    <w:p w14:paraId="0A5AC4AF">
      <w:pPr>
        <w:ind w:firstLine="420"/>
        <w:rPr>
          <w:rFonts w:ascii="宋体" w:hAnsi="宋体"/>
        </w:rPr>
      </w:pPr>
      <w:r>
        <w:rPr>
          <w:rFonts w:ascii="宋体" w:hAnsi="宋体"/>
        </w:rPr>
        <w:t>加强大气环境整治，大力发展清洁能源，加强环境监管及对重点地区的环境整治；提升环境监管水平，加强噪声污染治理，控制交通噪声污染，加强对商业网点、娱乐场所、社区生活等主要生活噪声源的监管；加强以村庄整治为主要内容的新农村建设，继续实施乡村“清洁美”、“万村绿”工程，加快推进农村改水改厕，改善镇容村貌，推动卫生城市和文明村镇建设，创建国家卫生城市。到2015年，力争全市50%以上的村镇建设成为生态文明村镇。</w:t>
      </w:r>
    </w:p>
    <w:p w14:paraId="3A8FE9E7">
      <w:pPr>
        <w:ind w:firstLine="422"/>
        <w:rPr>
          <w:rFonts w:ascii="宋体" w:hAnsi="宋体"/>
          <w:b/>
          <w:bCs/>
        </w:rPr>
      </w:pPr>
      <w:r>
        <w:rPr>
          <w:rFonts w:ascii="宋体" w:hAnsi="宋体"/>
          <w:b/>
          <w:bCs/>
        </w:rPr>
        <w:t>（五）继续深化改革，增强经济社会发展动力</w:t>
      </w:r>
    </w:p>
    <w:p w14:paraId="5F90F962">
      <w:pPr>
        <w:ind w:firstLine="422"/>
        <w:rPr>
          <w:rFonts w:ascii="宋体" w:hAnsi="宋体"/>
        </w:rPr>
      </w:pPr>
      <w:r>
        <w:rPr>
          <w:rFonts w:ascii="宋体" w:hAnsi="宋体"/>
          <w:b/>
          <w:bCs/>
        </w:rPr>
        <w:t>1、坚持敢闯敢试，建设创新型政府。</w:t>
      </w:r>
      <w:r>
        <w:rPr>
          <w:rFonts w:hint="eastAsia" w:ascii="宋体" w:hAnsi="宋体"/>
          <w:b/>
          <w:bCs/>
        </w:rPr>
        <w:t xml:space="preserve">  </w:t>
      </w:r>
      <w:r>
        <w:rPr>
          <w:rFonts w:ascii="宋体" w:hAnsi="宋体"/>
        </w:rPr>
        <w:t>全面推进对外开放，切实提高利用外资的质量和水平，深入实施科技兴市和品牌兴市战略，加大技术贸易和服务贸易的培植和发展，积极开拓新兴国内外市场。继续发扬敢闯敢试的“南雄模式”，加强对内合作，高起点承接产业、资金、技术转移，把南雄建设成为珠三角、长三角的重要衔接纽带，积极融入珠江三角洲新一轮开放开发中。统筹主城区、卫星城发展，全面拓宽有利于发挥优势、互利共赢的市场发展空间。</w:t>
      </w:r>
    </w:p>
    <w:p w14:paraId="77E59DA1">
      <w:pPr>
        <w:ind w:firstLine="422"/>
        <w:rPr>
          <w:rFonts w:ascii="宋体" w:hAnsi="宋体"/>
        </w:rPr>
      </w:pPr>
      <w:r>
        <w:rPr>
          <w:rFonts w:ascii="宋体" w:hAnsi="宋体"/>
          <w:b/>
          <w:bCs/>
        </w:rPr>
        <w:t>2、深化行政体制机制改革，建设服务型政府。</w:t>
      </w:r>
      <w:r>
        <w:rPr>
          <w:rFonts w:hint="eastAsia" w:ascii="宋体" w:hAnsi="宋体"/>
          <w:b/>
          <w:bCs/>
        </w:rPr>
        <w:t xml:space="preserve">  </w:t>
      </w:r>
      <w:r>
        <w:rPr>
          <w:rFonts w:ascii="宋体" w:hAnsi="宋体"/>
        </w:rPr>
        <w:t>按照基本公共服务均等化和主体功能区建设的要求，继续推进行政体制改革，推动事业单位分类改革，加快实施“大部制”改革和富县强镇事权改革，强化政府公共服务职能，完善城市管理体制。深化行政审批制度改革，进一步减少和规范行政审批，切实提高执行力。全面实施权力“阳光工程”，进一步完善政务公开制度，深化和完善预算管理制度改革。不断深化经济领域改革，完善鼓励中小企业加快发展的体制和机制，深化价格、财税、投融资等专项体制改革，继续深化部门预算、国库集中支付、收支两条线和政府采购制度改革。完善社会防控体系，提高政府应对公共突发事件的能力</w:t>
      </w:r>
    </w:p>
    <w:p w14:paraId="42349023">
      <w:pPr>
        <w:ind w:firstLine="422"/>
        <w:rPr>
          <w:rFonts w:ascii="宋体" w:hAnsi="宋体"/>
        </w:rPr>
      </w:pPr>
      <w:r>
        <w:rPr>
          <w:rFonts w:ascii="宋体" w:hAnsi="宋体"/>
          <w:b/>
          <w:bCs/>
        </w:rPr>
        <w:t>3、深化医药卫生体制改革，建设责任政府。</w:t>
      </w:r>
      <w:r>
        <w:rPr>
          <w:rFonts w:hint="eastAsia" w:ascii="宋体" w:hAnsi="宋体"/>
          <w:b/>
          <w:bCs/>
        </w:rPr>
        <w:t xml:space="preserve">  </w:t>
      </w:r>
      <w:r>
        <w:rPr>
          <w:rFonts w:ascii="宋体" w:hAnsi="宋体"/>
        </w:rPr>
        <w:t>要着眼于实现人人享有基本医疗卫生服务的目标，完善基本医疗保障制度建设，切实缓解“看病难、看病贵”问题。进一步健全城乡基础医疗卫生服务体系，增强公共卫生服务能力。加强医药品价格监管，建立和完善基本医药制度，为群众提供安全、有效、方便、价廉的医疗卫生服务。公立医院改革试点要取得突破。逐步建立覆盖城乡居民的基本医疗卫生制度，建立起比较完善的公共卫生服务体系和医疗服务体系，比较健全的医疗保障体系，比较规范的药品供应保障体系，比较科学的医疗卫生管理体制和运行机制，形成多元办医格局。</w:t>
      </w:r>
    </w:p>
    <w:p w14:paraId="533A9F94">
      <w:pPr>
        <w:ind w:firstLine="422"/>
        <w:rPr>
          <w:rFonts w:ascii="宋体" w:hAnsi="宋体"/>
        </w:rPr>
      </w:pPr>
      <w:r>
        <w:rPr>
          <w:rFonts w:ascii="宋体" w:hAnsi="宋体"/>
          <w:b/>
          <w:bCs/>
        </w:rPr>
        <w:t>4、健全民主法制，建设法治政府。</w:t>
      </w:r>
      <w:r>
        <w:rPr>
          <w:rFonts w:hint="eastAsia" w:ascii="宋体" w:hAnsi="宋体"/>
          <w:b/>
          <w:bCs/>
        </w:rPr>
        <w:t xml:space="preserve">  </w:t>
      </w:r>
      <w:r>
        <w:rPr>
          <w:rFonts w:ascii="宋体" w:hAnsi="宋体"/>
        </w:rPr>
        <w:t>着力构建法治政府，坚持依法行政，规范执法行为，全面落实行政执法责任制；加快推进政务公开、党务公开，提高执法效能，强化执法监管。加强司法救助和法律援助，保障司法公平公正。进一步提高政府的决策能力和施政能力，推进权力运行程序化和公开化，完善重大决策的规则和程序，拓宽征求民主意见的渠道。健全和发展基层民主制度，扩大公民有序的政治参与，引导公民依法行使权利和履行义务。充分发挥网络、媒体的监督作用，加强舆论监管。</w:t>
      </w:r>
    </w:p>
    <w:p w14:paraId="58507A8D">
      <w:pPr>
        <w:ind w:firstLine="422"/>
        <w:rPr>
          <w:rFonts w:ascii="宋体" w:hAnsi="宋体"/>
        </w:rPr>
      </w:pPr>
      <w:r>
        <w:rPr>
          <w:rFonts w:ascii="宋体" w:hAnsi="宋体"/>
          <w:b/>
          <w:bCs/>
        </w:rPr>
        <w:t>5、加大反腐倡廉力度，建设廉洁政府。</w:t>
      </w:r>
      <w:r>
        <w:rPr>
          <w:rFonts w:hint="eastAsia" w:ascii="宋体" w:hAnsi="宋体"/>
          <w:b/>
          <w:bCs/>
        </w:rPr>
        <w:t xml:space="preserve">  </w:t>
      </w:r>
      <w:r>
        <w:rPr>
          <w:rFonts w:ascii="宋体" w:hAnsi="宋体"/>
        </w:rPr>
        <w:t>加强监督检查，确保重大决策部署的贯彻落实。稳步推进作风建设，加强党风、政风、行风建设，坚决纠正损害群众利益的不正之风、继续深化行政效能建设，进一步密切党群干群关系。深入开展治乱纠风工作，严肃查处违纪违法行为，妥善处理信访突出问题，切实解决群众反映强烈的突出问题。进一步强化教育和监督，严格执行领导干部廉洁自律各项规定，促进领导干部廉洁自律。坚决查处违纪违法案件，严厉惩处腐败分子和整治消极腐败现象。扎实推进改革和制度建设，加强反腐倡廉教育、监督、预防、惩治制度建设，深化治本抓源工作。</w:t>
      </w:r>
    </w:p>
    <w:p w14:paraId="07604498">
      <w:pPr>
        <w:ind w:firstLine="422"/>
        <w:rPr>
          <w:rFonts w:ascii="宋体" w:hAnsi="宋体"/>
          <w:b/>
          <w:bCs/>
        </w:rPr>
      </w:pPr>
      <w:r>
        <w:rPr>
          <w:rFonts w:ascii="宋体" w:hAnsi="宋体"/>
          <w:b/>
          <w:bCs/>
        </w:rPr>
        <w:t>（六）切实保障和改善民生，提升社会事业发展水平，努力构建幸福美好南雄</w:t>
      </w:r>
    </w:p>
    <w:p w14:paraId="16088DA7">
      <w:pPr>
        <w:ind w:firstLine="420"/>
        <w:rPr>
          <w:rFonts w:ascii="宋体" w:hAnsi="宋体"/>
        </w:rPr>
      </w:pPr>
      <w:r>
        <w:rPr>
          <w:rFonts w:ascii="宋体" w:hAnsi="宋体"/>
        </w:rPr>
        <w:t>民生问题事关社会稳定、经济发展全局，保障和改善民生，是我市“十二五”期间要突出解决的重点工作之一。要紧紧把握省委“加快转型升级，建设幸福广东”这一核心，按照发展为了人民、发展依靠人民、发展成果由人民共享的要求，抓好劳动力培训与转移就业工作，加快建设覆盖城乡、功能完善、分布合理、管理有效、水平适度的基本公共服务体系，全面提升社会事业发展水平，努力使全市人民劳有所得、病有所医、老有所养、住有所居，构建幸福美好南雄。</w:t>
      </w:r>
    </w:p>
    <w:p w14:paraId="1C9EE77B">
      <w:pPr>
        <w:ind w:firstLine="422"/>
        <w:rPr>
          <w:rFonts w:ascii="宋体" w:hAnsi="宋体"/>
        </w:rPr>
      </w:pPr>
      <w:r>
        <w:rPr>
          <w:rFonts w:ascii="宋体" w:hAnsi="宋体"/>
          <w:b/>
          <w:bCs/>
        </w:rPr>
        <w:t>1、增强公共服务能力。</w:t>
      </w:r>
      <w:r>
        <w:rPr>
          <w:rFonts w:hint="eastAsia" w:ascii="宋体" w:hAnsi="宋体"/>
          <w:b/>
          <w:bCs/>
        </w:rPr>
        <w:t xml:space="preserve">  </w:t>
      </w:r>
      <w:r>
        <w:rPr>
          <w:rFonts w:ascii="宋体" w:hAnsi="宋体"/>
        </w:rPr>
        <w:t>加大教育投入力度，推进中小学校舍安全工程建设，巩固和提升义务教育，大力普及高中阶段教育，支持发展职业教育、学前教育，推进各类各级教育均衡协调优质发展，努力建设教育强市。加大科技投入，坚持自主创新，落实财政投入科技经费，确保每年科技经费的支出占财政支出的比例不低于1.4%。基本建立起产学研相结合的技术开发体系、促进生产力发展的社会化科技服务体系和推动南雄全社会科技进步的科技管理体系。实施质量兴市战略，健全和完善质量监督管理体系。加快医疗改革进程，整合和优化医疗卫生资源，3年内全面完成镇、村、社区医疗卫生服务中心改造建设，健全城乡公共卫生服务体系。大力发展文体事业，积极探索大型社会公益设施市场化管理，建立覆盖城乡的公共文体服务设施网络。加快推进窑坑省委旧址、白垩纪恐龙遗迹、水口战役公园等历史遗产的的建设和保护。切实维护和促进社会公平，抓好人民群众关心的社会治安、食品药品、安全生产等突出问题，妥善处理好人民内部矛盾，积极预防和妥善处理群体性、突发性事件，创造和谐稳定的社会环境，推进平安南雄建设。</w:t>
      </w:r>
    </w:p>
    <w:p w14:paraId="1A9E6905">
      <w:pPr>
        <w:ind w:firstLine="422"/>
        <w:rPr>
          <w:rFonts w:ascii="宋体" w:hAnsi="宋体"/>
        </w:rPr>
      </w:pPr>
      <w:r>
        <w:rPr>
          <w:rFonts w:ascii="宋体" w:hAnsi="宋体"/>
          <w:b/>
          <w:bCs/>
        </w:rPr>
        <w:t>2、实施人才强市战略。</w:t>
      </w:r>
      <w:r>
        <w:rPr>
          <w:rFonts w:hint="eastAsia" w:ascii="宋体" w:hAnsi="宋体"/>
          <w:b/>
          <w:bCs/>
        </w:rPr>
        <w:t xml:space="preserve">  </w:t>
      </w:r>
      <w:r>
        <w:rPr>
          <w:rFonts w:ascii="宋体" w:hAnsi="宋体"/>
        </w:rPr>
        <w:t>贯彻落实《国家中长期人才发展规划纲要（2010-2020年）》精神，树立人才资源是第一资源和科学发展人才优先意识，实施人才强市战略，优化人才环境，改善人才服务，加强人才资源能力建设，推进人才结构调整，优化人才资源配置，促进人才合理分布。建立健全以能力和业绩为导向的人才评价机制，坚持德才兼备原则，把品德、知识、能力和业绩作为衡量标准，研究人才成长和发展规律，改革完善人才评价方法和手段，建立人才动态考核评价机制和人才评价责任制度，拓宽人才评价服务领域。建立健全有利于优秀人才脱颖而出的选拔使用机制，进一步深化党政人才选拔任用制度改革，拓展优秀人才选拔范围，不断提高人才管理工作的科学化、民主化、制度化水平，努力形成广纳群贤、人尽其才、能上能下、新老干部正常交替的选拔使用机制。建立健全体现人才价值的分配机制，强化利益分配的激励约束机制，逐步提高各类人才的福利待遇水平，逐步实现人才福利政策规范化，健全职务与职级相结合的公务员工资制度、地区间工资收入差距的合理调控机制、科学的公务员工资水平决定机制和正常的收入增长机制，建立健全以岗定薪、绩效挂钩、岗变薪变的薪酬制度。建立健全体现公平合理的人才社会保障机制和有利于人才流动的社会保障制度，制定人才流动中社会保险关系衔接办法，使各类人才在流动过程中社会保险关系接转顺畅，为人才合理流动创造条件。创新人才资源开发机制和深化人事制度改革，加大培训力度，加强与高等院校的沟通与合作，加快高层次人才的引进开发，积极推进人才队伍建设。加快人才市场建设，用足用好用活扶持政策，主动争取上级及相关部门对欠发达地区人才队伍建设的优惠政策，创新引才、聚才的良好政策环境，畅通人才引进的“绿色通道”。到2015年，全市人才总量要超过20000名，使人才的总量、质量逐步适应南雄经济社会跨越发展的需要。</w:t>
      </w:r>
    </w:p>
    <w:p w14:paraId="55FCFF46">
      <w:pPr>
        <w:ind w:firstLine="422"/>
        <w:rPr>
          <w:rFonts w:ascii="宋体" w:hAnsi="宋体"/>
        </w:rPr>
      </w:pPr>
      <w:r>
        <w:rPr>
          <w:rFonts w:ascii="宋体" w:hAnsi="宋体"/>
          <w:b/>
          <w:bCs/>
        </w:rPr>
        <w:t>3、实施积极就业政策。</w:t>
      </w:r>
      <w:r>
        <w:rPr>
          <w:rFonts w:hint="eastAsia" w:ascii="宋体" w:hAnsi="宋体"/>
          <w:b/>
          <w:bCs/>
        </w:rPr>
        <w:t xml:space="preserve">  </w:t>
      </w:r>
      <w:r>
        <w:rPr>
          <w:rFonts w:ascii="宋体" w:hAnsi="宋体"/>
        </w:rPr>
        <w:t>积极倡导全民创业，大力培育创业主体，实施农村“一户一技能”计划，完善政策扶持、创业培训、创业服务“三位一体”的工作机制，努力打造创业型社会。积极拓展就业空间，积聚发展就业容量大的主导产业促进就业，鼓励发展非公有制经济吸纳就业，支持发展具有比较优势的劳动密集型、中小型企业扩大就业，鼓励劳动者通过灵活就业形式实现就业。按照“以需定培，定向就业”的思路，加快现代技工教育基地建设，促进珠三角地区、产业转移园企业与我市的中职学校联合办学。引导农民工有序外出就业、就近转移就业和返乡再就业，完善大学生就业服务体系，提高高校毕业生就业率。完善创业服务体系，建立农村劳动力资源库，推进创建充分转移就业村、“一企扶一村”活动。</w:t>
      </w:r>
    </w:p>
    <w:p w14:paraId="66FAD256">
      <w:pPr>
        <w:ind w:firstLine="422"/>
        <w:rPr>
          <w:rFonts w:ascii="宋体" w:hAnsi="宋体"/>
        </w:rPr>
      </w:pPr>
      <w:r>
        <w:rPr>
          <w:rFonts w:ascii="宋体" w:hAnsi="宋体"/>
          <w:b/>
          <w:bCs/>
        </w:rPr>
        <w:t>4、合理调节收入分配。</w:t>
      </w:r>
      <w:r>
        <w:rPr>
          <w:rFonts w:hint="eastAsia" w:ascii="宋体" w:hAnsi="宋体"/>
          <w:b/>
          <w:bCs/>
        </w:rPr>
        <w:t xml:space="preserve">  </w:t>
      </w:r>
      <w:r>
        <w:rPr>
          <w:rFonts w:ascii="宋体" w:hAnsi="宋体"/>
        </w:rPr>
        <w:t>把调节收入差距、维护社会公平正义放在更突出的位置，使全体人民朝共同富裕的方向稳步前进。深化机关事业单位收入分配制度改革，切实提高城乡居民收入，扩大中等收入者比重，逐步提高居民收入在国民收入中的比重，提高劳动报酬在初次分配中的比重，逐步改善贫富差距。加大“扶贫双到”工作力度，提高最低生活保障标准，切实加强对低收入者、弱势群体的保护、保障及援助。有效调节过高收入，取缔各种非法收入，合理调节行业间收入差距，使社会各成员之间的收入差距控制在社会可承受范内，促进和谐社会建设。</w:t>
      </w:r>
    </w:p>
    <w:p w14:paraId="7EDDE34C">
      <w:pPr>
        <w:ind w:firstLine="422"/>
        <w:rPr>
          <w:rFonts w:ascii="宋体" w:hAnsi="宋体"/>
        </w:rPr>
      </w:pPr>
      <w:r>
        <w:rPr>
          <w:rFonts w:ascii="宋体" w:hAnsi="宋体"/>
          <w:b/>
          <w:bCs/>
        </w:rPr>
        <w:t>5、健全社会保障体系。</w:t>
      </w:r>
      <w:r>
        <w:rPr>
          <w:rFonts w:hint="eastAsia" w:ascii="宋体" w:hAnsi="宋体"/>
          <w:b/>
          <w:bCs/>
        </w:rPr>
        <w:t xml:space="preserve">  </w:t>
      </w:r>
      <w:r>
        <w:rPr>
          <w:rFonts w:ascii="宋体" w:hAnsi="宋体"/>
        </w:rPr>
        <w:t>实现养老保险、基本医疗保险和农村新型合作医疗覆盖全市，并不断提高保障水平。完善养老、医疗、失业、工伤、生育五大险种保险制度，将机关、事业单位及社会团体、企业的职工全部纳入工伤保险制度覆盖范围，建立健全就业与再就业、失业预防与失业保险制度的联动机制。建设城乡社会救助体系，完善专项救助制度与基础性救助制度、紧急性救助制度以及社会保险制度的衔接措施，进一步健全自然灾害应急机制。促进社会福利、慈善事业和商业保险发展，建立健全以社会福利机构为基础、其他所有制形式社会福利机构为骨干、社区福利服务为依托的社会福利服务体系，努力实现劳有所得、病有所医、老有所养、住有所居，使改革发展成果最大限度惠及全市人民。</w:t>
      </w:r>
    </w:p>
    <w:p w14:paraId="3B04CD43">
      <w:pPr>
        <w:ind w:firstLine="422"/>
        <w:rPr>
          <w:rFonts w:ascii="宋体" w:hAnsi="宋体"/>
        </w:rPr>
      </w:pPr>
      <w:r>
        <w:rPr>
          <w:rFonts w:ascii="宋体" w:hAnsi="宋体"/>
          <w:b/>
          <w:bCs/>
        </w:rPr>
        <w:t>6、大力提升文化软实力。</w:t>
      </w:r>
      <w:r>
        <w:rPr>
          <w:rFonts w:hint="eastAsia" w:ascii="宋体" w:hAnsi="宋体"/>
          <w:b/>
          <w:bCs/>
        </w:rPr>
        <w:t xml:space="preserve">  </w:t>
      </w:r>
      <w:r>
        <w:rPr>
          <w:rFonts w:ascii="宋体" w:hAnsi="宋体"/>
        </w:rPr>
        <w:t>文化事业发展是一个城市发展的软实力象征，也是调整产业结构、培育新的经济增长点的重要举措。要根据中央、省关于大力发展文化产业的有关精神，以适应新形势下人们对精神文化需求为目标，加快南雄文化发展。一是全面提升市民道德文化素质。按照建设社会主义精神文明的要求，进一步加强传承传统美德和遵守行为规范教育，倡导爱国守法和敬业诚信，增强服务于实现南雄经济社会跨越发展的意识和信心，为促进经济社会发展提供强大的精神动力和文化支持。二是充分利用市场机制的作用，做好文化的规划定位，挖掘深厚的文化底蕴，推进文化创新，繁荣文化市场，发挥文化的社会效益和经济效益，支持发展文化产业和文化事业，建立特色文化产业，使其成为经济发展的新增长点。三是进一步完善文化基础设施，加大政府对公益性文化建设的投入，加快推进影剧院、综合文化大楼、珠玑文化产业园等项目建设，保障人民基本的文化需求和权益。</w:t>
      </w:r>
    </w:p>
    <w:p w14:paraId="285F90CE">
      <w:pPr>
        <w:ind w:firstLine="422"/>
        <w:rPr>
          <w:rFonts w:ascii="宋体" w:hAnsi="宋体"/>
        </w:rPr>
      </w:pPr>
      <w:r>
        <w:rPr>
          <w:rFonts w:ascii="宋体" w:hAnsi="宋体"/>
          <w:b/>
          <w:bCs/>
        </w:rPr>
        <w:t>7、加快农村社会事业发展。</w:t>
      </w:r>
      <w:r>
        <w:rPr>
          <w:rFonts w:hint="eastAsia" w:ascii="宋体" w:hAnsi="宋体"/>
          <w:b/>
          <w:bCs/>
        </w:rPr>
        <w:t xml:space="preserve">  </w:t>
      </w:r>
      <w:r>
        <w:rPr>
          <w:rFonts w:ascii="宋体" w:hAnsi="宋体"/>
        </w:rPr>
        <w:t>按照“生产发展、生活宽裕、乡风文明、村容整洁、管理民主”的要求，统筹城乡社会事业发展，加快发展农村教育、科技、医疗卫生和文化等事业，促进农村社会全面进步。以拓宽农民增收渠道、切实提高农民收入为目标，全面推进农村各项改革，建立农民增收减负的长效机制。按照依法、平等、协商、自愿、有偿的原则，扶持农村专业合作组织发展，积极探索和建立“支部+合作社+农户”的运作模式，引导农村土地承包经营权流转，加快林权制度改革，切实提高农村土地、山林的经济效益和使用效益。加强村镇规划和建设，促进公共交通、环境保护、供水供电等基础设施向农村延伸。巩固提高普及农村九年义务教育，合理调整农村学校布局，改善农村办学条件，提高办学质量。加强农村公共卫生和医疗服务基础设施建设，全面改善农村疾病预防保健和医疗救治条件。加快农村交通、公共设施、文化设施建设。启动农村小康环保行动，加大旧村改造力度，节约用地，继续推进新农村示范点建设，积极开展创建生态文明村、镇活动。重点推进农村改水、改路、改厕、改灶和改造住房等工作。大力推广沼气利用，加强垃圾、污水等污染物集中处理，解决村庄环境“脏、乱、差”的问题，改变农村面貌。切实做好种粮直补、农机补贴、烟叶生产补贴等各项惠农强农政策的落实工作，进一步落实粮食最低收购价格的监管，切实保障农民收益。进一步完善征地制度，健全被征地农民的合理补偿机制和安置机制。逐步建立农村社会保障体系，进一步完善新型农村合作医疗制度，巩固新型农村合作医疗覆盖面，提高农村合作医疗保障水平。按照省“扶贫济困日”的要求，切实做好扶贫开发“双到”工作，鼓励对口帮扶部门及社会各界深入贫困村组和贫困户中搞帮扶、献爱心。逐步完善城乡养老保险制度衔接办法，全面提升农村社会救助水平。</w:t>
      </w:r>
    </w:p>
    <w:p w14:paraId="38905CD7">
      <w:pPr>
        <w:ind w:firstLine="422"/>
        <w:rPr>
          <w:rFonts w:ascii="宋体" w:hAnsi="宋体"/>
        </w:rPr>
      </w:pPr>
      <w:r>
        <w:rPr>
          <w:rFonts w:ascii="宋体" w:hAnsi="宋体"/>
          <w:b/>
          <w:bCs/>
        </w:rPr>
        <w:t>8、全面推进社会各项事业。</w:t>
      </w:r>
      <w:r>
        <w:rPr>
          <w:rFonts w:hint="eastAsia" w:ascii="宋体" w:hAnsi="宋体"/>
          <w:b/>
          <w:bCs/>
        </w:rPr>
        <w:t xml:space="preserve">  </w:t>
      </w:r>
      <w:r>
        <w:rPr>
          <w:rFonts w:ascii="宋体" w:hAnsi="宋体"/>
        </w:rPr>
        <w:t>积极配合“省直管县”财政改革试点工作，充分利用省在财政体制、转移支付、资金分配等方面的政策支持，建立健全资金往来和年终决算机制，进一步规范镇财政收支和村财务管理。提高城乡居民收入，建立健全财供人员和企业职工工资正常增长机制，提高企业职工收入和福利水平；提高农村劳动力工资性收入，落实财政支农惠农政策，大幅提高农业生产性收入，促进农民收入稳定增长；深化机关事业单位收入分配制度改革；继续实施“扶贫双到”工程，加大对低收入群体的扶持力度，逐步提高最低生活保障标准，支持发展慈善事业。围绕建设教育强市的目标，加大教育投入，突出校园宿舍安全工程，进一步完善教育基础设施建设，改善教学环境；推进教育体制改革，实施“强师兴教”工程，提升教师队伍素质，着力促进义务教育公平，以农村为重点加快教育服务支撑能力建设，推动城乡教育资源均衡发展；适应现代产业体系建设的需要，进一步普及高中教育，大力发展职业教育，加强学前适龄儿童教育，鼓励社会力量参与办学，逐步提高全市人口素质，努力构建全民终身教育体系。健全公共文化体育服务体系，加快建立健全覆盖城乡、与经济发展水平相适应的公共文化体育服务体系，创新文化体育服务提供方式，健全文化体育信息资源共享服务体系，加大农村文化体育基础工程建设。逐步完善档案管理基础设施，加快档案事业发展。增强政府应对公共突发事件的能力，加强城乡公共卫生服务体系建设，支持市人民医院创建三级医院。强化食品药品安全管理，加强质量管理和安全生产管理，完善粮食安全保障体系。着力健全社会治安综合治理工作机制，进一步加强市、镇综治中心建设和维稳工作队伍建设，努力维护社会稳定。巩固人口计生工作“省优”成果，加强基层计生服务所建设，建立健全统筹管理、服务均等、信息共享区域协作、双向考核的流动人口计生服务管理体制，力争达到“国优”水平。加强土地资源节约开发利用，进一步完善土地出让和转让管理机制，加快推进“三旧”改造，严格控制城乡无序建房和违章建房，杜绝矿产资源非法开采，加快推进土地异地开发工作。继续实施《妇女儿童发展规划》，切实保障妇女、未成年人的合法权益。着力推进民兵预备役工作，支持发展国防事业，切实做好军队转业干部的安置使用工作。</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4C767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20EFEA0">
            <w:pPr>
              <w:ind w:firstLine="0" w:firstLineChars="0"/>
              <w:jc w:val="center"/>
              <w:rPr>
                <w:rFonts w:ascii="宋体" w:hAnsi="宋体"/>
              </w:rPr>
            </w:pPr>
            <w:r>
              <w:rPr>
                <w:rFonts w:ascii="宋体" w:hAnsi="宋体"/>
              </w:rPr>
              <w:drawing>
                <wp:inline distT="0" distB="0" distL="114300" distR="114300">
                  <wp:extent cx="6188710" cy="8412480"/>
                  <wp:effectExtent l="0" t="0" r="2540" b="7620"/>
                  <wp:docPr id="11" name="图片 84" descr="南雄年鉴 2011 封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4" descr="南雄年鉴 2011 封底"/>
                          <pic:cNvPicPr>
                            <a:picLocks noChangeAspect="1"/>
                          </pic:cNvPicPr>
                        </pic:nvPicPr>
                        <pic:blipFill>
                          <a:blip r:embed="rId176"/>
                          <a:stretch>
                            <a:fillRect/>
                          </a:stretch>
                        </pic:blipFill>
                        <pic:spPr>
                          <a:xfrm>
                            <a:off x="0" y="0"/>
                            <a:ext cx="6188710" cy="8412480"/>
                          </a:xfrm>
                          <a:prstGeom prst="rect">
                            <a:avLst/>
                          </a:prstGeom>
                          <a:noFill/>
                          <a:ln>
                            <a:noFill/>
                          </a:ln>
                        </pic:spPr>
                      </pic:pic>
                    </a:graphicData>
                  </a:graphic>
                </wp:inline>
              </w:drawing>
            </w:r>
          </w:p>
        </w:tc>
      </w:tr>
    </w:tbl>
    <w:p w14:paraId="51A0C7C2">
      <w:pPr>
        <w:ind w:left="0" w:leftChars="0" w:firstLine="0" w:firstLineChars="0"/>
      </w:pPr>
    </w:p>
    <w:sectPr>
      <w:headerReference r:id="rId9" w:type="first"/>
      <w:footerReference r:id="rId12" w:type="first"/>
      <w:headerReference r:id="rId7" w:type="default"/>
      <w:footerReference r:id="rId10" w:type="default"/>
      <w:headerReference r:id="rId8" w:type="even"/>
      <w:footerReference r:id="rId11" w:type="even"/>
      <w:pgSz w:w="11906" w:h="16838"/>
      <w:pgMar w:top="1440" w:right="1080" w:bottom="1440" w:left="1080" w:header="851" w:footer="992" w:gutter="0"/>
      <w:cols w:space="425" w:num="1"/>
      <w:docGrid w:type="lines"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Administrator" w:date="2020-11-28T10:47:00Z" w:initials="A">
    <w:p w14:paraId="59946471">
      <w:pPr>
        <w:pStyle w:val="6"/>
        <w:ind w:firstLine="420"/>
      </w:pPr>
      <w:r>
        <w:annotationRef/>
      </w:r>
    </w:p>
  </w:comment>
  <w:comment w:id="1" w:author="Administrator" w:date="2020-11-28T10:49:00Z" w:initials="A">
    <w:p w14:paraId="523339F3">
      <w:pPr>
        <w:pStyle w:val="6"/>
        <w:ind w:firstLine="420"/>
      </w:pPr>
      <w:r>
        <w:annotationRef/>
      </w:r>
    </w:p>
  </w:comment>
  <w:comment w:id="2" w:author="Administrator" w:date="2020-11-28T10:50:00Z" w:initials="A">
    <w:p w14:paraId="50A3334C">
      <w:pPr>
        <w:pStyle w:val="6"/>
        <w:ind w:firstLine="420"/>
      </w:pPr>
      <w:r>
        <w:annotationRef/>
      </w:r>
    </w:p>
  </w:comment>
  <w:comment w:id="3" w:author="Administrator" w:date="2020-11-28T10:54:00Z" w:initials="A">
    <w:p w14:paraId="5EB53C26">
      <w:pPr>
        <w:pStyle w:val="6"/>
        <w:ind w:firstLine="420"/>
      </w:pPr>
      <w:r>
        <w:annotationRef/>
      </w:r>
    </w:p>
  </w:comment>
  <w:comment w:id="4" w:author="Administrator" w:date="2020-11-28T10:57:00Z" w:initials="A">
    <w:p w14:paraId="52EB78B3">
      <w:pPr>
        <w:pStyle w:val="6"/>
        <w:ind w:firstLine="420"/>
      </w:pPr>
      <w:r>
        <w:annotationRef/>
      </w:r>
    </w:p>
  </w:comment>
  <w:comment w:id="5" w:author="Administrator" w:date="2020-11-28T10:58:00Z" w:initials="A">
    <w:p w14:paraId="47BF0418">
      <w:pPr>
        <w:pStyle w:val="6"/>
        <w:ind w:firstLine="420"/>
      </w:pPr>
      <w:r>
        <w:annotationRef/>
      </w:r>
    </w:p>
  </w:comment>
  <w:comment w:id="6" w:author="Administrator" w:date="2020-11-28T11:04:00Z" w:initials="A">
    <w:p w14:paraId="59DE7330">
      <w:pPr>
        <w:pStyle w:val="6"/>
        <w:ind w:firstLine="420"/>
      </w:pPr>
      <w:r>
        <w:annotationRef/>
      </w:r>
    </w:p>
  </w:comment>
  <w:comment w:id="7" w:author="Administrator" w:date="2020-11-28T11:05:00Z" w:initials="A">
    <w:p w14:paraId="4D744643">
      <w:pPr>
        <w:pStyle w:val="6"/>
        <w:ind w:firstLine="420"/>
      </w:pPr>
      <w:r>
        <w:annotationRef/>
      </w:r>
    </w:p>
  </w:comment>
  <w:comment w:id="8" w:author="Administrator" w:date="2020-11-28T11:06:00Z" w:initials="A">
    <w:p w14:paraId="7ACA09AE">
      <w:pPr>
        <w:pStyle w:val="6"/>
        <w:ind w:firstLine="420"/>
      </w:pPr>
      <w:r>
        <w:annotationRef/>
      </w:r>
    </w:p>
  </w:comment>
  <w:comment w:id="9" w:author="Administrator" w:date="2020-11-28T11:10:00Z" w:initials="A">
    <w:p w14:paraId="24B4248D">
      <w:pPr>
        <w:pStyle w:val="6"/>
        <w:ind w:firstLine="420"/>
      </w:pPr>
      <w:r>
        <w:annotationRef/>
      </w:r>
    </w:p>
  </w:comment>
  <w:comment w:id="10" w:author="Administrator" w:date="2020-11-28T11:13:00Z" w:initials="A">
    <w:p w14:paraId="2FAD0DDE">
      <w:pPr>
        <w:pStyle w:val="6"/>
        <w:ind w:firstLine="420"/>
      </w:pPr>
      <w:r>
        <w:annotationRef/>
      </w:r>
    </w:p>
  </w:comment>
  <w:comment w:id="11" w:author="Administrator" w:date="2020-11-28T11:15:00Z" w:initials="A">
    <w:p w14:paraId="269023C9">
      <w:pPr>
        <w:pStyle w:val="6"/>
        <w:ind w:firstLine="420"/>
      </w:pPr>
      <w:r>
        <w:annotationRef/>
      </w:r>
    </w:p>
  </w:comment>
  <w:comment w:id="12" w:author="Administrator" w:date="2020-11-27T08:55:00Z" w:initials="A">
    <w:p w14:paraId="224A7DDA">
      <w:pPr>
        <w:pStyle w:val="6"/>
        <w:ind w:firstLine="420"/>
      </w:pPr>
      <w:r>
        <w:rPr>
          <w:rFonts w:hint="eastAsia"/>
        </w:rPr>
        <w:t>做到这里</w:t>
      </w:r>
    </w:p>
  </w:comment>
  <w:comment w:id="13" w:author="Administrator" w:date="2020-11-28T11:18:00Z" w:initials="A">
    <w:p w14:paraId="14011A7F">
      <w:pPr>
        <w:pStyle w:val="6"/>
        <w:ind w:firstLine="420"/>
      </w:pPr>
      <w:r>
        <w:annotationRef/>
      </w:r>
    </w:p>
  </w:comment>
  <w:comment w:id="14" w:author="Administrator" w:date="2020-11-28T11:20:00Z" w:initials="A">
    <w:p w14:paraId="2D7C0909">
      <w:pPr>
        <w:pStyle w:val="6"/>
        <w:ind w:firstLine="420"/>
      </w:pPr>
      <w:r>
        <w:annotationRef/>
      </w:r>
    </w:p>
  </w:comment>
  <w:comment w:id="15" w:author="Administrator" w:date="2020-11-28T11:24:00Z" w:initials="A">
    <w:p w14:paraId="41D97CF0">
      <w:pPr>
        <w:pStyle w:val="6"/>
        <w:ind w:firstLine="420"/>
      </w:pPr>
      <w:r>
        <w:annotationRef/>
      </w:r>
    </w:p>
  </w:comment>
  <w:comment w:id="16" w:author="Administrator" w:date="2020-11-28T11:24:00Z" w:initials="A">
    <w:p w14:paraId="08CB5C42">
      <w:pPr>
        <w:pStyle w:val="6"/>
        <w:ind w:firstLine="420"/>
      </w:pPr>
      <w:r>
        <w:annotationRef/>
      </w:r>
    </w:p>
  </w:comment>
  <w:comment w:id="17" w:author="Administrator" w:date="2020-11-28T11:30:00Z" w:initials="A">
    <w:p w14:paraId="40F92A55">
      <w:pPr>
        <w:pStyle w:val="6"/>
        <w:ind w:firstLine="420"/>
      </w:pPr>
      <w:r>
        <w:annotationRef/>
      </w:r>
    </w:p>
  </w:comment>
  <w:comment w:id="18" w:author="Administrator" w:date="2020-11-27T16:37:00Z" w:initials="A">
    <w:p w14:paraId="523D7934">
      <w:pPr>
        <w:pStyle w:val="6"/>
        <w:ind w:firstLine="420"/>
      </w:pPr>
      <w:r>
        <w:annotationRef/>
      </w:r>
    </w:p>
  </w:comment>
  <w:comment w:id="19" w:author="Administrator" w:date="2020-11-28T10:37:00Z" w:initials="A">
    <w:p w14:paraId="56C51F68">
      <w:pPr>
        <w:pStyle w:val="6"/>
        <w:ind w:firstLine="420"/>
      </w:pPr>
      <w:r>
        <w:annotationRef/>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59946471" w15:done="0"/>
  <w15:commentEx w15:paraId="523339F3" w15:done="0"/>
  <w15:commentEx w15:paraId="50A3334C" w15:done="0"/>
  <w15:commentEx w15:paraId="5EB53C26" w15:done="0"/>
  <w15:commentEx w15:paraId="52EB78B3" w15:done="0"/>
  <w15:commentEx w15:paraId="47BF0418" w15:done="0"/>
  <w15:commentEx w15:paraId="59DE7330" w15:done="0"/>
  <w15:commentEx w15:paraId="4D744643" w15:done="0"/>
  <w15:commentEx w15:paraId="7ACA09AE" w15:done="0"/>
  <w15:commentEx w15:paraId="24B4248D" w15:done="0"/>
  <w15:commentEx w15:paraId="2FAD0DDE" w15:done="0"/>
  <w15:commentEx w15:paraId="269023C9" w15:done="0"/>
  <w15:commentEx w15:paraId="224A7DDA" w15:done="0"/>
  <w15:commentEx w15:paraId="14011A7F" w15:done="0"/>
  <w15:commentEx w15:paraId="2D7C0909" w15:done="0"/>
  <w15:commentEx w15:paraId="41D97CF0" w15:done="0"/>
  <w15:commentEx w15:paraId="08CB5C42" w15:done="0"/>
  <w15:commentEx w15:paraId="40F92A55" w15:done="0"/>
  <w15:commentEx w15:paraId="523D7934" w15:done="0"/>
  <w15:commentEx w15:paraId="56C51F68"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HiddenHorzOCR">
    <w:altName w:val="MS Gothic"/>
    <w:panose1 w:val="00000000000000000000"/>
    <w:charset w:val="80"/>
    <w:family w:val="auto"/>
    <w:pitch w:val="default"/>
    <w:sig w:usb0="00000000" w:usb1="00000000" w:usb2="00000010" w:usb3="00000000" w:csb0="00020000" w:csb1="00000000"/>
  </w:font>
  <w:font w:name="MS Gothic">
    <w:panose1 w:val="020B0609070205080204"/>
    <w:charset w:val="80"/>
    <w:family w:val="modern"/>
    <w:pitch w:val="default"/>
    <w:sig w:usb0="E00002FF" w:usb1="6AC7FDFB" w:usb2="08000012" w:usb3="00000000" w:csb0="4002009F" w:csb1="DFD7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6FBD92">
    <w:pPr>
      <w:pStyle w:val="7"/>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45EA00">
    <w:pPr>
      <w:pStyle w:val="7"/>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542E56">
    <w:pPr>
      <w:pStyle w:val="7"/>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B2C700">
    <w:pPr>
      <w:pStyle w:val="8"/>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9A021A">
    <w:pPr>
      <w:pStyle w:val="8"/>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EE68D7">
    <w:pPr>
      <w:pStyle w:val="8"/>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C85E0B4"/>
    <w:multiLevelType w:val="singleLevel"/>
    <w:tmpl w:val="AC85E0B4"/>
    <w:lvl w:ilvl="0" w:tentative="0">
      <w:start w:val="1"/>
      <w:numFmt w:val="decimal"/>
      <w:lvlText w:val="%1."/>
      <w:lvlJc w:val="left"/>
      <w:pPr>
        <w:tabs>
          <w:tab w:val="left" w:pos="312"/>
        </w:tabs>
      </w:pPr>
    </w:lvl>
  </w:abstractNum>
  <w:abstractNum w:abstractNumId="1">
    <w:nsid w:val="EA6FA8BD"/>
    <w:multiLevelType w:val="singleLevel"/>
    <w:tmpl w:val="EA6FA8BD"/>
    <w:lvl w:ilvl="0" w:tentative="0">
      <w:start w:val="1"/>
      <w:numFmt w:val="decimal"/>
      <w:suff w:val="nothing"/>
      <w:lvlText w:val="%1、"/>
      <w:lvlJc w:val="left"/>
    </w:lvl>
  </w:abstractNum>
  <w:abstractNum w:abstractNumId="2">
    <w:nsid w:val="F90DE3FD"/>
    <w:multiLevelType w:val="singleLevel"/>
    <w:tmpl w:val="F90DE3FD"/>
    <w:lvl w:ilvl="0" w:tentative="0">
      <w:start w:val="1"/>
      <w:numFmt w:val="decimal"/>
      <w:suff w:val="nothing"/>
      <w:lvlText w:val="%1、"/>
      <w:lvlJc w:val="left"/>
    </w:lvl>
  </w:abstractNum>
  <w:abstractNum w:abstractNumId="3">
    <w:nsid w:val="FA0B7203"/>
    <w:multiLevelType w:val="singleLevel"/>
    <w:tmpl w:val="FA0B7203"/>
    <w:lvl w:ilvl="0" w:tentative="0">
      <w:start w:val="1"/>
      <w:numFmt w:val="decimal"/>
      <w:suff w:val="nothing"/>
      <w:lvlText w:val="%1、"/>
      <w:lvlJc w:val="left"/>
    </w:lvl>
  </w:abstractNum>
  <w:abstractNum w:abstractNumId="4">
    <w:nsid w:val="1E4D1512"/>
    <w:multiLevelType w:val="singleLevel"/>
    <w:tmpl w:val="1E4D1512"/>
    <w:lvl w:ilvl="0" w:tentative="0">
      <w:start w:val="1"/>
      <w:numFmt w:val="decimal"/>
      <w:suff w:val="nothing"/>
      <w:lvlText w:val="%1、"/>
      <w:lvlJc w:val="left"/>
    </w:lvl>
  </w:abstractNum>
  <w:abstractNum w:abstractNumId="5">
    <w:nsid w:val="402FF87C"/>
    <w:multiLevelType w:val="singleLevel"/>
    <w:tmpl w:val="402FF87C"/>
    <w:lvl w:ilvl="0" w:tentative="0">
      <w:start w:val="1"/>
      <w:numFmt w:val="chineseCounting"/>
      <w:suff w:val="nothing"/>
      <w:lvlText w:val="%1、"/>
      <w:lvlJc w:val="left"/>
      <w:rPr>
        <w:rFonts w:hint="eastAsia"/>
      </w:rPr>
    </w:lvl>
  </w:abstractNum>
  <w:abstractNum w:abstractNumId="6">
    <w:nsid w:val="502695EF"/>
    <w:multiLevelType w:val="singleLevel"/>
    <w:tmpl w:val="502695EF"/>
    <w:lvl w:ilvl="0" w:tentative="0">
      <w:start w:val="1"/>
      <w:numFmt w:val="decimal"/>
      <w:suff w:val="nothing"/>
      <w:lvlText w:val="%1、"/>
      <w:lvlJc w:val="left"/>
    </w:lvl>
  </w:abstractNum>
  <w:abstractNum w:abstractNumId="7">
    <w:nsid w:val="6B5BC5DD"/>
    <w:multiLevelType w:val="singleLevel"/>
    <w:tmpl w:val="6B5BC5DD"/>
    <w:lvl w:ilvl="0" w:tentative="0">
      <w:start w:val="1"/>
      <w:numFmt w:val="decimal"/>
      <w:suff w:val="nothing"/>
      <w:lvlText w:val="%1、"/>
      <w:lvlJc w:val="left"/>
    </w:lvl>
  </w:abstractNum>
  <w:num w:numId="1">
    <w:abstractNumId w:val="2"/>
  </w:num>
  <w:num w:numId="2">
    <w:abstractNumId w:val="7"/>
  </w:num>
  <w:num w:numId="3">
    <w:abstractNumId w:val="3"/>
  </w:num>
  <w:num w:numId="4">
    <w:abstractNumId w:val="1"/>
  </w:num>
  <w:num w:numId="5">
    <w:abstractNumId w:val="6"/>
  </w:num>
  <w:num w:numId="6">
    <w:abstractNumId w:val="0"/>
  </w:num>
  <w:num w:numId="7">
    <w:abstractNumId w:val="4"/>
  </w:num>
  <w:num w:numId="8">
    <w:abstractNumId w:val="5"/>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Administrator">
    <w15:presenceInfo w15:providerId="None" w15:userId="Administrat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kwNjc2OWNjMmQ3ZDNiMmE4OTE5ZmNmMzZkZWE4ZDkifQ=="/>
  </w:docVars>
  <w:rsids>
    <w:rsidRoot w:val="4A1D21AA"/>
    <w:rsid w:val="07397B77"/>
    <w:rsid w:val="0A623717"/>
    <w:rsid w:val="10883B86"/>
    <w:rsid w:val="1A121F48"/>
    <w:rsid w:val="1A744877"/>
    <w:rsid w:val="1DBB55CE"/>
    <w:rsid w:val="1FA34EF2"/>
    <w:rsid w:val="20F971E5"/>
    <w:rsid w:val="27236E46"/>
    <w:rsid w:val="28C959A4"/>
    <w:rsid w:val="296F5E52"/>
    <w:rsid w:val="2C301E8F"/>
    <w:rsid w:val="2EC13E2B"/>
    <w:rsid w:val="2FD80C3D"/>
    <w:rsid w:val="309C0F96"/>
    <w:rsid w:val="33802890"/>
    <w:rsid w:val="33A93AA6"/>
    <w:rsid w:val="35691414"/>
    <w:rsid w:val="375F395F"/>
    <w:rsid w:val="45790B64"/>
    <w:rsid w:val="47290367"/>
    <w:rsid w:val="4A1D21AA"/>
    <w:rsid w:val="4AEF7A9C"/>
    <w:rsid w:val="4D1069DC"/>
    <w:rsid w:val="4FF23130"/>
    <w:rsid w:val="55482C14"/>
    <w:rsid w:val="5E4A0E97"/>
    <w:rsid w:val="5F21609C"/>
    <w:rsid w:val="61CB076B"/>
    <w:rsid w:val="6DFC7257"/>
    <w:rsid w:val="72525D46"/>
    <w:rsid w:val="74380B5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iPriority="99"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iPriority="99"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eastAsia="宋体" w:asciiTheme="minorHAnsi" w:hAnsiTheme="minorHAnsi" w:cstheme="minorBidi"/>
      <w:kern w:val="2"/>
      <w:sz w:val="21"/>
      <w:szCs w:val="22"/>
      <w:lang w:val="en-US" w:eastAsia="zh-CN" w:bidi="ar-SA"/>
    </w:rPr>
  </w:style>
  <w:style w:type="paragraph" w:styleId="2">
    <w:name w:val="heading 1"/>
    <w:next w:val="1"/>
    <w:qFormat/>
    <w:uiPriority w:val="9"/>
    <w:pPr>
      <w:keepNext/>
      <w:keepLines/>
      <w:spacing w:before="340" w:after="330" w:line="578" w:lineRule="auto"/>
      <w:jc w:val="center"/>
      <w:outlineLvl w:val="0"/>
    </w:pPr>
    <w:rPr>
      <w:rFonts w:ascii="宋体" w:hAnsi="宋体" w:eastAsia="宋体" w:cstheme="minorBidi"/>
      <w:b/>
      <w:bCs/>
      <w:kern w:val="44"/>
      <w:sz w:val="44"/>
      <w:szCs w:val="44"/>
      <w:lang w:val="en-US" w:eastAsia="zh-CN" w:bidi="ar-SA"/>
    </w:rPr>
  </w:style>
  <w:style w:type="paragraph" w:styleId="3">
    <w:name w:val="heading 2"/>
    <w:next w:val="1"/>
    <w:unhideWhenUsed/>
    <w:qFormat/>
    <w:uiPriority w:val="9"/>
    <w:pPr>
      <w:keepNext/>
      <w:keepLines/>
      <w:spacing w:before="260" w:after="260" w:line="416" w:lineRule="auto"/>
      <w:jc w:val="center"/>
      <w:outlineLvl w:val="1"/>
    </w:pPr>
    <w:rPr>
      <w:rFonts w:ascii="宋体" w:hAnsi="宋体" w:eastAsia="宋体" w:cstheme="majorBidi"/>
      <w:b/>
      <w:bCs/>
      <w:kern w:val="2"/>
      <w:sz w:val="36"/>
      <w:szCs w:val="32"/>
      <w:lang w:val="en-US" w:eastAsia="zh-CN" w:bidi="ar-SA"/>
    </w:rPr>
  </w:style>
  <w:style w:type="paragraph" w:styleId="4">
    <w:name w:val="heading 3"/>
    <w:next w:val="1"/>
    <w:unhideWhenUsed/>
    <w:qFormat/>
    <w:uiPriority w:val="9"/>
    <w:pPr>
      <w:keepNext/>
      <w:keepLines/>
      <w:spacing w:before="260" w:after="260" w:line="416" w:lineRule="auto"/>
      <w:jc w:val="center"/>
      <w:outlineLvl w:val="2"/>
    </w:pPr>
    <w:rPr>
      <w:rFonts w:ascii="宋体" w:hAnsi="宋体" w:eastAsia="宋体" w:cstheme="minorBidi"/>
      <w:b/>
      <w:bCs/>
      <w:kern w:val="2"/>
      <w:sz w:val="32"/>
      <w:szCs w:val="32"/>
      <w:lang w:val="en-US" w:eastAsia="zh-CN" w:bidi="ar-SA"/>
    </w:rPr>
  </w:style>
  <w:style w:type="paragraph" w:styleId="5">
    <w:name w:val="heading 4"/>
    <w:next w:val="1"/>
    <w:unhideWhenUsed/>
    <w:qFormat/>
    <w:uiPriority w:val="9"/>
    <w:pPr>
      <w:keepNext/>
      <w:keepLines/>
      <w:spacing w:line="360" w:lineRule="auto"/>
      <w:jc w:val="center"/>
      <w:outlineLvl w:val="3"/>
    </w:pPr>
    <w:rPr>
      <w:rFonts w:ascii="宋体" w:hAnsi="宋体" w:eastAsia="宋体" w:cstheme="majorBidi"/>
      <w:b/>
      <w:bCs/>
      <w:kern w:val="2"/>
      <w:sz w:val="30"/>
      <w:szCs w:val="28"/>
      <w:lang w:val="en-US" w:eastAsia="zh-CN" w:bidi="ar-SA"/>
    </w:rPr>
  </w:style>
  <w:style w:type="character" w:default="1" w:styleId="11">
    <w:name w:val="Default Paragraph Font"/>
    <w:semiHidden/>
    <w:qFormat/>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6">
    <w:name w:val="annotation text"/>
    <w:basedOn w:val="1"/>
    <w:semiHidden/>
    <w:unhideWhenUsed/>
    <w:qFormat/>
    <w:uiPriority w:val="99"/>
    <w:pPr>
      <w:jc w:val="left"/>
    </w:pPr>
  </w:style>
  <w:style w:type="paragraph" w:styleId="7">
    <w:name w:val="footer"/>
    <w:basedOn w:val="1"/>
    <w:unhideWhenUsed/>
    <w:qFormat/>
    <w:uiPriority w:val="99"/>
    <w:pPr>
      <w:tabs>
        <w:tab w:val="center" w:pos="4153"/>
        <w:tab w:val="right" w:pos="8306"/>
      </w:tabs>
      <w:snapToGrid w:val="0"/>
      <w:spacing w:line="240" w:lineRule="auto"/>
      <w:jc w:val="left"/>
    </w:pPr>
    <w:rPr>
      <w:sz w:val="18"/>
      <w:szCs w:val="18"/>
    </w:rPr>
  </w:style>
  <w:style w:type="paragraph" w:styleId="8">
    <w:name w:val="header"/>
    <w:basedOn w:val="1"/>
    <w:unhideWhenUsed/>
    <w:qFormat/>
    <w:uiPriority w:val="99"/>
    <w:pPr>
      <w:pBdr>
        <w:bottom w:val="single" w:color="auto" w:sz="6" w:space="1"/>
      </w:pBdr>
      <w:tabs>
        <w:tab w:val="center" w:pos="4153"/>
        <w:tab w:val="right" w:pos="8306"/>
      </w:tabs>
      <w:snapToGrid w:val="0"/>
      <w:spacing w:line="240" w:lineRule="auto"/>
      <w:jc w:val="center"/>
    </w:pPr>
    <w:rPr>
      <w:sz w:val="18"/>
      <w:szCs w:val="18"/>
    </w:rPr>
  </w:style>
  <w:style w:type="table" w:styleId="10">
    <w:name w:val="Table Grid"/>
    <w:basedOn w:val="9"/>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2">
    <w:name w:val="annotation reference"/>
    <w:basedOn w:val="11"/>
    <w:semiHidden/>
    <w:unhideWhenUsed/>
    <w:qFormat/>
    <w:uiPriority w:val="99"/>
    <w:rPr>
      <w:sz w:val="21"/>
      <w:szCs w:val="21"/>
    </w:rPr>
  </w:style>
  <w:style w:type="paragraph" w:styleId="13">
    <w:name w:val="No Spacing"/>
    <w:qFormat/>
    <w:uiPriority w:val="1"/>
    <w:pPr>
      <w:widowControl w:val="0"/>
      <w:spacing w:line="360" w:lineRule="auto"/>
      <w:jc w:val="both"/>
    </w:pPr>
    <w:rPr>
      <w:rFonts w:eastAsia="宋体" w:asciiTheme="minorHAnsi" w:hAnsiTheme="minorHAnsi" w:cstheme="minorBidi"/>
      <w:kern w:val="2"/>
      <w:sz w:val="21"/>
      <w:szCs w:val="22"/>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86.jpeg"/><Relationship Id="rId98" Type="http://schemas.openxmlformats.org/officeDocument/2006/relationships/image" Target="media/image85.jpeg"/><Relationship Id="rId97" Type="http://schemas.openxmlformats.org/officeDocument/2006/relationships/image" Target="media/image84.jpeg"/><Relationship Id="rId96" Type="http://schemas.openxmlformats.org/officeDocument/2006/relationships/image" Target="media/image83.jpeg"/><Relationship Id="rId95" Type="http://schemas.openxmlformats.org/officeDocument/2006/relationships/image" Target="media/image82.jpeg"/><Relationship Id="rId94" Type="http://schemas.openxmlformats.org/officeDocument/2006/relationships/image" Target="media/image81.jpeg"/><Relationship Id="rId93" Type="http://schemas.openxmlformats.org/officeDocument/2006/relationships/image" Target="media/image80.jpeg"/><Relationship Id="rId92" Type="http://schemas.openxmlformats.org/officeDocument/2006/relationships/image" Target="media/image79.jpeg"/><Relationship Id="rId91" Type="http://schemas.openxmlformats.org/officeDocument/2006/relationships/image" Target="media/image78.jpeg"/><Relationship Id="rId90" Type="http://schemas.openxmlformats.org/officeDocument/2006/relationships/image" Target="media/image77.jpeg"/><Relationship Id="rId9" Type="http://schemas.openxmlformats.org/officeDocument/2006/relationships/header" Target="header3.xml"/><Relationship Id="rId89" Type="http://schemas.openxmlformats.org/officeDocument/2006/relationships/image" Target="media/image76.jpeg"/><Relationship Id="rId88" Type="http://schemas.openxmlformats.org/officeDocument/2006/relationships/image" Target="media/image75.jpeg"/><Relationship Id="rId87" Type="http://schemas.openxmlformats.org/officeDocument/2006/relationships/image" Target="media/image74.jpeg"/><Relationship Id="rId86" Type="http://schemas.openxmlformats.org/officeDocument/2006/relationships/image" Target="media/image73.jpeg"/><Relationship Id="rId85" Type="http://schemas.openxmlformats.org/officeDocument/2006/relationships/image" Target="media/image72.jpeg"/><Relationship Id="rId84" Type="http://schemas.openxmlformats.org/officeDocument/2006/relationships/image" Target="media/image71.jpeg"/><Relationship Id="rId83" Type="http://schemas.openxmlformats.org/officeDocument/2006/relationships/image" Target="media/image70.jpeg"/><Relationship Id="rId82" Type="http://schemas.openxmlformats.org/officeDocument/2006/relationships/image" Target="media/image69.jpeg"/><Relationship Id="rId81" Type="http://schemas.openxmlformats.org/officeDocument/2006/relationships/image" Target="media/image68.jpeg"/><Relationship Id="rId80" Type="http://schemas.openxmlformats.org/officeDocument/2006/relationships/image" Target="media/image67.jpeg"/><Relationship Id="rId8" Type="http://schemas.openxmlformats.org/officeDocument/2006/relationships/header" Target="header2.xml"/><Relationship Id="rId79" Type="http://schemas.openxmlformats.org/officeDocument/2006/relationships/image" Target="media/image66.jpeg"/><Relationship Id="rId78" Type="http://schemas.openxmlformats.org/officeDocument/2006/relationships/image" Target="media/image65.jpeg"/><Relationship Id="rId77" Type="http://schemas.openxmlformats.org/officeDocument/2006/relationships/image" Target="media/image64.jpeg"/><Relationship Id="rId76" Type="http://schemas.openxmlformats.org/officeDocument/2006/relationships/image" Target="media/image63.jpeg"/><Relationship Id="rId75" Type="http://schemas.openxmlformats.org/officeDocument/2006/relationships/image" Target="media/image62.jpeg"/><Relationship Id="rId74" Type="http://schemas.openxmlformats.org/officeDocument/2006/relationships/image" Target="media/image61.jpeg"/><Relationship Id="rId73" Type="http://schemas.openxmlformats.org/officeDocument/2006/relationships/image" Target="media/image60.jpeg"/><Relationship Id="rId72" Type="http://schemas.openxmlformats.org/officeDocument/2006/relationships/image" Target="media/image59.jpeg"/><Relationship Id="rId71" Type="http://schemas.openxmlformats.org/officeDocument/2006/relationships/image" Target="media/image58.jpeg"/><Relationship Id="rId70" Type="http://schemas.openxmlformats.org/officeDocument/2006/relationships/image" Target="media/image57.jpeg"/><Relationship Id="rId7" Type="http://schemas.openxmlformats.org/officeDocument/2006/relationships/header" Target="header1.xml"/><Relationship Id="rId69" Type="http://schemas.openxmlformats.org/officeDocument/2006/relationships/image" Target="media/image56.jpeg"/><Relationship Id="rId68" Type="http://schemas.openxmlformats.org/officeDocument/2006/relationships/image" Target="media/image55.jpeg"/><Relationship Id="rId67" Type="http://schemas.openxmlformats.org/officeDocument/2006/relationships/image" Target="media/image54.jpeg"/><Relationship Id="rId66" Type="http://schemas.openxmlformats.org/officeDocument/2006/relationships/image" Target="media/image53.jpeg"/><Relationship Id="rId65" Type="http://schemas.openxmlformats.org/officeDocument/2006/relationships/image" Target="media/image52.jpeg"/><Relationship Id="rId64" Type="http://schemas.openxmlformats.org/officeDocument/2006/relationships/image" Target="media/image51.jpeg"/><Relationship Id="rId63" Type="http://schemas.openxmlformats.org/officeDocument/2006/relationships/image" Target="media/image50.jpeg"/><Relationship Id="rId62" Type="http://schemas.openxmlformats.org/officeDocument/2006/relationships/image" Target="media/image49.jpeg"/><Relationship Id="rId61" Type="http://schemas.openxmlformats.org/officeDocument/2006/relationships/image" Target="media/image48.jpeg"/><Relationship Id="rId60" Type="http://schemas.openxmlformats.org/officeDocument/2006/relationships/image" Target="media/image47.jpeg"/><Relationship Id="rId6" Type="http://schemas.openxmlformats.org/officeDocument/2006/relationships/endnotes" Target="endnotes.xml"/><Relationship Id="rId59" Type="http://schemas.openxmlformats.org/officeDocument/2006/relationships/image" Target="media/image46.jpeg"/><Relationship Id="rId58" Type="http://schemas.openxmlformats.org/officeDocument/2006/relationships/image" Target="media/image45.jpeg"/><Relationship Id="rId57" Type="http://schemas.openxmlformats.org/officeDocument/2006/relationships/image" Target="media/image44.jpeg"/><Relationship Id="rId56" Type="http://schemas.openxmlformats.org/officeDocument/2006/relationships/image" Target="media/image43.jpeg"/><Relationship Id="rId55" Type="http://schemas.openxmlformats.org/officeDocument/2006/relationships/image" Target="media/image42.jpeg"/><Relationship Id="rId54" Type="http://schemas.openxmlformats.org/officeDocument/2006/relationships/image" Target="media/image41.jpeg"/><Relationship Id="rId53" Type="http://schemas.openxmlformats.org/officeDocument/2006/relationships/image" Target="media/image40.jpeg"/><Relationship Id="rId52" Type="http://schemas.openxmlformats.org/officeDocument/2006/relationships/image" Target="media/image39.jpeg"/><Relationship Id="rId51" Type="http://schemas.openxmlformats.org/officeDocument/2006/relationships/image" Target="media/image38.jpeg"/><Relationship Id="rId50" Type="http://schemas.openxmlformats.org/officeDocument/2006/relationships/image" Target="media/image37.jpeg"/><Relationship Id="rId5" Type="http://schemas.openxmlformats.org/officeDocument/2006/relationships/footnotes" Target="footnotes.xml"/><Relationship Id="rId49" Type="http://schemas.openxmlformats.org/officeDocument/2006/relationships/image" Target="media/image36.jpeg"/><Relationship Id="rId48" Type="http://schemas.openxmlformats.org/officeDocument/2006/relationships/image" Target="media/image35.jpeg"/><Relationship Id="rId47" Type="http://schemas.openxmlformats.org/officeDocument/2006/relationships/image" Target="media/image34.jpeg"/><Relationship Id="rId46" Type="http://schemas.openxmlformats.org/officeDocument/2006/relationships/image" Target="media/image33.jpeg"/><Relationship Id="rId45" Type="http://schemas.openxmlformats.org/officeDocument/2006/relationships/image" Target="media/image32.jpeg"/><Relationship Id="rId44" Type="http://schemas.openxmlformats.org/officeDocument/2006/relationships/image" Target="media/image31.jpeg"/><Relationship Id="rId43" Type="http://schemas.openxmlformats.org/officeDocument/2006/relationships/image" Target="media/image30.jpeg"/><Relationship Id="rId42" Type="http://schemas.openxmlformats.org/officeDocument/2006/relationships/image" Target="media/image29.jpeg"/><Relationship Id="rId41" Type="http://schemas.openxmlformats.org/officeDocument/2006/relationships/image" Target="media/image28.jpeg"/><Relationship Id="rId40" Type="http://schemas.openxmlformats.org/officeDocument/2006/relationships/image" Target="media/image27.jpeg"/><Relationship Id="rId4" Type="http://schemas.microsoft.com/office/2011/relationships/commentsExtended" Target="commentsExtended.xml"/><Relationship Id="rId39" Type="http://schemas.openxmlformats.org/officeDocument/2006/relationships/image" Target="media/image26.jpeg"/><Relationship Id="rId38" Type="http://schemas.openxmlformats.org/officeDocument/2006/relationships/image" Target="media/image25.jpeg"/><Relationship Id="rId37" Type="http://schemas.openxmlformats.org/officeDocument/2006/relationships/image" Target="media/image24.jpeg"/><Relationship Id="rId36" Type="http://schemas.openxmlformats.org/officeDocument/2006/relationships/image" Target="media/image23.jpeg"/><Relationship Id="rId35" Type="http://schemas.openxmlformats.org/officeDocument/2006/relationships/image" Target="media/image22.jpeg"/><Relationship Id="rId34" Type="http://schemas.openxmlformats.org/officeDocument/2006/relationships/image" Target="media/image21.jpeg"/><Relationship Id="rId33" Type="http://schemas.openxmlformats.org/officeDocument/2006/relationships/image" Target="media/image20.jpeg"/><Relationship Id="rId32" Type="http://schemas.openxmlformats.org/officeDocument/2006/relationships/image" Target="media/image19.jpeg"/><Relationship Id="rId31" Type="http://schemas.openxmlformats.org/officeDocument/2006/relationships/image" Target="media/image18.jpeg"/><Relationship Id="rId30" Type="http://schemas.openxmlformats.org/officeDocument/2006/relationships/image" Target="media/image17.jpeg"/><Relationship Id="rId3" Type="http://schemas.openxmlformats.org/officeDocument/2006/relationships/comments" Target="comments.xml"/><Relationship Id="rId29" Type="http://schemas.openxmlformats.org/officeDocument/2006/relationships/image" Target="media/image16.jpeg"/><Relationship Id="rId28" Type="http://schemas.openxmlformats.org/officeDocument/2006/relationships/image" Target="media/image15.jpeg"/><Relationship Id="rId27" Type="http://schemas.openxmlformats.org/officeDocument/2006/relationships/image" Target="media/image14.jpeg"/><Relationship Id="rId26" Type="http://schemas.openxmlformats.org/officeDocument/2006/relationships/image" Target="media/image13.jpeg"/><Relationship Id="rId25" Type="http://schemas.openxmlformats.org/officeDocument/2006/relationships/image" Target="media/image12.jpeg"/><Relationship Id="rId24" Type="http://schemas.openxmlformats.org/officeDocument/2006/relationships/image" Target="media/image11.jpeg"/><Relationship Id="rId23" Type="http://schemas.openxmlformats.org/officeDocument/2006/relationships/image" Target="media/image10.jpeg"/><Relationship Id="rId22" Type="http://schemas.openxmlformats.org/officeDocument/2006/relationships/image" Target="media/image9.jpeg"/><Relationship Id="rId21" Type="http://schemas.openxmlformats.org/officeDocument/2006/relationships/image" Target="media/image8.jpeg"/><Relationship Id="rId20" Type="http://schemas.openxmlformats.org/officeDocument/2006/relationships/image" Target="media/image7.jpeg"/><Relationship Id="rId2" Type="http://schemas.openxmlformats.org/officeDocument/2006/relationships/settings" Target="settings.xml"/><Relationship Id="rId19" Type="http://schemas.openxmlformats.org/officeDocument/2006/relationships/image" Target="media/image6.jpeg"/><Relationship Id="rId18" Type="http://schemas.openxmlformats.org/officeDocument/2006/relationships/image" Target="media/image5.jpeg"/><Relationship Id="rId179" Type="http://schemas.microsoft.com/office/2011/relationships/people" Target="people.xml"/><Relationship Id="rId178" Type="http://schemas.openxmlformats.org/officeDocument/2006/relationships/fontTable" Target="fontTable.xml"/><Relationship Id="rId177" Type="http://schemas.openxmlformats.org/officeDocument/2006/relationships/numbering" Target="numbering.xml"/><Relationship Id="rId176" Type="http://schemas.openxmlformats.org/officeDocument/2006/relationships/image" Target="media/image163.jpeg"/><Relationship Id="rId175" Type="http://schemas.openxmlformats.org/officeDocument/2006/relationships/image" Target="media/image162.jpeg"/><Relationship Id="rId174" Type="http://schemas.openxmlformats.org/officeDocument/2006/relationships/image" Target="media/image161.jpeg"/><Relationship Id="rId173" Type="http://schemas.openxmlformats.org/officeDocument/2006/relationships/image" Target="media/image160.jpeg"/><Relationship Id="rId172" Type="http://schemas.openxmlformats.org/officeDocument/2006/relationships/image" Target="media/image159.jpeg"/><Relationship Id="rId171" Type="http://schemas.openxmlformats.org/officeDocument/2006/relationships/image" Target="media/image158.jpeg"/><Relationship Id="rId170" Type="http://schemas.openxmlformats.org/officeDocument/2006/relationships/image" Target="media/image157.jpeg"/><Relationship Id="rId17" Type="http://schemas.openxmlformats.org/officeDocument/2006/relationships/image" Target="media/image4.jpeg"/><Relationship Id="rId169" Type="http://schemas.openxmlformats.org/officeDocument/2006/relationships/image" Target="media/image156.jpeg"/><Relationship Id="rId168" Type="http://schemas.openxmlformats.org/officeDocument/2006/relationships/image" Target="media/image155.jpeg"/><Relationship Id="rId167" Type="http://schemas.openxmlformats.org/officeDocument/2006/relationships/image" Target="media/image154.jpeg"/><Relationship Id="rId166" Type="http://schemas.openxmlformats.org/officeDocument/2006/relationships/image" Target="media/image153.jpeg"/><Relationship Id="rId165" Type="http://schemas.openxmlformats.org/officeDocument/2006/relationships/image" Target="media/image152.jpeg"/><Relationship Id="rId164" Type="http://schemas.openxmlformats.org/officeDocument/2006/relationships/image" Target="media/image151.jpeg"/><Relationship Id="rId163" Type="http://schemas.openxmlformats.org/officeDocument/2006/relationships/image" Target="media/image150.jpeg"/><Relationship Id="rId162" Type="http://schemas.openxmlformats.org/officeDocument/2006/relationships/image" Target="media/image149.jpeg"/><Relationship Id="rId161" Type="http://schemas.openxmlformats.org/officeDocument/2006/relationships/image" Target="media/image148.jpeg"/><Relationship Id="rId160" Type="http://schemas.openxmlformats.org/officeDocument/2006/relationships/image" Target="media/image147.jpeg"/><Relationship Id="rId16" Type="http://schemas.openxmlformats.org/officeDocument/2006/relationships/image" Target="media/image3.jpeg"/><Relationship Id="rId159" Type="http://schemas.openxmlformats.org/officeDocument/2006/relationships/image" Target="media/image146.jpeg"/><Relationship Id="rId158" Type="http://schemas.openxmlformats.org/officeDocument/2006/relationships/image" Target="media/image145.jpeg"/><Relationship Id="rId157" Type="http://schemas.openxmlformats.org/officeDocument/2006/relationships/image" Target="media/image144.jpeg"/><Relationship Id="rId156" Type="http://schemas.openxmlformats.org/officeDocument/2006/relationships/image" Target="media/image143.jpeg"/><Relationship Id="rId155" Type="http://schemas.openxmlformats.org/officeDocument/2006/relationships/image" Target="media/image142.jpeg"/><Relationship Id="rId154" Type="http://schemas.openxmlformats.org/officeDocument/2006/relationships/image" Target="media/image141.jpeg"/><Relationship Id="rId153" Type="http://schemas.openxmlformats.org/officeDocument/2006/relationships/image" Target="media/image140.jpeg"/><Relationship Id="rId152" Type="http://schemas.openxmlformats.org/officeDocument/2006/relationships/image" Target="media/image139.jpeg"/><Relationship Id="rId151" Type="http://schemas.openxmlformats.org/officeDocument/2006/relationships/image" Target="media/image138.jpeg"/><Relationship Id="rId150" Type="http://schemas.openxmlformats.org/officeDocument/2006/relationships/image" Target="media/image137.jpeg"/><Relationship Id="rId15" Type="http://schemas.openxmlformats.org/officeDocument/2006/relationships/image" Target="media/image2.jpeg"/><Relationship Id="rId149" Type="http://schemas.openxmlformats.org/officeDocument/2006/relationships/image" Target="media/image136.jpeg"/><Relationship Id="rId148" Type="http://schemas.openxmlformats.org/officeDocument/2006/relationships/image" Target="media/image135.jpeg"/><Relationship Id="rId147" Type="http://schemas.openxmlformats.org/officeDocument/2006/relationships/image" Target="media/image134.jpeg"/><Relationship Id="rId146" Type="http://schemas.openxmlformats.org/officeDocument/2006/relationships/image" Target="media/image133.jpeg"/><Relationship Id="rId145" Type="http://schemas.openxmlformats.org/officeDocument/2006/relationships/image" Target="media/image132.jpeg"/><Relationship Id="rId144" Type="http://schemas.openxmlformats.org/officeDocument/2006/relationships/image" Target="media/image131.jpeg"/><Relationship Id="rId143" Type="http://schemas.openxmlformats.org/officeDocument/2006/relationships/image" Target="media/image130.jpeg"/><Relationship Id="rId142" Type="http://schemas.openxmlformats.org/officeDocument/2006/relationships/image" Target="media/image129.jpeg"/><Relationship Id="rId141" Type="http://schemas.openxmlformats.org/officeDocument/2006/relationships/image" Target="media/image128.jpeg"/><Relationship Id="rId140" Type="http://schemas.openxmlformats.org/officeDocument/2006/relationships/image" Target="media/image127.jpeg"/><Relationship Id="rId14" Type="http://schemas.openxmlformats.org/officeDocument/2006/relationships/image" Target="media/image1.jpeg"/><Relationship Id="rId139" Type="http://schemas.openxmlformats.org/officeDocument/2006/relationships/image" Target="media/image126.jpeg"/><Relationship Id="rId138" Type="http://schemas.openxmlformats.org/officeDocument/2006/relationships/image" Target="media/image125.jpeg"/><Relationship Id="rId137" Type="http://schemas.openxmlformats.org/officeDocument/2006/relationships/image" Target="media/image124.jpeg"/><Relationship Id="rId136" Type="http://schemas.openxmlformats.org/officeDocument/2006/relationships/image" Target="media/image123.jpeg"/><Relationship Id="rId135" Type="http://schemas.openxmlformats.org/officeDocument/2006/relationships/image" Target="media/image122.jpeg"/><Relationship Id="rId134" Type="http://schemas.openxmlformats.org/officeDocument/2006/relationships/image" Target="media/image121.jpeg"/><Relationship Id="rId133" Type="http://schemas.openxmlformats.org/officeDocument/2006/relationships/image" Target="media/image120.jpeg"/><Relationship Id="rId132" Type="http://schemas.openxmlformats.org/officeDocument/2006/relationships/image" Target="media/image119.jpeg"/><Relationship Id="rId131" Type="http://schemas.openxmlformats.org/officeDocument/2006/relationships/image" Target="media/image118.jpeg"/><Relationship Id="rId130" Type="http://schemas.openxmlformats.org/officeDocument/2006/relationships/image" Target="media/image117.jpeg"/><Relationship Id="rId13" Type="http://schemas.openxmlformats.org/officeDocument/2006/relationships/theme" Target="theme/theme1.xml"/><Relationship Id="rId129" Type="http://schemas.openxmlformats.org/officeDocument/2006/relationships/image" Target="media/image116.jpeg"/><Relationship Id="rId128" Type="http://schemas.openxmlformats.org/officeDocument/2006/relationships/image" Target="media/image115.jpeg"/><Relationship Id="rId127" Type="http://schemas.openxmlformats.org/officeDocument/2006/relationships/image" Target="media/image114.png"/><Relationship Id="rId126" Type="http://schemas.openxmlformats.org/officeDocument/2006/relationships/image" Target="media/image113.jpeg"/><Relationship Id="rId125" Type="http://schemas.openxmlformats.org/officeDocument/2006/relationships/image" Target="media/image112.jpeg"/><Relationship Id="rId124" Type="http://schemas.openxmlformats.org/officeDocument/2006/relationships/image" Target="media/image111.jpeg"/><Relationship Id="rId123" Type="http://schemas.openxmlformats.org/officeDocument/2006/relationships/image" Target="media/image110.jpeg"/><Relationship Id="rId122" Type="http://schemas.openxmlformats.org/officeDocument/2006/relationships/image" Target="media/image109.jpeg"/><Relationship Id="rId121" Type="http://schemas.openxmlformats.org/officeDocument/2006/relationships/image" Target="media/image108.jpeg"/><Relationship Id="rId120" Type="http://schemas.openxmlformats.org/officeDocument/2006/relationships/image" Target="media/image107.jpeg"/><Relationship Id="rId12" Type="http://schemas.openxmlformats.org/officeDocument/2006/relationships/footer" Target="footer3.xml"/><Relationship Id="rId119" Type="http://schemas.openxmlformats.org/officeDocument/2006/relationships/image" Target="media/image106.jpeg"/><Relationship Id="rId118" Type="http://schemas.openxmlformats.org/officeDocument/2006/relationships/image" Target="media/image105.jpeg"/><Relationship Id="rId117" Type="http://schemas.openxmlformats.org/officeDocument/2006/relationships/image" Target="media/image104.jpeg"/><Relationship Id="rId116" Type="http://schemas.openxmlformats.org/officeDocument/2006/relationships/image" Target="media/image103.jpeg"/><Relationship Id="rId115" Type="http://schemas.openxmlformats.org/officeDocument/2006/relationships/image" Target="media/image102.jpeg"/><Relationship Id="rId114" Type="http://schemas.openxmlformats.org/officeDocument/2006/relationships/image" Target="media/image101.jpeg"/><Relationship Id="rId113" Type="http://schemas.openxmlformats.org/officeDocument/2006/relationships/image" Target="media/image100.jpeg"/><Relationship Id="rId112" Type="http://schemas.openxmlformats.org/officeDocument/2006/relationships/image" Target="media/image99.jpeg"/><Relationship Id="rId111" Type="http://schemas.openxmlformats.org/officeDocument/2006/relationships/image" Target="media/image98.jpeg"/><Relationship Id="rId110" Type="http://schemas.openxmlformats.org/officeDocument/2006/relationships/image" Target="media/image97.jpeg"/><Relationship Id="rId11" Type="http://schemas.openxmlformats.org/officeDocument/2006/relationships/footer" Target="footer2.xml"/><Relationship Id="rId109" Type="http://schemas.openxmlformats.org/officeDocument/2006/relationships/image" Target="media/image96.jpeg"/><Relationship Id="rId108" Type="http://schemas.openxmlformats.org/officeDocument/2006/relationships/image" Target="media/image95.jpeg"/><Relationship Id="rId107" Type="http://schemas.openxmlformats.org/officeDocument/2006/relationships/image" Target="media/image94.jpeg"/><Relationship Id="rId106" Type="http://schemas.openxmlformats.org/officeDocument/2006/relationships/image" Target="media/image93.jpeg"/><Relationship Id="rId105" Type="http://schemas.openxmlformats.org/officeDocument/2006/relationships/image" Target="media/image92.jpeg"/><Relationship Id="rId104" Type="http://schemas.openxmlformats.org/officeDocument/2006/relationships/image" Target="media/image91.jpeg"/><Relationship Id="rId103" Type="http://schemas.openxmlformats.org/officeDocument/2006/relationships/image" Target="media/image90.jpeg"/><Relationship Id="rId102" Type="http://schemas.openxmlformats.org/officeDocument/2006/relationships/image" Target="media/image89.jpeg"/><Relationship Id="rId101" Type="http://schemas.openxmlformats.org/officeDocument/2006/relationships/image" Target="media/image88.jpeg"/><Relationship Id="rId100" Type="http://schemas.openxmlformats.org/officeDocument/2006/relationships/image" Target="media/image87.jpeg"/><Relationship Id="rId10" Type="http://schemas.openxmlformats.org/officeDocument/2006/relationships/footer" Target="footer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705</Pages>
  <Words>5627</Words>
  <Characters>6257</Characters>
  <Lines>0</Lines>
  <Paragraphs>0</Paragraphs>
  <TotalTime>8</TotalTime>
  <ScaleCrop>false</ScaleCrop>
  <LinksUpToDate>false</LinksUpToDate>
  <CharactersWithSpaces>6441</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2020-12-10T09:12:00Z</dcterms:created>
  <dc:creator>administrator1</dc:creator>
  <cp:lastModifiedBy>叶子</cp:lastModifiedBy>
  <dcterms:modified xsi:type="dcterms:W3CDTF">2025-04-23T08:02:59Z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424DAC839C674F7392ACCDC3584DD309</vt:lpwstr>
  </property>
  <property fmtid="{D5CDD505-2E9C-101B-9397-08002B2CF9AE}" pid="4" name="KSOTemplateDocerSaveRecord">
    <vt:lpwstr>eyJoZGlkIjoiMDkwNjc2OWNjMmQ3ZDNiMmE4OTE5ZmNmMzZkZWE4ZDkiLCJ1c2VySWQiOiIzNzk0ODUwMTYifQ==</vt:lpwstr>
  </property>
</Properties>
</file>