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bidi w:val="0"/>
        <w:adjustRightInd/>
        <w:snapToGrid/>
        <w:ind w:left="0" w:leftChars="0" w:right="0" w:rightChars="0"/>
        <w:jc w:val="both"/>
        <w:textAlignment w:val="auto"/>
        <w:outlineLvl w:val="9"/>
        <w:rPr>
          <w:rFonts w:hint="eastAsia" w:ascii="黑体" w:hAnsi="黑体" w:eastAsia="黑体" w:cs="黑体"/>
          <w:kern w:val="0"/>
          <w:sz w:val="24"/>
          <w:szCs w:val="24"/>
          <w:highlight w:val="none"/>
          <w:lang w:val="en-US" w:eastAsia="zh-CN" w:bidi="ar-SA"/>
        </w:rPr>
      </w:pPr>
      <w:bookmarkStart w:id="3" w:name="_GoBack"/>
      <w:bookmarkEnd w:id="3"/>
      <w:r>
        <w:rPr>
          <w:rFonts w:hint="eastAsia" w:ascii="黑体" w:hAnsi="黑体" w:eastAsia="黑体" w:cs="黑体"/>
          <w:kern w:val="0"/>
          <w:sz w:val="24"/>
          <w:szCs w:val="24"/>
          <w:highlight w:val="none"/>
          <w:lang w:val="en-US" w:eastAsia="zh-CN" w:bidi="ar-SA"/>
        </w:rPr>
        <w:t>市十六届人大六次会议材料之十九（1）</w:t>
      </w:r>
    </w:p>
    <w:p>
      <w:pPr>
        <w:pStyle w:val="10"/>
        <w:keepNext w:val="0"/>
        <w:keepLines w:val="0"/>
        <w:pageBreakBefore w:val="0"/>
        <w:kinsoku/>
        <w:wordWrap/>
        <w:topLinePunct w:val="0"/>
        <w:bidi w:val="0"/>
        <w:snapToGrid/>
        <w:spacing w:line="560" w:lineRule="exact"/>
        <w:ind w:left="0" w:leftChars="0" w:firstLine="0" w:firstLineChars="0"/>
        <w:rPr>
          <w:rFonts w:hint="eastAsia" w:ascii="Times New Roman" w:hAnsi="Times New Roman" w:eastAsia="仿宋_GB2312" w:cs="仿宋_GB2312"/>
          <w:sz w:val="32"/>
          <w:szCs w:val="32"/>
          <w:highlight w:val="none"/>
          <w:u w:val="none" w:color="auto"/>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u w:val="none" w:color="auto"/>
          <w:lang w:val="en-US" w:eastAsia="zh-CN"/>
        </w:rPr>
      </w:pPr>
      <w:r>
        <w:rPr>
          <w:rFonts w:hint="eastAsia" w:ascii="方正小标宋简体" w:hAnsi="方正小标宋简体" w:eastAsia="方正小标宋简体" w:cs="方正小标宋简体"/>
          <w:sz w:val="44"/>
          <w:szCs w:val="44"/>
          <w:highlight w:val="none"/>
          <w:u w:val="none" w:color="auto"/>
          <w:lang w:val="en-US" w:eastAsia="zh-CN"/>
        </w:rPr>
        <w:t>南雄市2024年国民经济和</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方正小标宋简体" w:hAnsi="方正小标宋简体" w:eastAsia="方正小标宋简体" w:cs="方正小标宋简体"/>
          <w:sz w:val="44"/>
          <w:szCs w:val="44"/>
          <w:highlight w:val="none"/>
          <w:u w:val="none" w:color="auto"/>
          <w:lang w:val="en-US" w:eastAsia="zh-CN"/>
        </w:rPr>
      </w:pPr>
      <w:r>
        <w:rPr>
          <w:rFonts w:hint="eastAsia" w:ascii="方正小标宋简体" w:hAnsi="方正小标宋简体" w:eastAsia="方正小标宋简体" w:cs="方正小标宋简体"/>
          <w:sz w:val="44"/>
          <w:szCs w:val="44"/>
          <w:highlight w:val="none"/>
          <w:u w:val="none" w:color="auto"/>
          <w:lang w:val="en-US" w:eastAsia="zh-CN"/>
        </w:rPr>
        <w:t>社会发展计划执行情况与2025年计划</w:t>
      </w:r>
    </w:p>
    <w:p>
      <w:pPr>
        <w:keepNext w:val="0"/>
        <w:keepLines w:val="0"/>
        <w:pageBreakBefore w:val="0"/>
        <w:widowControl w:val="0"/>
        <w:kinsoku/>
        <w:wordWrap/>
        <w:overflowPunct/>
        <w:topLinePunct w:val="0"/>
        <w:autoSpaceDE/>
        <w:autoSpaceDN/>
        <w:bidi w:val="0"/>
        <w:adjustRightInd/>
        <w:snapToGrid/>
        <w:spacing w:line="700" w:lineRule="exact"/>
        <w:ind w:left="0" w:leftChars="0" w:firstLine="0" w:firstLineChars="0"/>
        <w:jc w:val="center"/>
        <w:textAlignment w:val="auto"/>
        <w:rPr>
          <w:rFonts w:hint="eastAsia" w:ascii="Times New Roman" w:hAnsi="Times New Roman" w:eastAsia="仿宋_GB2312" w:cs="仿宋_GB2312"/>
          <w:sz w:val="44"/>
          <w:szCs w:val="44"/>
          <w:highlight w:val="none"/>
          <w:u w:val="none" w:color="auto"/>
          <w:lang w:val="en-US" w:eastAsia="zh-CN"/>
        </w:rPr>
      </w:pPr>
      <w:r>
        <w:rPr>
          <w:rFonts w:hint="eastAsia" w:ascii="方正小标宋简体" w:hAnsi="方正小标宋简体" w:eastAsia="方正小标宋简体" w:cs="方正小标宋简体"/>
          <w:sz w:val="44"/>
          <w:szCs w:val="44"/>
          <w:highlight w:val="none"/>
          <w:u w:val="none" w:color="auto"/>
          <w:lang w:val="en-US" w:eastAsia="zh-CN"/>
        </w:rPr>
        <w:t>草案的报告</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ascii="Times New Roman" w:hAnsi="Times New Roman" w:eastAsia="仿宋_GB2312" w:cs="Times New Roman"/>
          <w:spacing w:val="-10"/>
          <w:kern w:val="0"/>
          <w:sz w:val="30"/>
          <w:szCs w:val="30"/>
          <w:lang w:val="en-US" w:eastAsia="zh-CN" w:bidi="ar-S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pacing w:val="-10"/>
          <w:kern w:val="0"/>
          <w:sz w:val="32"/>
          <w:szCs w:val="32"/>
          <w:lang w:val="en-US" w:eastAsia="zh-CN" w:bidi="ar-SA"/>
        </w:rPr>
      </w:pPr>
      <w:r>
        <w:rPr>
          <w:rFonts w:hint="eastAsia" w:ascii="楷体_GB2312" w:hAnsi="楷体_GB2312" w:eastAsia="楷体_GB2312" w:cs="楷体_GB2312"/>
          <w:spacing w:val="-10"/>
          <w:kern w:val="0"/>
          <w:sz w:val="32"/>
          <w:szCs w:val="32"/>
          <w:lang w:val="en-US" w:eastAsia="zh-CN" w:bidi="ar-SA"/>
        </w:rPr>
        <w:t>——2025年2月26日在南雄市第十六届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spacing w:val="-10"/>
          <w:kern w:val="0"/>
          <w:sz w:val="32"/>
          <w:szCs w:val="32"/>
          <w:lang w:val="en-US" w:eastAsia="zh-CN" w:bidi="ar-SA"/>
        </w:rPr>
      </w:pPr>
      <w:r>
        <w:rPr>
          <w:rFonts w:hint="eastAsia" w:ascii="楷体_GB2312" w:hAnsi="楷体_GB2312" w:eastAsia="楷体_GB2312" w:cs="楷体_GB2312"/>
          <w:spacing w:val="-10"/>
          <w:kern w:val="0"/>
          <w:sz w:val="32"/>
          <w:szCs w:val="32"/>
          <w:lang w:val="en-US" w:eastAsia="zh-CN" w:bidi="ar-SA"/>
        </w:rPr>
        <w:t>人民代表大会第六次会议上</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楷体_GB2312" w:hAnsi="楷体_GB2312" w:eastAsia="楷体_GB2312" w:cs="楷体_GB2312"/>
          <w:spacing w:val="-10"/>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eastAsia" w:ascii="楷体_GB2312" w:hAnsi="楷体_GB2312" w:eastAsia="楷体_GB2312" w:cs="楷体_GB2312"/>
          <w:spacing w:val="-10"/>
          <w:kern w:val="0"/>
          <w:sz w:val="32"/>
          <w:szCs w:val="32"/>
          <w:lang w:val="en-US" w:eastAsia="zh-CN" w:bidi="ar-SA"/>
        </w:rPr>
      </w:pPr>
      <w:r>
        <w:rPr>
          <w:rFonts w:hint="eastAsia" w:ascii="楷体_GB2312" w:hAnsi="楷体_GB2312" w:eastAsia="楷体_GB2312" w:cs="楷体_GB2312"/>
          <w:spacing w:val="-10"/>
          <w:kern w:val="0"/>
          <w:sz w:val="32"/>
          <w:szCs w:val="32"/>
          <w:lang w:val="en-US" w:eastAsia="zh-CN" w:bidi="ar-SA"/>
        </w:rPr>
        <w:t>南雄市发展和改革局局长  李指源</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ascii="Times New Roman" w:hAnsi="Times New Roman" w:eastAsia="楷体" w:cs="Times New Roman"/>
          <w:sz w:val="32"/>
          <w:szCs w:val="32"/>
        </w:rPr>
      </w:pPr>
    </w:p>
    <w:p>
      <w:pPr>
        <w:keepNext w:val="0"/>
        <w:keepLines w:val="0"/>
        <w:pageBreakBefore w:val="0"/>
        <w:widowControl w:val="0"/>
        <w:kinsoku/>
        <w:wordWrap/>
        <w:topLinePunct w:val="0"/>
        <w:bidi w:val="0"/>
        <w:snapToGrid/>
        <w:spacing w:line="610" w:lineRule="exact"/>
        <w:ind w:left="0" w:leftChars="0"/>
        <w:textAlignment w:val="auto"/>
        <w:rPr>
          <w:rFonts w:hint="eastAsia" w:ascii="Times New Roman" w:hAnsi="Times New Roman" w:eastAsia="仿宋_GB2312" w:cs="仿宋_GB2312"/>
          <w:color w:val="auto"/>
          <w:sz w:val="32"/>
          <w:szCs w:val="32"/>
          <w:highlight w:val="none"/>
          <w:u w:val="none" w:color="auto"/>
          <w:lang w:val="en-US" w:eastAsia="zh-CN" w:bidi="ar-SA"/>
        </w:rPr>
      </w:pPr>
      <w:r>
        <w:rPr>
          <w:rFonts w:hint="eastAsia" w:ascii="Times New Roman" w:hAnsi="Times New Roman" w:eastAsia="仿宋_GB2312" w:cs="仿宋_GB2312"/>
          <w:color w:val="auto"/>
          <w:sz w:val="32"/>
          <w:szCs w:val="32"/>
          <w:highlight w:val="none"/>
          <w:u w:val="none" w:color="auto"/>
          <w:lang w:val="en-US" w:eastAsia="zh-CN" w:bidi="ar-SA"/>
        </w:rPr>
        <w:t>各位代表：</w:t>
      </w:r>
    </w:p>
    <w:p>
      <w:pPr>
        <w:keepNext w:val="0"/>
        <w:keepLines w:val="0"/>
        <w:pageBreakBefore w:val="0"/>
        <w:widowControl w:val="0"/>
        <w:kinsoku/>
        <w:wordWrap/>
        <w:overflowPunct/>
        <w:topLinePunct w:val="0"/>
        <w:bidi w:val="0"/>
        <w:snapToGrid/>
        <w:spacing w:line="610" w:lineRule="exact"/>
        <w:ind w:left="0" w:leftChars="0" w:firstLine="640" w:firstLineChars="200"/>
        <w:textAlignment w:val="auto"/>
        <w:rPr>
          <w:rFonts w:hint="eastAsia" w:ascii="Times New Roman" w:hAnsi="Times New Roman" w:eastAsia="仿宋_GB2312" w:cs="仿宋_GB2312"/>
          <w:highlight w:val="none"/>
          <w:u w:val="none" w:color="auto"/>
          <w:lang w:val="en-US" w:eastAsia="zh-CN"/>
        </w:rPr>
      </w:pPr>
      <w:r>
        <w:rPr>
          <w:rFonts w:hint="eastAsia" w:ascii="Times New Roman" w:hAnsi="Times New Roman" w:eastAsia="仿宋_GB2312" w:cs="仿宋_GB2312"/>
          <w:sz w:val="32"/>
          <w:szCs w:val="32"/>
          <w:highlight w:val="none"/>
          <w:u w:val="none" w:color="auto"/>
        </w:rPr>
        <w:t>我受市人民政府委托，向大会报告我市202</w:t>
      </w:r>
      <w:r>
        <w:rPr>
          <w:rFonts w:hint="eastAsia" w:ascii="Times New Roman" w:hAnsi="Times New Roman" w:eastAsia="仿宋_GB2312" w:cs="仿宋_GB2312"/>
          <w:sz w:val="32"/>
          <w:szCs w:val="32"/>
          <w:highlight w:val="none"/>
          <w:u w:val="none" w:color="auto"/>
          <w:lang w:val="en-US" w:eastAsia="zh-CN"/>
        </w:rPr>
        <w:t>4</w:t>
      </w:r>
      <w:r>
        <w:rPr>
          <w:rFonts w:hint="eastAsia" w:ascii="Times New Roman" w:hAnsi="Times New Roman" w:eastAsia="仿宋_GB2312" w:cs="仿宋_GB2312"/>
          <w:sz w:val="32"/>
          <w:szCs w:val="32"/>
          <w:highlight w:val="none"/>
          <w:u w:val="none" w:color="auto"/>
        </w:rPr>
        <w:t>年国民经济和社会发展计划执行情况与202</w:t>
      </w:r>
      <w:r>
        <w:rPr>
          <w:rFonts w:hint="eastAsia" w:ascii="Times New Roman" w:hAnsi="Times New Roman" w:eastAsia="仿宋_GB2312" w:cs="仿宋_GB2312"/>
          <w:sz w:val="32"/>
          <w:szCs w:val="32"/>
          <w:highlight w:val="none"/>
          <w:u w:val="none" w:color="auto"/>
          <w:lang w:val="en-US" w:eastAsia="zh-CN"/>
        </w:rPr>
        <w:t>5</w:t>
      </w:r>
      <w:r>
        <w:rPr>
          <w:rFonts w:hint="eastAsia" w:ascii="Times New Roman" w:hAnsi="Times New Roman" w:eastAsia="仿宋_GB2312" w:cs="仿宋_GB2312"/>
          <w:sz w:val="32"/>
          <w:szCs w:val="32"/>
          <w:highlight w:val="none"/>
          <w:u w:val="none" w:color="auto"/>
        </w:rPr>
        <w:t>年国民经济和社会发展计划草案，请予审议，并请各位列席会议同志提出宝贵意见。</w:t>
      </w:r>
    </w:p>
    <w:p>
      <w:pPr>
        <w:keepNext w:val="0"/>
        <w:keepLines w:val="0"/>
        <w:pageBreakBefore w:val="0"/>
        <w:widowControl w:val="0"/>
        <w:kinsoku/>
        <w:wordWrap/>
        <w:overflowPunct/>
        <w:topLinePunct w:val="0"/>
        <w:bidi w:val="0"/>
        <w:snapToGrid/>
        <w:spacing w:line="610" w:lineRule="exact"/>
        <w:ind w:left="0" w:leftChars="0" w:firstLine="640" w:firstLineChars="200"/>
        <w:textAlignment w:val="auto"/>
        <w:rPr>
          <w:rFonts w:hint="eastAsia" w:ascii="黑体" w:hAnsi="黑体" w:eastAsia="黑体" w:cs="黑体"/>
          <w:sz w:val="32"/>
          <w:szCs w:val="32"/>
          <w:highlight w:val="none"/>
          <w:u w:val="none" w:color="auto"/>
        </w:rPr>
      </w:pPr>
      <w:r>
        <w:rPr>
          <w:rFonts w:hint="eastAsia" w:ascii="黑体" w:hAnsi="黑体" w:eastAsia="黑体" w:cs="黑体"/>
          <w:sz w:val="32"/>
          <w:szCs w:val="32"/>
          <w:highlight w:val="none"/>
          <w:u w:val="none" w:color="auto"/>
        </w:rPr>
        <w:t>一、202</w:t>
      </w:r>
      <w:r>
        <w:rPr>
          <w:rFonts w:hint="eastAsia" w:ascii="黑体" w:hAnsi="黑体" w:eastAsia="黑体" w:cs="黑体"/>
          <w:sz w:val="32"/>
          <w:szCs w:val="32"/>
          <w:highlight w:val="none"/>
          <w:u w:val="none" w:color="auto"/>
          <w:lang w:val="en-US" w:eastAsia="zh-CN"/>
        </w:rPr>
        <w:t>4</w:t>
      </w:r>
      <w:r>
        <w:rPr>
          <w:rFonts w:hint="eastAsia" w:ascii="黑体" w:hAnsi="黑体" w:eastAsia="黑体" w:cs="黑体"/>
          <w:sz w:val="32"/>
          <w:szCs w:val="32"/>
          <w:highlight w:val="none"/>
          <w:u w:val="none" w:color="auto"/>
        </w:rPr>
        <w:t>年国民经济和社会发展计划执行情况</w:t>
      </w:r>
    </w:p>
    <w:p>
      <w:pPr>
        <w:keepNext w:val="0"/>
        <w:keepLines w:val="0"/>
        <w:pageBreakBefore w:val="0"/>
        <w:widowControl w:val="0"/>
        <w:kinsoku/>
        <w:wordWrap/>
        <w:overflowPunct/>
        <w:topLinePunct w:val="0"/>
        <w:bidi w:val="0"/>
        <w:snapToGrid/>
        <w:spacing w:line="610" w:lineRule="exact"/>
        <w:ind w:left="0" w:leftChars="0"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bidi="ar-SA"/>
          <w14:textFill>
            <w14:solidFill>
              <w14:schemeClr w14:val="tx1"/>
            </w14:solidFill>
          </w14:textFill>
        </w:rPr>
        <w:t>2024年是中华人民共和国成立75周年</w:t>
      </w:r>
      <w:r>
        <w:rPr>
          <w:rFonts w:hint="eastAsia" w:ascii="Times New Roman" w:hAnsi="Times New Roman" w:eastAsia="仿宋_GB2312" w:cs="仿宋_GB2312"/>
          <w:sz w:val="32"/>
          <w:szCs w:val="32"/>
          <w:highlight w:val="none"/>
          <w:u w:val="none" w:color="auto"/>
        </w:rPr>
        <w:t>，</w:t>
      </w:r>
      <w:r>
        <w:rPr>
          <w:rFonts w:hint="eastAsia" w:ascii="Times New Roman" w:hAnsi="Times New Roman" w:eastAsia="仿宋_GB2312" w:cs="仿宋_GB2312"/>
          <w:sz w:val="32"/>
          <w:szCs w:val="32"/>
          <w:highlight w:val="none"/>
          <w:u w:val="none" w:color="auto"/>
          <w:lang w:eastAsia="zh-CN"/>
        </w:rPr>
        <w:t>也</w:t>
      </w:r>
      <w:r>
        <w:rPr>
          <w:rFonts w:hint="eastAsia" w:ascii="Times New Roman" w:hAnsi="Times New Roman" w:eastAsia="仿宋_GB2312" w:cs="仿宋_GB2312"/>
          <w:sz w:val="32"/>
          <w:szCs w:val="32"/>
          <w:highlight w:val="none"/>
          <w:u w:val="none" w:color="auto"/>
        </w:rPr>
        <w:t>是</w:t>
      </w:r>
      <w:r>
        <w:rPr>
          <w:rFonts w:hint="eastAsia" w:ascii="Times New Roman" w:hAnsi="Times New Roman" w:eastAsia="仿宋_GB2312" w:cs="仿宋_GB2312"/>
          <w:sz w:val="32"/>
          <w:szCs w:val="32"/>
          <w:highlight w:val="none"/>
          <w:u w:val="none" w:color="auto"/>
          <w:lang w:eastAsia="zh-CN"/>
        </w:rPr>
        <w:t>实现</w:t>
      </w:r>
      <w:r>
        <w:rPr>
          <w:rFonts w:hint="eastAsia" w:ascii="Times New Roman" w:hAnsi="Times New Roman" w:eastAsia="仿宋_GB2312" w:cs="仿宋_GB2312"/>
          <w:sz w:val="32"/>
          <w:szCs w:val="32"/>
          <w:highlight w:val="none"/>
          <w:u w:val="none" w:color="auto"/>
        </w:rPr>
        <w:t>“十四五”</w:t>
      </w:r>
      <w:r>
        <w:rPr>
          <w:rFonts w:hint="eastAsia" w:ascii="Times New Roman" w:hAnsi="Times New Roman" w:eastAsia="仿宋_GB2312" w:cs="仿宋_GB2312"/>
          <w:sz w:val="32"/>
          <w:szCs w:val="32"/>
          <w:highlight w:val="none"/>
          <w:u w:val="none" w:color="auto"/>
          <w:lang w:eastAsia="zh-CN"/>
        </w:rPr>
        <w:t>目标任务</w:t>
      </w:r>
      <w:r>
        <w:rPr>
          <w:rFonts w:hint="eastAsia" w:ascii="Times New Roman" w:hAnsi="Times New Roman" w:eastAsia="仿宋_GB2312" w:cs="仿宋_GB2312"/>
          <w:sz w:val="32"/>
          <w:szCs w:val="32"/>
          <w:highlight w:val="none"/>
          <w:u w:val="none" w:color="auto"/>
        </w:rPr>
        <w:t>的关键之年</w:t>
      </w:r>
      <w:r>
        <w:rPr>
          <w:rFonts w:hint="eastAsia" w:ascii="Times New Roman" w:hAnsi="Times New Roman" w:eastAsia="仿宋_GB2312" w:cs="仿宋_GB2312"/>
          <w:sz w:val="32"/>
          <w:szCs w:val="32"/>
          <w:highlight w:val="none"/>
          <w:u w:val="none" w:color="auto"/>
          <w:lang w:eastAsia="zh-CN"/>
        </w:rPr>
        <w:t>。</w:t>
      </w:r>
      <w:r>
        <w:rPr>
          <w:rFonts w:hint="eastAsia" w:ascii="Times New Roman" w:hAnsi="Times New Roman" w:eastAsia="仿宋_GB2312" w:cs="仿宋_GB2312"/>
          <w:sz w:val="32"/>
          <w:szCs w:val="32"/>
          <w:highlight w:val="none"/>
          <w:u w:val="none" w:color="auto"/>
        </w:rPr>
        <w:t>一年来，在市委、市政府的坚强领导下，在市人大、市政协的监督和支持下，全市上下坚持以习近平新时代中国特色社会主义思想为指导，</w:t>
      </w:r>
      <w:r>
        <w:rPr>
          <w:rFonts w:hint="eastAsia" w:ascii="Times New Roman" w:hAnsi="Times New Roman" w:eastAsia="仿宋_GB2312" w:cs="仿宋_GB2312"/>
          <w:color w:val="auto"/>
          <w:sz w:val="32"/>
          <w:szCs w:val="32"/>
          <w:highlight w:val="none"/>
          <w:u w:val="none" w:color="auto"/>
          <w:lang w:val="en-US" w:eastAsia="zh-CN"/>
        </w:rPr>
        <w:t>深入学习贯彻党的二十大和二十届二中、三中全会精神，全面贯彻落实习近平总书记关于全面深化改革的重要论述和对广东系列重要讲话、重要指示精神，</w:t>
      </w:r>
      <w:r>
        <w:rPr>
          <w:rFonts w:hint="eastAsia" w:ascii="Times New Roman" w:hAnsi="Times New Roman" w:eastAsia="仿宋_GB2312" w:cs="仿宋_GB2312"/>
          <w:sz w:val="32"/>
          <w:szCs w:val="32"/>
          <w:highlight w:val="none"/>
          <w:u w:val="none" w:color="auto"/>
        </w:rPr>
        <w:t>按照党中央和国务院决策部署，紧紧围绕省委“1310”具体部署和韶关市委“363”工作要求，突出以省“百千万工程”典型县建设牵引南雄高质量发展，</w:t>
      </w:r>
      <w:r>
        <w:rPr>
          <w:rFonts w:hint="eastAsia" w:ascii="Times New Roman" w:hAnsi="Times New Roman" w:eastAsia="仿宋_GB2312" w:cs="仿宋_GB2312"/>
          <w:sz w:val="32"/>
          <w:szCs w:val="32"/>
          <w:highlight w:val="none"/>
          <w:u w:val="none" w:color="auto"/>
          <w:lang w:val="en-US" w:eastAsia="zh-CN"/>
        </w:rPr>
        <w:t>坚持改革创新，努力担当作为，</w:t>
      </w:r>
      <w:r>
        <w:rPr>
          <w:rFonts w:hint="eastAsia" w:eastAsia="仿宋_GB2312" w:cs="仿宋_GB2312"/>
          <w:sz w:val="32"/>
          <w:szCs w:val="32"/>
          <w:highlight w:val="none"/>
          <w:u w:val="none" w:color="auto"/>
          <w:lang w:eastAsia="zh-CN"/>
        </w:rPr>
        <w:t>入选</w:t>
      </w:r>
      <w:r>
        <w:rPr>
          <w:rFonts w:hint="eastAsia" w:ascii="Times New Roman" w:hAnsi="Times New Roman" w:eastAsia="仿宋_GB2312" w:cs="仿宋_GB2312"/>
          <w:sz w:val="32"/>
          <w:szCs w:val="32"/>
          <w:highlight w:val="none"/>
          <w:u w:val="none" w:color="auto"/>
        </w:rPr>
        <w:t>全省首批以县城为重要载体的新型城镇化试点和县镇</w:t>
      </w:r>
      <w:r>
        <w:rPr>
          <w:rFonts w:hint="eastAsia" w:ascii="Times New Roman" w:hAnsi="Times New Roman" w:eastAsia="仿宋_GB2312" w:cs="仿宋_GB2312"/>
          <w:sz w:val="32"/>
          <w:szCs w:val="32"/>
          <w:highlight w:val="none"/>
          <w:u w:val="none" w:color="auto"/>
          <w:lang w:val="en-US" w:eastAsia="zh-CN"/>
        </w:rPr>
        <w:t>管理体制</w:t>
      </w:r>
      <w:r>
        <w:rPr>
          <w:rFonts w:hint="eastAsia" w:ascii="Times New Roman" w:hAnsi="Times New Roman" w:eastAsia="仿宋_GB2312" w:cs="仿宋_GB2312"/>
          <w:sz w:val="32"/>
          <w:szCs w:val="32"/>
          <w:highlight w:val="none"/>
          <w:u w:val="none" w:color="auto"/>
        </w:rPr>
        <w:t>改革试点，</w:t>
      </w:r>
      <w:r>
        <w:rPr>
          <w:rFonts w:hint="eastAsia" w:ascii="Times New Roman" w:hAnsi="Times New Roman" w:eastAsia="仿宋_GB2312" w:cs="仿宋_GB2312"/>
          <w:sz w:val="32"/>
          <w:szCs w:val="32"/>
          <w:highlight w:val="none"/>
          <w:u w:val="none" w:color="auto"/>
          <w:lang w:val="en-US" w:eastAsia="zh-CN"/>
        </w:rPr>
        <w:t>推动</w:t>
      </w:r>
      <w:r>
        <w:rPr>
          <w:rFonts w:hint="eastAsia" w:ascii="Times New Roman" w:hAnsi="Times New Roman" w:eastAsia="仿宋_GB2312" w:cs="仿宋_GB2312"/>
          <w:i w:val="0"/>
          <w:iCs w:val="0"/>
          <w:caps w:val="0"/>
          <w:color w:val="auto"/>
          <w:spacing w:val="0"/>
          <w:sz w:val="32"/>
          <w:szCs w:val="32"/>
          <w:highlight w:val="none"/>
          <w:u w:val="none" w:color="auto"/>
          <w:shd w:val="clear" w:fill="FFFFFF"/>
        </w:rPr>
        <w:t>经济运行总体平稳、稳中有进，</w:t>
      </w:r>
      <w:r>
        <w:rPr>
          <w:rFonts w:hint="eastAsia" w:ascii="Times New Roman" w:hAnsi="Times New Roman" w:eastAsia="仿宋_GB2312" w:cs="仿宋_GB2312"/>
          <w:i w:val="0"/>
          <w:iCs w:val="0"/>
          <w:caps w:val="0"/>
          <w:color w:val="auto"/>
          <w:spacing w:val="0"/>
          <w:sz w:val="32"/>
          <w:szCs w:val="32"/>
          <w:highlight w:val="none"/>
          <w:u w:val="none" w:color="auto"/>
          <w:shd w:val="clear" w:fill="FFFFFF"/>
          <w:lang w:val="en-US" w:eastAsia="zh-CN"/>
        </w:rPr>
        <w:t>民生保障扎实有力，社会大局和谐稳定，</w:t>
      </w:r>
      <w:r>
        <w:rPr>
          <w:rFonts w:hint="eastAsia" w:ascii="Times New Roman" w:hAnsi="Times New Roman" w:eastAsia="仿宋_GB2312" w:cs="仿宋_GB2312"/>
          <w:color w:val="auto"/>
          <w:sz w:val="32"/>
          <w:szCs w:val="32"/>
          <w:highlight w:val="none"/>
          <w:u w:val="none" w:color="auto"/>
          <w:lang w:val="en-US" w:eastAsia="zh-CN"/>
        </w:rPr>
        <w:t>各项事业取得新进步。</w:t>
      </w:r>
    </w:p>
    <w:p>
      <w:pPr>
        <w:pStyle w:val="5"/>
        <w:keepNext w:val="0"/>
        <w:keepLines w:val="0"/>
        <w:pageBreakBefore w:val="0"/>
        <w:widowControl w:val="0"/>
        <w:kinsoku/>
        <w:wordWrap/>
        <w:overflowPunct w:val="0"/>
        <w:topLinePunct w:val="0"/>
        <w:autoSpaceDE/>
        <w:autoSpaceDN/>
        <w:bidi w:val="0"/>
        <w:adjustRightInd/>
        <w:snapToGrid/>
        <w:spacing w:after="0" w:line="610" w:lineRule="exact"/>
        <w:ind w:firstLine="640" w:firstLineChars="200"/>
        <w:textAlignment w:val="auto"/>
        <w:rPr>
          <w:rFonts w:hint="eastAsia" w:ascii="Times New Roman" w:hAnsi="Times New Roman" w:eastAsia="仿宋_GB2312" w:cs="仿宋_GB2312"/>
          <w:color w:val="auto"/>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lang w:eastAsia="zh-CN"/>
        </w:rPr>
        <w:t>（</w:t>
      </w:r>
      <w:r>
        <w:rPr>
          <w:rFonts w:hint="eastAsia" w:ascii="楷体_GB2312" w:hAnsi="楷体_GB2312" w:eastAsia="楷体_GB2312" w:cs="楷体_GB2312"/>
          <w:color w:val="auto"/>
          <w:sz w:val="32"/>
          <w:szCs w:val="32"/>
          <w:highlight w:val="none"/>
          <w:u w:val="none" w:color="auto"/>
          <w:lang w:val="en-US" w:eastAsia="zh-CN"/>
        </w:rPr>
        <w:t>一）</w:t>
      </w:r>
      <w:r>
        <w:rPr>
          <w:rFonts w:hint="eastAsia" w:ascii="楷体_GB2312" w:hAnsi="楷体_GB2312" w:eastAsia="楷体_GB2312" w:cs="楷体_GB2312"/>
          <w:color w:val="000000"/>
          <w:sz w:val="32"/>
          <w:szCs w:val="32"/>
          <w:lang w:eastAsia="zh-CN"/>
        </w:rPr>
        <w:t>落实</w:t>
      </w:r>
      <w:r>
        <w:rPr>
          <w:rFonts w:hint="eastAsia" w:ascii="楷体_GB2312" w:hAnsi="楷体_GB2312" w:eastAsia="楷体_GB2312" w:cs="楷体_GB2312"/>
          <w:color w:val="000000"/>
          <w:sz w:val="32"/>
          <w:szCs w:val="32"/>
        </w:rPr>
        <w:t>高质量发展</w:t>
      </w:r>
      <w:r>
        <w:rPr>
          <w:rFonts w:hint="eastAsia" w:ascii="楷体_GB2312" w:hAnsi="楷体_GB2312" w:eastAsia="楷体_GB2312" w:cs="楷体_GB2312"/>
          <w:color w:val="000000"/>
          <w:sz w:val="32"/>
          <w:szCs w:val="32"/>
          <w:lang w:eastAsia="zh-CN"/>
        </w:rPr>
        <w:t>理念</w:t>
      </w:r>
      <w:r>
        <w:rPr>
          <w:rFonts w:hint="eastAsia" w:ascii="楷体_GB2312" w:hAnsi="楷体_GB2312" w:eastAsia="楷体_GB2312" w:cs="楷体_GB2312"/>
          <w:color w:val="000000"/>
          <w:sz w:val="32"/>
          <w:szCs w:val="32"/>
        </w:rPr>
        <w:t>，</w:t>
      </w:r>
      <w:r>
        <w:rPr>
          <w:rFonts w:hint="eastAsia" w:ascii="楷体_GB2312" w:hAnsi="楷体_GB2312" w:eastAsia="楷体_GB2312" w:cs="楷体_GB2312"/>
          <w:color w:val="auto"/>
          <w:sz w:val="32"/>
          <w:szCs w:val="32"/>
          <w:highlight w:val="none"/>
          <w:u w:val="none" w:color="auto"/>
        </w:rPr>
        <w:t>经济运行稳进提质</w:t>
      </w:r>
      <w:r>
        <w:rPr>
          <w:rFonts w:hint="eastAsia" w:ascii="楷体_GB2312" w:hAnsi="楷体_GB2312" w:eastAsia="楷体_GB2312" w:cs="楷体_GB2312"/>
          <w:sz w:val="32"/>
          <w:szCs w:val="32"/>
          <w:highlight w:val="none"/>
          <w:u w:val="none" w:color="auto"/>
        </w:rPr>
        <w:t>。</w:t>
      </w:r>
      <w:r>
        <w:rPr>
          <w:rFonts w:hint="eastAsia" w:ascii="Times New Roman" w:hAnsi="Times New Roman" w:eastAsia="仿宋_GB2312" w:cs="仿宋_GB2312"/>
          <w:sz w:val="32"/>
          <w:szCs w:val="32"/>
          <w:highlight w:val="none"/>
          <w:u w:val="none" w:color="auto"/>
        </w:rPr>
        <w:t>202</w:t>
      </w:r>
      <w:r>
        <w:rPr>
          <w:rFonts w:hint="eastAsia" w:ascii="Times New Roman" w:hAnsi="Times New Roman" w:eastAsia="仿宋_GB2312" w:cs="仿宋_GB2312"/>
          <w:sz w:val="32"/>
          <w:szCs w:val="32"/>
          <w:highlight w:val="none"/>
          <w:u w:val="none" w:color="auto"/>
          <w:lang w:val="en-US" w:eastAsia="zh-CN"/>
        </w:rPr>
        <w:t>4</w:t>
      </w:r>
      <w:r>
        <w:rPr>
          <w:rFonts w:hint="eastAsia" w:ascii="Times New Roman" w:hAnsi="Times New Roman" w:eastAsia="仿宋_GB2312" w:cs="仿宋_GB2312"/>
          <w:sz w:val="32"/>
          <w:szCs w:val="32"/>
          <w:highlight w:val="none"/>
          <w:u w:val="none" w:color="auto"/>
        </w:rPr>
        <w:t>年</w:t>
      </w:r>
      <w:r>
        <w:rPr>
          <w:rFonts w:hint="eastAsia" w:ascii="Times New Roman" w:hAnsi="Times New Roman" w:eastAsia="仿宋_GB2312" w:cs="仿宋_GB2312"/>
          <w:color w:val="auto"/>
          <w:sz w:val="32"/>
          <w:szCs w:val="32"/>
          <w:highlight w:val="none"/>
          <w:u w:val="none" w:color="auto"/>
          <w:lang w:val="en-US" w:eastAsia="zh-CN"/>
        </w:rPr>
        <w:t>面对复杂严峻的宏观经济</w:t>
      </w:r>
      <w:r>
        <w:rPr>
          <w:rFonts w:hint="eastAsia" w:eastAsia="仿宋_GB2312" w:cs="仿宋_GB2312"/>
          <w:color w:val="auto"/>
          <w:sz w:val="32"/>
          <w:szCs w:val="32"/>
          <w:highlight w:val="none"/>
          <w:u w:val="none" w:color="auto"/>
          <w:lang w:val="en-US" w:eastAsia="zh-CN"/>
        </w:rPr>
        <w:t>形势</w:t>
      </w:r>
      <w:r>
        <w:rPr>
          <w:rFonts w:hint="eastAsia" w:ascii="Times New Roman" w:hAnsi="Times New Roman" w:eastAsia="仿宋_GB2312" w:cs="仿宋_GB2312"/>
          <w:color w:val="auto"/>
          <w:sz w:val="32"/>
          <w:szCs w:val="32"/>
          <w:highlight w:val="none"/>
          <w:u w:val="none" w:color="auto"/>
          <w:lang w:val="en-US" w:eastAsia="zh-CN"/>
        </w:rPr>
        <w:t>，</w:t>
      </w:r>
      <w:r>
        <w:rPr>
          <w:rFonts w:hint="eastAsia" w:ascii="Times New Roman" w:hAnsi="Times New Roman" w:eastAsia="仿宋_GB2312" w:cs="仿宋_GB2312"/>
          <w:sz w:val="32"/>
          <w:szCs w:val="32"/>
          <w:highlight w:val="none"/>
          <w:u w:val="none" w:color="auto"/>
          <w:lang w:eastAsia="zh-CN"/>
        </w:rPr>
        <w:t>我</w:t>
      </w:r>
      <w:r>
        <w:rPr>
          <w:rFonts w:hint="eastAsia" w:ascii="Times New Roman" w:hAnsi="Times New Roman" w:eastAsia="仿宋_GB2312" w:cs="仿宋_GB2312"/>
          <w:sz w:val="32"/>
          <w:szCs w:val="32"/>
          <w:highlight w:val="none"/>
          <w:u w:val="none" w:color="auto"/>
        </w:rPr>
        <w:t>市坚持稳中求进工作总基调，</w:t>
      </w:r>
      <w:r>
        <w:rPr>
          <w:rFonts w:hint="eastAsia" w:ascii="Times New Roman" w:hAnsi="Times New Roman" w:eastAsia="仿宋_GB2312" w:cs="仿宋_GB2312"/>
          <w:color w:val="auto"/>
          <w:sz w:val="32"/>
          <w:szCs w:val="32"/>
          <w:highlight w:val="none"/>
          <w:u w:val="none" w:color="auto"/>
          <w:lang w:val="en-US" w:eastAsia="zh-CN"/>
        </w:rPr>
        <w:t>切实推动国家和省稳增长一揽子增量政策落地见效。</w:t>
      </w:r>
      <w:bookmarkStart w:id="0" w:name="OLE_LINK2"/>
      <w:r>
        <w:rPr>
          <w:rFonts w:hint="eastAsia" w:ascii="Times New Roman" w:hAnsi="Times New Roman" w:eastAsia="仿宋_GB2312" w:cs="仿宋_GB2312"/>
          <w:color w:val="auto"/>
          <w:sz w:val="32"/>
          <w:szCs w:val="32"/>
          <w:highlight w:val="none"/>
          <w:u w:val="none" w:color="auto"/>
          <w:lang w:val="en-US" w:eastAsia="zh-CN"/>
        </w:rPr>
        <w:t>全市地区生产总值</w:t>
      </w:r>
      <w:r>
        <w:rPr>
          <w:rFonts w:hint="eastAsia" w:eastAsia="仿宋_GB2312" w:cs="仿宋_GB2312"/>
          <w:color w:val="auto"/>
          <w:sz w:val="32"/>
          <w:szCs w:val="32"/>
          <w:highlight w:val="none"/>
          <w:u w:val="none" w:color="auto"/>
          <w:lang w:val="en-US" w:eastAsia="zh-CN"/>
        </w:rPr>
        <w:t>完成149.49亿元，</w:t>
      </w:r>
      <w:r>
        <w:rPr>
          <w:rFonts w:hint="eastAsia" w:ascii="Times New Roman" w:hAnsi="Times New Roman" w:eastAsia="仿宋_GB2312" w:cs="仿宋_GB2312"/>
          <w:color w:val="auto"/>
          <w:sz w:val="32"/>
          <w:szCs w:val="32"/>
          <w:highlight w:val="none"/>
          <w:u w:val="none" w:color="auto"/>
          <w:lang w:val="en-US" w:eastAsia="zh-CN"/>
        </w:rPr>
        <w:t>同比增长</w:t>
      </w:r>
      <w:r>
        <w:rPr>
          <w:rFonts w:hint="eastAsia" w:eastAsia="仿宋_GB2312" w:cs="仿宋_GB2312"/>
          <w:color w:val="auto"/>
          <w:sz w:val="32"/>
          <w:szCs w:val="32"/>
          <w:highlight w:val="none"/>
          <w:u w:val="none" w:color="auto"/>
          <w:lang w:val="en-US" w:eastAsia="zh-CN"/>
        </w:rPr>
        <w:t>1.6</w:t>
      </w:r>
      <w:r>
        <w:rPr>
          <w:rFonts w:hint="eastAsia" w:ascii="Times New Roman" w:hAnsi="Times New Roman" w:eastAsia="仿宋_GB2312" w:cs="仿宋_GB2312"/>
          <w:color w:val="auto"/>
          <w:sz w:val="32"/>
          <w:szCs w:val="32"/>
          <w:highlight w:val="none"/>
          <w:u w:val="none" w:color="auto"/>
          <w:lang w:val="en-US" w:eastAsia="zh-CN"/>
        </w:rPr>
        <w:t>%。其中第一产业</w:t>
      </w:r>
      <w:r>
        <w:rPr>
          <w:rFonts w:hint="eastAsia" w:eastAsia="仿宋_GB2312" w:cs="仿宋_GB2312"/>
          <w:color w:val="auto"/>
          <w:sz w:val="32"/>
          <w:szCs w:val="32"/>
          <w:highlight w:val="none"/>
          <w:u w:val="none" w:color="auto"/>
          <w:lang w:val="en-US" w:eastAsia="zh-CN"/>
        </w:rPr>
        <w:t>增加值完成40.22亿元，</w:t>
      </w:r>
      <w:r>
        <w:rPr>
          <w:rFonts w:hint="eastAsia" w:ascii="Times New Roman" w:hAnsi="Times New Roman" w:eastAsia="仿宋_GB2312" w:cs="仿宋_GB2312"/>
          <w:color w:val="auto"/>
          <w:sz w:val="32"/>
          <w:szCs w:val="32"/>
          <w:highlight w:val="none"/>
          <w:u w:val="none" w:color="auto"/>
          <w:lang w:val="en-US" w:eastAsia="zh-CN"/>
        </w:rPr>
        <w:t>同比增长</w:t>
      </w:r>
      <w:r>
        <w:rPr>
          <w:rFonts w:hint="eastAsia" w:eastAsia="仿宋_GB2312" w:cs="仿宋_GB2312"/>
          <w:color w:val="222222"/>
          <w:sz w:val="32"/>
          <w:szCs w:val="32"/>
          <w:highlight w:val="none"/>
          <w:u w:val="none" w:color="auto"/>
          <w:lang w:val="en-US" w:eastAsia="zh-CN"/>
        </w:rPr>
        <w:t>0.3</w:t>
      </w:r>
      <w:r>
        <w:rPr>
          <w:rFonts w:hint="eastAsia" w:ascii="Times New Roman" w:hAnsi="Times New Roman" w:eastAsia="仿宋_GB2312" w:cs="仿宋_GB2312"/>
          <w:color w:val="auto"/>
          <w:sz w:val="32"/>
          <w:szCs w:val="32"/>
          <w:highlight w:val="none"/>
          <w:u w:val="none" w:color="auto"/>
          <w:lang w:val="en-US" w:eastAsia="zh-CN"/>
        </w:rPr>
        <w:t>%，第二产业</w:t>
      </w:r>
      <w:r>
        <w:rPr>
          <w:rFonts w:hint="eastAsia" w:eastAsia="仿宋_GB2312" w:cs="仿宋_GB2312"/>
          <w:color w:val="auto"/>
          <w:sz w:val="32"/>
          <w:szCs w:val="32"/>
          <w:highlight w:val="none"/>
          <w:u w:val="none" w:color="auto"/>
          <w:lang w:val="en-US" w:eastAsia="zh-CN"/>
        </w:rPr>
        <w:t>增加值完成35.27亿元，</w:t>
      </w:r>
      <w:r>
        <w:rPr>
          <w:rFonts w:hint="eastAsia" w:ascii="Times New Roman" w:hAnsi="Times New Roman" w:eastAsia="仿宋_GB2312" w:cs="仿宋_GB2312"/>
          <w:color w:val="auto"/>
          <w:sz w:val="32"/>
          <w:szCs w:val="32"/>
          <w:highlight w:val="none"/>
          <w:u w:val="none" w:color="auto"/>
          <w:lang w:val="en-US" w:eastAsia="zh-CN"/>
        </w:rPr>
        <w:t>同比增长</w:t>
      </w:r>
      <w:r>
        <w:rPr>
          <w:rFonts w:hint="eastAsia" w:eastAsia="仿宋_GB2312" w:cs="仿宋_GB2312"/>
          <w:color w:val="222222"/>
          <w:sz w:val="32"/>
          <w:szCs w:val="32"/>
          <w:highlight w:val="none"/>
          <w:u w:val="none" w:color="auto"/>
          <w:lang w:val="en-US" w:eastAsia="zh-CN"/>
        </w:rPr>
        <w:t>2.0</w:t>
      </w:r>
      <w:r>
        <w:rPr>
          <w:rFonts w:hint="eastAsia" w:ascii="Times New Roman" w:hAnsi="Times New Roman" w:eastAsia="仿宋_GB2312" w:cs="仿宋_GB2312"/>
          <w:color w:val="222222"/>
          <w:sz w:val="32"/>
          <w:szCs w:val="32"/>
          <w:highlight w:val="none"/>
          <w:u w:val="none" w:color="auto"/>
          <w:lang w:val="en-US" w:eastAsia="zh-CN"/>
        </w:rPr>
        <w:t>%</w:t>
      </w:r>
      <w:r>
        <w:rPr>
          <w:rFonts w:hint="eastAsia" w:ascii="Times New Roman" w:hAnsi="Times New Roman" w:eastAsia="仿宋_GB2312" w:cs="仿宋_GB2312"/>
          <w:color w:val="auto"/>
          <w:sz w:val="32"/>
          <w:szCs w:val="32"/>
          <w:highlight w:val="none"/>
          <w:u w:val="none" w:color="auto"/>
          <w:lang w:val="en-US" w:eastAsia="zh-CN"/>
        </w:rPr>
        <w:t>，第三产业</w:t>
      </w:r>
      <w:r>
        <w:rPr>
          <w:rFonts w:hint="eastAsia" w:eastAsia="仿宋_GB2312" w:cs="仿宋_GB2312"/>
          <w:color w:val="auto"/>
          <w:sz w:val="32"/>
          <w:szCs w:val="32"/>
          <w:highlight w:val="none"/>
          <w:u w:val="none" w:color="auto"/>
          <w:lang w:val="en-US" w:eastAsia="zh-CN"/>
        </w:rPr>
        <w:t>增加值完成74亿元，</w:t>
      </w:r>
      <w:r>
        <w:rPr>
          <w:rFonts w:hint="eastAsia" w:ascii="Times New Roman" w:hAnsi="Times New Roman" w:eastAsia="仿宋_GB2312" w:cs="仿宋_GB2312"/>
          <w:color w:val="auto"/>
          <w:sz w:val="32"/>
          <w:szCs w:val="32"/>
          <w:highlight w:val="none"/>
          <w:u w:val="none" w:color="auto"/>
          <w:lang w:val="en-US" w:eastAsia="zh-CN"/>
        </w:rPr>
        <w:t>同比增长</w:t>
      </w:r>
      <w:r>
        <w:rPr>
          <w:rFonts w:hint="eastAsia" w:ascii="Times New Roman" w:hAnsi="Times New Roman" w:eastAsia="仿宋_GB2312" w:cs="仿宋_GB2312"/>
          <w:color w:val="222222"/>
          <w:sz w:val="32"/>
          <w:szCs w:val="32"/>
          <w:highlight w:val="none"/>
          <w:u w:val="none" w:color="auto"/>
          <w:lang w:val="en-US" w:eastAsia="zh-CN"/>
        </w:rPr>
        <w:t>2.</w:t>
      </w:r>
      <w:r>
        <w:rPr>
          <w:rFonts w:hint="eastAsia" w:eastAsia="仿宋_GB2312" w:cs="仿宋_GB2312"/>
          <w:color w:val="222222"/>
          <w:sz w:val="32"/>
          <w:szCs w:val="32"/>
          <w:highlight w:val="none"/>
          <w:u w:val="none" w:color="auto"/>
          <w:lang w:val="en-US" w:eastAsia="zh-CN"/>
        </w:rPr>
        <w:t>1</w:t>
      </w:r>
      <w:r>
        <w:rPr>
          <w:rFonts w:hint="eastAsia" w:ascii="Times New Roman" w:hAnsi="Times New Roman" w:eastAsia="仿宋_GB2312" w:cs="仿宋_GB2312"/>
          <w:color w:val="222222"/>
          <w:sz w:val="32"/>
          <w:szCs w:val="32"/>
          <w:highlight w:val="none"/>
          <w:u w:val="none" w:color="auto"/>
          <w:lang w:val="en-US" w:eastAsia="zh-CN"/>
        </w:rPr>
        <w:t>%。</w:t>
      </w:r>
      <w:bookmarkEnd w:id="0"/>
      <w:r>
        <w:rPr>
          <w:rFonts w:hint="eastAsia" w:ascii="Times New Roman" w:hAnsi="Times New Roman" w:eastAsia="仿宋_GB2312" w:cs="仿宋_GB2312"/>
          <w:sz w:val="32"/>
          <w:szCs w:val="32"/>
          <w:highlight w:val="none"/>
          <w:u w:val="none" w:color="auto"/>
          <w:lang w:eastAsia="zh-CN"/>
        </w:rPr>
        <w:t>全市经济发展保持稳中向好态势</w:t>
      </w:r>
      <w:r>
        <w:rPr>
          <w:rFonts w:hint="eastAsia" w:ascii="Times New Roman" w:hAnsi="Times New Roman" w:eastAsia="仿宋_GB2312" w:cs="仿宋_GB2312"/>
          <w:color w:val="auto"/>
          <w:sz w:val="32"/>
          <w:szCs w:val="32"/>
          <w:highlight w:val="none"/>
          <w:u w:val="none" w:color="auto"/>
        </w:rPr>
        <w:t>。</w:t>
      </w:r>
      <w:r>
        <w:rPr>
          <w:rFonts w:hint="eastAsia" w:ascii="Times New Roman" w:hAnsi="Times New Roman" w:eastAsia="仿宋_GB2312" w:cs="仿宋_GB2312"/>
          <w:b/>
          <w:bCs/>
          <w:color w:val="auto"/>
          <w:kern w:val="2"/>
          <w:sz w:val="32"/>
          <w:szCs w:val="32"/>
          <w:highlight w:val="none"/>
          <w:u w:val="none" w:color="auto"/>
          <w:lang w:val="en-US" w:eastAsia="zh-CN" w:bidi="ar-SA"/>
        </w:rPr>
        <w:t>工业发展提质增效。</w:t>
      </w:r>
      <w:r>
        <w:rPr>
          <w:rFonts w:hint="eastAsia" w:ascii="Times New Roman" w:hAnsi="Times New Roman" w:eastAsia="仿宋_GB2312" w:cs="仿宋_GB2312"/>
          <w:spacing w:val="0"/>
          <w:kern w:val="0"/>
          <w:sz w:val="32"/>
          <w:szCs w:val="32"/>
          <w:highlight w:val="none"/>
          <w:u w:val="none" w:color="auto"/>
          <w:lang w:val="en-US" w:eastAsia="zh-CN" w:bidi="ar-SA"/>
        </w:rPr>
        <w:t>全年完成规上工业增加值15.</w:t>
      </w:r>
      <w:r>
        <w:rPr>
          <w:rFonts w:hint="eastAsia" w:eastAsia="仿宋_GB2312" w:cs="仿宋_GB2312"/>
          <w:spacing w:val="0"/>
          <w:kern w:val="0"/>
          <w:sz w:val="32"/>
          <w:szCs w:val="32"/>
          <w:highlight w:val="none"/>
          <w:u w:val="none" w:color="auto"/>
          <w:lang w:val="en-US" w:eastAsia="zh-CN" w:bidi="ar-SA"/>
        </w:rPr>
        <w:t>48</w:t>
      </w:r>
      <w:r>
        <w:rPr>
          <w:rFonts w:hint="eastAsia" w:ascii="Times New Roman" w:hAnsi="Times New Roman" w:eastAsia="仿宋_GB2312" w:cs="仿宋_GB2312"/>
          <w:spacing w:val="0"/>
          <w:kern w:val="0"/>
          <w:sz w:val="32"/>
          <w:szCs w:val="32"/>
          <w:highlight w:val="none"/>
          <w:u w:val="none" w:color="auto"/>
          <w:lang w:val="en-US" w:eastAsia="zh-CN" w:bidi="ar-SA"/>
        </w:rPr>
        <w:t>亿元、同比增长11</w:t>
      </w:r>
      <w:r>
        <w:rPr>
          <w:rFonts w:hint="eastAsia" w:eastAsia="仿宋_GB2312" w:cs="仿宋_GB2312"/>
          <w:spacing w:val="0"/>
          <w:kern w:val="0"/>
          <w:sz w:val="32"/>
          <w:szCs w:val="32"/>
          <w:highlight w:val="none"/>
          <w:u w:val="none" w:color="auto"/>
          <w:lang w:val="en-US" w:eastAsia="zh-CN" w:bidi="ar-SA"/>
        </w:rPr>
        <w:t>.4</w:t>
      </w:r>
      <w:r>
        <w:rPr>
          <w:rFonts w:hint="eastAsia" w:ascii="Times New Roman" w:hAnsi="Times New Roman" w:eastAsia="仿宋_GB2312" w:cs="仿宋_GB2312"/>
          <w:spacing w:val="0"/>
          <w:kern w:val="0"/>
          <w:sz w:val="32"/>
          <w:szCs w:val="32"/>
          <w:highlight w:val="none"/>
          <w:u w:val="none" w:color="auto"/>
          <w:lang w:val="en-US" w:eastAsia="zh-CN" w:bidi="ar-SA"/>
        </w:rPr>
        <w:t>%，完成工业投资19.</w:t>
      </w:r>
      <w:r>
        <w:rPr>
          <w:rFonts w:hint="eastAsia" w:eastAsia="仿宋_GB2312" w:cs="仿宋_GB2312"/>
          <w:spacing w:val="0"/>
          <w:kern w:val="0"/>
          <w:sz w:val="32"/>
          <w:szCs w:val="32"/>
          <w:highlight w:val="none"/>
          <w:u w:val="none" w:color="auto"/>
          <w:lang w:val="en-US" w:eastAsia="zh-CN" w:bidi="ar-SA"/>
        </w:rPr>
        <w:t>3</w:t>
      </w:r>
      <w:r>
        <w:rPr>
          <w:rFonts w:hint="eastAsia" w:ascii="Times New Roman" w:hAnsi="Times New Roman" w:eastAsia="仿宋_GB2312" w:cs="仿宋_GB2312"/>
          <w:spacing w:val="0"/>
          <w:kern w:val="0"/>
          <w:sz w:val="32"/>
          <w:szCs w:val="32"/>
          <w:highlight w:val="none"/>
          <w:u w:val="none" w:color="auto"/>
          <w:lang w:val="en-US" w:eastAsia="zh-CN" w:bidi="ar-SA"/>
        </w:rPr>
        <w:t>亿元、同比增长1</w:t>
      </w:r>
      <w:r>
        <w:rPr>
          <w:rFonts w:hint="eastAsia" w:eastAsia="仿宋_GB2312" w:cs="仿宋_GB2312"/>
          <w:spacing w:val="0"/>
          <w:kern w:val="0"/>
          <w:sz w:val="32"/>
          <w:szCs w:val="32"/>
          <w:highlight w:val="none"/>
          <w:u w:val="none" w:color="auto"/>
          <w:lang w:val="en-US" w:eastAsia="zh-CN" w:bidi="ar-SA"/>
        </w:rPr>
        <w:t>0</w:t>
      </w:r>
      <w:r>
        <w:rPr>
          <w:rFonts w:hint="eastAsia" w:ascii="Times New Roman" w:hAnsi="Times New Roman" w:eastAsia="仿宋_GB2312" w:cs="仿宋_GB2312"/>
          <w:spacing w:val="0"/>
          <w:kern w:val="0"/>
          <w:sz w:val="32"/>
          <w:szCs w:val="32"/>
          <w:highlight w:val="none"/>
          <w:u w:val="none" w:color="auto"/>
          <w:lang w:val="en-US" w:eastAsia="zh-CN" w:bidi="ar-SA"/>
        </w:rPr>
        <w:t>%。围绕“一园三片区”规划布局，发展壮大先进材料、新材料、绿色植保等主导产业，南雄产业转移工业园获批为涂料与树脂新材料特色产业园，顺利通过省级化工园区复核认定</w:t>
      </w:r>
      <w:r>
        <w:rPr>
          <w:rFonts w:hint="eastAsia" w:eastAsia="仿宋_GB2312" w:cs="仿宋_GB2312"/>
          <w:spacing w:val="0"/>
          <w:kern w:val="0"/>
          <w:sz w:val="32"/>
          <w:szCs w:val="32"/>
          <w:highlight w:val="none"/>
          <w:u w:val="none" w:color="auto"/>
          <w:lang w:val="en-US" w:eastAsia="zh-CN" w:bidi="ar-SA"/>
        </w:rPr>
        <w:t>，</w:t>
      </w:r>
      <w:r>
        <w:rPr>
          <w:rFonts w:hint="eastAsia" w:ascii="Times New Roman" w:hAnsi="Times New Roman" w:eastAsia="仿宋_GB2312" w:cs="仿宋_GB2312"/>
          <w:spacing w:val="0"/>
          <w:kern w:val="0"/>
          <w:sz w:val="32"/>
          <w:szCs w:val="32"/>
          <w:highlight w:val="none"/>
          <w:u w:val="none" w:color="auto"/>
          <w:lang w:val="en-US" w:eastAsia="zh-CN" w:bidi="ar-SA"/>
        </w:rPr>
        <w:t>绿色植保产业园</w:t>
      </w:r>
      <w:r>
        <w:rPr>
          <w:rFonts w:hint="eastAsia" w:ascii="Times New Roman" w:hAnsi="Times New Roman" w:eastAsia="仿宋_GB2312" w:cs="仿宋_GB2312"/>
          <w:sz w:val="32"/>
          <w:szCs w:val="32"/>
          <w:highlight w:val="none"/>
          <w:u w:val="none" w:color="auto"/>
          <w:lang w:val="en-US" w:eastAsia="zh-CN"/>
        </w:rPr>
        <w:t>招引企业21家</w:t>
      </w:r>
      <w:r>
        <w:rPr>
          <w:rFonts w:hint="eastAsia" w:ascii="Times New Roman" w:hAnsi="Times New Roman" w:eastAsia="仿宋_GB2312" w:cs="仿宋_GB2312"/>
          <w:sz w:val="32"/>
          <w:szCs w:val="32"/>
          <w:highlight w:val="none"/>
          <w:u w:val="none" w:color="auto"/>
          <w:lang w:eastAsia="zh-CN"/>
        </w:rPr>
        <w:t>，总投资28.82亿元。</w:t>
      </w:r>
      <w:r>
        <w:rPr>
          <w:rFonts w:hint="eastAsia" w:eastAsia="仿宋_GB2312" w:cs="仿宋_GB2312"/>
          <w:sz w:val="32"/>
          <w:szCs w:val="32"/>
          <w:highlight w:val="none"/>
          <w:u w:val="none" w:color="auto"/>
          <w:lang w:val="en-US" w:eastAsia="zh-CN"/>
        </w:rPr>
        <w:t>强化企业梯度培育，新增省级制造业单项冠军企业1家、规模以上工业企业12家，国家级专精特新“小巨人”企业总数达到7家，占韶关市总量的39%，稳居韶关各县（市、区）第一</w:t>
      </w:r>
      <w:r>
        <w:rPr>
          <w:rFonts w:hint="eastAsia" w:ascii="Times New Roman" w:hAnsi="Times New Roman" w:eastAsia="仿宋_GB2312" w:cs="仿宋_GB2312"/>
          <w:sz w:val="32"/>
          <w:szCs w:val="32"/>
          <w:highlight w:val="none"/>
          <w:u w:val="none" w:color="auto"/>
          <w:lang w:val="en-US" w:eastAsia="zh-CN"/>
        </w:rPr>
        <w:t>。</w:t>
      </w:r>
      <w:r>
        <w:rPr>
          <w:rFonts w:hint="eastAsia" w:ascii="Times New Roman" w:hAnsi="Times New Roman" w:eastAsia="仿宋_GB2312" w:cs="仿宋_GB2312"/>
          <w:b/>
          <w:bCs/>
          <w:kern w:val="2"/>
          <w:sz w:val="32"/>
          <w:szCs w:val="32"/>
          <w:highlight w:val="none"/>
          <w:u w:val="none" w:color="auto"/>
          <w:lang w:val="en-US" w:eastAsia="zh-CN" w:bidi="ar-SA"/>
        </w:rPr>
        <w:t>现代农业增产增效。</w:t>
      </w:r>
      <w:r>
        <w:rPr>
          <w:rFonts w:hint="eastAsia" w:ascii="Times New Roman" w:hAnsi="Times New Roman" w:eastAsia="仿宋_GB2312" w:cs="仿宋_GB2312"/>
          <w:sz w:val="32"/>
          <w:szCs w:val="32"/>
          <w:highlight w:val="none"/>
          <w:u w:val="none" w:color="auto"/>
        </w:rPr>
        <w:t>全</w:t>
      </w:r>
      <w:r>
        <w:rPr>
          <w:rFonts w:hint="eastAsia" w:ascii="Times New Roman" w:hAnsi="Times New Roman" w:eastAsia="仿宋_GB2312" w:cs="仿宋_GB2312"/>
          <w:sz w:val="32"/>
          <w:szCs w:val="32"/>
          <w:highlight w:val="none"/>
          <w:u w:val="none" w:color="auto"/>
          <w:lang w:eastAsia="zh-CN"/>
        </w:rPr>
        <w:t>市</w:t>
      </w:r>
      <w:r>
        <w:rPr>
          <w:rFonts w:hint="eastAsia" w:ascii="Times New Roman" w:hAnsi="Times New Roman" w:eastAsia="仿宋_GB2312" w:cs="仿宋_GB2312"/>
          <w:sz w:val="32"/>
          <w:szCs w:val="32"/>
          <w:highlight w:val="none"/>
          <w:u w:val="none" w:color="auto"/>
        </w:rPr>
        <w:t>农林牧渔业产值增长</w:t>
      </w:r>
      <w:r>
        <w:rPr>
          <w:rFonts w:hint="eastAsia" w:eastAsia="仿宋_GB2312" w:cs="仿宋_GB2312"/>
          <w:sz w:val="32"/>
          <w:szCs w:val="32"/>
          <w:highlight w:val="none"/>
          <w:u w:val="none" w:color="auto"/>
          <w:lang w:val="en-US" w:eastAsia="zh-CN"/>
        </w:rPr>
        <w:t>0.6</w:t>
      </w:r>
      <w:r>
        <w:rPr>
          <w:rFonts w:hint="eastAsia" w:ascii="Times New Roman" w:hAnsi="Times New Roman" w:eastAsia="仿宋_GB2312" w:cs="仿宋_GB2312"/>
          <w:sz w:val="32"/>
          <w:szCs w:val="32"/>
          <w:highlight w:val="none"/>
          <w:u w:val="none" w:color="auto"/>
        </w:rPr>
        <w:t>%。</w:t>
      </w:r>
      <w:r>
        <w:rPr>
          <w:rFonts w:hint="eastAsia" w:ascii="Times New Roman" w:hAnsi="Times New Roman" w:eastAsia="仿宋_GB2312" w:cs="仿宋_GB2312"/>
          <w:sz w:val="32"/>
          <w:szCs w:val="32"/>
          <w:highlight w:val="none"/>
          <w:u w:val="none" w:color="auto"/>
          <w:lang w:eastAsia="zh-CN"/>
        </w:rPr>
        <w:t>完成粮食播种</w:t>
      </w:r>
      <w:r>
        <w:rPr>
          <w:rFonts w:hint="eastAsia" w:eastAsia="仿宋_GB2312" w:cs="仿宋_GB2312"/>
          <w:sz w:val="32"/>
          <w:szCs w:val="32"/>
          <w:highlight w:val="none"/>
          <w:u w:val="none" w:color="auto"/>
          <w:lang w:val="en-US" w:eastAsia="zh-CN"/>
        </w:rPr>
        <w:t>52.83</w:t>
      </w:r>
      <w:r>
        <w:rPr>
          <w:rFonts w:hint="eastAsia" w:ascii="Times New Roman" w:hAnsi="Times New Roman" w:eastAsia="仿宋_GB2312" w:cs="仿宋_GB2312"/>
          <w:sz w:val="32"/>
          <w:szCs w:val="32"/>
          <w:highlight w:val="none"/>
          <w:u w:val="none" w:color="auto"/>
          <w:lang w:eastAsia="zh-CN"/>
        </w:rPr>
        <w:t>万亩、产量21.</w:t>
      </w:r>
      <w:r>
        <w:rPr>
          <w:rFonts w:hint="eastAsia" w:eastAsia="仿宋_GB2312" w:cs="仿宋_GB2312"/>
          <w:sz w:val="32"/>
          <w:szCs w:val="32"/>
          <w:highlight w:val="none"/>
          <w:u w:val="none" w:color="auto"/>
          <w:lang w:val="en-US" w:eastAsia="zh-CN"/>
        </w:rPr>
        <w:t>14</w:t>
      </w:r>
      <w:r>
        <w:rPr>
          <w:rFonts w:hint="eastAsia" w:ascii="Times New Roman" w:hAnsi="Times New Roman" w:eastAsia="仿宋_GB2312" w:cs="仿宋_GB2312"/>
          <w:sz w:val="32"/>
          <w:szCs w:val="32"/>
          <w:highlight w:val="none"/>
          <w:u w:val="none" w:color="auto"/>
          <w:lang w:eastAsia="zh-CN"/>
        </w:rPr>
        <w:t>万吨，收购烟叶22万担，收购金额3.</w:t>
      </w:r>
      <w:r>
        <w:rPr>
          <w:rFonts w:hint="eastAsia" w:eastAsia="仿宋_GB2312" w:cs="仿宋_GB2312"/>
          <w:sz w:val="32"/>
          <w:szCs w:val="32"/>
          <w:highlight w:val="none"/>
          <w:u w:val="none" w:color="auto"/>
          <w:lang w:val="en-US" w:eastAsia="zh-CN"/>
        </w:rPr>
        <w:t>79</w:t>
      </w:r>
      <w:r>
        <w:rPr>
          <w:rFonts w:hint="eastAsia" w:ascii="Times New Roman" w:hAnsi="Times New Roman" w:eastAsia="仿宋_GB2312" w:cs="仿宋_GB2312"/>
          <w:sz w:val="32"/>
          <w:szCs w:val="32"/>
          <w:highlight w:val="none"/>
          <w:u w:val="none" w:color="auto"/>
          <w:lang w:eastAsia="zh-CN"/>
        </w:rPr>
        <w:t>亿元，完成撂荒耕地复耕复种0.</w:t>
      </w:r>
      <w:r>
        <w:rPr>
          <w:rFonts w:hint="eastAsia" w:eastAsia="仿宋_GB2312" w:cs="仿宋_GB2312"/>
          <w:sz w:val="32"/>
          <w:szCs w:val="32"/>
          <w:highlight w:val="none"/>
          <w:u w:val="none" w:color="auto"/>
          <w:lang w:val="en-US" w:eastAsia="zh-CN"/>
        </w:rPr>
        <w:t>71</w:t>
      </w:r>
      <w:r>
        <w:rPr>
          <w:rFonts w:hint="eastAsia" w:ascii="Times New Roman" w:hAnsi="Times New Roman" w:eastAsia="仿宋_GB2312" w:cs="仿宋_GB2312"/>
          <w:sz w:val="32"/>
          <w:szCs w:val="32"/>
          <w:highlight w:val="none"/>
          <w:u w:val="none" w:color="auto"/>
          <w:lang w:eastAsia="zh-CN"/>
        </w:rPr>
        <w:t>万亩，超额完成上级下达的粮油生产任务。</w:t>
      </w:r>
      <w:r>
        <w:rPr>
          <w:rFonts w:hint="eastAsia" w:ascii="Times New Roman" w:hAnsi="Times New Roman" w:eastAsia="仿宋_GB2312" w:cs="仿宋_GB2312"/>
          <w:sz w:val="32"/>
          <w:szCs w:val="32"/>
          <w:highlight w:val="none"/>
          <w:u w:val="none" w:color="auto"/>
          <w:lang w:val="en-US" w:eastAsia="zh-CN"/>
        </w:rPr>
        <w:t>丝</w:t>
      </w:r>
      <w:r>
        <w:rPr>
          <w:rFonts w:hint="eastAsia" w:ascii="Times New Roman" w:hAnsi="Times New Roman" w:eastAsia="仿宋_GB2312" w:cs="仿宋_GB2312"/>
          <w:color w:val="000000"/>
          <w:spacing w:val="0"/>
          <w:kern w:val="2"/>
          <w:sz w:val="32"/>
          <w:szCs w:val="32"/>
          <w:highlight w:val="none"/>
          <w:lang w:val="en-US" w:eastAsia="zh-CN" w:bidi="ar-SA"/>
        </w:rPr>
        <w:t>苗米省级现代农业产业园（扩容提质）顺利通过省级现代农业产业园中期评估。</w:t>
      </w:r>
      <w:r>
        <w:rPr>
          <w:rFonts w:hint="eastAsia" w:ascii="Times New Roman" w:hAnsi="Times New Roman" w:eastAsia="仿宋_GB2312" w:cs="仿宋_GB2312"/>
          <w:sz w:val="32"/>
          <w:szCs w:val="32"/>
          <w:highlight w:val="none"/>
          <w:u w:val="none" w:color="auto"/>
          <w:lang w:eastAsia="zh-CN"/>
        </w:rPr>
        <w:t>率先实践“N2N”区域绿色生态循环农业模式，建成全省首个绿色化、生态化、社会化的畜禽粪污集中处理中心。推动14.03万亩整区域高标准建设项目各标段顺利完工验收，</w:t>
      </w:r>
      <w:r>
        <w:rPr>
          <w:rFonts w:hint="eastAsia" w:eastAsia="仿宋_GB2312" w:cs="仿宋_GB2312"/>
          <w:sz w:val="32"/>
          <w:szCs w:val="32"/>
          <w:highlight w:val="none"/>
          <w:u w:val="none" w:color="auto"/>
          <w:lang w:val="en-US" w:eastAsia="zh-CN"/>
        </w:rPr>
        <w:t>创新</w:t>
      </w:r>
      <w:r>
        <w:rPr>
          <w:rFonts w:hint="eastAsia" w:ascii="Times New Roman" w:hAnsi="Times New Roman" w:eastAsia="仿宋_GB2312" w:cs="仿宋_GB2312"/>
          <w:color w:val="000000"/>
          <w:spacing w:val="0"/>
          <w:sz w:val="32"/>
          <w:szCs w:val="32"/>
          <w:highlight w:val="none"/>
          <w:lang w:val="en-US" w:eastAsia="zh-CN"/>
        </w:rPr>
        <w:t>“EPC+O”模式</w:t>
      </w:r>
      <w:r>
        <w:rPr>
          <w:rFonts w:hint="eastAsia" w:eastAsia="仿宋_GB2312" w:cs="仿宋_GB2312"/>
          <w:color w:val="000000"/>
          <w:spacing w:val="0"/>
          <w:sz w:val="32"/>
          <w:szCs w:val="32"/>
          <w:highlight w:val="none"/>
          <w:lang w:val="en-US" w:eastAsia="zh-CN"/>
        </w:rPr>
        <w:t>推进5000亩高标准农田建设，</w:t>
      </w:r>
      <w:r>
        <w:rPr>
          <w:rFonts w:hint="eastAsia" w:ascii="Times New Roman" w:hAnsi="Times New Roman" w:eastAsia="仿宋_GB2312" w:cs="仿宋_GB2312"/>
          <w:color w:val="000000"/>
          <w:spacing w:val="0"/>
          <w:sz w:val="32"/>
          <w:szCs w:val="32"/>
          <w:highlight w:val="none"/>
          <w:lang w:eastAsia="zh-CN"/>
        </w:rPr>
        <w:t>并</w:t>
      </w:r>
      <w:r>
        <w:rPr>
          <w:rFonts w:hint="eastAsia" w:ascii="Times New Roman" w:hAnsi="Times New Roman" w:eastAsia="仿宋_GB2312" w:cs="仿宋_GB2312"/>
          <w:color w:val="000000"/>
          <w:spacing w:val="0"/>
          <w:sz w:val="32"/>
          <w:szCs w:val="32"/>
          <w:highlight w:val="none"/>
          <w:lang w:val="en-US" w:eastAsia="zh-CN"/>
        </w:rPr>
        <w:t>成功入选全省基层推进“百千万工程”集成式改革典型案例。</w:t>
      </w:r>
      <w:r>
        <w:rPr>
          <w:rFonts w:hint="eastAsia" w:ascii="Times New Roman" w:hAnsi="Times New Roman" w:eastAsia="仿宋_GB2312" w:cs="仿宋_GB2312"/>
          <w:b/>
          <w:bCs/>
          <w:color w:val="000000"/>
          <w:spacing w:val="0"/>
          <w:sz w:val="32"/>
          <w:szCs w:val="32"/>
          <w:highlight w:val="none"/>
          <w:lang w:eastAsia="zh-CN"/>
        </w:rPr>
        <w:t>文旅产业有声有色。</w:t>
      </w:r>
      <w:r>
        <w:rPr>
          <w:rFonts w:hint="eastAsia" w:ascii="Times New Roman" w:hAnsi="Times New Roman" w:eastAsia="仿宋_GB2312" w:cs="仿宋_GB2312"/>
          <w:color w:val="000000"/>
          <w:spacing w:val="0"/>
          <w:sz w:val="32"/>
          <w:szCs w:val="32"/>
          <w:highlight w:val="none"/>
          <w:lang w:val="en-US" w:eastAsia="zh-CN"/>
        </w:rPr>
        <w:t>成功举办2024年广东省定向联赛（第七场·韶关南雄）暨2024“粤游粤红”重走长征路徒步活动、第十届姓氏文化旅游节等文旅活动，银杏染秋——秋的盛宴之旅南雄两日游线路被评定为广东省四季美食旅游精品线路，“南雄银杏”成功入选中国县域品牌20强。澜河镇国营七四三矿及矿区设施被认定为第三批广东省工业</w:t>
      </w:r>
      <w:r>
        <w:rPr>
          <w:rFonts w:hint="eastAsia" w:eastAsia="仿宋_GB2312" w:cs="仿宋_GB2312"/>
          <w:color w:val="000000"/>
          <w:spacing w:val="0"/>
          <w:sz w:val="32"/>
          <w:szCs w:val="32"/>
          <w:highlight w:val="none"/>
          <w:lang w:val="en-US" w:eastAsia="zh-CN"/>
        </w:rPr>
        <w:t>遗产</w:t>
      </w:r>
      <w:r>
        <w:rPr>
          <w:rFonts w:hint="eastAsia" w:ascii="Times New Roman" w:hAnsi="Times New Roman" w:eastAsia="仿宋_GB2312" w:cs="仿宋_GB2312"/>
          <w:color w:val="000000"/>
          <w:spacing w:val="0"/>
          <w:sz w:val="32"/>
          <w:szCs w:val="32"/>
          <w:highlight w:val="none"/>
          <w:lang w:val="en-US" w:eastAsia="zh-CN"/>
        </w:rPr>
        <w:t>。</w:t>
      </w:r>
      <w:r>
        <w:rPr>
          <w:rFonts w:hint="eastAsia" w:ascii="Times New Roman" w:hAnsi="Times New Roman" w:eastAsia="仿宋_GB2312" w:cs="仿宋_GB2312"/>
          <w:sz w:val="32"/>
          <w:szCs w:val="32"/>
          <w:highlight w:val="none"/>
          <w:u w:val="none" w:color="auto"/>
        </w:rPr>
        <w:t>全年接待游客</w:t>
      </w:r>
      <w:r>
        <w:rPr>
          <w:rFonts w:hint="eastAsia" w:ascii="Times New Roman" w:hAnsi="Times New Roman" w:eastAsia="仿宋_GB2312" w:cs="仿宋_GB2312"/>
          <w:sz w:val="32"/>
          <w:szCs w:val="32"/>
          <w:highlight w:val="none"/>
          <w:u w:val="none" w:color="auto"/>
          <w:lang w:val="en-US" w:eastAsia="zh-CN"/>
        </w:rPr>
        <w:t>11</w:t>
      </w:r>
      <w:r>
        <w:rPr>
          <w:rFonts w:hint="eastAsia" w:eastAsia="仿宋_GB2312" w:cs="仿宋_GB2312"/>
          <w:sz w:val="32"/>
          <w:szCs w:val="32"/>
          <w:highlight w:val="none"/>
          <w:u w:val="none" w:color="auto"/>
          <w:lang w:val="en-US" w:eastAsia="zh-CN"/>
        </w:rPr>
        <w:t>4</w:t>
      </w:r>
      <w:r>
        <w:rPr>
          <w:rFonts w:hint="eastAsia" w:ascii="Times New Roman" w:hAnsi="Times New Roman" w:eastAsia="仿宋_GB2312" w:cs="仿宋_GB2312"/>
          <w:sz w:val="32"/>
          <w:szCs w:val="32"/>
          <w:highlight w:val="none"/>
          <w:u w:val="none" w:color="auto"/>
          <w:lang w:val="en-US" w:eastAsia="zh-CN"/>
        </w:rPr>
        <w:t>.</w:t>
      </w:r>
      <w:r>
        <w:rPr>
          <w:rFonts w:hint="eastAsia" w:eastAsia="仿宋_GB2312" w:cs="仿宋_GB2312"/>
          <w:sz w:val="32"/>
          <w:szCs w:val="32"/>
          <w:highlight w:val="none"/>
          <w:u w:val="none" w:color="auto"/>
          <w:lang w:val="en-US" w:eastAsia="zh-CN"/>
        </w:rPr>
        <w:t>19</w:t>
      </w:r>
      <w:r>
        <w:rPr>
          <w:rFonts w:hint="eastAsia" w:ascii="Times New Roman" w:hAnsi="Times New Roman" w:eastAsia="仿宋_GB2312" w:cs="仿宋_GB2312"/>
          <w:sz w:val="32"/>
          <w:szCs w:val="32"/>
          <w:highlight w:val="none"/>
          <w:u w:val="none" w:color="auto"/>
        </w:rPr>
        <w:t>万人次、增长6.55%，旅游综合收入10.97亿元、增长3.49%。</w:t>
      </w:r>
    </w:p>
    <w:p>
      <w:pPr>
        <w:pStyle w:val="2"/>
        <w:keepNext w:val="0"/>
        <w:keepLines w:val="0"/>
        <w:pageBreakBefore w:val="0"/>
        <w:widowControl w:val="0"/>
        <w:kinsoku/>
        <w:wordWrap/>
        <w:topLinePunct w:val="0"/>
        <w:autoSpaceDE/>
        <w:autoSpaceDN/>
        <w:bidi w:val="0"/>
        <w:adjustRightInd/>
        <w:snapToGrid/>
        <w:spacing w:line="610" w:lineRule="exact"/>
        <w:ind w:left="0" w:leftChars="0" w:firstLine="640" w:firstLineChars="200"/>
        <w:jc w:val="both"/>
        <w:textAlignment w:val="auto"/>
        <w:outlineLvl w:val="1"/>
        <w:rPr>
          <w:rFonts w:hint="eastAsia" w:ascii="Times New Roman" w:hAnsi="Times New Roman" w:eastAsia="仿宋_GB2312" w:cs="仿宋_GB2312"/>
          <w:sz w:val="32"/>
          <w:szCs w:val="32"/>
          <w:highlight w:val="none"/>
          <w:u w:val="none" w:color="auto"/>
        </w:rPr>
      </w:pPr>
      <w:r>
        <w:rPr>
          <w:rFonts w:hint="eastAsia" w:ascii="楷体_GB2312" w:hAnsi="楷体_GB2312" w:eastAsia="楷体_GB2312" w:cs="楷体_GB2312"/>
          <w:color w:val="auto"/>
          <w:kern w:val="2"/>
          <w:sz w:val="32"/>
          <w:szCs w:val="32"/>
          <w:highlight w:val="none"/>
          <w:u w:val="none" w:color="auto"/>
          <w:lang w:val="en-US" w:eastAsia="zh-CN" w:bidi="ar-SA"/>
        </w:rPr>
        <w:t>（二）</w:t>
      </w:r>
      <w:r>
        <w:rPr>
          <w:rFonts w:hint="eastAsia" w:ascii="楷体_GB2312" w:hAnsi="楷体_GB2312" w:eastAsia="楷体_GB2312" w:cs="楷体_GB2312"/>
          <w:b w:val="0"/>
          <w:bCs w:val="0"/>
          <w:color w:val="000000"/>
          <w:spacing w:val="0"/>
          <w:kern w:val="0"/>
          <w:sz w:val="32"/>
          <w:szCs w:val="32"/>
          <w:highlight w:val="none"/>
          <w:u w:val="none" w:color="auto"/>
          <w:lang w:val="en-US" w:eastAsia="zh-CN" w:bidi="ar-SA"/>
        </w:rPr>
        <w:t>补足县镇村发展短板</w:t>
      </w:r>
      <w:r>
        <w:rPr>
          <w:rFonts w:hint="eastAsia" w:ascii="楷体_GB2312" w:hAnsi="楷体_GB2312" w:eastAsia="楷体_GB2312" w:cs="楷体_GB2312"/>
          <w:color w:val="auto"/>
          <w:kern w:val="2"/>
          <w:sz w:val="32"/>
          <w:szCs w:val="32"/>
          <w:highlight w:val="none"/>
          <w:u w:val="none" w:color="auto"/>
          <w:lang w:val="en-US" w:eastAsia="zh-CN" w:bidi="ar-SA"/>
        </w:rPr>
        <w:t>，“百千万工程”高效实施。</w:t>
      </w:r>
      <w:r>
        <w:rPr>
          <w:rFonts w:hint="eastAsia" w:ascii="Times New Roman" w:hAnsi="Times New Roman" w:eastAsia="仿宋_GB2312" w:cs="仿宋_GB2312"/>
          <w:color w:val="auto"/>
          <w:sz w:val="32"/>
          <w:szCs w:val="32"/>
          <w:highlight w:val="none"/>
          <w:u w:val="none" w:color="auto"/>
          <w:lang w:val="en-US" w:eastAsia="zh-CN"/>
        </w:rPr>
        <w:t>以开展“我为‘百千万工程’建新功”活动为主线，</w:t>
      </w:r>
      <w:r>
        <w:rPr>
          <w:rFonts w:hint="eastAsia" w:ascii="Times New Roman" w:hAnsi="Times New Roman" w:eastAsia="仿宋_GB2312" w:cs="仿宋_GB2312"/>
          <w:color w:val="auto"/>
          <w:spacing w:val="0"/>
          <w:kern w:val="0"/>
          <w:sz w:val="32"/>
          <w:szCs w:val="32"/>
          <w:highlight w:val="none"/>
          <w:u w:val="none" w:color="auto"/>
          <w:lang w:val="en-US" w:eastAsia="zh-CN"/>
        </w:rPr>
        <w:t>推动“百千万工程”典型县建设走深走实，</w:t>
      </w:r>
      <w:r>
        <w:rPr>
          <w:rFonts w:hint="eastAsia" w:ascii="Times New Roman" w:hAnsi="Times New Roman" w:eastAsia="仿宋_GB2312" w:cs="仿宋_GB2312"/>
          <w:color w:val="000000"/>
          <w:sz w:val="32"/>
          <w:szCs w:val="32"/>
          <w:highlight w:val="none"/>
          <w:u w:val="none" w:color="auto"/>
          <w:lang w:val="en-US" w:eastAsia="zh-CN"/>
        </w:rPr>
        <w:t>获评2023年度省实施“百千万工程”考核进位类县优秀等次。</w:t>
      </w:r>
      <w:r>
        <w:rPr>
          <w:rStyle w:val="13"/>
          <w:rFonts w:hint="eastAsia" w:ascii="Times New Roman" w:hAnsi="Times New Roman" w:eastAsia="仿宋_GB2312" w:cs="仿宋_GB2312"/>
          <w:b/>
          <w:bCs w:val="0"/>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新型城镇化建设高品质推进</w:t>
      </w:r>
      <w:r>
        <w:rPr>
          <w:rStyle w:val="13"/>
          <w:rFonts w:hint="eastAsia" w:ascii="Times New Roman" w:hAnsi="Times New Roman" w:eastAsia="仿宋_GB2312" w:cs="仿宋_GB2312"/>
          <w:b/>
          <w:bCs w:val="0"/>
          <w:i w:val="0"/>
          <w:iCs w:val="0"/>
          <w:caps w:val="0"/>
          <w:color w:val="000000" w:themeColor="text1"/>
          <w:spacing w:val="0"/>
          <w:sz w:val="32"/>
          <w:szCs w:val="32"/>
          <w:highlight w:val="none"/>
          <w:u w:val="none" w:color="auto"/>
          <w:shd w:val="clear" w:fill="FFFFFF"/>
          <w14:textFill>
            <w14:solidFill>
              <w14:schemeClr w14:val="tx1"/>
            </w14:solidFill>
          </w14:textFill>
        </w:rPr>
        <w:t>。</w:t>
      </w:r>
      <w:r>
        <w:rPr>
          <w:rStyle w:val="13"/>
          <w:rFonts w:hint="eastAsia" w:ascii="Times New Roman" w:hAnsi="Times New Roman" w:eastAsia="仿宋_GB2312" w:cs="仿宋_GB2312"/>
          <w:b w:val="0"/>
          <w:bCs/>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2024年</w:t>
      </w:r>
      <w:r>
        <w:rPr>
          <w:rStyle w:val="13"/>
          <w:rFonts w:hint="eastAsia" w:ascii="Times New Roman" w:cs="仿宋_GB2312"/>
          <w:b w:val="0"/>
          <w:bCs/>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南雄市</w:t>
      </w:r>
      <w:r>
        <w:rPr>
          <w:rStyle w:val="13"/>
          <w:rFonts w:hint="eastAsia" w:ascii="Times New Roman" w:hAnsi="Times New Roman" w:eastAsia="仿宋_GB2312" w:cs="仿宋_GB2312"/>
          <w:b w:val="0"/>
          <w:bCs/>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常住人口城镇化率预计达</w:t>
      </w:r>
      <w:r>
        <w:rPr>
          <w:rFonts w:hint="eastAsia" w:ascii="Times New Roman" w:hAnsi="Times New Roman" w:eastAsia="仿宋_GB2312" w:cs="仿宋_GB2312"/>
          <w:b w:val="0"/>
          <w:bCs/>
          <w:color w:val="000000"/>
          <w:sz w:val="32"/>
          <w:szCs w:val="32"/>
          <w:highlight w:val="none"/>
          <w:u w:val="none" w:color="auto"/>
          <w:lang w:eastAsia="zh-CN"/>
        </w:rPr>
        <w:t>52.68%。</w:t>
      </w:r>
      <w:r>
        <w:rPr>
          <w:rStyle w:val="13"/>
          <w:rFonts w:hint="eastAsia" w:ascii="Times New Roman" w:hAnsi="Times New Roman" w:eastAsia="仿宋_GB2312" w:cs="仿宋_GB2312"/>
          <w:b w:val="0"/>
          <w:bCs/>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抢抓全省首批以县城为重要载体的新型城镇化试点机遇，谋划北城区基础设施建设、高新区产城融合等91个新型城镇化项目。大力推进城市更新改造，</w:t>
      </w:r>
      <w:r>
        <w:rPr>
          <w:rStyle w:val="13"/>
          <w:rFonts w:hint="eastAsia" w:ascii="Times New Roman" w:cs="仿宋_GB2312"/>
          <w:b w:val="0"/>
          <w:bCs/>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新开工6个老旧小区改造项目，</w:t>
      </w:r>
      <w:r>
        <w:rPr>
          <w:rFonts w:hint="eastAsia" w:ascii="Times New Roman" w:hAnsi="Times New Roman" w:eastAsia="仿宋_GB2312" w:cs="仿宋_GB2312"/>
          <w:bCs/>
          <w:color w:val="auto"/>
          <w:kern w:val="0"/>
          <w:sz w:val="32"/>
          <w:szCs w:val="32"/>
          <w:highlight w:val="none"/>
          <w:u w:val="none" w:color="auto"/>
          <w:lang w:val="en-US" w:eastAsia="zh-CN"/>
        </w:rPr>
        <w:t>49个老旧小区基本完成适老化改造，35个老旧小区完成雨污管网建设和道路更新。</w:t>
      </w:r>
      <w:r>
        <w:rPr>
          <w:rFonts w:hint="eastAsia" w:ascii="Times New Roman" w:hAnsi="Times New Roman" w:eastAsia="仿宋_GB2312" w:cs="仿宋_GB2312"/>
          <w:b w:val="0"/>
          <w:bCs/>
          <w:color w:val="auto"/>
          <w:sz w:val="32"/>
          <w:szCs w:val="32"/>
          <w:highlight w:val="none"/>
          <w:u w:val="none" w:color="auto"/>
          <w:lang w:val="en-US" w:eastAsia="zh-CN"/>
        </w:rPr>
        <w:t>加快打造韧性城市，</w:t>
      </w:r>
      <w:r>
        <w:rPr>
          <w:rFonts w:hint="eastAsia" w:ascii="Times New Roman" w:hAnsi="Times New Roman" w:eastAsia="仿宋_GB2312" w:cs="仿宋_GB2312"/>
          <w:b w:val="0"/>
          <w:bCs/>
          <w:i w:val="0"/>
          <w:iCs w:val="0"/>
          <w:caps w:val="0"/>
          <w:color w:val="auto"/>
          <w:spacing w:val="0"/>
          <w:kern w:val="0"/>
          <w:sz w:val="32"/>
          <w:szCs w:val="32"/>
          <w:highlight w:val="none"/>
          <w:u w:val="none" w:color="auto"/>
          <w:shd w:val="clear" w:fill="FFFFFF"/>
          <w:lang w:val="en-US" w:eastAsia="zh-CN" w:bidi="ar"/>
        </w:rPr>
        <w:t>完成生活垃圾终端智能分类处理项目主体建设，新增</w:t>
      </w:r>
      <w:r>
        <w:rPr>
          <w:rFonts w:hint="eastAsia" w:ascii="Times New Roman" w:hAnsi="Times New Roman" w:eastAsia="仿宋_GB2312" w:cs="仿宋_GB2312"/>
          <w:bCs/>
          <w:sz w:val="32"/>
          <w:szCs w:val="32"/>
          <w:highlight w:val="none"/>
          <w:u w:val="none" w:color="auto"/>
          <w:lang w:val="en-US" w:eastAsia="zh-CN"/>
        </w:rPr>
        <w:t>城市生活污水管网6公里</w:t>
      </w:r>
      <w:r>
        <w:rPr>
          <w:rFonts w:hint="eastAsia" w:ascii="Times New Roman" w:cs="仿宋_GB2312"/>
          <w:bCs/>
          <w:sz w:val="32"/>
          <w:szCs w:val="32"/>
          <w:highlight w:val="none"/>
          <w:u w:val="none" w:color="auto"/>
          <w:lang w:val="en-US" w:eastAsia="zh-CN"/>
        </w:rPr>
        <w:t>，城市生活污水收集率达40%、处理率达100%</w:t>
      </w:r>
      <w:r>
        <w:rPr>
          <w:rFonts w:hint="eastAsia" w:ascii="Times New Roman" w:hAnsi="Times New Roman" w:eastAsia="仿宋_GB2312" w:cs="仿宋_GB2312"/>
          <w:bCs/>
          <w:sz w:val="32"/>
          <w:szCs w:val="32"/>
          <w:highlight w:val="none"/>
          <w:u w:val="none" w:color="auto"/>
          <w:lang w:val="en-US" w:eastAsia="zh-CN"/>
        </w:rPr>
        <w:t>。</w:t>
      </w:r>
      <w:r>
        <w:rPr>
          <w:rStyle w:val="13"/>
          <w:rFonts w:hint="eastAsia" w:ascii="Times New Roman" w:hAnsi="Times New Roman" w:eastAsia="仿宋_GB2312" w:cs="仿宋_GB2312"/>
          <w:b/>
          <w:bCs w:val="0"/>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典型镇村培育成效明显。</w:t>
      </w:r>
      <w:r>
        <w:rPr>
          <w:rFonts w:hint="eastAsia" w:ascii="Times New Roman" w:hAnsi="Times New Roman" w:eastAsia="仿宋_GB2312" w:cs="仿宋_GB2312"/>
          <w:b w:val="0"/>
          <w:bCs w:val="0"/>
          <w:color w:val="000000"/>
          <w:kern w:val="2"/>
          <w:sz w:val="32"/>
          <w:szCs w:val="32"/>
          <w:highlight w:val="none"/>
          <w:u w:val="none"/>
          <w:lang w:val="en-US" w:eastAsia="zh-CN" w:bidi="ar-SA"/>
        </w:rPr>
        <w:t>投入约7.72亿元统筹推进“百千万工程”典型镇村建设，</w:t>
      </w:r>
      <w:r>
        <w:rPr>
          <w:rFonts w:hint="eastAsia" w:ascii="仿宋_GB2312" w:hAnsi="仿宋_GB2312" w:eastAsia="仿宋_GB2312" w:cs="仿宋_GB2312"/>
          <w:b w:val="0"/>
          <w:bCs w:val="0"/>
          <w:color w:val="000000"/>
          <w:spacing w:val="0"/>
          <w:kern w:val="0"/>
          <w:sz w:val="32"/>
          <w:szCs w:val="32"/>
          <w:highlight w:val="none"/>
          <w:u w:val="none" w:color="auto"/>
          <w:lang w:val="en-US" w:eastAsia="zh-CN"/>
        </w:rPr>
        <w:t>统筹推进美丽圩镇建设，结合县域“光伏+建筑”试点、省际边界入省通道风貌提升等工作，打造</w:t>
      </w:r>
      <w:r>
        <w:rPr>
          <w:rFonts w:hint="eastAsia" w:ascii="Times New Roman" w:hAnsi="Times New Roman" w:eastAsia="仿宋_GB2312" w:cs="仿宋_GB2312"/>
          <w:b w:val="0"/>
          <w:bCs w:val="0"/>
          <w:color w:val="000000"/>
          <w:kern w:val="2"/>
          <w:sz w:val="32"/>
          <w:szCs w:val="32"/>
          <w:highlight w:val="none"/>
          <w:u w:val="none"/>
          <w:lang w:val="en-US" w:eastAsia="zh-CN" w:bidi="ar-SA"/>
        </w:rPr>
        <w:t>5</w:t>
      </w:r>
      <w:r>
        <w:rPr>
          <w:rFonts w:hint="eastAsia" w:ascii="仿宋_GB2312" w:hAnsi="仿宋_GB2312" w:eastAsia="仿宋_GB2312" w:cs="仿宋_GB2312"/>
          <w:b w:val="0"/>
          <w:bCs w:val="0"/>
          <w:color w:val="000000"/>
          <w:spacing w:val="0"/>
          <w:kern w:val="0"/>
          <w:sz w:val="32"/>
          <w:szCs w:val="32"/>
          <w:highlight w:val="none"/>
          <w:u w:val="none" w:color="auto"/>
          <w:lang w:val="en-US" w:eastAsia="zh-CN"/>
        </w:rPr>
        <w:t>条农房风貌管控提升示范带精品段。</w:t>
      </w:r>
      <w:r>
        <w:rPr>
          <w:rFonts w:hint="eastAsia" w:ascii="Times New Roman" w:hAnsi="Times New Roman" w:eastAsia="仿宋_GB2312" w:cs="仿宋_GB2312"/>
          <w:b w:val="0"/>
          <w:bCs w:val="0"/>
          <w:color w:val="000000"/>
          <w:kern w:val="2"/>
          <w:sz w:val="32"/>
          <w:szCs w:val="32"/>
          <w:highlight w:val="none"/>
          <w:u w:val="none"/>
          <w:lang w:val="en-US" w:eastAsia="zh-CN" w:bidi="ar-SA"/>
        </w:rPr>
        <w:t>省级典型村集体经营性收入平均增长至70万元，珠玑镇和灵潭、长市、聪辈、湖口等4个典型村获2023年度省“百千万工程”考核“好”等次</w:t>
      </w:r>
      <w:r>
        <w:rPr>
          <w:rFonts w:hint="eastAsia" w:ascii="Times New Roman" w:cs="仿宋_GB2312"/>
          <w:b w:val="0"/>
          <w:bCs w:val="0"/>
          <w:color w:val="000000"/>
          <w:kern w:val="2"/>
          <w:sz w:val="32"/>
          <w:szCs w:val="32"/>
          <w:highlight w:val="none"/>
          <w:u w:val="none"/>
          <w:lang w:val="en-US" w:eastAsia="zh-CN" w:bidi="ar-SA"/>
        </w:rPr>
        <w:t>。</w:t>
      </w:r>
      <w:r>
        <w:rPr>
          <w:rFonts w:hint="eastAsia" w:ascii="Times New Roman"/>
          <w:sz w:val="32"/>
          <w:szCs w:val="32"/>
          <w:highlight w:val="none"/>
          <w:u w:val="none"/>
        </w:rPr>
        <w:t>梯次推进第二批省级典型镇村培育，3个省级典型镇基本完成美丽圩镇“七个一”项目，乌迳镇、邓坊镇规划成果获评省级“优秀”档次，湖口镇入选广东省第二批“百千万工程”专业镇建设名单</w:t>
      </w:r>
      <w:r>
        <w:rPr>
          <w:rFonts w:hint="eastAsia" w:ascii="Times New Roman" w:hAnsi="Times New Roman" w:eastAsia="仿宋_GB2312" w:cs="仿宋_GB2312"/>
          <w:b w:val="0"/>
          <w:bCs w:val="0"/>
          <w:color w:val="000000"/>
          <w:kern w:val="2"/>
          <w:sz w:val="32"/>
          <w:szCs w:val="32"/>
          <w:highlight w:val="none"/>
          <w:u w:val="none"/>
          <w:lang w:val="en-US" w:eastAsia="zh-CN" w:bidi="ar-SA"/>
        </w:rPr>
        <w:t>。</w:t>
      </w:r>
      <w:r>
        <w:rPr>
          <w:rStyle w:val="13"/>
          <w:rFonts w:hint="eastAsia" w:ascii="Times New Roman" w:hAnsi="Times New Roman" w:eastAsia="仿宋_GB2312" w:cs="仿宋_GB2312"/>
          <w:b/>
          <w:bCs w:val="0"/>
          <w:i w:val="0"/>
          <w:iCs w:val="0"/>
          <w:caps w:val="0"/>
          <w:color w:val="000000" w:themeColor="text1"/>
          <w:spacing w:val="0"/>
          <w:sz w:val="32"/>
          <w:szCs w:val="32"/>
          <w:highlight w:val="none"/>
          <w:u w:val="none" w:color="auto"/>
          <w:shd w:val="clear" w:fill="FFFFFF"/>
          <w14:textFill>
            <w14:solidFill>
              <w14:schemeClr w14:val="tx1"/>
            </w14:solidFill>
          </w14:textFill>
        </w:rPr>
        <w:t>乡村</w:t>
      </w:r>
      <w:r>
        <w:rPr>
          <w:rStyle w:val="13"/>
          <w:rFonts w:hint="eastAsia" w:ascii="Times New Roman" w:hAnsi="Times New Roman" w:eastAsia="仿宋_GB2312" w:cs="仿宋_GB2312"/>
          <w:b/>
          <w:bCs w:val="0"/>
          <w:i w:val="0"/>
          <w:iCs w:val="0"/>
          <w:caps w:val="0"/>
          <w:color w:val="000000" w:themeColor="text1"/>
          <w:spacing w:val="0"/>
          <w:sz w:val="32"/>
          <w:szCs w:val="32"/>
          <w:highlight w:val="none"/>
          <w:u w:val="none" w:color="auto"/>
          <w:shd w:val="clear" w:fill="FFFFFF"/>
          <w:lang w:val="en-US"/>
          <w14:textFill>
            <w14:solidFill>
              <w14:schemeClr w14:val="tx1"/>
            </w14:solidFill>
          </w14:textFill>
        </w:rPr>
        <w:t>振兴</w:t>
      </w:r>
      <w:r>
        <w:rPr>
          <w:rStyle w:val="13"/>
          <w:rFonts w:hint="eastAsia" w:ascii="Times New Roman" w:hAnsi="Times New Roman" w:eastAsia="仿宋_GB2312" w:cs="仿宋_GB2312"/>
          <w:b/>
          <w:bCs w:val="0"/>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工作</w:t>
      </w:r>
      <w:r>
        <w:rPr>
          <w:rStyle w:val="13"/>
          <w:rFonts w:hint="eastAsia" w:ascii="Times New Roman" w:hAnsi="Times New Roman" w:eastAsia="仿宋_GB2312" w:cs="仿宋_GB2312"/>
          <w:b/>
          <w:bCs w:val="0"/>
          <w:i w:val="0"/>
          <w:iCs w:val="0"/>
          <w:caps w:val="0"/>
          <w:color w:val="000000" w:themeColor="text1"/>
          <w:spacing w:val="0"/>
          <w:sz w:val="32"/>
          <w:szCs w:val="32"/>
          <w:highlight w:val="none"/>
          <w:u w:val="none" w:color="auto"/>
          <w:shd w:val="clear" w:fill="FFFFFF"/>
          <w14:textFill>
            <w14:solidFill>
              <w14:schemeClr w14:val="tx1"/>
            </w14:solidFill>
          </w14:textFill>
        </w:rPr>
        <w:t>全面推进。</w:t>
      </w:r>
      <w:r>
        <w:rPr>
          <w:rFonts w:hint="eastAsia" w:ascii="Times New Roman"/>
          <w:sz w:val="32"/>
          <w:szCs w:val="32"/>
          <w:highlight w:val="none"/>
          <w:u w:val="none" w:color="auto"/>
        </w:rPr>
        <w:t>新增村内硬化道路46公里，完成通达双车道公路建设83公里，拓宽改造农村公路71公里。新增镇级污水管网16公里，实现镇村农村生活垃圾收运处置体系全覆盖，村庄保洁覆盖面和垃圾处理率均达100%</w:t>
      </w:r>
      <w:r>
        <w:rPr>
          <w:rFonts w:hint="eastAsia" w:ascii="Times New Roman"/>
          <w:sz w:val="32"/>
          <w:szCs w:val="32"/>
          <w:highlight w:val="none"/>
          <w:u w:val="none" w:color="auto"/>
          <w:lang w:eastAsia="zh-CN"/>
        </w:rPr>
        <w:t>。</w:t>
      </w:r>
      <w:r>
        <w:rPr>
          <w:rFonts w:hint="eastAsia" w:ascii="Times New Roman" w:hAnsi="Times New Roman" w:eastAsia="仿宋_GB2312" w:cs="仿宋_GB2312"/>
          <w:b w:val="0"/>
          <w:bCs w:val="0"/>
          <w:color w:val="000000"/>
          <w:kern w:val="2"/>
          <w:sz w:val="32"/>
          <w:szCs w:val="32"/>
          <w:highlight w:val="none"/>
          <w:u w:val="none" w:color="auto"/>
          <w:lang w:val="en-US" w:eastAsia="zh-CN" w:bidi="ar-SA"/>
        </w:rPr>
        <w:t>探索“光伏+建筑”农房风貌提升新模式，</w:t>
      </w:r>
      <w:r>
        <w:rPr>
          <w:rFonts w:hint="eastAsia" w:ascii="Times New Roman" w:cs="仿宋_GB2312"/>
          <w:b w:val="0"/>
          <w:bCs w:val="0"/>
          <w:color w:val="000000"/>
          <w:kern w:val="2"/>
          <w:sz w:val="32"/>
          <w:szCs w:val="32"/>
          <w:highlight w:val="none"/>
          <w:u w:val="none" w:color="auto"/>
          <w:lang w:val="en-US" w:eastAsia="zh-CN" w:bidi="ar-SA"/>
        </w:rPr>
        <w:t>入选全省推进县域“光伏+建筑”应用试点</w:t>
      </w:r>
      <w:r>
        <w:rPr>
          <w:rFonts w:hint="eastAsia" w:ascii="Times New Roman" w:hAnsi="Times New Roman" w:eastAsia="仿宋_GB2312" w:cs="仿宋_GB2312"/>
          <w:b w:val="0"/>
          <w:bCs w:val="0"/>
          <w:color w:val="000000"/>
          <w:kern w:val="2"/>
          <w:sz w:val="32"/>
          <w:szCs w:val="32"/>
          <w:highlight w:val="none"/>
          <w:u w:val="none" w:color="auto"/>
          <w:lang w:val="en-US" w:eastAsia="zh-CN" w:bidi="ar-SA"/>
        </w:rPr>
        <w:t>。</w:t>
      </w:r>
      <w:r>
        <w:rPr>
          <w:rFonts w:hint="eastAsia" w:ascii="Times New Roman" w:hAnsi="Times New Roman" w:eastAsia="仿宋_GB2312" w:cs="仿宋_GB2312"/>
          <w:b w:val="0"/>
          <w:bCs w:val="0"/>
          <w:color w:val="000000"/>
          <w:kern w:val="0"/>
          <w:sz w:val="32"/>
          <w:szCs w:val="32"/>
          <w:highlight w:val="none"/>
          <w:u w:val="none" w:color="auto"/>
          <w:lang w:val="en-US" w:eastAsia="zh-CN" w:bidi="ar"/>
        </w:rPr>
        <w:t>推进</w:t>
      </w:r>
      <w:r>
        <w:rPr>
          <w:rFonts w:hint="eastAsia" w:ascii="Times New Roman" w:hAnsi="Times New Roman" w:eastAsia="仿宋_GB2312" w:cs="仿宋_GB2312"/>
          <w:color w:val="auto"/>
          <w:sz w:val="32"/>
          <w:szCs w:val="32"/>
          <w:highlight w:val="none"/>
          <w:u w:val="none" w:color="auto"/>
          <w:lang w:val="en-US" w:eastAsia="zh-CN"/>
        </w:rPr>
        <w:t>“三线”整</w:t>
      </w:r>
      <w:r>
        <w:rPr>
          <w:rFonts w:hint="eastAsia" w:ascii="Times New Roman" w:hAnsi="Times New Roman" w:eastAsia="仿宋_GB2312" w:cs="仿宋_GB2312"/>
          <w:b w:val="0"/>
          <w:bCs w:val="0"/>
          <w:color w:val="auto"/>
          <w:kern w:val="2"/>
          <w:sz w:val="32"/>
          <w:szCs w:val="32"/>
          <w:highlight w:val="none"/>
          <w:u w:val="none" w:color="auto"/>
          <w:lang w:val="en-US" w:eastAsia="zh-CN" w:bidi="ar-SA"/>
        </w:rPr>
        <w:t>治181公里，行政村“三线”整治率达100%。全市208个行政村集体经营性收入全部达到15万元以上。</w:t>
      </w:r>
      <w:r>
        <w:rPr>
          <w:rStyle w:val="13"/>
          <w:rFonts w:hint="eastAsia" w:ascii="Times New Roman" w:hAnsi="Times New Roman"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韶关</w:t>
      </w:r>
      <w:r>
        <w:rPr>
          <w:rStyle w:val="13"/>
          <w:rFonts w:hint="eastAsia" w:ascii="Times New Roman" w:cs="仿宋_GB2312"/>
          <w:b w:val="0"/>
          <w:bCs/>
          <w:i w:val="0"/>
          <w:iCs w:val="0"/>
          <w:caps w:val="0"/>
          <w:color w:val="000000" w:themeColor="text1"/>
          <w:spacing w:val="0"/>
          <w:sz w:val="32"/>
          <w:szCs w:val="32"/>
          <w:shd w:val="clear" w:fill="FFFFFF"/>
          <w:lang w:val="en-US" w:eastAsia="zh-CN"/>
          <w14:textFill>
            <w14:solidFill>
              <w14:schemeClr w14:val="tx1"/>
            </w14:solidFill>
          </w14:textFill>
        </w:rPr>
        <w:t>学院</w:t>
      </w:r>
      <w:r>
        <w:rPr>
          <w:rStyle w:val="13"/>
          <w:rFonts w:hint="eastAsia" w:ascii="Times New Roman" w:hAnsi="Times New Roman"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知识产权蝴蝶兰科技成果转化项目建成投产，“广府藤茶”品牌成功上市。</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仿宋_GB2312"/>
          <w:sz w:val="32"/>
          <w:szCs w:val="32"/>
          <w:highlight w:val="none"/>
          <w:u w:val="none" w:color="auto"/>
          <w:lang w:val="en-US" w:eastAsia="zh-CN"/>
        </w:rPr>
      </w:pPr>
      <w:r>
        <w:rPr>
          <w:rFonts w:hint="eastAsia" w:ascii="楷体_GB2312" w:hAnsi="楷体_GB2312" w:eastAsia="楷体_GB2312" w:cs="楷体_GB2312"/>
          <w:color w:val="auto"/>
          <w:kern w:val="2"/>
          <w:sz w:val="32"/>
          <w:szCs w:val="32"/>
          <w:highlight w:val="none"/>
          <w:u w:val="none" w:color="auto"/>
          <w:lang w:val="en-US" w:eastAsia="zh-CN" w:bidi="ar-SA"/>
        </w:rPr>
        <w:t>（三）</w:t>
      </w:r>
      <w:r>
        <w:rPr>
          <w:rFonts w:hint="eastAsia" w:ascii="楷体_GB2312" w:hAnsi="楷体_GB2312" w:eastAsia="楷体_GB2312" w:cs="楷体_GB2312"/>
          <w:sz w:val="32"/>
          <w:szCs w:val="32"/>
        </w:rPr>
        <w:t>抢抓“一揽子”政策机遇，</w:t>
      </w:r>
      <w:r>
        <w:rPr>
          <w:rFonts w:hint="eastAsia" w:ascii="楷体_GB2312" w:hAnsi="楷体_GB2312" w:eastAsia="楷体_GB2312" w:cs="楷体_GB2312"/>
          <w:kern w:val="2"/>
          <w:sz w:val="32"/>
          <w:szCs w:val="32"/>
          <w:highlight w:val="none"/>
          <w:u w:val="none" w:color="auto"/>
          <w:lang w:val="en-US" w:eastAsia="zh-CN" w:bidi="ar-SA"/>
        </w:rPr>
        <w:t>经济活力企稳向好。</w:t>
      </w:r>
      <w:r>
        <w:rPr>
          <w:rFonts w:hint="eastAsia" w:ascii="Times New Roman" w:hAnsi="Times New Roman" w:eastAsia="仿宋_GB2312" w:cs="仿宋_GB2312"/>
          <w:kern w:val="2"/>
          <w:sz w:val="32"/>
          <w:szCs w:val="32"/>
          <w:highlight w:val="none"/>
          <w:u w:val="none" w:color="auto"/>
          <w:lang w:val="en-US" w:eastAsia="zh-CN" w:bidi="ar-SA"/>
        </w:rPr>
        <w:t>2024年，</w:t>
      </w:r>
      <w:r>
        <w:rPr>
          <w:rFonts w:hint="eastAsia" w:ascii="Times New Roman" w:hAnsi="Times New Roman" w:eastAsia="仿宋_GB2312" w:cs="仿宋_GB2312"/>
          <w:color w:val="000000"/>
          <w:spacing w:val="0"/>
          <w:kern w:val="2"/>
          <w:sz w:val="32"/>
          <w:szCs w:val="32"/>
          <w:highlight w:val="none"/>
          <w:u w:val="none" w:color="auto"/>
          <w:lang w:val="en-US" w:eastAsia="zh-CN" w:bidi="ar-SA"/>
        </w:rPr>
        <w:t>国家增发超长期特别国</w:t>
      </w:r>
      <w:r>
        <w:rPr>
          <w:rFonts w:hint="eastAsia" w:ascii="Times New Roman" w:hAnsi="Times New Roman" w:eastAsia="仿宋_GB2312" w:cs="仿宋_GB2312"/>
          <w:color w:val="000000"/>
          <w:spacing w:val="0"/>
          <w:kern w:val="0"/>
          <w:sz w:val="32"/>
          <w:szCs w:val="32"/>
          <w:highlight w:val="none"/>
          <w:u w:val="none" w:color="auto"/>
          <w:lang w:val="en-US" w:eastAsia="zh-CN"/>
        </w:rPr>
        <w:t>债、持续支持“两重”项目、加力扩围实施“两新”政策，为南雄经济社会高质量发展提供了重要机遇。</w:t>
      </w:r>
      <w:r>
        <w:rPr>
          <w:rFonts w:hint="eastAsia" w:ascii="Times New Roman" w:hAnsi="Times New Roman" w:eastAsia="仿宋_GB2312" w:cs="仿宋_GB2312"/>
          <w:b/>
          <w:bCs/>
          <w:color w:val="auto"/>
          <w:sz w:val="32"/>
          <w:szCs w:val="32"/>
          <w:highlight w:val="none"/>
          <w:u w:val="none" w:color="auto"/>
          <w:lang w:val="en-US" w:eastAsia="zh-CN"/>
        </w:rPr>
        <w:t>争资争项成效显著。</w:t>
      </w:r>
      <w:r>
        <w:rPr>
          <w:rFonts w:hint="eastAsia" w:ascii="Times New Roman" w:hAnsi="Times New Roman" w:eastAsia="仿宋_GB2312" w:cs="仿宋_GB2312"/>
          <w:bCs/>
          <w:sz w:val="32"/>
          <w:szCs w:val="32"/>
        </w:rPr>
        <w:t>充分把握国家扩大有效投资的政策方向</w:t>
      </w:r>
      <w:r>
        <w:rPr>
          <w:rFonts w:hint="eastAsia" w:ascii="Times New Roman" w:hAnsi="Times New Roman" w:eastAsia="仿宋_GB2312" w:cs="仿宋_GB2312"/>
          <w:sz w:val="32"/>
          <w:szCs w:val="32"/>
          <w:lang w:val="en-US" w:eastAsia="zh-CN"/>
        </w:rPr>
        <w:t>，加快完善项目前期工作，成功争取地方政府</w:t>
      </w:r>
      <w:r>
        <w:rPr>
          <w:rFonts w:hint="eastAsia" w:eastAsia="仿宋_GB2312" w:cs="仿宋_GB2312"/>
          <w:sz w:val="32"/>
          <w:szCs w:val="32"/>
          <w:lang w:val="en-US" w:eastAsia="zh-CN"/>
        </w:rPr>
        <w:t>新增</w:t>
      </w:r>
      <w:r>
        <w:rPr>
          <w:rFonts w:hint="eastAsia" w:ascii="Times New Roman" w:hAnsi="Times New Roman" w:eastAsia="仿宋_GB2312" w:cs="仿宋_GB2312"/>
          <w:sz w:val="32"/>
          <w:szCs w:val="32"/>
          <w:lang w:val="en-US" w:eastAsia="zh-CN"/>
        </w:rPr>
        <w:t>专项债券额度10.6亿元；南雄市城镇老旧小区改造项目（五期）等3个项目争取中央预算内资金1.15亿元；南雄市城镇老旧小区改造项目（三期）等2个项目争取中央预算内投资省级补助资金1621万元；南雄产业转移工业园扩园（植保产业园）基础设施及配套建设项目、南雄市整区域推进高标准农田建设试点工程（一期）争取省重大项目前期经费1980万元；广东峰伟智能科技有限公司高端智能装备生产线升级技术改造项目争取第二批超长期特别国债480万元。地方政府专项债券额度、中央预算内资金、前期经费在韶关市各县（市、区）中均位居前列。</w:t>
      </w:r>
      <w:r>
        <w:rPr>
          <w:rStyle w:val="13"/>
          <w:rFonts w:hint="eastAsia" w:ascii="Times New Roman" w:hAnsi="Times New Roman" w:eastAsia="仿宋_GB2312" w:cs="仿宋_GB2312"/>
          <w:b/>
          <w:bCs w:val="0"/>
          <w:i w:val="0"/>
          <w:iCs w:val="0"/>
          <w:caps w:val="0"/>
          <w:color w:val="auto"/>
          <w:spacing w:val="0"/>
          <w:sz w:val="32"/>
          <w:szCs w:val="32"/>
          <w:highlight w:val="none"/>
          <w:shd w:val="clear" w:fill="FFFFFF"/>
          <w:lang w:val="en-US" w:eastAsia="zh-CN"/>
        </w:rPr>
        <w:t>消费市场潜能有效激发</w:t>
      </w:r>
      <w:r>
        <w:rPr>
          <w:rFonts w:hint="eastAsia" w:ascii="Times New Roman" w:hAnsi="Times New Roman" w:eastAsia="仿宋_GB2312" w:cs="仿宋_GB2312"/>
          <w:b/>
          <w:sz w:val="32"/>
          <w:szCs w:val="32"/>
        </w:rPr>
        <w:t>。</w:t>
      </w:r>
      <w:r>
        <w:rPr>
          <w:rFonts w:hint="eastAsia" w:ascii="Times New Roman" w:hAnsi="Times New Roman" w:eastAsia="仿宋_GB2312" w:cs="仿宋_GB2312"/>
          <w:color w:val="auto"/>
          <w:sz w:val="32"/>
          <w:szCs w:val="32"/>
          <w:lang w:val="en-US" w:eastAsia="zh-CN"/>
        </w:rPr>
        <w:t>全年社会消费品零售总额</w:t>
      </w:r>
      <w:r>
        <w:rPr>
          <w:rFonts w:hint="eastAsia" w:eastAsia="仿宋_GB2312" w:cs="仿宋_GB2312"/>
          <w:color w:val="auto"/>
          <w:sz w:val="32"/>
          <w:szCs w:val="32"/>
          <w:lang w:val="en-US" w:eastAsia="zh-CN"/>
        </w:rPr>
        <w:t>50.76</w:t>
      </w:r>
      <w:r>
        <w:rPr>
          <w:rFonts w:hint="eastAsia" w:ascii="Times New Roman" w:hAnsi="Times New Roman" w:eastAsia="仿宋_GB2312" w:cs="仿宋_GB2312"/>
          <w:color w:val="auto"/>
          <w:sz w:val="32"/>
          <w:szCs w:val="32"/>
          <w:lang w:val="en-US" w:eastAsia="zh-CN"/>
        </w:rPr>
        <w:t>亿元，同比增长</w:t>
      </w:r>
      <w:r>
        <w:rPr>
          <w:rFonts w:hint="eastAsia" w:eastAsia="仿宋_GB2312" w:cs="仿宋_GB2312"/>
          <w:color w:val="auto"/>
          <w:sz w:val="32"/>
          <w:szCs w:val="32"/>
          <w:lang w:val="en-US" w:eastAsia="zh-CN"/>
        </w:rPr>
        <w:t>0.9</w:t>
      </w:r>
      <w:r>
        <w:rPr>
          <w:rFonts w:hint="eastAsia" w:ascii="Times New Roman" w:hAnsi="Times New Roman" w:eastAsia="仿宋_GB2312" w:cs="仿宋_GB2312"/>
          <w:color w:val="auto"/>
          <w:sz w:val="32"/>
          <w:szCs w:val="32"/>
          <w:lang w:val="en-US" w:eastAsia="zh-CN"/>
        </w:rPr>
        <w:t>%</w:t>
      </w:r>
      <w:r>
        <w:rPr>
          <w:rStyle w:val="13"/>
          <w:rFonts w:hint="eastAsia" w:ascii="Times New Roman" w:hAnsi="Times New Roman" w:eastAsia="仿宋_GB2312" w:cs="仿宋_GB2312"/>
          <w:b w:val="0"/>
          <w:bCs/>
          <w:i w:val="0"/>
          <w:iCs w:val="0"/>
          <w:caps w:val="0"/>
          <w:color w:val="auto"/>
          <w:spacing w:val="0"/>
          <w:sz w:val="32"/>
          <w:szCs w:val="32"/>
          <w:highlight w:val="none"/>
          <w:shd w:val="clear" w:fill="FFFFFF"/>
          <w:lang w:val="en-US" w:eastAsia="zh-CN"/>
        </w:rPr>
        <w:t>。</w:t>
      </w:r>
      <w:r>
        <w:rPr>
          <w:rFonts w:hint="eastAsia" w:ascii="Times New Roman" w:hAnsi="Times New Roman" w:eastAsia="仿宋_GB2312" w:cs="仿宋_GB2312"/>
          <w:sz w:val="32"/>
          <w:szCs w:val="32"/>
        </w:rPr>
        <w:t>全面梳理消费品以旧换新、促消费活动等有关惠企政策，</w:t>
      </w:r>
      <w:r>
        <w:rPr>
          <w:rFonts w:hint="eastAsia" w:ascii="Times New Roman" w:hAnsi="Times New Roman" w:eastAsia="仿宋_GB2312" w:cs="仿宋_GB2312"/>
          <w:kern w:val="0"/>
          <w:sz w:val="32"/>
          <w:szCs w:val="32"/>
        </w:rPr>
        <w:t>加大促消费宣传力度，</w:t>
      </w:r>
      <w:r>
        <w:rPr>
          <w:rFonts w:hint="eastAsia" w:ascii="Times New Roman" w:hAnsi="Times New Roman" w:eastAsia="仿宋_GB2312" w:cs="仿宋_GB2312"/>
          <w:sz w:val="32"/>
          <w:szCs w:val="32"/>
        </w:rPr>
        <w:t>动员</w:t>
      </w:r>
      <w:r>
        <w:rPr>
          <w:rFonts w:hint="eastAsia" w:ascii="Times New Roman" w:hAnsi="Times New Roman" w:eastAsia="仿宋_GB2312" w:cs="仿宋_GB2312"/>
          <w:sz w:val="32"/>
          <w:szCs w:val="32"/>
          <w:lang w:val="en-US" w:eastAsia="zh-CN"/>
        </w:rPr>
        <w:t>各大</w:t>
      </w:r>
      <w:r>
        <w:rPr>
          <w:rFonts w:hint="eastAsia" w:ascii="Times New Roman" w:hAnsi="Times New Roman" w:eastAsia="仿宋_GB2312" w:cs="仿宋_GB2312"/>
          <w:sz w:val="32"/>
          <w:szCs w:val="32"/>
        </w:rPr>
        <w:t>商场、超市、家电、汽车等</w:t>
      </w:r>
      <w:r>
        <w:rPr>
          <w:rFonts w:hint="eastAsia" w:ascii="Times New Roman" w:hAnsi="Times New Roman" w:eastAsia="仿宋_GB2312" w:cs="仿宋_GB2312"/>
          <w:sz w:val="32"/>
          <w:szCs w:val="32"/>
          <w:lang w:val="en-US" w:eastAsia="zh-CN"/>
        </w:rPr>
        <w:t>商家</w:t>
      </w:r>
      <w:r>
        <w:rPr>
          <w:rFonts w:hint="eastAsia" w:ascii="Times New Roman" w:hAnsi="Times New Roman" w:eastAsia="仿宋_GB2312" w:cs="仿宋_GB2312"/>
          <w:sz w:val="32"/>
          <w:szCs w:val="32"/>
          <w:shd w:val="clear" w:color="auto" w:fill="FFFFFF"/>
        </w:rPr>
        <w:t>积极配套相应的促销优惠措施</w:t>
      </w:r>
      <w:r>
        <w:rPr>
          <w:rFonts w:hint="eastAsia" w:ascii="Times New Roman" w:hAnsi="Times New Roman" w:eastAsia="仿宋_GB2312" w:cs="仿宋_GB2312"/>
          <w:sz w:val="32"/>
          <w:szCs w:val="32"/>
          <w:shd w:val="clear" w:color="auto" w:fill="FFFFFF"/>
          <w:lang w:eastAsia="zh-CN"/>
        </w:rPr>
        <w:t>，</w:t>
      </w:r>
      <w:r>
        <w:rPr>
          <w:rFonts w:hint="eastAsia" w:ascii="Times New Roman" w:hAnsi="Times New Roman" w:eastAsia="仿宋_GB2312" w:cs="仿宋_GB2312"/>
          <w:color w:val="auto"/>
          <w:sz w:val="32"/>
          <w:szCs w:val="32"/>
          <w:lang w:val="en-US" w:eastAsia="zh-CN"/>
        </w:rPr>
        <w:t>组织</w:t>
      </w:r>
      <w:r>
        <w:rPr>
          <w:rFonts w:hint="eastAsia" w:ascii="Times New Roman" w:hAnsi="Times New Roman" w:eastAsia="仿宋_GB2312" w:cs="仿宋_GB2312"/>
          <w:color w:val="auto"/>
          <w:sz w:val="32"/>
          <w:szCs w:val="32"/>
        </w:rPr>
        <w:t>举办</w:t>
      </w:r>
      <w:r>
        <w:rPr>
          <w:rFonts w:hint="eastAsia" w:ascii="Times New Roman" w:hAnsi="Times New Roman" w:eastAsia="仿宋_GB2312" w:cs="仿宋_GB2312"/>
          <w:color w:val="auto"/>
          <w:sz w:val="32"/>
          <w:szCs w:val="32"/>
          <w:lang w:val="en-US" w:eastAsia="zh-CN"/>
        </w:rPr>
        <w:t>南雄市</w:t>
      </w:r>
      <w:r>
        <w:rPr>
          <w:rFonts w:hint="eastAsia" w:ascii="Times New Roman" w:hAnsi="Times New Roman" w:eastAsia="仿宋_GB2312" w:cs="仿宋_GB2312"/>
          <w:color w:val="auto"/>
          <w:sz w:val="32"/>
          <w:szCs w:val="32"/>
        </w:rPr>
        <w:t>202</w:t>
      </w:r>
      <w:r>
        <w:rPr>
          <w:rFonts w:hint="eastAsia" w:ascii="Times New Roman" w:hAnsi="Times New Roman" w:eastAsia="仿宋_GB2312" w:cs="仿宋_GB2312"/>
          <w:color w:val="auto"/>
          <w:sz w:val="32"/>
          <w:szCs w:val="32"/>
          <w:lang w:val="en-US" w:eastAsia="zh-CN"/>
        </w:rPr>
        <w:t>4</w:t>
      </w:r>
      <w:r>
        <w:rPr>
          <w:rFonts w:hint="eastAsia" w:ascii="Times New Roman" w:hAnsi="Times New Roman" w:eastAsia="仿宋_GB2312" w:cs="仿宋_GB2312"/>
          <w:color w:val="auto"/>
          <w:sz w:val="32"/>
          <w:szCs w:val="32"/>
        </w:rPr>
        <w:t>年</w:t>
      </w:r>
      <w:r>
        <w:rPr>
          <w:rFonts w:hint="eastAsia" w:ascii="Times New Roman" w:hAnsi="Times New Roman" w:eastAsia="仿宋_GB2312" w:cs="仿宋_GB2312"/>
          <w:color w:val="auto"/>
          <w:sz w:val="32"/>
          <w:szCs w:val="32"/>
          <w:lang w:val="en-US" w:eastAsia="zh-CN"/>
        </w:rPr>
        <w:t>金秋消费券活动、</w:t>
      </w:r>
      <w:r>
        <w:rPr>
          <w:rFonts w:hint="eastAsia" w:ascii="Times New Roman" w:hAnsi="Times New Roman" w:eastAsia="仿宋_GB2312" w:cs="仿宋_GB2312"/>
          <w:color w:val="auto"/>
          <w:kern w:val="0"/>
          <w:sz w:val="32"/>
          <w:szCs w:val="32"/>
          <w:lang w:val="en-US" w:eastAsia="zh-CN" w:bidi="ar"/>
        </w:rPr>
        <w:t>家电家装厨卫</w:t>
      </w:r>
      <w:r>
        <w:rPr>
          <w:rFonts w:hint="eastAsia" w:ascii="Times New Roman" w:hAnsi="Times New Roman" w:eastAsia="仿宋_GB2312" w:cs="仿宋_GB2312"/>
          <w:color w:val="auto"/>
          <w:sz w:val="32"/>
          <w:szCs w:val="32"/>
          <w:lang w:val="en-US" w:eastAsia="zh-CN"/>
        </w:rPr>
        <w:t>以旧换新促消费活动，</w:t>
      </w:r>
      <w:r>
        <w:rPr>
          <w:rFonts w:hint="eastAsia" w:ascii="Times New Roman" w:hAnsi="Times New Roman" w:eastAsia="仿宋_GB2312" w:cs="仿宋_GB2312"/>
          <w:color w:val="000000"/>
          <w:spacing w:val="0"/>
          <w:kern w:val="0"/>
          <w:sz w:val="32"/>
          <w:highlight w:val="none"/>
          <w:u w:val="none" w:color="auto"/>
          <w:lang w:val="en-US" w:eastAsia="zh-CN"/>
        </w:rPr>
        <w:t>持续拉动城乡消费</w:t>
      </w:r>
      <w:r>
        <w:rPr>
          <w:rStyle w:val="15"/>
          <w:rFonts w:hint="eastAsia" w:ascii="Times New Roman" w:hAnsi="Times New Roman" w:eastAsia="仿宋_GB2312" w:cs="仿宋_GB2312"/>
          <w:sz w:val="32"/>
          <w:szCs w:val="32"/>
        </w:rPr>
        <w:t>。</w:t>
      </w:r>
      <w:r>
        <w:rPr>
          <w:rFonts w:hint="eastAsia" w:ascii="Times New Roman" w:hAnsi="Times New Roman" w:eastAsia="仿宋_GB2312" w:cs="仿宋_GB2312"/>
          <w:b/>
          <w:bCs/>
          <w:color w:val="auto"/>
          <w:sz w:val="32"/>
          <w:szCs w:val="32"/>
          <w:highlight w:val="none"/>
          <w:u w:val="none" w:color="auto"/>
          <w:lang w:eastAsia="zh-CN"/>
        </w:rPr>
        <w:t>重点项目扎实推进</w:t>
      </w:r>
      <w:r>
        <w:rPr>
          <w:rFonts w:hint="eastAsia" w:eastAsia="仿宋_GB2312" w:cs="仿宋_GB2312"/>
          <w:b/>
          <w:bCs/>
          <w:color w:val="auto"/>
          <w:sz w:val="32"/>
          <w:szCs w:val="32"/>
          <w:highlight w:val="none"/>
          <w:u w:val="none" w:color="auto"/>
          <w:lang w:eastAsia="zh-CN"/>
        </w:rPr>
        <w:t>。</w:t>
      </w:r>
      <w:r>
        <w:rPr>
          <w:rFonts w:hint="eastAsia" w:ascii="Times New Roman" w:hAnsi="Times New Roman" w:eastAsia="仿宋_GB2312" w:cs="仿宋_GB2312"/>
          <w:color w:val="auto"/>
          <w:sz w:val="32"/>
          <w:szCs w:val="32"/>
          <w:highlight w:val="none"/>
          <w:u w:val="none" w:color="auto"/>
          <w:lang w:val="en-US" w:eastAsia="zh-CN"/>
        </w:rPr>
        <w:t>通过</w:t>
      </w:r>
      <w:r>
        <w:rPr>
          <w:rFonts w:hint="eastAsia" w:ascii="Times New Roman" w:hAnsi="Times New Roman" w:eastAsia="仿宋_GB2312" w:cs="仿宋_GB2312"/>
          <w:bCs/>
          <w:sz w:val="32"/>
          <w:szCs w:val="32"/>
        </w:rPr>
        <w:t>细化项目管理</w:t>
      </w:r>
      <w:r>
        <w:rPr>
          <w:rFonts w:hint="eastAsia" w:ascii="Times New Roman" w:hAnsi="Times New Roman" w:eastAsia="仿宋_GB2312" w:cs="仿宋_GB2312"/>
          <w:bCs/>
          <w:sz w:val="32"/>
          <w:szCs w:val="32"/>
          <w:lang w:eastAsia="zh-CN"/>
        </w:rPr>
        <w:t>，</w:t>
      </w:r>
      <w:r>
        <w:rPr>
          <w:rFonts w:hint="eastAsia" w:ascii="Times New Roman" w:hAnsi="Times New Roman" w:eastAsia="仿宋_GB2312" w:cs="仿宋_GB2312"/>
          <w:bCs/>
          <w:sz w:val="32"/>
          <w:szCs w:val="32"/>
        </w:rPr>
        <w:t>量化投资目标，</w:t>
      </w:r>
      <w:r>
        <w:rPr>
          <w:rFonts w:hint="eastAsia" w:ascii="Times New Roman" w:hAnsi="Times New Roman" w:eastAsia="仿宋_GB2312" w:cs="仿宋_GB2312"/>
          <w:bCs/>
          <w:sz w:val="32"/>
          <w:szCs w:val="32"/>
          <w:lang w:val="en-US" w:eastAsia="zh-CN"/>
        </w:rPr>
        <w:t>统筹调度</w:t>
      </w:r>
      <w:r>
        <w:rPr>
          <w:rFonts w:hint="eastAsia" w:ascii="Times New Roman" w:hAnsi="Times New Roman" w:eastAsia="仿宋_GB2312" w:cs="仿宋_GB2312"/>
          <w:bCs/>
          <w:sz w:val="32"/>
          <w:szCs w:val="32"/>
        </w:rPr>
        <w:t>具体项目建设工作，形成抓项目、促投资的合力</w:t>
      </w:r>
      <w:r>
        <w:rPr>
          <w:rFonts w:hint="eastAsia" w:ascii="Times New Roman" w:hAnsi="Times New Roman" w:eastAsia="仿宋_GB2312" w:cs="仿宋_GB2312"/>
          <w:bCs/>
          <w:sz w:val="32"/>
          <w:szCs w:val="32"/>
          <w:lang w:eastAsia="zh-CN"/>
        </w:rPr>
        <w:t>。</w:t>
      </w:r>
      <w:bookmarkStart w:id="1" w:name="OLE_LINK3"/>
      <w:r>
        <w:rPr>
          <w:rFonts w:hint="eastAsia" w:ascii="Times New Roman" w:hAnsi="Times New Roman" w:eastAsia="仿宋_GB2312" w:cs="仿宋_GB2312"/>
          <w:color w:val="auto"/>
          <w:sz w:val="32"/>
          <w:szCs w:val="32"/>
          <w:highlight w:val="none"/>
          <w:u w:val="none" w:color="auto"/>
          <w:lang w:eastAsia="zh-CN"/>
        </w:rPr>
        <w:t>全年</w:t>
      </w:r>
      <w:r>
        <w:rPr>
          <w:rFonts w:hint="eastAsia" w:ascii="Times New Roman" w:hAnsi="Times New Roman" w:eastAsia="仿宋_GB2312" w:cs="仿宋_GB2312"/>
          <w:color w:val="auto"/>
          <w:sz w:val="32"/>
          <w:szCs w:val="32"/>
          <w:highlight w:val="none"/>
          <w:u w:val="none" w:color="auto"/>
          <w:lang w:val="en-US" w:eastAsia="zh-CN"/>
        </w:rPr>
        <w:t>共</w:t>
      </w:r>
      <w:r>
        <w:rPr>
          <w:rFonts w:hint="eastAsia" w:ascii="Times New Roman" w:hAnsi="Times New Roman" w:eastAsia="仿宋_GB2312" w:cs="仿宋_GB2312"/>
          <w:color w:val="auto"/>
          <w:sz w:val="32"/>
          <w:szCs w:val="32"/>
          <w:highlight w:val="none"/>
          <w:u w:val="none" w:color="auto"/>
          <w:lang w:eastAsia="zh-CN"/>
        </w:rPr>
        <w:t>安排重点项目39个，全年完成投资56</w:t>
      </w:r>
      <w:r>
        <w:rPr>
          <w:rFonts w:hint="eastAsia" w:eastAsia="仿宋_GB2312" w:cs="仿宋_GB2312"/>
          <w:color w:val="auto"/>
          <w:sz w:val="32"/>
          <w:szCs w:val="32"/>
          <w:highlight w:val="none"/>
          <w:u w:val="none" w:color="auto"/>
          <w:lang w:val="en-US" w:eastAsia="zh-CN"/>
        </w:rPr>
        <w:t>.1</w:t>
      </w:r>
      <w:r>
        <w:rPr>
          <w:rFonts w:hint="eastAsia" w:ascii="Times New Roman" w:hAnsi="Times New Roman" w:eastAsia="仿宋_GB2312" w:cs="仿宋_GB2312"/>
          <w:color w:val="auto"/>
          <w:sz w:val="32"/>
          <w:szCs w:val="32"/>
          <w:highlight w:val="none"/>
          <w:u w:val="none" w:color="auto"/>
          <w:lang w:eastAsia="zh-CN"/>
        </w:rPr>
        <w:t>亿元，完成率102%。其中列入省重点项目4个，完成投资</w:t>
      </w:r>
      <w:r>
        <w:rPr>
          <w:rFonts w:hint="eastAsia" w:eastAsia="仿宋_GB2312" w:cs="仿宋_GB2312"/>
          <w:color w:val="auto"/>
          <w:sz w:val="32"/>
          <w:szCs w:val="32"/>
          <w:highlight w:val="none"/>
          <w:u w:val="none" w:color="auto"/>
          <w:lang w:val="en-US" w:eastAsia="zh-CN"/>
        </w:rPr>
        <w:t>11.8</w:t>
      </w:r>
      <w:r>
        <w:rPr>
          <w:rFonts w:hint="eastAsia" w:ascii="Times New Roman" w:hAnsi="Times New Roman" w:eastAsia="仿宋_GB2312" w:cs="仿宋_GB2312"/>
          <w:color w:val="auto"/>
          <w:sz w:val="32"/>
          <w:szCs w:val="32"/>
          <w:highlight w:val="none"/>
          <w:u w:val="none" w:color="auto"/>
          <w:lang w:eastAsia="zh-CN"/>
        </w:rPr>
        <w:t>亿元，完成率</w:t>
      </w:r>
      <w:r>
        <w:rPr>
          <w:rFonts w:hint="eastAsia" w:eastAsia="仿宋_GB2312" w:cs="仿宋_GB2312"/>
          <w:color w:val="auto"/>
          <w:sz w:val="32"/>
          <w:szCs w:val="32"/>
          <w:highlight w:val="none"/>
          <w:u w:val="none" w:color="auto"/>
          <w:lang w:val="en-US" w:eastAsia="zh-CN"/>
        </w:rPr>
        <w:t>153</w:t>
      </w:r>
      <w:r>
        <w:rPr>
          <w:rFonts w:hint="eastAsia" w:ascii="Times New Roman" w:hAnsi="Times New Roman" w:eastAsia="仿宋_GB2312" w:cs="仿宋_GB2312"/>
          <w:color w:val="auto"/>
          <w:sz w:val="32"/>
          <w:szCs w:val="32"/>
          <w:highlight w:val="none"/>
          <w:u w:val="none" w:color="auto"/>
          <w:lang w:eastAsia="zh-CN"/>
        </w:rPr>
        <w:t>%；列入韶关市重点项目18个，完成投资</w:t>
      </w:r>
      <w:r>
        <w:rPr>
          <w:rFonts w:hint="eastAsia" w:eastAsia="仿宋_GB2312" w:cs="仿宋_GB2312"/>
          <w:color w:val="auto"/>
          <w:sz w:val="32"/>
          <w:szCs w:val="32"/>
          <w:highlight w:val="none"/>
          <w:u w:val="none" w:color="auto"/>
          <w:lang w:val="en-US" w:eastAsia="zh-CN"/>
        </w:rPr>
        <w:t>21.3</w:t>
      </w:r>
      <w:r>
        <w:rPr>
          <w:rFonts w:hint="eastAsia" w:ascii="Times New Roman" w:hAnsi="Times New Roman" w:eastAsia="仿宋_GB2312" w:cs="仿宋_GB2312"/>
          <w:color w:val="auto"/>
          <w:sz w:val="32"/>
          <w:szCs w:val="32"/>
          <w:highlight w:val="none"/>
          <w:u w:val="none" w:color="auto"/>
          <w:lang w:eastAsia="zh-CN"/>
        </w:rPr>
        <w:t>亿元，完成率</w:t>
      </w:r>
      <w:r>
        <w:rPr>
          <w:rFonts w:hint="eastAsia" w:eastAsia="仿宋_GB2312" w:cs="仿宋_GB2312"/>
          <w:color w:val="auto"/>
          <w:sz w:val="32"/>
          <w:szCs w:val="32"/>
          <w:highlight w:val="none"/>
          <w:u w:val="none" w:color="auto"/>
          <w:lang w:val="en-US" w:eastAsia="zh-CN"/>
        </w:rPr>
        <w:t>126.7</w:t>
      </w:r>
      <w:r>
        <w:rPr>
          <w:rFonts w:hint="eastAsia" w:ascii="Times New Roman" w:hAnsi="Times New Roman" w:eastAsia="仿宋_GB2312" w:cs="仿宋_GB2312"/>
          <w:color w:val="auto"/>
          <w:sz w:val="32"/>
          <w:szCs w:val="32"/>
          <w:highlight w:val="none"/>
          <w:u w:val="none" w:color="auto"/>
          <w:lang w:eastAsia="zh-CN"/>
        </w:rPr>
        <w:t>%</w:t>
      </w:r>
      <w:r>
        <w:rPr>
          <w:rFonts w:hint="eastAsia" w:ascii="Times New Roman" w:hAnsi="Times New Roman" w:eastAsia="仿宋_GB2312" w:cs="仿宋_GB2312"/>
          <w:color w:val="auto"/>
          <w:sz w:val="32"/>
          <w:szCs w:val="32"/>
          <w:highlight w:val="none"/>
          <w:u w:val="none" w:color="auto"/>
        </w:rPr>
        <w:t>。</w:t>
      </w:r>
      <w:bookmarkEnd w:id="1"/>
      <w:r>
        <w:rPr>
          <w:rFonts w:hint="eastAsia" w:ascii="Times New Roman" w:hAnsi="Times New Roman" w:eastAsia="仿宋_GB2312" w:cs="仿宋_GB2312"/>
          <w:sz w:val="32"/>
          <w:szCs w:val="32"/>
          <w:highlight w:val="none"/>
          <w:u w:val="none" w:color="auto"/>
          <w:lang w:val="en-US" w:eastAsia="zh-CN"/>
        </w:rPr>
        <w:t>2024</w:t>
      </w:r>
      <w:r>
        <w:rPr>
          <w:rFonts w:hint="eastAsia" w:ascii="Times New Roman" w:hAnsi="Times New Roman" w:eastAsia="仿宋_GB2312" w:cs="仿宋_GB2312"/>
          <w:sz w:val="32"/>
          <w:szCs w:val="32"/>
          <w:highlight w:val="none"/>
          <w:u w:val="none" w:color="auto"/>
        </w:rPr>
        <w:t>年全市</w:t>
      </w:r>
      <w:r>
        <w:rPr>
          <w:rFonts w:hint="eastAsia" w:ascii="Times New Roman" w:hAnsi="Times New Roman" w:eastAsia="仿宋_GB2312" w:cs="仿宋_GB2312"/>
          <w:color w:val="auto"/>
          <w:sz w:val="32"/>
          <w:szCs w:val="32"/>
          <w:highlight w:val="none"/>
          <w:u w:val="none" w:color="auto"/>
          <w:lang w:val="en-US" w:eastAsia="zh-CN"/>
        </w:rPr>
        <w:t>完成</w:t>
      </w:r>
      <w:r>
        <w:rPr>
          <w:rFonts w:hint="eastAsia" w:ascii="Times New Roman" w:hAnsi="Times New Roman" w:eastAsia="仿宋_GB2312" w:cs="仿宋_GB2312"/>
          <w:sz w:val="32"/>
          <w:szCs w:val="32"/>
          <w:highlight w:val="none"/>
          <w:u w:val="none" w:color="auto"/>
        </w:rPr>
        <w:t>固定资产投</w:t>
      </w:r>
      <w:r>
        <w:rPr>
          <w:rFonts w:hint="eastAsia" w:ascii="Times New Roman" w:hAnsi="Times New Roman" w:eastAsia="仿宋_GB2312" w:cs="仿宋_GB2312"/>
          <w:color w:val="auto"/>
          <w:sz w:val="32"/>
          <w:szCs w:val="32"/>
          <w:highlight w:val="none"/>
          <w:u w:val="none" w:color="auto"/>
        </w:rPr>
        <w:t>资</w:t>
      </w:r>
      <w:r>
        <w:rPr>
          <w:rFonts w:hint="eastAsia" w:ascii="Times New Roman" w:hAnsi="Times New Roman" w:eastAsia="仿宋_GB2312" w:cs="仿宋_GB2312"/>
          <w:color w:val="auto"/>
          <w:sz w:val="32"/>
          <w:szCs w:val="32"/>
          <w:highlight w:val="none"/>
          <w:u w:val="none" w:color="auto"/>
          <w:lang w:val="en-US" w:eastAsia="zh-CN"/>
        </w:rPr>
        <w:t>6</w:t>
      </w:r>
      <w:r>
        <w:rPr>
          <w:rFonts w:hint="eastAsia" w:eastAsia="仿宋_GB2312" w:cs="仿宋_GB2312"/>
          <w:color w:val="auto"/>
          <w:sz w:val="32"/>
          <w:szCs w:val="32"/>
          <w:highlight w:val="none"/>
          <w:u w:val="none" w:color="auto"/>
          <w:lang w:val="en-US" w:eastAsia="zh-CN"/>
        </w:rPr>
        <w:t>0.4</w:t>
      </w:r>
      <w:r>
        <w:rPr>
          <w:rFonts w:hint="eastAsia" w:ascii="Times New Roman" w:hAnsi="Times New Roman" w:eastAsia="仿宋_GB2312" w:cs="仿宋_GB2312"/>
          <w:color w:val="auto"/>
          <w:sz w:val="32"/>
          <w:szCs w:val="32"/>
          <w:highlight w:val="none"/>
          <w:u w:val="none" w:color="auto"/>
        </w:rPr>
        <w:t>亿元</w:t>
      </w:r>
      <w:r>
        <w:rPr>
          <w:rFonts w:hint="eastAsia" w:ascii="Times New Roman" w:hAnsi="Times New Roman" w:eastAsia="仿宋_GB2312" w:cs="仿宋_GB2312"/>
          <w:color w:val="auto"/>
          <w:sz w:val="32"/>
          <w:szCs w:val="32"/>
          <w:highlight w:val="none"/>
          <w:u w:val="none" w:color="auto"/>
          <w:lang w:eastAsia="zh-CN"/>
        </w:rPr>
        <w:t>。</w:t>
      </w:r>
      <w:r>
        <w:rPr>
          <w:rFonts w:hint="eastAsia" w:eastAsia="仿宋_GB2312" w:cs="仿宋_GB2312"/>
          <w:b/>
          <w:bCs/>
          <w:color w:val="auto"/>
          <w:sz w:val="32"/>
          <w:szCs w:val="32"/>
          <w:highlight w:val="none"/>
          <w:u w:val="none" w:color="auto"/>
          <w:lang w:val="en-US" w:eastAsia="zh-CN"/>
        </w:rPr>
        <w:t>基础设施不断完善。</w:t>
      </w:r>
      <w:r>
        <w:rPr>
          <w:rFonts w:hint="eastAsia" w:ascii="仿宋_GB2312" w:hAnsi="仿宋_GB2312" w:eastAsia="仿宋_GB2312" w:cs="仿宋_GB2312"/>
          <w:sz w:val="32"/>
          <w:szCs w:val="32"/>
          <w:lang w:val="en-US" w:eastAsia="zh-CN"/>
        </w:rPr>
        <w:t>雄信高速公路及佛岭隧道正式通车，坪田银杏森林服务区投入运营。</w:t>
      </w:r>
      <w:r>
        <w:rPr>
          <w:rFonts w:hint="eastAsia" w:ascii="仿宋_GB2312" w:hAnsi="仿宋_GB2312" w:eastAsia="仿宋_GB2312" w:cs="仿宋_GB2312"/>
          <w:color w:val="auto"/>
          <w:sz w:val="32"/>
          <w:szCs w:val="32"/>
          <w:lang w:val="en-US" w:eastAsia="zh-CN"/>
        </w:rPr>
        <w:t>完成美丽农村路建设</w:t>
      </w:r>
      <w:r>
        <w:rPr>
          <w:rFonts w:hint="eastAsia" w:eastAsia="仿宋_GB2312" w:cs="仿宋_GB2312"/>
          <w:color w:val="auto"/>
          <w:sz w:val="32"/>
          <w:szCs w:val="32"/>
          <w:highlight w:val="none"/>
          <w:u w:val="none" w:color="auto"/>
          <w:lang w:val="en-US" w:eastAsia="zh-CN"/>
        </w:rPr>
        <w:t>49.6</w:t>
      </w:r>
      <w:r>
        <w:rPr>
          <w:rFonts w:hint="eastAsia" w:ascii="仿宋_GB2312" w:hAnsi="仿宋_GB2312" w:eastAsia="仿宋_GB2312" w:cs="仿宋_GB2312"/>
          <w:color w:val="auto"/>
          <w:sz w:val="32"/>
          <w:szCs w:val="32"/>
          <w:lang w:val="en-US" w:eastAsia="zh-CN"/>
        </w:rPr>
        <w:t>公里、省十件民生实事农村公路建设</w:t>
      </w:r>
      <w:r>
        <w:rPr>
          <w:rFonts w:hint="eastAsia" w:ascii="Times New Roman" w:hAnsi="Times New Roman" w:eastAsia="仿宋_GB2312" w:cs="仿宋_GB2312"/>
          <w:color w:val="auto"/>
          <w:sz w:val="32"/>
          <w:szCs w:val="32"/>
          <w:highlight w:val="none"/>
          <w:u w:val="none" w:color="auto"/>
          <w:lang w:val="en-US" w:eastAsia="zh-CN"/>
        </w:rPr>
        <w:t>170.2</w:t>
      </w:r>
      <w:r>
        <w:rPr>
          <w:rFonts w:hint="eastAsia" w:ascii="仿宋_GB2312" w:hAnsi="仿宋_GB2312" w:eastAsia="仿宋_GB2312" w:cs="仿宋_GB2312"/>
          <w:color w:val="auto"/>
          <w:sz w:val="32"/>
          <w:szCs w:val="32"/>
          <w:lang w:val="en-US" w:eastAsia="zh-CN"/>
        </w:rPr>
        <w:t>公里、农村公路危旧桥梁改造</w:t>
      </w:r>
      <w:r>
        <w:rPr>
          <w:rFonts w:hint="eastAsia" w:ascii="Times New Roman" w:hAnsi="Times New Roman" w:eastAsia="仿宋_GB2312" w:cs="仿宋_GB2312"/>
          <w:color w:val="auto"/>
          <w:sz w:val="32"/>
          <w:szCs w:val="32"/>
          <w:highlight w:val="none"/>
          <w:u w:val="none" w:color="auto"/>
          <w:lang w:val="en-US" w:eastAsia="zh-CN"/>
        </w:rPr>
        <w:t>16</w:t>
      </w:r>
      <w:r>
        <w:rPr>
          <w:rFonts w:hint="eastAsia" w:ascii="仿宋_GB2312" w:hAnsi="仿宋_GB2312" w:eastAsia="仿宋_GB2312" w:cs="仿宋_GB2312"/>
          <w:color w:val="auto"/>
          <w:sz w:val="32"/>
          <w:szCs w:val="32"/>
          <w:lang w:val="en-US" w:eastAsia="zh-CN"/>
        </w:rPr>
        <w:t>座，</w:t>
      </w:r>
      <w:r>
        <w:rPr>
          <w:rFonts w:hint="eastAsia" w:ascii="仿宋_GB2312" w:hAnsi="仿宋_GB2312" w:eastAsia="仿宋_GB2312" w:cs="仿宋_GB2312"/>
          <w:sz w:val="32"/>
          <w:szCs w:val="32"/>
          <w:highlight w:val="none"/>
          <w:lang w:val="en-US" w:eastAsia="zh-CN"/>
        </w:rPr>
        <w:t>新建</w:t>
      </w:r>
      <w:r>
        <w:rPr>
          <w:rFonts w:hint="default" w:ascii="Times New Roman" w:hAnsi="Times New Roman" w:eastAsia="仿宋_GB2312" w:cs="仿宋_GB2312"/>
          <w:color w:val="auto"/>
          <w:sz w:val="32"/>
          <w:szCs w:val="32"/>
          <w:highlight w:val="none"/>
          <w:u w:val="none" w:color="auto"/>
          <w:lang w:val="en-US" w:eastAsia="zh-CN"/>
        </w:rPr>
        <w:t>5G</w:t>
      </w:r>
      <w:r>
        <w:rPr>
          <w:rFonts w:hint="default" w:ascii="仿宋_GB2312" w:hAnsi="仿宋_GB2312" w:eastAsia="仿宋_GB2312" w:cs="仿宋_GB2312"/>
          <w:sz w:val="32"/>
          <w:szCs w:val="32"/>
          <w:highlight w:val="none"/>
          <w:lang w:val="en-US" w:eastAsia="zh-CN"/>
        </w:rPr>
        <w:t>基站</w:t>
      </w:r>
      <w:r>
        <w:rPr>
          <w:rFonts w:hint="eastAsia" w:eastAsia="仿宋_GB2312" w:cs="仿宋_GB2312"/>
          <w:color w:val="auto"/>
          <w:sz w:val="32"/>
          <w:szCs w:val="32"/>
          <w:highlight w:val="none"/>
          <w:u w:val="none" w:color="auto"/>
          <w:lang w:val="en-US" w:eastAsia="zh-CN"/>
        </w:rPr>
        <w:t>224</w:t>
      </w:r>
      <w:r>
        <w:rPr>
          <w:rFonts w:hint="default" w:ascii="仿宋_GB2312" w:hAnsi="仿宋_GB2312" w:eastAsia="仿宋_GB2312" w:cs="仿宋_GB2312"/>
          <w:sz w:val="32"/>
          <w:szCs w:val="32"/>
          <w:highlight w:val="none"/>
          <w:lang w:val="en-US" w:eastAsia="zh-CN"/>
        </w:rPr>
        <w:t>个、</w:t>
      </w:r>
      <w:r>
        <w:rPr>
          <w:rFonts w:hint="default" w:ascii="Times New Roman" w:hAnsi="Times New Roman" w:eastAsia="仿宋_GB2312" w:cs="仿宋_GB2312"/>
          <w:color w:val="auto"/>
          <w:sz w:val="32"/>
          <w:szCs w:val="32"/>
          <w:highlight w:val="none"/>
          <w:u w:val="none" w:color="auto"/>
          <w:lang w:val="en-US" w:eastAsia="zh-CN"/>
        </w:rPr>
        <w:t>4G</w:t>
      </w:r>
      <w:r>
        <w:rPr>
          <w:rFonts w:hint="default" w:ascii="仿宋_GB2312" w:hAnsi="仿宋_GB2312" w:eastAsia="仿宋_GB2312" w:cs="仿宋_GB2312"/>
          <w:sz w:val="32"/>
          <w:szCs w:val="32"/>
          <w:highlight w:val="none"/>
          <w:lang w:val="en-US" w:eastAsia="zh-CN"/>
        </w:rPr>
        <w:t>基站</w:t>
      </w:r>
      <w:r>
        <w:rPr>
          <w:rFonts w:hint="eastAsia" w:eastAsia="仿宋_GB2312" w:cs="仿宋_GB2312"/>
          <w:color w:val="auto"/>
          <w:sz w:val="32"/>
          <w:szCs w:val="32"/>
          <w:highlight w:val="none"/>
          <w:u w:val="none" w:color="auto"/>
          <w:lang w:val="en-US" w:eastAsia="zh-CN"/>
        </w:rPr>
        <w:t>64</w:t>
      </w:r>
      <w:r>
        <w:rPr>
          <w:rFonts w:hint="default" w:ascii="仿宋_GB2312" w:hAnsi="仿宋_GB2312" w:eastAsia="仿宋_GB2312" w:cs="仿宋_GB2312"/>
          <w:sz w:val="32"/>
          <w:szCs w:val="32"/>
          <w:highlight w:val="none"/>
          <w:lang w:val="en-US" w:eastAsia="zh-CN"/>
        </w:rPr>
        <w:t>个、新增端口</w:t>
      </w:r>
      <w:r>
        <w:rPr>
          <w:rFonts w:hint="eastAsia" w:eastAsia="仿宋_GB2312" w:cs="仿宋_GB2312"/>
          <w:color w:val="auto"/>
          <w:sz w:val="32"/>
          <w:szCs w:val="32"/>
          <w:highlight w:val="none"/>
          <w:u w:val="none" w:color="auto"/>
          <w:lang w:val="en-US" w:eastAsia="zh-CN"/>
        </w:rPr>
        <w:t>4238</w:t>
      </w:r>
      <w:r>
        <w:rPr>
          <w:rFonts w:hint="default" w:ascii="仿宋_GB2312" w:hAnsi="仿宋_GB2312" w:eastAsia="仿宋_GB2312" w:cs="仿宋_GB2312"/>
          <w:sz w:val="32"/>
          <w:szCs w:val="32"/>
          <w:highlight w:val="none"/>
          <w:lang w:val="en-US" w:eastAsia="zh-CN"/>
        </w:rPr>
        <w:t>个、光缆</w:t>
      </w:r>
      <w:r>
        <w:rPr>
          <w:rFonts w:hint="eastAsia" w:eastAsia="仿宋_GB2312" w:cs="仿宋_GB2312"/>
          <w:color w:val="auto"/>
          <w:sz w:val="32"/>
          <w:szCs w:val="32"/>
          <w:highlight w:val="none"/>
          <w:u w:val="none" w:color="auto"/>
          <w:lang w:val="en-US" w:eastAsia="zh-CN"/>
        </w:rPr>
        <w:t>512.2</w:t>
      </w:r>
      <w:r>
        <w:rPr>
          <w:rFonts w:hint="default" w:ascii="仿宋_GB2312" w:hAnsi="仿宋_GB2312" w:eastAsia="仿宋_GB2312" w:cs="仿宋_GB2312"/>
          <w:sz w:val="32"/>
          <w:szCs w:val="32"/>
          <w:highlight w:val="none"/>
          <w:lang w:val="en-US" w:eastAsia="zh-CN"/>
        </w:rPr>
        <w:t>公里</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color w:val="auto"/>
          <w:sz w:val="32"/>
          <w:szCs w:val="32"/>
          <w:highlight w:val="none"/>
          <w:u w:val="none" w:color="auto"/>
          <w:lang w:val="en-US" w:eastAsia="zh-CN"/>
        </w:rPr>
        <w:t>208</w:t>
      </w:r>
      <w:r>
        <w:rPr>
          <w:rFonts w:hint="eastAsia" w:ascii="仿宋_GB2312" w:hAnsi="仿宋_GB2312" w:eastAsia="仿宋_GB2312" w:cs="仿宋_GB2312"/>
          <w:color w:val="auto"/>
          <w:sz w:val="32"/>
          <w:szCs w:val="32"/>
          <w:lang w:val="en-US" w:eastAsia="zh-CN"/>
        </w:rPr>
        <w:t>个行政村</w:t>
      </w:r>
      <w:r>
        <w:rPr>
          <w:rFonts w:hint="eastAsia" w:ascii="Times New Roman" w:hAnsi="Times New Roman" w:eastAsia="仿宋_GB2312" w:cs="仿宋_GB2312"/>
          <w:color w:val="auto"/>
          <w:sz w:val="32"/>
          <w:szCs w:val="32"/>
          <w:highlight w:val="none"/>
          <w:u w:val="none" w:color="auto"/>
          <w:lang w:val="en-US" w:eastAsia="zh-CN"/>
        </w:rPr>
        <w:t>5</w:t>
      </w:r>
      <w:r>
        <w:rPr>
          <w:rFonts w:hint="eastAsia" w:ascii="仿宋_GB2312" w:hAnsi="仿宋_GB2312" w:eastAsia="仿宋_GB2312" w:cs="仿宋_GB2312"/>
          <w:color w:val="auto"/>
          <w:sz w:val="32"/>
          <w:szCs w:val="32"/>
          <w:lang w:val="en-US" w:eastAsia="zh-CN"/>
        </w:rPr>
        <w:t>G覆盖率达到</w:t>
      </w:r>
      <w:r>
        <w:rPr>
          <w:rFonts w:hint="eastAsia" w:ascii="Times New Roman" w:hAnsi="Times New Roman" w:eastAsia="仿宋_GB2312" w:cs="仿宋_GB2312"/>
          <w:color w:val="auto"/>
          <w:sz w:val="32"/>
          <w:szCs w:val="32"/>
          <w:highlight w:val="none"/>
          <w:u w:val="none" w:color="auto"/>
          <w:lang w:val="en-US" w:eastAsia="zh-CN"/>
        </w:rPr>
        <w:t>100%。</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Times New Roman" w:hAnsi="Times New Roman" w:eastAsia="仿宋_GB2312" w:cs="仿宋_GB2312"/>
          <w:highlight w:val="none"/>
          <w:u w:val="none" w:color="auto"/>
        </w:rPr>
      </w:pPr>
      <w:r>
        <w:rPr>
          <w:rFonts w:hint="eastAsia" w:ascii="楷体_GB2312" w:hAnsi="楷体_GB2312" w:eastAsia="楷体_GB2312" w:cs="楷体_GB2312"/>
          <w:kern w:val="2"/>
          <w:sz w:val="32"/>
          <w:szCs w:val="32"/>
          <w:highlight w:val="none"/>
          <w:u w:val="none" w:color="auto"/>
          <w:lang w:val="en-US" w:eastAsia="zh-CN" w:bidi="ar-SA"/>
        </w:rPr>
        <w:t>（四）体制机制改革全面深化，</w:t>
      </w:r>
      <w:r>
        <w:rPr>
          <w:rFonts w:hint="eastAsia" w:ascii="楷体_GB2312" w:hAnsi="楷体_GB2312" w:eastAsia="楷体_GB2312" w:cs="楷体_GB2312"/>
          <w:sz w:val="32"/>
          <w:szCs w:val="32"/>
          <w:lang w:val="en-US" w:eastAsia="zh-CN"/>
        </w:rPr>
        <w:t>内生动力不断增强</w:t>
      </w:r>
      <w:r>
        <w:rPr>
          <w:rFonts w:hint="eastAsia" w:ascii="楷体_GB2312" w:hAnsi="楷体_GB2312" w:eastAsia="楷体_GB2312" w:cs="楷体_GB2312"/>
          <w:kern w:val="2"/>
          <w:sz w:val="32"/>
          <w:szCs w:val="32"/>
          <w:highlight w:val="none"/>
          <w:u w:val="none" w:color="auto"/>
          <w:lang w:val="en-US" w:eastAsia="zh-CN" w:bidi="ar-SA"/>
        </w:rPr>
        <w:t>。</w:t>
      </w:r>
      <w:r>
        <w:rPr>
          <w:rStyle w:val="13"/>
          <w:rFonts w:hint="eastAsia" w:ascii="Times New Roman" w:hAnsi="Times New Roman" w:eastAsia="仿宋_GB2312" w:cs="仿宋_GB2312"/>
          <w:b/>
          <w:bCs w:val="0"/>
          <w:i w:val="0"/>
          <w:iCs w:val="0"/>
          <w:caps w:val="0"/>
          <w:color w:val="000000" w:themeColor="text1"/>
          <w:spacing w:val="0"/>
          <w:sz w:val="32"/>
          <w:szCs w:val="32"/>
          <w:u w:val="none" w:color="auto"/>
          <w:shd w:val="clear" w:fill="FFFFFF"/>
          <w14:textFill>
            <w14:solidFill>
              <w14:schemeClr w14:val="tx1"/>
            </w14:solidFill>
          </w14:textFill>
        </w:rPr>
        <w:t>重点改革纵深推进。</w:t>
      </w:r>
      <w:r>
        <w:rPr>
          <w:rStyle w:val="13"/>
          <w:rFonts w:hint="eastAsia" w:ascii="Times New Roman" w:hAnsi="Times New Roman" w:eastAsia="仿宋_GB2312" w:cs="仿宋_GB2312"/>
          <w:b w:val="0"/>
          <w:bCs/>
          <w:i w:val="0"/>
          <w:iCs w:val="0"/>
          <w:caps w:val="0"/>
          <w:color w:val="000000" w:themeColor="text1"/>
          <w:spacing w:val="0"/>
          <w:sz w:val="32"/>
          <w:szCs w:val="32"/>
          <w:u w:val="none" w:color="auto"/>
          <w:shd w:val="clear" w:fill="FFFFFF"/>
          <w:lang w:val="en-US" w:eastAsia="zh-CN"/>
          <w14:textFill>
            <w14:solidFill>
              <w14:schemeClr w14:val="tx1"/>
            </w14:solidFill>
          </w14:textFill>
        </w:rPr>
        <w:t>20项国家、省级试点工作有序推进，新争取5项省级改革试点任务。扎实开展县镇管理体制改革试点工作，形成直通车事项清单69项。深化农村综合改革，</w:t>
      </w:r>
      <w:r>
        <w:rPr>
          <w:rStyle w:val="13"/>
          <w:rFonts w:hint="eastAsia" w:eastAsia="仿宋_GB2312" w:cs="仿宋_GB2312"/>
          <w:b w:val="0"/>
          <w:bCs/>
          <w:i w:val="0"/>
          <w:iCs w:val="0"/>
          <w:caps w:val="0"/>
          <w:color w:val="000000" w:themeColor="text1"/>
          <w:spacing w:val="0"/>
          <w:sz w:val="32"/>
          <w:szCs w:val="32"/>
          <w:u w:val="none" w:color="auto"/>
          <w:shd w:val="clear" w:fill="FFFFFF"/>
          <w:lang w:val="en-US" w:eastAsia="zh-CN"/>
          <w14:textFill>
            <w14:solidFill>
              <w14:schemeClr w14:val="tx1"/>
            </w14:solidFill>
          </w14:textFill>
        </w:rPr>
        <w:t>全面完成全国农村宅基地制度改革、农村乱占耕地建房住宅类房屋专项整治两项改革试点任务</w:t>
      </w:r>
      <w:r>
        <w:rPr>
          <w:rStyle w:val="13"/>
          <w:rFonts w:hint="eastAsia" w:ascii="Times New Roman" w:hAnsi="Times New Roman" w:eastAsia="仿宋_GB2312" w:cs="仿宋_GB2312"/>
          <w:b w:val="0"/>
          <w:bCs/>
          <w:i w:val="0"/>
          <w:iCs w:val="0"/>
          <w:caps w:val="0"/>
          <w:color w:val="000000" w:themeColor="text1"/>
          <w:spacing w:val="0"/>
          <w:sz w:val="32"/>
          <w:szCs w:val="32"/>
          <w:u w:val="none" w:color="auto"/>
          <w:shd w:val="clear" w:fill="FFFFFF"/>
          <w:lang w:val="en-US" w:eastAsia="zh-CN"/>
          <w14:textFill>
            <w14:solidFill>
              <w14:schemeClr w14:val="tx1"/>
            </w14:solidFill>
          </w14:textFill>
        </w:rPr>
        <w:t>，</w:t>
      </w:r>
      <w:r>
        <w:rPr>
          <w:rStyle w:val="13"/>
          <w:rFonts w:hint="eastAsia" w:eastAsia="仿宋_GB2312" w:cs="仿宋_GB2312"/>
          <w:b w:val="0"/>
          <w:bCs/>
          <w:i w:val="0"/>
          <w:iCs w:val="0"/>
          <w:caps w:val="0"/>
          <w:color w:val="000000" w:themeColor="text1"/>
          <w:spacing w:val="0"/>
          <w:sz w:val="32"/>
          <w:szCs w:val="32"/>
          <w:u w:val="none" w:color="auto"/>
          <w:shd w:val="clear" w:fill="FFFFFF"/>
          <w:lang w:val="en-US" w:eastAsia="zh-CN"/>
          <w14:textFill>
            <w14:solidFill>
              <w14:schemeClr w14:val="tx1"/>
            </w14:solidFill>
          </w14:textFill>
        </w:rPr>
        <w:t>入选全省耕地集中连片整治试点，</w:t>
      </w:r>
      <w:r>
        <w:rPr>
          <w:rFonts w:hint="eastAsia" w:ascii="Times New Roman" w:hAnsi="Times New Roman" w:eastAsia="仿宋_GB2312" w:cs="仿宋_GB2312"/>
          <w:color w:val="auto"/>
          <w:sz w:val="32"/>
          <w:szCs w:val="32"/>
          <w:highlight w:val="none"/>
          <w:u w:val="none" w:color="auto"/>
          <w:lang w:val="en-US" w:eastAsia="zh-CN"/>
        </w:rPr>
        <w:t>“房地一体”</w:t>
      </w:r>
      <w:r>
        <w:rPr>
          <w:rFonts w:hint="eastAsia" w:ascii="Times New Roman" w:hAnsi="Times New Roman" w:eastAsia="仿宋_GB2312" w:cs="仿宋_GB2312"/>
          <w:color w:val="auto"/>
          <w:sz w:val="32"/>
          <w:szCs w:val="32"/>
          <w:u w:val="none" w:color="auto"/>
          <w:lang w:val="en-US" w:eastAsia="zh-CN"/>
        </w:rPr>
        <w:t>农村不动产确权登记发证任务完成率100%，</w:t>
      </w:r>
      <w:r>
        <w:rPr>
          <w:rStyle w:val="13"/>
          <w:rFonts w:hint="eastAsia" w:ascii="Times New Roman" w:hAnsi="Times New Roman" w:eastAsia="仿宋_GB2312" w:cs="仿宋_GB2312"/>
          <w:b w:val="0"/>
          <w:bCs/>
          <w:i w:val="0"/>
          <w:iCs w:val="0"/>
          <w:caps w:val="0"/>
          <w:color w:val="000000" w:themeColor="text1"/>
          <w:spacing w:val="0"/>
          <w:sz w:val="32"/>
          <w:szCs w:val="32"/>
          <w:u w:val="none" w:color="auto"/>
          <w:shd w:val="clear" w:fill="FFFFFF"/>
          <w:lang w:val="en-US" w:eastAsia="zh-CN"/>
          <w14:textFill>
            <w14:solidFill>
              <w14:schemeClr w14:val="tx1"/>
            </w14:solidFill>
          </w14:textFill>
        </w:rPr>
        <w:t>全国酸化耕地治理重点县建设经验获农业农村部推广。</w:t>
      </w:r>
      <w:r>
        <w:rPr>
          <w:rStyle w:val="13"/>
          <w:rFonts w:hint="eastAsia" w:ascii="Times New Roman" w:hAnsi="Times New Roman" w:eastAsia="仿宋_GB2312" w:cs="仿宋_GB2312"/>
          <w:b/>
          <w:bCs w:val="0"/>
          <w:i w:val="0"/>
          <w:iCs w:val="0"/>
          <w:caps w:val="0"/>
          <w:color w:val="000000" w:themeColor="text1"/>
          <w:spacing w:val="0"/>
          <w:sz w:val="32"/>
          <w:szCs w:val="32"/>
          <w:u w:val="none" w:color="auto"/>
          <w:shd w:val="clear" w:fill="FFFFFF"/>
          <w14:textFill>
            <w14:solidFill>
              <w14:schemeClr w14:val="tx1"/>
            </w14:solidFill>
          </w14:textFill>
        </w:rPr>
        <w:t>人才支撑坚实有力。</w:t>
      </w:r>
      <w:r>
        <w:rPr>
          <w:rStyle w:val="13"/>
          <w:rFonts w:hint="eastAsia" w:ascii="Times New Roman" w:hAnsi="Times New Roman" w:eastAsia="仿宋_GB2312" w:cs="仿宋_GB2312"/>
          <w:b w:val="0"/>
          <w:bCs/>
          <w:i w:val="0"/>
          <w:iCs w:val="0"/>
          <w:caps w:val="0"/>
          <w:color w:val="000000" w:themeColor="text1"/>
          <w:spacing w:val="0"/>
          <w:kern w:val="2"/>
          <w:sz w:val="32"/>
          <w:szCs w:val="32"/>
          <w:u w:val="none" w:color="auto"/>
          <w:shd w:val="clear" w:fill="FFFFFF"/>
          <w:lang w:val="en-US" w:eastAsia="zh-CN" w:bidi="ar-SA"/>
          <w14:textFill>
            <w14:solidFill>
              <w14:schemeClr w14:val="tx1"/>
            </w14:solidFill>
          </w14:textFill>
        </w:rPr>
        <w:t>深入推进省“启航计划”，引导企业组建南雄市产业创新人才联盟，引育1个“南岭团队”，引进认定30名青年人才，培育储备“风采能手”204人，评选农业农村“土专家”“田秀才”“乡创客”30人。鼓励返乡人才创业，返乡创业项目达182个，累计完成投资约4.3亿元。</w:t>
      </w:r>
      <w:r>
        <w:rPr>
          <w:rStyle w:val="13"/>
          <w:rFonts w:hint="eastAsia" w:ascii="Times New Roman" w:hAnsi="Times New Roman" w:eastAsia="仿宋_GB2312" w:cs="仿宋_GB2312"/>
          <w:b/>
          <w:bCs w:val="0"/>
          <w:i w:val="0"/>
          <w:iCs w:val="0"/>
          <w:caps w:val="0"/>
          <w:color w:val="000000" w:themeColor="text1"/>
          <w:spacing w:val="0"/>
          <w:sz w:val="32"/>
          <w:szCs w:val="32"/>
          <w:u w:val="none" w:color="auto"/>
          <w:shd w:val="clear" w:fill="FFFFFF"/>
          <w14:textFill>
            <w14:solidFill>
              <w14:schemeClr w14:val="tx1"/>
            </w14:solidFill>
          </w14:textFill>
        </w:rPr>
        <w:t>营商环境不断优化。</w:t>
      </w:r>
      <w:r>
        <w:rPr>
          <w:rStyle w:val="13"/>
          <w:rFonts w:hint="eastAsia" w:ascii="Times New Roman" w:hAnsi="Times New Roman" w:eastAsia="仿宋_GB2312" w:cs="仿宋_GB2312"/>
          <w:b w:val="0"/>
          <w:bCs/>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深化“暖企行动”，</w:t>
      </w:r>
      <w:r>
        <w:rPr>
          <w:rFonts w:hint="eastAsia" w:ascii="Times New Roman" w:hAnsi="Times New Roman" w:eastAsia="仿宋_GB2312" w:cs="仿宋_GB2312"/>
          <w:b w:val="0"/>
          <w:bCs w:val="0"/>
          <w:sz w:val="32"/>
          <w:szCs w:val="32"/>
          <w:highlight w:val="none"/>
          <w:u w:val="none" w:color="auto"/>
          <w:lang w:val="en-US" w:eastAsia="zh-CN"/>
        </w:rPr>
        <w:t>落</w:t>
      </w:r>
      <w:r>
        <w:rPr>
          <w:rFonts w:hint="eastAsia" w:ascii="Times New Roman" w:hAnsi="Times New Roman" w:eastAsia="仿宋_GB2312" w:cs="仿宋_GB2312"/>
          <w:b w:val="0"/>
          <w:bCs w:val="0"/>
          <w:color w:val="auto"/>
          <w:sz w:val="32"/>
          <w:szCs w:val="32"/>
          <w:highlight w:val="none"/>
          <w:u w:val="none" w:color="auto"/>
          <w:lang w:val="en-US" w:eastAsia="zh-CN"/>
        </w:rPr>
        <w:t>实</w:t>
      </w:r>
      <w:r>
        <w:rPr>
          <w:rFonts w:hint="eastAsia" w:eastAsia="仿宋_GB2312" w:cs="仿宋_GB2312"/>
          <w:b w:val="0"/>
          <w:bCs w:val="0"/>
          <w:color w:val="auto"/>
          <w:sz w:val="32"/>
          <w:szCs w:val="32"/>
          <w:highlight w:val="none"/>
          <w:u w:val="none" w:color="auto"/>
          <w:lang w:val="en-US" w:eastAsia="zh-CN"/>
        </w:rPr>
        <w:t>减税降费1.5亿</w:t>
      </w:r>
      <w:r>
        <w:rPr>
          <w:rFonts w:hint="eastAsia" w:ascii="Times New Roman" w:hAnsi="Times New Roman" w:eastAsia="仿宋_GB2312" w:cs="仿宋_GB2312"/>
          <w:b w:val="0"/>
          <w:bCs w:val="0"/>
          <w:color w:val="auto"/>
          <w:sz w:val="32"/>
          <w:szCs w:val="32"/>
          <w:highlight w:val="none"/>
          <w:u w:val="none" w:color="auto"/>
          <w:lang w:val="en-US" w:eastAsia="zh-CN"/>
        </w:rPr>
        <w:t>元</w:t>
      </w:r>
      <w:r>
        <w:rPr>
          <w:rStyle w:val="13"/>
          <w:rFonts w:hint="eastAsia" w:ascii="Times New Roman" w:hAnsi="Times New Roman" w:eastAsia="仿宋_GB2312" w:cs="仿宋_GB2312"/>
          <w:b w:val="0"/>
          <w:bCs w:val="0"/>
          <w:i w:val="0"/>
          <w:iCs w:val="0"/>
          <w:caps w:val="0"/>
          <w:color w:val="auto"/>
          <w:spacing w:val="0"/>
          <w:sz w:val="32"/>
          <w:szCs w:val="32"/>
          <w:highlight w:val="none"/>
          <w:u w:val="none" w:color="auto"/>
          <w:shd w:val="clear" w:fill="FFFFFF"/>
          <w:lang w:val="en-US" w:eastAsia="zh-CN"/>
        </w:rPr>
        <w:t>，</w:t>
      </w:r>
      <w:r>
        <w:rPr>
          <w:rFonts w:hint="eastAsia" w:ascii="Times New Roman" w:hAnsi="Times New Roman" w:eastAsia="仿宋_GB2312" w:cs="仿宋_GB2312"/>
          <w:color w:val="auto"/>
          <w:sz w:val="32"/>
          <w:szCs w:val="32"/>
          <w:highlight w:val="none"/>
          <w:u w:val="none" w:color="auto"/>
          <w:lang w:val="en-US" w:eastAsia="zh-CN"/>
        </w:rPr>
        <w:t>持续释放市场活力，新增各类市场主体</w:t>
      </w:r>
      <w:r>
        <w:rPr>
          <w:rFonts w:hint="eastAsia" w:eastAsia="仿宋_GB2312" w:cs="仿宋_GB2312"/>
          <w:color w:val="auto"/>
          <w:sz w:val="32"/>
          <w:szCs w:val="32"/>
          <w:highlight w:val="none"/>
          <w:u w:val="none" w:color="auto"/>
          <w:lang w:val="en-US" w:eastAsia="zh-CN"/>
        </w:rPr>
        <w:t>2596</w:t>
      </w:r>
      <w:r>
        <w:rPr>
          <w:rFonts w:hint="eastAsia" w:ascii="Times New Roman" w:hAnsi="Times New Roman" w:eastAsia="仿宋_GB2312" w:cs="仿宋_GB2312"/>
          <w:color w:val="auto"/>
          <w:sz w:val="32"/>
          <w:szCs w:val="32"/>
          <w:highlight w:val="none"/>
          <w:u w:val="none" w:color="auto"/>
          <w:lang w:val="en-US" w:eastAsia="zh-CN"/>
        </w:rPr>
        <w:t>户。优化融资服务体系，推动“取水权”“林业碳汇预期收益权”“公益林补偿收益权”质押贷款落地，</w:t>
      </w:r>
      <w:r>
        <w:rPr>
          <w:rFonts w:hint="eastAsia" w:ascii="Times New Roman" w:hAnsi="Times New Roman" w:eastAsia="仿宋_GB2312" w:cs="仿宋_GB2312"/>
          <w:color w:val="auto"/>
          <w:kern w:val="2"/>
          <w:sz w:val="32"/>
          <w:szCs w:val="32"/>
          <w:highlight w:val="none"/>
          <w:u w:val="none" w:color="auto"/>
          <w:lang w:val="en-US" w:eastAsia="zh-CN" w:bidi="ar-SA"/>
        </w:rPr>
        <w:t>股权质押融资额达</w:t>
      </w:r>
      <w:r>
        <w:rPr>
          <w:rFonts w:hint="eastAsia" w:eastAsia="仿宋_GB2312" w:cs="仿宋_GB2312"/>
          <w:bCs/>
          <w:color w:val="000000" w:themeColor="text1"/>
          <w:kern w:val="0"/>
          <w:sz w:val="32"/>
          <w:szCs w:val="32"/>
          <w:highlight w:val="none"/>
          <w:u w:val="none" w:color="auto"/>
          <w:lang w:val="en-US" w:eastAsia="zh-CN" w:bidi="ar-SA"/>
          <w14:textFill>
            <w14:solidFill>
              <w14:schemeClr w14:val="tx1"/>
            </w14:solidFill>
          </w14:textFill>
        </w:rPr>
        <w:t>10.44</w:t>
      </w:r>
      <w:r>
        <w:rPr>
          <w:rFonts w:hint="eastAsia" w:ascii="Times New Roman" w:hAnsi="Times New Roman" w:eastAsia="仿宋_GB2312" w:cs="仿宋_GB2312"/>
          <w:color w:val="auto"/>
          <w:kern w:val="2"/>
          <w:sz w:val="32"/>
          <w:szCs w:val="32"/>
          <w:highlight w:val="none"/>
          <w:u w:val="none" w:color="auto"/>
          <w:lang w:val="en-US" w:eastAsia="zh-CN" w:bidi="ar-SA"/>
        </w:rPr>
        <w:t>亿元，</w:t>
      </w:r>
      <w:r>
        <w:rPr>
          <w:rStyle w:val="13"/>
          <w:rFonts w:hint="eastAsia" w:ascii="Times New Roman" w:hAnsi="Times New Roman" w:eastAsia="仿宋_GB2312" w:cs="仿宋_GB2312"/>
          <w:b w:val="0"/>
          <w:bCs/>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知识产权质押融资额累计达</w:t>
      </w:r>
      <w:r>
        <w:rPr>
          <w:rFonts w:hint="eastAsia" w:eastAsia="仿宋_GB2312" w:cs="仿宋_GB2312"/>
          <w:bCs/>
          <w:color w:val="000000" w:themeColor="text1"/>
          <w:kern w:val="0"/>
          <w:sz w:val="32"/>
          <w:szCs w:val="32"/>
          <w:highlight w:val="none"/>
          <w:u w:val="none" w:color="auto"/>
          <w:lang w:val="en-US" w:eastAsia="zh-CN" w:bidi="ar-SA"/>
          <w14:textFill>
            <w14:solidFill>
              <w14:schemeClr w14:val="tx1"/>
            </w14:solidFill>
          </w14:textFill>
        </w:rPr>
        <w:t>1.16亿</w:t>
      </w:r>
      <w:r>
        <w:rPr>
          <w:rStyle w:val="13"/>
          <w:rFonts w:hint="eastAsia" w:ascii="Times New Roman" w:hAnsi="Times New Roman" w:eastAsia="仿宋_GB2312" w:cs="仿宋_GB2312"/>
          <w:b w:val="0"/>
          <w:bCs/>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元。</w:t>
      </w:r>
      <w:r>
        <w:rPr>
          <w:rFonts w:hint="eastAsia" w:ascii="Times New Roman" w:hAnsi="Times New Roman" w:eastAsia="仿宋_GB2312" w:cs="仿宋_GB2312"/>
          <w:color w:val="auto"/>
          <w:sz w:val="32"/>
          <w:szCs w:val="32"/>
          <w:highlight w:val="none"/>
          <w:u w:val="none" w:color="auto"/>
          <w:lang w:val="en-US" w:eastAsia="zh-CN"/>
        </w:rPr>
        <w:t>深化“</w:t>
      </w:r>
      <w:r>
        <w:rPr>
          <w:rFonts w:hint="eastAsia" w:ascii="Times New Roman" w:hAnsi="Times New Roman" w:eastAsia="仿宋_GB2312" w:cs="仿宋_GB2312"/>
          <w:color w:val="auto"/>
          <w:sz w:val="32"/>
          <w:szCs w:val="32"/>
          <w:u w:val="none" w:color="auto"/>
          <w:lang w:val="en-US" w:eastAsia="zh-CN"/>
        </w:rPr>
        <w:t>放管服”改革，工程建设项目</w:t>
      </w:r>
      <w:r>
        <w:rPr>
          <w:rFonts w:hint="eastAsia" w:ascii="Times New Roman" w:hAnsi="Times New Roman" w:eastAsia="仿宋_GB2312" w:cs="仿宋_GB2312"/>
          <w:color w:val="auto"/>
          <w:kern w:val="0"/>
          <w:sz w:val="32"/>
          <w:szCs w:val="32"/>
          <w:u w:val="none" w:color="auto"/>
          <w:lang w:val="en-US" w:eastAsia="zh-CN" w:bidi="ar"/>
        </w:rPr>
        <w:t>并联审批率9</w:t>
      </w:r>
      <w:r>
        <w:rPr>
          <w:rFonts w:hint="eastAsia" w:eastAsia="仿宋_GB2312" w:cs="仿宋_GB2312"/>
          <w:color w:val="auto"/>
          <w:kern w:val="0"/>
          <w:sz w:val="32"/>
          <w:szCs w:val="32"/>
          <w:u w:val="none" w:color="auto"/>
          <w:lang w:val="en-US" w:eastAsia="zh-CN" w:bidi="ar"/>
        </w:rPr>
        <w:t>6.03</w:t>
      </w:r>
      <w:r>
        <w:rPr>
          <w:rFonts w:hint="eastAsia" w:ascii="Times New Roman" w:hAnsi="Times New Roman" w:eastAsia="仿宋_GB2312" w:cs="仿宋_GB2312"/>
          <w:color w:val="auto"/>
          <w:kern w:val="0"/>
          <w:sz w:val="32"/>
          <w:szCs w:val="32"/>
          <w:u w:val="none" w:color="auto"/>
          <w:lang w:val="en-US" w:eastAsia="zh-CN" w:bidi="ar"/>
        </w:rPr>
        <w:t>%、</w:t>
      </w:r>
      <w:r>
        <w:rPr>
          <w:rFonts w:hint="eastAsia" w:ascii="Times New Roman" w:hAnsi="Times New Roman" w:eastAsia="仿宋_GB2312" w:cs="仿宋_GB2312"/>
          <w:color w:val="auto"/>
          <w:sz w:val="32"/>
          <w:szCs w:val="32"/>
          <w:u w:val="none" w:color="auto"/>
          <w:lang w:val="en-US" w:eastAsia="zh-CN"/>
        </w:rPr>
        <w:t>联合验收率97</w:t>
      </w:r>
      <w:r>
        <w:rPr>
          <w:rFonts w:hint="eastAsia" w:eastAsia="仿宋_GB2312" w:cs="仿宋_GB2312"/>
          <w:color w:val="auto"/>
          <w:sz w:val="32"/>
          <w:szCs w:val="32"/>
          <w:u w:val="none" w:color="auto"/>
          <w:lang w:val="en-US" w:eastAsia="zh-CN"/>
        </w:rPr>
        <w:t>.27</w:t>
      </w:r>
      <w:r>
        <w:rPr>
          <w:rFonts w:hint="eastAsia" w:ascii="Times New Roman" w:hAnsi="Times New Roman" w:eastAsia="仿宋_GB2312" w:cs="仿宋_GB2312"/>
          <w:color w:val="auto"/>
          <w:sz w:val="32"/>
          <w:szCs w:val="32"/>
          <w:u w:val="none" w:color="auto"/>
          <w:lang w:val="en-US" w:eastAsia="zh-CN"/>
        </w:rPr>
        <w:t>%，均在韶关排名前列，实现首个“竣工即交证”工业项目。</w:t>
      </w:r>
      <w:r>
        <w:rPr>
          <w:rFonts w:hint="eastAsia" w:ascii="Times New Roman" w:hAnsi="Times New Roman" w:eastAsia="仿宋_GB2312" w:cs="仿宋_GB2312"/>
          <w:color w:val="auto"/>
          <w:spacing w:val="-14"/>
          <w:sz w:val="32"/>
          <w:szCs w:val="32"/>
          <w:u w:val="none" w:color="auto"/>
          <w:lang w:val="en-US" w:eastAsia="zh-CN"/>
        </w:rPr>
        <w:t>推进政务服务事项“应进必进”，</w:t>
      </w:r>
      <w:r>
        <w:rPr>
          <w:rStyle w:val="13"/>
          <w:rFonts w:hint="eastAsia" w:ascii="Times New Roman" w:hAnsi="Times New Roman" w:eastAsia="仿宋_GB2312" w:cs="仿宋_GB2312"/>
          <w:b w:val="0"/>
          <w:bCs/>
          <w:i w:val="0"/>
          <w:iCs w:val="0"/>
          <w:caps w:val="0"/>
          <w:color w:val="000000" w:themeColor="text1"/>
          <w:spacing w:val="0"/>
          <w:sz w:val="32"/>
          <w:szCs w:val="32"/>
          <w:u w:val="none" w:color="auto"/>
          <w:shd w:val="clear" w:fill="FFFFFF"/>
          <w:lang w:val="en-US" w:eastAsia="zh-CN"/>
          <w14:textFill>
            <w14:solidFill>
              <w14:schemeClr w14:val="tx1"/>
            </w14:solidFill>
          </w14:textFill>
        </w:rPr>
        <w:t>办理事项进驻率提高到9</w:t>
      </w:r>
      <w:r>
        <w:rPr>
          <w:rStyle w:val="13"/>
          <w:rFonts w:hint="eastAsia" w:eastAsia="仿宋_GB2312" w:cs="仿宋_GB2312"/>
          <w:b w:val="0"/>
          <w:bCs/>
          <w:i w:val="0"/>
          <w:iCs w:val="0"/>
          <w:caps w:val="0"/>
          <w:color w:val="000000" w:themeColor="text1"/>
          <w:spacing w:val="0"/>
          <w:sz w:val="32"/>
          <w:szCs w:val="32"/>
          <w:u w:val="none" w:color="auto"/>
          <w:shd w:val="clear" w:fill="FFFFFF"/>
          <w:lang w:val="en-US" w:eastAsia="zh-CN"/>
          <w14:textFill>
            <w14:solidFill>
              <w14:schemeClr w14:val="tx1"/>
            </w14:solidFill>
          </w14:textFill>
        </w:rPr>
        <w:t>9.09</w:t>
      </w:r>
      <w:r>
        <w:rPr>
          <w:rStyle w:val="13"/>
          <w:rFonts w:hint="eastAsia" w:ascii="Times New Roman" w:hAnsi="Times New Roman" w:eastAsia="仿宋_GB2312" w:cs="仿宋_GB2312"/>
          <w:b w:val="0"/>
          <w:bCs/>
          <w:i w:val="0"/>
          <w:iCs w:val="0"/>
          <w:caps w:val="0"/>
          <w:color w:val="000000" w:themeColor="text1"/>
          <w:spacing w:val="0"/>
          <w:sz w:val="32"/>
          <w:szCs w:val="32"/>
          <w:u w:val="none" w:color="auto"/>
          <w:shd w:val="clear" w:fill="FFFFFF"/>
          <w:lang w:val="en-US" w:eastAsia="zh-CN"/>
          <w14:textFill>
            <w14:solidFill>
              <w14:schemeClr w14:val="tx1"/>
            </w14:solidFill>
          </w14:textFill>
        </w:rPr>
        <w:t>%</w:t>
      </w:r>
      <w:r>
        <w:rPr>
          <w:rFonts w:hint="eastAsia" w:ascii="Times New Roman" w:hAnsi="Times New Roman" w:eastAsia="仿宋_GB2312" w:cs="仿宋_GB2312"/>
          <w:color w:val="auto"/>
          <w:sz w:val="32"/>
          <w:szCs w:val="32"/>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Times New Roman" w:hAnsi="Times New Roman" w:eastAsia="仿宋_GB2312" w:cs="仿宋_GB2312"/>
          <w:sz w:val="32"/>
          <w:szCs w:val="32"/>
          <w:highlight w:val="none"/>
          <w:u w:val="none" w:color="auto"/>
          <w:lang w:val="en-US" w:eastAsia="zh-CN"/>
        </w:rPr>
      </w:pPr>
      <w:r>
        <w:rPr>
          <w:rFonts w:hint="eastAsia" w:ascii="楷体_GB2312" w:hAnsi="楷体_GB2312" w:eastAsia="楷体_GB2312" w:cs="楷体_GB2312"/>
          <w:kern w:val="2"/>
          <w:sz w:val="32"/>
          <w:szCs w:val="32"/>
          <w:highlight w:val="none"/>
          <w:u w:val="none" w:color="auto"/>
          <w:lang w:val="en-US" w:eastAsia="zh-CN" w:bidi="ar-SA"/>
        </w:rPr>
        <w:t>（五）</w:t>
      </w:r>
      <w:r>
        <w:rPr>
          <w:rFonts w:hint="eastAsia" w:ascii="楷体_GB2312" w:hAnsi="楷体_GB2312" w:eastAsia="楷体_GB2312" w:cs="楷体_GB2312"/>
          <w:color w:val="000000"/>
          <w:spacing w:val="0"/>
          <w:kern w:val="0"/>
          <w:sz w:val="32"/>
          <w:szCs w:val="32"/>
          <w:highlight w:val="none"/>
          <w:u w:val="none" w:color="auto"/>
          <w:lang w:val="en-US" w:eastAsia="zh-CN"/>
        </w:rPr>
        <w:t>着力完善治理体系，</w:t>
      </w:r>
      <w:r>
        <w:rPr>
          <w:rFonts w:hint="eastAsia" w:ascii="楷体_GB2312" w:hAnsi="楷体_GB2312" w:eastAsia="楷体_GB2312" w:cs="楷体_GB2312"/>
          <w:kern w:val="2"/>
          <w:sz w:val="32"/>
          <w:szCs w:val="32"/>
          <w:highlight w:val="none"/>
          <w:u w:val="none" w:color="auto"/>
          <w:lang w:val="en-US" w:eastAsia="zh-CN" w:bidi="ar-SA"/>
        </w:rPr>
        <w:t>社会大局和谐稳定。</w:t>
      </w:r>
      <w:r>
        <w:rPr>
          <w:rFonts w:hint="eastAsia" w:ascii="Times New Roman" w:hAnsi="Times New Roman" w:eastAsia="仿宋_GB2312" w:cs="仿宋_GB2312"/>
          <w:sz w:val="32"/>
          <w:szCs w:val="32"/>
          <w:highlight w:val="none"/>
          <w:u w:val="none" w:color="auto"/>
          <w:lang w:val="en-US" w:eastAsia="zh-CN"/>
        </w:rPr>
        <w:t>聚焦重点领域精准发力，积极防范化解各种风险，</w:t>
      </w:r>
      <w:r>
        <w:rPr>
          <w:rFonts w:hint="eastAsia" w:ascii="Times New Roman" w:hAnsi="Times New Roman" w:eastAsia="仿宋_GB2312" w:cs="仿宋_GB2312"/>
          <w:sz w:val="32"/>
          <w:szCs w:val="32"/>
          <w:highlight w:val="none"/>
          <w:u w:val="none" w:color="auto"/>
        </w:rPr>
        <w:t>全面维护经济社会安全、保障人民生命安全，维护社会大局稳定。</w:t>
      </w:r>
      <w:r>
        <w:rPr>
          <w:rFonts w:hint="eastAsia" w:ascii="Times New Roman" w:hAnsi="Times New Roman" w:eastAsia="仿宋_GB2312" w:cs="仿宋_GB2312"/>
          <w:b/>
          <w:bCs/>
          <w:sz w:val="32"/>
          <w:szCs w:val="32"/>
          <w:highlight w:val="none"/>
          <w:u w:val="none" w:color="auto"/>
        </w:rPr>
        <w:t>财政金融稳步增长。</w:t>
      </w:r>
      <w:r>
        <w:rPr>
          <w:rFonts w:hint="eastAsia" w:ascii="Times New Roman" w:hAnsi="Times New Roman" w:eastAsia="仿宋_GB2312" w:cs="仿宋_GB2312"/>
          <w:sz w:val="32"/>
          <w:szCs w:val="32"/>
          <w:highlight w:val="none"/>
          <w:u w:val="none" w:color="auto"/>
        </w:rPr>
        <w:t>全</w:t>
      </w:r>
      <w:r>
        <w:rPr>
          <w:rFonts w:hint="eastAsia" w:eastAsia="仿宋_GB2312" w:cs="仿宋_GB2312"/>
          <w:sz w:val="32"/>
          <w:szCs w:val="32"/>
          <w:highlight w:val="none"/>
          <w:u w:val="none" w:color="auto"/>
          <w:lang w:eastAsia="zh-CN"/>
        </w:rPr>
        <w:t>市</w:t>
      </w:r>
      <w:r>
        <w:rPr>
          <w:rFonts w:hint="eastAsia" w:ascii="Times New Roman" w:hAnsi="Times New Roman" w:eastAsia="仿宋_GB2312" w:cs="仿宋_GB2312"/>
          <w:sz w:val="32"/>
          <w:szCs w:val="32"/>
          <w:highlight w:val="none"/>
          <w:u w:val="none" w:color="auto"/>
        </w:rPr>
        <w:t>一般公共预算收入完成7.0</w:t>
      </w:r>
      <w:r>
        <w:rPr>
          <w:rFonts w:hint="eastAsia" w:eastAsia="仿宋_GB2312" w:cs="仿宋_GB2312"/>
          <w:sz w:val="32"/>
          <w:szCs w:val="32"/>
          <w:highlight w:val="none"/>
          <w:u w:val="none" w:color="auto"/>
          <w:lang w:val="en-US" w:eastAsia="zh-CN"/>
        </w:rPr>
        <w:t>6</w:t>
      </w:r>
      <w:r>
        <w:rPr>
          <w:rFonts w:hint="eastAsia" w:ascii="Times New Roman" w:hAnsi="Times New Roman" w:eastAsia="仿宋_GB2312" w:cs="仿宋_GB2312"/>
          <w:sz w:val="32"/>
          <w:szCs w:val="32"/>
          <w:highlight w:val="none"/>
          <w:u w:val="none" w:color="auto"/>
        </w:rPr>
        <w:t>亿元，同比增长5</w:t>
      </w:r>
      <w:r>
        <w:rPr>
          <w:rFonts w:hint="eastAsia" w:eastAsia="仿宋_GB2312" w:cs="仿宋_GB2312"/>
          <w:sz w:val="32"/>
          <w:szCs w:val="32"/>
          <w:highlight w:val="none"/>
          <w:u w:val="none" w:color="auto"/>
          <w:lang w:val="en-US" w:eastAsia="zh-CN"/>
        </w:rPr>
        <w:t>.64</w:t>
      </w:r>
      <w:r>
        <w:rPr>
          <w:rFonts w:hint="eastAsia" w:ascii="Times New Roman" w:hAnsi="Times New Roman" w:eastAsia="仿宋_GB2312" w:cs="仿宋_GB2312"/>
          <w:sz w:val="32"/>
          <w:szCs w:val="32"/>
          <w:highlight w:val="none"/>
          <w:u w:val="none" w:color="auto"/>
        </w:rPr>
        <w:t>%，其中：税收收入4.2</w:t>
      </w:r>
      <w:r>
        <w:rPr>
          <w:rFonts w:hint="eastAsia" w:eastAsia="仿宋_GB2312" w:cs="仿宋_GB2312"/>
          <w:sz w:val="32"/>
          <w:szCs w:val="32"/>
          <w:highlight w:val="none"/>
          <w:u w:val="none" w:color="auto"/>
          <w:lang w:val="en-US" w:eastAsia="zh-CN"/>
        </w:rPr>
        <w:t>7</w:t>
      </w:r>
      <w:r>
        <w:rPr>
          <w:rFonts w:hint="eastAsia" w:ascii="Times New Roman" w:hAnsi="Times New Roman" w:eastAsia="仿宋_GB2312" w:cs="仿宋_GB2312"/>
          <w:sz w:val="32"/>
          <w:szCs w:val="32"/>
          <w:highlight w:val="none"/>
          <w:u w:val="none" w:color="auto"/>
        </w:rPr>
        <w:t>亿元，同比增长5.</w:t>
      </w:r>
      <w:r>
        <w:rPr>
          <w:rFonts w:hint="eastAsia" w:eastAsia="仿宋_GB2312" w:cs="仿宋_GB2312"/>
          <w:sz w:val="32"/>
          <w:szCs w:val="32"/>
          <w:highlight w:val="none"/>
          <w:u w:val="none" w:color="auto"/>
          <w:lang w:val="en-US" w:eastAsia="zh-CN"/>
        </w:rPr>
        <w:t>6</w:t>
      </w:r>
      <w:r>
        <w:rPr>
          <w:rFonts w:hint="eastAsia" w:ascii="Times New Roman" w:hAnsi="Times New Roman" w:eastAsia="仿宋_GB2312" w:cs="仿宋_GB2312"/>
          <w:sz w:val="32"/>
          <w:szCs w:val="32"/>
          <w:highlight w:val="none"/>
          <w:u w:val="none" w:color="auto"/>
        </w:rPr>
        <w:t>5%，非税收入2.7</w:t>
      </w:r>
      <w:r>
        <w:rPr>
          <w:rFonts w:hint="eastAsia" w:eastAsia="仿宋_GB2312" w:cs="仿宋_GB2312"/>
          <w:sz w:val="32"/>
          <w:szCs w:val="32"/>
          <w:highlight w:val="none"/>
          <w:u w:val="none" w:color="auto"/>
          <w:lang w:val="en-US" w:eastAsia="zh-CN"/>
        </w:rPr>
        <w:t>9</w:t>
      </w:r>
      <w:r>
        <w:rPr>
          <w:rFonts w:hint="eastAsia" w:ascii="Times New Roman" w:hAnsi="Times New Roman" w:eastAsia="仿宋_GB2312" w:cs="仿宋_GB2312"/>
          <w:sz w:val="32"/>
          <w:szCs w:val="32"/>
          <w:highlight w:val="none"/>
          <w:u w:val="none" w:color="auto"/>
        </w:rPr>
        <w:t>亿元，同比增长</w:t>
      </w:r>
      <w:r>
        <w:rPr>
          <w:rFonts w:hint="eastAsia" w:eastAsia="仿宋_GB2312" w:cs="仿宋_GB2312"/>
          <w:sz w:val="32"/>
          <w:szCs w:val="32"/>
          <w:highlight w:val="none"/>
          <w:u w:val="none" w:color="auto"/>
          <w:lang w:val="en-US" w:eastAsia="zh-CN"/>
        </w:rPr>
        <w:t>5.64</w:t>
      </w:r>
      <w:r>
        <w:rPr>
          <w:rFonts w:hint="eastAsia" w:ascii="Times New Roman" w:hAnsi="Times New Roman" w:eastAsia="仿宋_GB2312" w:cs="仿宋_GB2312"/>
          <w:sz w:val="32"/>
          <w:szCs w:val="32"/>
          <w:highlight w:val="none"/>
          <w:u w:val="none" w:color="auto"/>
        </w:rPr>
        <w:t>%。</w:t>
      </w:r>
      <w:r>
        <w:rPr>
          <w:rFonts w:hint="eastAsia" w:eastAsia="仿宋_GB2312" w:cs="仿宋_GB2312"/>
          <w:sz w:val="32"/>
          <w:szCs w:val="32"/>
          <w:highlight w:val="none"/>
          <w:u w:val="none" w:color="auto"/>
          <w:lang w:val="en-US" w:eastAsia="zh-CN"/>
        </w:rPr>
        <w:t>全市</w:t>
      </w:r>
      <w:r>
        <w:rPr>
          <w:rFonts w:hint="eastAsia" w:ascii="Times New Roman" w:hAnsi="Times New Roman" w:eastAsia="仿宋_GB2312" w:cs="仿宋_GB2312"/>
          <w:sz w:val="32"/>
          <w:szCs w:val="32"/>
          <w:highlight w:val="none"/>
          <w:u w:val="none" w:color="auto"/>
        </w:rPr>
        <w:t>一般公共预算支出完成4</w:t>
      </w:r>
      <w:r>
        <w:rPr>
          <w:rFonts w:hint="eastAsia" w:eastAsia="仿宋_GB2312" w:cs="仿宋_GB2312"/>
          <w:sz w:val="32"/>
          <w:szCs w:val="32"/>
          <w:highlight w:val="none"/>
          <w:u w:val="none" w:color="auto"/>
          <w:lang w:val="en-US" w:eastAsia="zh-CN"/>
        </w:rPr>
        <w:t>7.83</w:t>
      </w:r>
      <w:r>
        <w:rPr>
          <w:rFonts w:hint="eastAsia" w:ascii="Times New Roman" w:hAnsi="Times New Roman" w:eastAsia="仿宋_GB2312" w:cs="仿宋_GB2312"/>
          <w:sz w:val="32"/>
          <w:szCs w:val="32"/>
          <w:highlight w:val="none"/>
          <w:u w:val="none" w:color="auto"/>
        </w:rPr>
        <w:t>亿元，同比增长</w:t>
      </w:r>
      <w:r>
        <w:rPr>
          <w:rFonts w:hint="eastAsia" w:eastAsia="仿宋_GB2312" w:cs="仿宋_GB2312"/>
          <w:sz w:val="32"/>
          <w:szCs w:val="32"/>
          <w:highlight w:val="none"/>
          <w:u w:val="none" w:color="auto"/>
          <w:lang w:val="en-US" w:eastAsia="zh-CN"/>
        </w:rPr>
        <w:t>15.31</w:t>
      </w:r>
      <w:r>
        <w:rPr>
          <w:rFonts w:hint="eastAsia" w:ascii="Times New Roman" w:hAnsi="Times New Roman" w:eastAsia="仿宋_GB2312" w:cs="仿宋_GB2312"/>
          <w:sz w:val="32"/>
          <w:szCs w:val="32"/>
          <w:highlight w:val="none"/>
          <w:u w:val="none" w:color="auto"/>
        </w:rPr>
        <w:t>%。</w:t>
      </w:r>
      <w:bookmarkStart w:id="2" w:name="OLE_LINK1"/>
      <w:r>
        <w:rPr>
          <w:rFonts w:hint="eastAsia" w:ascii="Times New Roman" w:hAnsi="Times New Roman" w:eastAsia="仿宋_GB2312" w:cs="仿宋_GB2312"/>
          <w:sz w:val="32"/>
          <w:szCs w:val="32"/>
          <w:highlight w:val="none"/>
          <w:u w:val="none" w:color="auto"/>
        </w:rPr>
        <w:t>全市金融机构各项存款余额</w:t>
      </w:r>
      <w:r>
        <w:rPr>
          <w:rFonts w:hint="eastAsia" w:eastAsia="仿宋_GB2312" w:cs="仿宋_GB2312"/>
          <w:sz w:val="32"/>
          <w:szCs w:val="32"/>
          <w:highlight w:val="none"/>
          <w:u w:val="none" w:color="auto"/>
          <w:lang w:val="en-US" w:eastAsia="zh-CN"/>
        </w:rPr>
        <w:t>248.8</w:t>
      </w:r>
      <w:r>
        <w:rPr>
          <w:rFonts w:hint="eastAsia" w:ascii="Times New Roman" w:hAnsi="Times New Roman" w:eastAsia="仿宋_GB2312" w:cs="仿宋_GB2312"/>
          <w:sz w:val="32"/>
          <w:szCs w:val="32"/>
          <w:highlight w:val="none"/>
          <w:u w:val="none" w:color="auto"/>
        </w:rPr>
        <w:t>亿元、同比增长</w:t>
      </w:r>
      <w:r>
        <w:rPr>
          <w:rFonts w:hint="eastAsia" w:eastAsia="仿宋_GB2312" w:cs="仿宋_GB2312"/>
          <w:sz w:val="32"/>
          <w:szCs w:val="32"/>
          <w:highlight w:val="none"/>
          <w:u w:val="none" w:color="auto"/>
          <w:lang w:val="en-US" w:eastAsia="zh-CN"/>
        </w:rPr>
        <w:t>6.3</w:t>
      </w:r>
      <w:r>
        <w:rPr>
          <w:rFonts w:hint="eastAsia" w:ascii="Times New Roman" w:hAnsi="Times New Roman" w:eastAsia="仿宋_GB2312" w:cs="仿宋_GB2312"/>
          <w:sz w:val="32"/>
          <w:szCs w:val="32"/>
          <w:highlight w:val="none"/>
          <w:u w:val="none" w:color="auto"/>
        </w:rPr>
        <w:t>%，金融机构各项贷款余额</w:t>
      </w:r>
      <w:r>
        <w:rPr>
          <w:rFonts w:hint="eastAsia" w:eastAsia="仿宋_GB2312" w:cs="仿宋_GB2312"/>
          <w:sz w:val="32"/>
          <w:szCs w:val="32"/>
          <w:highlight w:val="none"/>
          <w:u w:val="none" w:color="auto"/>
          <w:lang w:val="en-US" w:eastAsia="zh-CN"/>
        </w:rPr>
        <w:t>140.7</w:t>
      </w:r>
      <w:r>
        <w:rPr>
          <w:rFonts w:hint="eastAsia" w:ascii="Times New Roman" w:hAnsi="Times New Roman" w:eastAsia="仿宋_GB2312" w:cs="仿宋_GB2312"/>
          <w:sz w:val="32"/>
          <w:szCs w:val="32"/>
          <w:highlight w:val="none"/>
          <w:u w:val="none" w:color="auto"/>
        </w:rPr>
        <w:t>亿元、同比增长</w:t>
      </w:r>
      <w:r>
        <w:rPr>
          <w:rFonts w:hint="eastAsia" w:eastAsia="仿宋_GB2312" w:cs="仿宋_GB2312"/>
          <w:sz w:val="32"/>
          <w:szCs w:val="32"/>
          <w:highlight w:val="none"/>
          <w:u w:val="none" w:color="auto"/>
          <w:lang w:val="en-US" w:eastAsia="zh-CN"/>
        </w:rPr>
        <w:t>6.8</w:t>
      </w:r>
      <w:r>
        <w:rPr>
          <w:rFonts w:hint="eastAsia" w:ascii="Times New Roman" w:hAnsi="Times New Roman" w:eastAsia="仿宋_GB2312" w:cs="仿宋_GB2312"/>
          <w:sz w:val="32"/>
          <w:szCs w:val="32"/>
          <w:highlight w:val="none"/>
          <w:u w:val="none" w:color="auto"/>
        </w:rPr>
        <w:t>%。</w:t>
      </w:r>
      <w:bookmarkEnd w:id="2"/>
      <w:r>
        <w:rPr>
          <w:rStyle w:val="13"/>
          <w:rFonts w:hint="eastAsia" w:ascii="Times New Roman" w:hAnsi="Times New Roman" w:eastAsia="仿宋_GB2312" w:cs="仿宋_GB2312"/>
          <w:b/>
          <w:bCs w:val="0"/>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社会治理</w:t>
      </w:r>
      <w:r>
        <w:rPr>
          <w:rStyle w:val="13"/>
          <w:rFonts w:hint="eastAsia" w:eastAsia="仿宋_GB2312" w:cs="仿宋_GB2312"/>
          <w:b/>
          <w:bCs w:val="0"/>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效能</w:t>
      </w:r>
      <w:r>
        <w:rPr>
          <w:rStyle w:val="13"/>
          <w:rFonts w:hint="eastAsia" w:ascii="Times New Roman" w:hAnsi="Times New Roman" w:eastAsia="仿宋_GB2312" w:cs="仿宋_GB2312"/>
          <w:b/>
          <w:bCs w:val="0"/>
          <w:i w:val="0"/>
          <w:iCs w:val="0"/>
          <w:caps w:val="0"/>
          <w:color w:val="000000" w:themeColor="text1"/>
          <w:spacing w:val="0"/>
          <w:sz w:val="32"/>
          <w:szCs w:val="32"/>
          <w:highlight w:val="none"/>
          <w:u w:val="none" w:color="auto"/>
          <w:shd w:val="clear" w:fill="FFFFFF"/>
          <w:lang w:val="en-US" w:eastAsia="zh-CN"/>
          <w14:textFill>
            <w14:solidFill>
              <w14:schemeClr w14:val="tx1"/>
            </w14:solidFill>
          </w14:textFill>
        </w:rPr>
        <w:t>不断提升。</w:t>
      </w:r>
      <w:r>
        <w:rPr>
          <w:rFonts w:hint="eastAsia" w:ascii="Times New Roman" w:hAnsi="Times New Roman" w:eastAsia="仿宋_GB2312" w:cs="仿宋_GB2312"/>
          <w:b w:val="0"/>
          <w:bCs w:val="0"/>
          <w:color w:val="auto"/>
          <w:sz w:val="32"/>
          <w:szCs w:val="32"/>
          <w:highlight w:val="none"/>
          <w:u w:val="none" w:color="auto"/>
          <w:lang w:val="en-US" w:eastAsia="zh-CN"/>
        </w:rPr>
        <w:t>深入推进治本攻坚三年行动及十大行业领域专项整治行动，安全</w:t>
      </w:r>
      <w:r>
        <w:rPr>
          <w:rFonts w:hint="eastAsia" w:ascii="Times New Roman" w:hAnsi="Times New Roman" w:eastAsia="仿宋_GB2312" w:cs="仿宋_GB2312"/>
          <w:sz w:val="32"/>
          <w:szCs w:val="32"/>
          <w:highlight w:val="none"/>
          <w:u w:val="none" w:color="auto"/>
          <w:lang w:val="en-US" w:eastAsia="zh-CN"/>
        </w:rPr>
        <w:t>事故起数、受伤人数均同比下降</w:t>
      </w:r>
      <w:r>
        <w:rPr>
          <w:rFonts w:hint="eastAsia" w:ascii="Times New Roman" w:hAnsi="Times New Roman" w:eastAsia="仿宋_GB2312" w:cs="仿宋_GB2312"/>
          <w:color w:val="auto"/>
          <w:kern w:val="0"/>
          <w:sz w:val="32"/>
          <w:szCs w:val="32"/>
          <w:highlight w:val="none"/>
          <w:u w:val="none" w:color="auto"/>
          <w:lang w:val="en-US" w:eastAsia="zh-CN" w:bidi="ar-SA"/>
        </w:rPr>
        <w:t>，安全生产形势总体向好。</w:t>
      </w:r>
      <w:r>
        <w:rPr>
          <w:rFonts w:hint="eastAsia" w:ascii="Times New Roman" w:hAnsi="Times New Roman" w:eastAsia="仿宋_GB2312" w:cs="仿宋_GB2312"/>
          <w:sz w:val="32"/>
          <w:szCs w:val="32"/>
          <w:highlight w:val="none"/>
          <w:u w:val="none" w:color="auto"/>
          <w:lang w:val="en-US" w:eastAsia="zh-CN"/>
        </w:rPr>
        <w:t>开展信访问题源头治理，</w:t>
      </w:r>
      <w:r>
        <w:rPr>
          <w:rStyle w:val="13"/>
          <w:rFonts w:hint="eastAsia" w:ascii="Times New Roman" w:hAnsi="Times New Roman" w:eastAsia="仿宋_GB2312" w:cs="仿宋_GB2312"/>
          <w:b w:val="0"/>
          <w:bCs/>
          <w:i w:val="0"/>
          <w:iCs w:val="0"/>
          <w:caps w:val="0"/>
          <w:color w:val="000000" w:themeColor="text1"/>
          <w:spacing w:val="0"/>
          <w:sz w:val="32"/>
          <w:szCs w:val="32"/>
          <w:highlight w:val="none"/>
          <w:u w:val="none" w:color="auto"/>
          <w:shd w:val="clear" w:fill="FFFFFF"/>
          <w14:textFill>
            <w14:solidFill>
              <w14:schemeClr w14:val="tx1"/>
            </w14:solidFill>
          </w14:textFill>
        </w:rPr>
        <w:t>妥善推进积案化解</w:t>
      </w:r>
      <w:r>
        <w:rPr>
          <w:rStyle w:val="13"/>
          <w:rFonts w:hint="eastAsia" w:ascii="Times New Roman" w:hAnsi="Times New Roman" w:eastAsia="仿宋_GB2312" w:cs="仿宋_GB2312"/>
          <w:b w:val="0"/>
          <w:bCs/>
          <w:i w:val="0"/>
          <w:iCs w:val="0"/>
          <w:caps w:val="0"/>
          <w:color w:val="000000" w:themeColor="text1"/>
          <w:spacing w:val="0"/>
          <w:sz w:val="32"/>
          <w:szCs w:val="32"/>
          <w:highlight w:val="none"/>
          <w:u w:val="none" w:color="auto"/>
          <w:shd w:val="clear" w:fill="FFFFFF"/>
          <w:lang w:eastAsia="zh-CN"/>
          <w14:textFill>
            <w14:solidFill>
              <w14:schemeClr w14:val="tx1"/>
            </w14:solidFill>
          </w14:textFill>
        </w:rPr>
        <w:t>，</w:t>
      </w:r>
      <w:r>
        <w:rPr>
          <w:rFonts w:hint="eastAsia" w:ascii="Times New Roman" w:hAnsi="Times New Roman" w:eastAsia="仿宋_GB2312" w:cs="仿宋_GB2312"/>
          <w:sz w:val="32"/>
          <w:szCs w:val="32"/>
          <w:highlight w:val="none"/>
          <w:u w:val="none" w:color="auto"/>
          <w:lang w:val="en-US" w:eastAsia="zh-CN"/>
        </w:rPr>
        <w:t>油山镇获评广东省信访工作示范镇，珠玑镇综治中心获评全省“1+6+N”基层社会治理工作体系先进典型。严厉整治涉黑恶、黄毒赌、盗抢骗、涉未成年人等突出违法犯罪，社会治安环境平稳有序。</w:t>
      </w:r>
    </w:p>
    <w:p>
      <w:pPr>
        <w:keepNext w:val="0"/>
        <w:keepLines w:val="0"/>
        <w:pageBreakBefore w:val="0"/>
        <w:widowControl w:val="0"/>
        <w:kinsoku/>
        <w:wordWrap/>
        <w:overflowPunct/>
        <w:topLinePunct w:val="0"/>
        <w:autoSpaceDE/>
        <w:autoSpaceDN/>
        <w:bidi w:val="0"/>
        <w:adjustRightInd/>
        <w:snapToGrid/>
        <w:spacing w:line="610" w:lineRule="exact"/>
        <w:ind w:right="0" w:rightChars="0" w:firstLine="640" w:firstLineChars="200"/>
        <w:jc w:val="both"/>
        <w:textAlignment w:val="auto"/>
        <w:rPr>
          <w:rFonts w:hint="eastAsia" w:ascii="Times New Roman" w:hAnsi="Times New Roman" w:eastAsia="仿宋_GB2312" w:cs="仿宋_GB2312"/>
          <w:color w:val="auto"/>
          <w:kern w:val="2"/>
          <w:sz w:val="32"/>
          <w:szCs w:val="32"/>
          <w:highlight w:val="none"/>
          <w:u w:val="none" w:color="auto"/>
          <w:lang w:val="en-US" w:eastAsia="zh-CN"/>
        </w:rPr>
      </w:pPr>
      <w:r>
        <w:rPr>
          <w:rFonts w:hint="eastAsia" w:ascii="楷体_GB2312" w:hAnsi="楷体_GB2312" w:eastAsia="楷体_GB2312" w:cs="楷体_GB2312"/>
          <w:sz w:val="32"/>
          <w:szCs w:val="32"/>
          <w:highlight w:val="none"/>
          <w:u w:val="none" w:color="auto"/>
        </w:rPr>
        <w:t>（</w:t>
      </w:r>
      <w:r>
        <w:rPr>
          <w:rFonts w:hint="eastAsia" w:ascii="楷体_GB2312" w:hAnsi="楷体_GB2312" w:eastAsia="楷体_GB2312" w:cs="楷体_GB2312"/>
          <w:sz w:val="32"/>
          <w:szCs w:val="32"/>
          <w:highlight w:val="none"/>
          <w:u w:val="none" w:color="auto"/>
          <w:lang w:val="en-US" w:eastAsia="zh-CN"/>
        </w:rPr>
        <w:t>六</w:t>
      </w:r>
      <w:r>
        <w:rPr>
          <w:rFonts w:hint="eastAsia" w:ascii="楷体_GB2312" w:hAnsi="楷体_GB2312" w:eastAsia="楷体_GB2312" w:cs="楷体_GB2312"/>
          <w:sz w:val="32"/>
          <w:szCs w:val="32"/>
          <w:highlight w:val="none"/>
          <w:u w:val="none" w:color="auto"/>
        </w:rPr>
        <w:t>）</w:t>
      </w:r>
      <w:r>
        <w:rPr>
          <w:rFonts w:hint="eastAsia" w:ascii="楷体_GB2312" w:hAnsi="楷体_GB2312" w:eastAsia="楷体_GB2312" w:cs="楷体_GB2312"/>
          <w:sz w:val="32"/>
          <w:szCs w:val="32"/>
          <w:lang w:eastAsia="zh-CN"/>
        </w:rPr>
        <w:t>加强生态屏障建设，</w:t>
      </w:r>
      <w:r>
        <w:rPr>
          <w:rFonts w:hint="eastAsia" w:ascii="楷体_GB2312" w:hAnsi="楷体_GB2312" w:eastAsia="楷体_GB2312" w:cs="楷体_GB2312"/>
          <w:b w:val="0"/>
          <w:bCs w:val="0"/>
          <w:color w:val="auto"/>
          <w:sz w:val="32"/>
          <w:szCs w:val="32"/>
          <w:highlight w:val="none"/>
          <w:u w:val="none" w:color="auto"/>
          <w:lang w:val="en-US" w:eastAsia="zh-CN"/>
        </w:rPr>
        <w:t>环境</w:t>
      </w:r>
      <w:r>
        <w:rPr>
          <w:rFonts w:hint="eastAsia" w:ascii="楷体_GB2312" w:hAnsi="楷体_GB2312" w:eastAsia="楷体_GB2312" w:cs="楷体_GB2312"/>
          <w:b w:val="0"/>
          <w:bCs w:val="0"/>
          <w:sz w:val="32"/>
          <w:szCs w:val="32"/>
          <w:highlight w:val="none"/>
          <w:u w:val="none" w:color="auto"/>
          <w:lang w:val="en-US" w:eastAsia="zh-CN"/>
        </w:rPr>
        <w:t>质量不断改善。</w:t>
      </w:r>
      <w:r>
        <w:rPr>
          <w:rFonts w:hint="eastAsia" w:ascii="Times New Roman" w:hAnsi="Times New Roman" w:eastAsia="仿宋_GB2312" w:cs="仿宋_GB2312"/>
          <w:b/>
          <w:bCs/>
          <w:sz w:val="32"/>
          <w:szCs w:val="32"/>
          <w:highlight w:val="none"/>
          <w:u w:val="none" w:color="auto"/>
          <w:lang w:val="en-US" w:eastAsia="zh-CN"/>
        </w:rPr>
        <w:t>绿美建设成效显著</w:t>
      </w:r>
      <w:r>
        <w:rPr>
          <w:rFonts w:hint="eastAsia" w:ascii="Times New Roman" w:hAnsi="Times New Roman" w:eastAsia="仿宋_GB2312" w:cs="仿宋_GB2312"/>
          <w:sz w:val="32"/>
          <w:szCs w:val="32"/>
          <w:highlight w:val="none"/>
          <w:u w:val="none" w:color="auto"/>
          <w:lang w:val="en-US" w:eastAsia="zh-CN"/>
        </w:rPr>
        <w:t>，持续推进绿美广东生态建设示范点建设，高质量完成森林质量精准提升林分优化任务1</w:t>
      </w:r>
      <w:r>
        <w:rPr>
          <w:rFonts w:hint="eastAsia" w:eastAsia="仿宋_GB2312" w:cs="仿宋_GB2312"/>
          <w:sz w:val="32"/>
          <w:szCs w:val="32"/>
          <w:highlight w:val="none"/>
          <w:u w:val="none" w:color="auto"/>
          <w:lang w:val="en-US" w:eastAsia="zh-CN"/>
        </w:rPr>
        <w:t>.</w:t>
      </w:r>
      <w:r>
        <w:rPr>
          <w:rFonts w:hint="eastAsia" w:ascii="Times New Roman" w:hAnsi="Times New Roman" w:eastAsia="仿宋_GB2312" w:cs="仿宋_GB2312"/>
          <w:sz w:val="32"/>
          <w:szCs w:val="32"/>
          <w:highlight w:val="none"/>
          <w:u w:val="none" w:color="auto"/>
          <w:lang w:val="en-US" w:eastAsia="zh-CN"/>
        </w:rPr>
        <w:t>3</w:t>
      </w:r>
      <w:r>
        <w:rPr>
          <w:rFonts w:hint="eastAsia" w:eastAsia="仿宋_GB2312" w:cs="仿宋_GB2312"/>
          <w:sz w:val="32"/>
          <w:szCs w:val="32"/>
          <w:highlight w:val="none"/>
          <w:u w:val="none" w:color="auto"/>
          <w:lang w:val="en-US" w:eastAsia="zh-CN"/>
        </w:rPr>
        <w:t>3万</w:t>
      </w:r>
      <w:r>
        <w:rPr>
          <w:rFonts w:hint="eastAsia" w:ascii="Times New Roman" w:hAnsi="Times New Roman" w:eastAsia="仿宋_GB2312" w:cs="仿宋_GB2312"/>
          <w:sz w:val="32"/>
          <w:szCs w:val="32"/>
          <w:highlight w:val="none"/>
          <w:u w:val="none" w:color="auto"/>
          <w:lang w:val="en-US" w:eastAsia="zh-CN"/>
        </w:rPr>
        <w:t>亩、新造林抚育任务2.65万亩、森林抚育任务3.07万亩</w:t>
      </w:r>
      <w:r>
        <w:rPr>
          <w:rFonts w:hint="eastAsia" w:ascii="Times New Roman" w:hAnsi="Times New Roman" w:eastAsia="仿宋_GB2312" w:cs="仿宋_GB2312"/>
          <w:color w:val="000000"/>
          <w:spacing w:val="0"/>
          <w:sz w:val="32"/>
          <w:szCs w:val="32"/>
          <w:highlight w:val="none"/>
          <w:u w:val="none" w:color="auto"/>
          <w:lang w:val="en-US" w:eastAsia="zh-CN"/>
        </w:rPr>
        <w:t>，建成绿美古树乡村、森林乡村、自然教育基地各1个</w:t>
      </w:r>
      <w:r>
        <w:rPr>
          <w:rFonts w:hint="eastAsia" w:ascii="Times New Roman" w:hAnsi="Times New Roman" w:eastAsia="仿宋_GB2312" w:cs="仿宋_GB2312"/>
          <w:sz w:val="32"/>
          <w:szCs w:val="32"/>
          <w:highlight w:val="none"/>
          <w:u w:val="none" w:color="auto"/>
          <w:lang w:val="en-US" w:eastAsia="zh-CN"/>
        </w:rPr>
        <w:t>。深入开展“党建红</w:t>
      </w:r>
      <w:r>
        <w:rPr>
          <w:rFonts w:hint="eastAsia" w:ascii="仿宋_GB2312" w:hAnsi="仿宋_GB2312" w:eastAsia="仿宋_GB2312" w:cs="仿宋_GB2312"/>
          <w:sz w:val="32"/>
          <w:szCs w:val="32"/>
          <w:highlight w:val="none"/>
          <w:u w:val="none" w:color="auto"/>
          <w:lang w:val="en-US" w:eastAsia="zh-CN"/>
        </w:rPr>
        <w:t>·</w:t>
      </w:r>
      <w:r>
        <w:rPr>
          <w:rFonts w:hint="eastAsia" w:ascii="Times New Roman" w:hAnsi="Times New Roman" w:eastAsia="仿宋_GB2312" w:cs="仿宋_GB2312"/>
          <w:sz w:val="32"/>
          <w:szCs w:val="32"/>
          <w:highlight w:val="none"/>
          <w:u w:val="none" w:color="auto"/>
          <w:lang w:val="en-US" w:eastAsia="zh-CN"/>
        </w:rPr>
        <w:t>乡村绿”行动，广泛发动社会力量参与植树造林，筹集社会资金1155.49万元，</w:t>
      </w:r>
      <w:r>
        <w:rPr>
          <w:rFonts w:hint="eastAsia" w:ascii="Times New Roman" w:hAnsi="Times New Roman" w:eastAsia="仿宋_GB2312" w:cs="仿宋_GB2312"/>
          <w:spacing w:val="0"/>
          <w:kern w:val="2"/>
          <w:sz w:val="32"/>
          <w:szCs w:val="32"/>
          <w:highlight w:val="none"/>
          <w:u w:val="none" w:color="auto"/>
          <w:lang w:val="en-US" w:eastAsia="zh-CN" w:bidi="ar-SA"/>
        </w:rPr>
        <w:t>乡村绿化</w:t>
      </w:r>
      <w:r>
        <w:rPr>
          <w:rFonts w:hint="eastAsia" w:ascii="Times New Roman" w:hAnsi="Times New Roman" w:eastAsia="仿宋_GB2312" w:cs="仿宋_GB2312"/>
          <w:sz w:val="32"/>
          <w:szCs w:val="32"/>
          <w:highlight w:val="none"/>
          <w:u w:val="none" w:color="auto"/>
          <w:lang w:val="en-US" w:eastAsia="zh-CN"/>
        </w:rPr>
        <w:t>新种苗木21.7万株。</w:t>
      </w:r>
      <w:r>
        <w:rPr>
          <w:rStyle w:val="13"/>
          <w:rFonts w:hint="eastAsia" w:ascii="Times New Roman" w:hAnsi="Times New Roman" w:eastAsia="仿宋_GB2312" w:cs="仿宋_GB2312"/>
          <w:b/>
          <w:bCs w:val="0"/>
          <w:i w:val="0"/>
          <w:iCs w:val="0"/>
          <w:caps w:val="0"/>
          <w:color w:val="000000" w:themeColor="text1"/>
          <w:spacing w:val="0"/>
          <w:sz w:val="32"/>
          <w:szCs w:val="32"/>
          <w:u w:val="none" w:color="auto"/>
          <w:shd w:val="clear" w:fill="FFFFFF"/>
          <w:lang w:val="en-US" w:eastAsia="zh-CN"/>
          <w14:textFill>
            <w14:solidFill>
              <w14:schemeClr w14:val="tx1"/>
            </w14:solidFill>
          </w14:textFill>
        </w:rPr>
        <w:t>环境保护有力推进</w:t>
      </w:r>
      <w:r>
        <w:rPr>
          <w:rFonts w:hint="eastAsia" w:ascii="Times New Roman" w:hAnsi="Times New Roman" w:eastAsia="仿宋_GB2312" w:cs="仿宋_GB2312"/>
          <w:color w:val="auto"/>
          <w:sz w:val="32"/>
          <w:szCs w:val="32"/>
          <w:highlight w:val="none"/>
          <w:u w:val="none" w:color="auto"/>
          <w:lang w:val="en-US" w:eastAsia="zh-CN"/>
        </w:rPr>
        <w:t>，深入推进水、大气、土壤等污染防治，</w:t>
      </w:r>
      <w:r>
        <w:rPr>
          <w:rFonts w:hint="eastAsia" w:eastAsia="仿宋_GB2312" w:cs="仿宋_GB2312"/>
          <w:color w:val="auto"/>
          <w:sz w:val="32"/>
          <w:szCs w:val="32"/>
          <w:highlight w:val="none"/>
          <w:u w:val="none" w:color="auto"/>
          <w:lang w:val="en-US" w:eastAsia="zh-CN"/>
        </w:rPr>
        <w:t>各项检测</w:t>
      </w:r>
      <w:r>
        <w:rPr>
          <w:rFonts w:hint="eastAsia" w:ascii="Times New Roman" w:hAnsi="Times New Roman" w:eastAsia="仿宋_GB2312" w:cs="仿宋_GB2312"/>
          <w:color w:val="auto"/>
          <w:sz w:val="32"/>
          <w:szCs w:val="32"/>
          <w:highlight w:val="none"/>
          <w:u w:val="none" w:color="auto"/>
          <w:lang w:val="en-US" w:eastAsia="zh-CN"/>
        </w:rPr>
        <w:t>指标全部达国家二级标准，县级以上集中式饮用水水源地、地表水市控以上断面、千吨万人乡镇饮用水源地及乡镇级集中式饮用水水质均100%达标</w:t>
      </w:r>
      <w:r>
        <w:rPr>
          <w:rFonts w:hint="eastAsia" w:ascii="仿宋_GB2312" w:hAnsi="仿宋_GB2312" w:eastAsia="仿宋_GB2312" w:cs="仿宋_GB2312"/>
          <w:b w:val="0"/>
          <w:bCs w:val="0"/>
          <w:color w:val="000000" w:themeColor="text1"/>
          <w:kern w:val="0"/>
          <w:sz w:val="32"/>
          <w:szCs w:val="32"/>
          <w:highlight w:val="none"/>
          <w:lang w:eastAsia="zh-CN"/>
          <w14:textFill>
            <w14:solidFill>
              <w14:schemeClr w14:val="tx1"/>
            </w14:solidFill>
          </w14:textFill>
        </w:rPr>
        <w:t>，</w:t>
      </w:r>
      <w:r>
        <w:rPr>
          <w:rStyle w:val="13"/>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建设用地安全利用率达</w:t>
      </w:r>
      <w:r>
        <w:rPr>
          <w:rFonts w:hint="eastAsia" w:ascii="Times New Roman" w:hAnsi="Times New Roman" w:eastAsia="仿宋_GB2312" w:cs="仿宋_GB2312"/>
          <w:b w:val="0"/>
          <w:bCs w:val="0"/>
          <w:i w:val="0"/>
          <w:iCs w:val="0"/>
          <w:caps w:val="0"/>
          <w:color w:val="auto"/>
          <w:spacing w:val="0"/>
          <w:sz w:val="32"/>
          <w:szCs w:val="32"/>
          <w:highlight w:val="none"/>
          <w:u w:val="none" w:color="auto"/>
          <w:shd w:val="clear"/>
          <w:lang w:val="en-US" w:eastAsia="zh-CN"/>
        </w:rPr>
        <w:t>100%</w:t>
      </w:r>
      <w:r>
        <w:rPr>
          <w:rStyle w:val="13"/>
          <w:rFonts w:hint="eastAsia" w:ascii="仿宋_GB2312" w:hAnsi="仿宋_GB2312" w:eastAsia="仿宋_GB2312" w:cs="仿宋_GB2312"/>
          <w:b w:val="0"/>
          <w:bCs/>
          <w:i w:val="0"/>
          <w:iCs w:val="0"/>
          <w:caps w:val="0"/>
          <w:color w:val="000000" w:themeColor="text1"/>
          <w:spacing w:val="0"/>
          <w:sz w:val="32"/>
          <w:szCs w:val="32"/>
          <w:shd w:val="clear" w:fill="FFFFFF"/>
          <w:lang w:val="en-US" w:eastAsia="zh-CN"/>
          <w14:textFill>
            <w14:solidFill>
              <w14:schemeClr w14:val="tx1"/>
            </w14:solidFill>
          </w14:textFill>
        </w:rPr>
        <w:t>，受污染耕地安全利用率达</w:t>
      </w:r>
      <w:r>
        <w:rPr>
          <w:rFonts w:hint="eastAsia" w:ascii="Times New Roman" w:hAnsi="Times New Roman" w:eastAsia="仿宋_GB2312" w:cs="仿宋_GB2312"/>
          <w:b w:val="0"/>
          <w:bCs w:val="0"/>
          <w:i w:val="0"/>
          <w:iCs w:val="0"/>
          <w:caps w:val="0"/>
          <w:color w:val="auto"/>
          <w:spacing w:val="0"/>
          <w:sz w:val="32"/>
          <w:szCs w:val="32"/>
          <w:highlight w:val="none"/>
          <w:u w:val="none" w:color="auto"/>
          <w:shd w:val="clear"/>
          <w:lang w:val="en-US" w:eastAsia="zh-CN"/>
        </w:rPr>
        <w:t>97.96%</w:t>
      </w:r>
      <w:r>
        <w:rPr>
          <w:rFonts w:hint="eastAsia" w:ascii="Times New Roman" w:hAnsi="Times New Roman" w:eastAsia="仿宋_GB2312" w:cs="仿宋_GB2312"/>
          <w:color w:val="000000"/>
          <w:spacing w:val="0"/>
          <w:sz w:val="32"/>
          <w:szCs w:val="32"/>
          <w:highlight w:val="none"/>
          <w:u w:val="none" w:color="auto"/>
          <w:lang w:val="en-US" w:eastAsia="zh-CN"/>
        </w:rPr>
        <w:t>。</w:t>
      </w:r>
      <w:r>
        <w:rPr>
          <w:rStyle w:val="13"/>
          <w:rFonts w:hint="eastAsia" w:eastAsia="仿宋_GB2312" w:cs="仿宋_GB2312"/>
          <w:b/>
          <w:bCs w:val="0"/>
          <w:i w:val="0"/>
          <w:iCs w:val="0"/>
          <w:caps w:val="0"/>
          <w:color w:val="000000" w:themeColor="text1"/>
          <w:spacing w:val="0"/>
          <w:sz w:val="32"/>
          <w:szCs w:val="32"/>
          <w:shd w:val="clear" w:fill="FFFFFF"/>
          <w:lang w:val="en-US" w:eastAsia="zh-CN"/>
          <w14:textFill>
            <w14:solidFill>
              <w14:schemeClr w14:val="tx1"/>
            </w14:solidFill>
          </w14:textFill>
        </w:rPr>
        <w:t>生态资源价值有效转换</w:t>
      </w:r>
      <w:r>
        <w:rPr>
          <w:rStyle w:val="13"/>
          <w:rFonts w:hint="eastAsia" w:ascii="Times New Roman" w:hAnsi="Times New Roman" w:eastAsia="仿宋_GB2312" w:cs="仿宋_GB2312"/>
          <w:b/>
          <w:bCs w:val="0"/>
          <w:i w:val="0"/>
          <w:iCs w:val="0"/>
          <w:caps w:val="0"/>
          <w:color w:val="000000" w:themeColor="text1"/>
          <w:spacing w:val="0"/>
          <w:sz w:val="32"/>
          <w:szCs w:val="32"/>
          <w:shd w:val="clear" w:fill="FFFFFF"/>
          <w:lang w:val="en-US" w:eastAsia="zh-CN"/>
          <w14:textFill>
            <w14:solidFill>
              <w14:schemeClr w14:val="tx1"/>
            </w14:solidFill>
          </w14:textFill>
        </w:rPr>
        <w:t>。</w:t>
      </w:r>
      <w:r>
        <w:rPr>
          <w:rStyle w:val="13"/>
          <w:rFonts w:hint="eastAsia" w:ascii="Times New Roman" w:hAnsi="Times New Roman" w:eastAsia="仿宋_GB2312" w:cs="仿宋_GB2312"/>
          <w:b w:val="0"/>
          <w:bCs/>
          <w:i w:val="0"/>
          <w:iCs w:val="0"/>
          <w:caps w:val="0"/>
          <w:color w:val="auto"/>
          <w:spacing w:val="0"/>
          <w:sz w:val="32"/>
          <w:szCs w:val="32"/>
          <w:shd w:val="clear" w:fill="FFFFFF"/>
          <w:lang w:val="en-US" w:eastAsia="zh-CN"/>
        </w:rPr>
        <w:t>林业经济</w:t>
      </w:r>
      <w:r>
        <w:rPr>
          <w:rStyle w:val="13"/>
          <w:rFonts w:hint="eastAsia" w:eastAsia="仿宋_GB2312" w:cs="仿宋_GB2312"/>
          <w:b w:val="0"/>
          <w:bCs/>
          <w:i w:val="0"/>
          <w:iCs w:val="0"/>
          <w:caps w:val="0"/>
          <w:color w:val="auto"/>
          <w:spacing w:val="0"/>
          <w:sz w:val="32"/>
          <w:szCs w:val="32"/>
          <w:shd w:val="clear" w:fill="FFFFFF"/>
          <w:lang w:val="en-US" w:eastAsia="zh-CN"/>
        </w:rPr>
        <w:t>加快发展</w:t>
      </w:r>
      <w:r>
        <w:rPr>
          <w:rStyle w:val="13"/>
          <w:rFonts w:hint="eastAsia" w:ascii="Times New Roman" w:hAnsi="Times New Roman" w:eastAsia="仿宋_GB2312" w:cs="仿宋_GB2312"/>
          <w:b w:val="0"/>
          <w:bCs/>
          <w:i w:val="0"/>
          <w:iCs w:val="0"/>
          <w:caps w:val="0"/>
          <w:color w:val="auto"/>
          <w:spacing w:val="0"/>
          <w:sz w:val="32"/>
          <w:szCs w:val="32"/>
          <w:shd w:val="clear" w:fill="FFFFFF"/>
          <w:lang w:val="en-US" w:eastAsia="zh-CN"/>
        </w:rPr>
        <w:t>，新增茶叶种植面积1500亩、竹林面积1.3万亩，完成油茶新造1600亩、油茶低改1000亩、油茶抚育3000亩。持续推进国家储备林项目，</w:t>
      </w:r>
      <w:r>
        <w:rPr>
          <w:rFonts w:hint="eastAsia" w:ascii="Times New Roman" w:hAnsi="Times New Roman" w:eastAsia="仿宋_GB2312" w:cs="仿宋_GB2312"/>
          <w:b w:val="0"/>
          <w:bCs w:val="0"/>
          <w:color w:val="auto"/>
          <w:sz w:val="32"/>
          <w:szCs w:val="32"/>
          <w:highlight w:val="none"/>
          <w:lang w:val="en-US" w:eastAsia="zh-CN"/>
        </w:rPr>
        <w:t>完成省级保障性苗圃苗木供应65.41万株，苗木上盆培育110万株，油茶嫁接5万株。全年</w:t>
      </w:r>
      <w:r>
        <w:rPr>
          <w:rStyle w:val="13"/>
          <w:rFonts w:hint="eastAsia" w:ascii="Times New Roman" w:hAnsi="Times New Roman" w:eastAsia="仿宋_GB2312" w:cs="仿宋_GB2312"/>
          <w:b w:val="0"/>
          <w:bCs/>
          <w:i w:val="0"/>
          <w:iCs w:val="0"/>
          <w:caps w:val="0"/>
          <w:color w:val="auto"/>
          <w:spacing w:val="0"/>
          <w:sz w:val="32"/>
          <w:szCs w:val="32"/>
          <w:shd w:val="clear" w:fill="FFFFFF"/>
          <w:lang w:val="en-US" w:eastAsia="zh-CN"/>
        </w:rPr>
        <w:t>实现林业产值6.43亿元、增长</w:t>
      </w:r>
      <w:r>
        <w:rPr>
          <w:rStyle w:val="13"/>
          <w:rFonts w:hint="eastAsia" w:eastAsia="仿宋_GB2312" w:cs="仿宋_GB2312"/>
          <w:b w:val="0"/>
          <w:bCs/>
          <w:i w:val="0"/>
          <w:iCs w:val="0"/>
          <w:caps w:val="0"/>
          <w:color w:val="auto"/>
          <w:spacing w:val="0"/>
          <w:sz w:val="32"/>
          <w:szCs w:val="32"/>
          <w:shd w:val="clear" w:fill="FFFFFF"/>
          <w:lang w:val="en-US" w:eastAsia="zh-CN"/>
        </w:rPr>
        <w:t>4.2</w:t>
      </w:r>
      <w:r>
        <w:rPr>
          <w:rStyle w:val="13"/>
          <w:rFonts w:hint="eastAsia" w:ascii="Times New Roman" w:hAnsi="Times New Roman" w:eastAsia="仿宋_GB2312" w:cs="仿宋_GB2312"/>
          <w:b w:val="0"/>
          <w:bCs/>
          <w:i w:val="0"/>
          <w:iCs w:val="0"/>
          <w:caps w:val="0"/>
          <w:color w:val="auto"/>
          <w:spacing w:val="0"/>
          <w:sz w:val="32"/>
          <w:szCs w:val="32"/>
          <w:shd w:val="clear" w:fill="FFFFFF"/>
          <w:lang w:val="en-US" w:eastAsia="zh-CN"/>
        </w:rPr>
        <w:t>%。</w:t>
      </w:r>
    </w:p>
    <w:p>
      <w:pPr>
        <w:keepNext w:val="0"/>
        <w:keepLines w:val="0"/>
        <w:pageBreakBefore w:val="0"/>
        <w:widowControl w:val="0"/>
        <w:kinsoku/>
        <w:wordWrap/>
        <w:overflowPunct/>
        <w:topLinePunct w:val="0"/>
        <w:bidi w:val="0"/>
        <w:snapToGrid/>
        <w:spacing w:line="610" w:lineRule="exact"/>
        <w:ind w:left="0" w:leftChars="0" w:firstLine="640" w:firstLineChars="200"/>
        <w:textAlignment w:val="auto"/>
        <w:rPr>
          <w:rFonts w:hint="eastAsia" w:ascii="Times New Roman" w:hAnsi="Times New Roman" w:eastAsia="仿宋_GB2312" w:cs="仿宋_GB2312"/>
          <w:sz w:val="32"/>
          <w:szCs w:val="32"/>
          <w:highlight w:val="none"/>
          <w:u w:val="none" w:color="auto"/>
          <w:lang w:val="en-US" w:eastAsia="zh-CN"/>
        </w:rPr>
      </w:pPr>
      <w:r>
        <w:rPr>
          <w:rFonts w:hint="eastAsia" w:ascii="楷体_GB2312" w:hAnsi="楷体_GB2312" w:eastAsia="楷体_GB2312" w:cs="楷体_GB2312"/>
          <w:color w:val="auto"/>
          <w:sz w:val="32"/>
          <w:szCs w:val="32"/>
          <w:highlight w:val="none"/>
          <w:u w:val="none" w:color="auto"/>
        </w:rPr>
        <w:t>（</w:t>
      </w:r>
      <w:r>
        <w:rPr>
          <w:rFonts w:hint="eastAsia" w:ascii="楷体_GB2312" w:hAnsi="楷体_GB2312" w:eastAsia="楷体_GB2312" w:cs="楷体_GB2312"/>
          <w:color w:val="auto"/>
          <w:sz w:val="32"/>
          <w:szCs w:val="32"/>
          <w:highlight w:val="none"/>
          <w:u w:val="none" w:color="auto"/>
          <w:lang w:val="en-US" w:eastAsia="zh-CN"/>
        </w:rPr>
        <w:t>七</w:t>
      </w:r>
      <w:r>
        <w:rPr>
          <w:rFonts w:hint="eastAsia" w:ascii="楷体_GB2312" w:hAnsi="楷体_GB2312" w:eastAsia="楷体_GB2312" w:cs="楷体_GB2312"/>
          <w:color w:val="auto"/>
          <w:sz w:val="32"/>
          <w:szCs w:val="32"/>
          <w:highlight w:val="none"/>
          <w:u w:val="none" w:color="auto"/>
        </w:rPr>
        <w:t>）</w:t>
      </w:r>
      <w:r>
        <w:rPr>
          <w:rFonts w:hint="eastAsia" w:ascii="楷体_GB2312" w:hAnsi="楷体_GB2312" w:eastAsia="楷体_GB2312" w:cs="楷体_GB2312"/>
          <w:sz w:val="32"/>
          <w:szCs w:val="32"/>
          <w:lang w:eastAsia="zh-CN"/>
        </w:rPr>
        <w:t>坚持</w:t>
      </w:r>
      <w:r>
        <w:rPr>
          <w:rFonts w:hint="eastAsia" w:ascii="楷体_GB2312" w:hAnsi="楷体_GB2312" w:eastAsia="楷体_GB2312" w:cs="楷体_GB2312"/>
          <w:sz w:val="32"/>
          <w:szCs w:val="32"/>
        </w:rPr>
        <w:t>增进民生福祉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color w:val="auto"/>
          <w:sz w:val="32"/>
          <w:szCs w:val="32"/>
          <w:highlight w:val="none"/>
        </w:rPr>
        <w:t>社会事业发展全面进步</w:t>
      </w:r>
      <w:r>
        <w:rPr>
          <w:rFonts w:hint="eastAsia" w:ascii="楷体_GB2312" w:hAnsi="楷体_GB2312" w:eastAsia="楷体_GB2312" w:cs="楷体_GB2312"/>
          <w:color w:val="auto"/>
          <w:sz w:val="32"/>
          <w:szCs w:val="32"/>
          <w:highlight w:val="none"/>
          <w:lang w:eastAsia="zh-CN"/>
        </w:rPr>
        <w:t>。</w:t>
      </w:r>
      <w:r>
        <w:rPr>
          <w:rFonts w:hint="eastAsia" w:ascii="Times New Roman" w:hAnsi="Times New Roman" w:eastAsia="仿宋_GB2312" w:cs="仿宋_GB2312"/>
          <w:color w:val="auto"/>
          <w:sz w:val="32"/>
          <w:szCs w:val="32"/>
          <w:highlight w:val="none"/>
          <w:u w:val="none" w:color="auto"/>
        </w:rPr>
        <w:t>加大保障和改善民生力度，增强人民群众</w:t>
      </w:r>
      <w:r>
        <w:rPr>
          <w:rFonts w:hint="eastAsia" w:eastAsia="仿宋_GB2312" w:cs="仿宋_GB2312"/>
          <w:color w:val="auto"/>
          <w:sz w:val="32"/>
          <w:szCs w:val="32"/>
          <w:highlight w:val="none"/>
          <w:u w:val="none" w:color="auto"/>
          <w:lang w:eastAsia="zh-CN"/>
        </w:rPr>
        <w:t>获得感、幸福感、安全感</w:t>
      </w:r>
      <w:r>
        <w:rPr>
          <w:rFonts w:hint="eastAsia" w:ascii="Times New Roman" w:hAnsi="Times New Roman" w:eastAsia="仿宋_GB2312" w:cs="仿宋_GB2312"/>
          <w:color w:val="auto"/>
          <w:sz w:val="32"/>
          <w:szCs w:val="32"/>
          <w:highlight w:val="none"/>
          <w:u w:val="none" w:color="auto"/>
        </w:rPr>
        <w:t>，民生领域支出占一般公共预算支出的89.5%。</w:t>
      </w:r>
      <w:r>
        <w:rPr>
          <w:rFonts w:hint="eastAsia" w:ascii="Times New Roman" w:hAnsi="Times New Roman" w:eastAsia="仿宋_GB2312" w:cs="仿宋_GB2312"/>
          <w:b/>
          <w:bCs/>
          <w:color w:val="auto"/>
          <w:sz w:val="32"/>
          <w:szCs w:val="32"/>
          <w:highlight w:val="none"/>
          <w:u w:val="none" w:color="auto"/>
        </w:rPr>
        <w:t>社会保障</w:t>
      </w:r>
      <w:r>
        <w:rPr>
          <w:rFonts w:hint="eastAsia" w:ascii="Times New Roman" w:hAnsi="Times New Roman" w:eastAsia="仿宋_GB2312" w:cs="仿宋_GB2312"/>
          <w:b/>
          <w:bCs/>
          <w:color w:val="auto"/>
          <w:sz w:val="32"/>
          <w:szCs w:val="32"/>
          <w:highlight w:val="none"/>
          <w:u w:val="none" w:color="auto"/>
          <w:lang w:eastAsia="zh-CN"/>
        </w:rPr>
        <w:t>不断夯实</w:t>
      </w:r>
      <w:r>
        <w:rPr>
          <w:rFonts w:hint="eastAsia" w:eastAsia="仿宋_GB2312" w:cs="仿宋_GB2312"/>
          <w:color w:val="auto"/>
          <w:sz w:val="32"/>
          <w:szCs w:val="32"/>
          <w:highlight w:val="none"/>
          <w:u w:val="none" w:color="auto"/>
          <w:lang w:val="en-US" w:eastAsia="zh-CN"/>
        </w:rPr>
        <w:t>，</w:t>
      </w:r>
      <w:r>
        <w:rPr>
          <w:rFonts w:hint="eastAsia" w:ascii="Times New Roman" w:hAnsi="Times New Roman" w:eastAsia="仿宋_GB2312" w:cs="仿宋_GB2312"/>
          <w:sz w:val="32"/>
          <w:szCs w:val="32"/>
          <w:highlight w:val="none"/>
          <w:u w:val="none" w:color="auto"/>
          <w:lang w:val="en-US" w:eastAsia="zh-CN"/>
        </w:rPr>
        <w:t>全年新增城镇就业22</w:t>
      </w:r>
      <w:r>
        <w:rPr>
          <w:rFonts w:hint="eastAsia" w:eastAsia="仿宋_GB2312" w:cs="仿宋_GB2312"/>
          <w:sz w:val="32"/>
          <w:szCs w:val="32"/>
          <w:highlight w:val="none"/>
          <w:u w:val="none" w:color="auto"/>
          <w:lang w:val="en-US" w:eastAsia="zh-CN"/>
        </w:rPr>
        <w:t>5</w:t>
      </w:r>
      <w:r>
        <w:rPr>
          <w:rFonts w:hint="eastAsia" w:ascii="Times New Roman" w:hAnsi="Times New Roman" w:eastAsia="仿宋_GB2312" w:cs="仿宋_GB2312"/>
          <w:sz w:val="32"/>
          <w:szCs w:val="32"/>
          <w:highlight w:val="none"/>
          <w:u w:val="none" w:color="auto"/>
          <w:lang w:val="en-US" w:eastAsia="zh-CN"/>
        </w:rPr>
        <w:t>0人，城镇失业人员再就业15</w:t>
      </w:r>
      <w:r>
        <w:rPr>
          <w:rFonts w:hint="eastAsia" w:eastAsia="仿宋_GB2312" w:cs="仿宋_GB2312"/>
          <w:sz w:val="32"/>
          <w:szCs w:val="32"/>
          <w:highlight w:val="none"/>
          <w:u w:val="none" w:color="auto"/>
          <w:lang w:val="en-US" w:eastAsia="zh-CN"/>
        </w:rPr>
        <w:t>1</w:t>
      </w:r>
      <w:r>
        <w:rPr>
          <w:rFonts w:hint="eastAsia" w:ascii="Times New Roman" w:hAnsi="Times New Roman" w:eastAsia="仿宋_GB2312" w:cs="仿宋_GB2312"/>
          <w:sz w:val="32"/>
          <w:szCs w:val="32"/>
          <w:highlight w:val="none"/>
          <w:u w:val="none" w:color="auto"/>
          <w:lang w:val="en-US" w:eastAsia="zh-CN"/>
        </w:rPr>
        <w:t>0人</w:t>
      </w:r>
      <w:r>
        <w:rPr>
          <w:rStyle w:val="13"/>
          <w:rFonts w:hint="eastAsia" w:ascii="Times New Roman" w:hAnsi="Times New Roman" w:eastAsia="仿宋_GB2312" w:cs="仿宋_GB2312"/>
          <w:b w:val="0"/>
          <w:bCs/>
          <w:i w:val="0"/>
          <w:iCs w:val="0"/>
          <w:caps w:val="0"/>
          <w:color w:val="auto"/>
          <w:spacing w:val="0"/>
          <w:sz w:val="32"/>
          <w:szCs w:val="32"/>
          <w:u w:val="none" w:color="auto"/>
          <w:shd w:val="clear" w:fill="FFFFFF"/>
          <w:lang w:val="en-US" w:eastAsia="zh-CN"/>
        </w:rPr>
        <w:t>，就业困难人员实现就业</w:t>
      </w:r>
      <w:r>
        <w:rPr>
          <w:rStyle w:val="13"/>
          <w:rFonts w:hint="eastAsia" w:eastAsia="仿宋_GB2312" w:cs="仿宋_GB2312"/>
          <w:b w:val="0"/>
          <w:bCs/>
          <w:i w:val="0"/>
          <w:iCs w:val="0"/>
          <w:caps w:val="0"/>
          <w:color w:val="auto"/>
          <w:spacing w:val="0"/>
          <w:sz w:val="32"/>
          <w:szCs w:val="32"/>
          <w:u w:val="none" w:color="auto"/>
          <w:shd w:val="clear" w:fill="FFFFFF"/>
          <w:lang w:val="en-US" w:eastAsia="zh-CN"/>
        </w:rPr>
        <w:t>308</w:t>
      </w:r>
      <w:r>
        <w:rPr>
          <w:rStyle w:val="13"/>
          <w:rFonts w:hint="eastAsia" w:ascii="Times New Roman" w:hAnsi="Times New Roman" w:eastAsia="仿宋_GB2312" w:cs="仿宋_GB2312"/>
          <w:b w:val="0"/>
          <w:bCs/>
          <w:i w:val="0"/>
          <w:iCs w:val="0"/>
          <w:caps w:val="0"/>
          <w:color w:val="auto"/>
          <w:spacing w:val="0"/>
          <w:sz w:val="32"/>
          <w:szCs w:val="32"/>
          <w:u w:val="none" w:color="auto"/>
          <w:shd w:val="clear" w:fill="FFFFFF"/>
          <w:lang w:val="en-US" w:eastAsia="zh-CN"/>
        </w:rPr>
        <w:t>人，促进创业</w:t>
      </w:r>
      <w:r>
        <w:rPr>
          <w:rStyle w:val="13"/>
          <w:rFonts w:hint="eastAsia" w:eastAsia="仿宋_GB2312" w:cs="仿宋_GB2312"/>
          <w:b w:val="0"/>
          <w:bCs/>
          <w:i w:val="0"/>
          <w:iCs w:val="0"/>
          <w:caps w:val="0"/>
          <w:color w:val="auto"/>
          <w:spacing w:val="0"/>
          <w:sz w:val="32"/>
          <w:szCs w:val="32"/>
          <w:u w:val="none" w:color="auto"/>
          <w:shd w:val="clear" w:fill="FFFFFF"/>
          <w:lang w:val="en-US" w:eastAsia="zh-CN"/>
        </w:rPr>
        <w:t>155</w:t>
      </w:r>
      <w:r>
        <w:rPr>
          <w:rFonts w:hint="eastAsia" w:ascii="Times New Roman" w:hAnsi="Times New Roman" w:eastAsia="仿宋_GB2312" w:cs="仿宋_GB2312"/>
          <w:color w:val="auto"/>
          <w:sz w:val="32"/>
          <w:szCs w:val="32"/>
          <w:u w:val="none" w:color="auto"/>
          <w:lang w:val="en-US" w:eastAsia="zh-CN"/>
        </w:rPr>
        <w:t>人</w:t>
      </w:r>
      <w:r>
        <w:rPr>
          <w:rFonts w:hint="eastAsia" w:ascii="Times New Roman" w:hAnsi="Times New Roman" w:eastAsia="仿宋_GB2312" w:cs="仿宋_GB2312"/>
          <w:sz w:val="32"/>
          <w:szCs w:val="32"/>
          <w:highlight w:val="none"/>
          <w:u w:val="none" w:color="auto"/>
          <w:lang w:val="en-US" w:eastAsia="zh-CN"/>
        </w:rPr>
        <w:t>；低保、特困人员、孤儿基本生活和残疾人两项补贴标准全面提高；完成特殊困难老年人家庭居家适老化改造户10</w:t>
      </w:r>
      <w:r>
        <w:rPr>
          <w:rFonts w:hint="eastAsia" w:eastAsia="仿宋_GB2312" w:cs="仿宋_GB2312"/>
          <w:sz w:val="32"/>
          <w:szCs w:val="32"/>
          <w:highlight w:val="none"/>
          <w:u w:val="none" w:color="auto"/>
          <w:lang w:val="en-US" w:eastAsia="zh-CN"/>
        </w:rPr>
        <w:t>2</w:t>
      </w:r>
      <w:r>
        <w:rPr>
          <w:rFonts w:hint="eastAsia" w:ascii="Times New Roman" w:hAnsi="Times New Roman" w:eastAsia="仿宋_GB2312" w:cs="仿宋_GB2312"/>
          <w:sz w:val="32"/>
          <w:szCs w:val="32"/>
          <w:highlight w:val="none"/>
          <w:u w:val="none" w:color="auto"/>
          <w:lang w:val="en-US" w:eastAsia="zh-CN"/>
        </w:rPr>
        <w:t>户，</w:t>
      </w:r>
      <w:r>
        <w:rPr>
          <w:rFonts w:hint="eastAsia" w:ascii="Times New Roman" w:hAnsi="Times New Roman" w:eastAsia="仿宋_GB2312" w:cs="仿宋_GB2312"/>
          <w:color w:val="auto"/>
          <w:kern w:val="0"/>
          <w:sz w:val="32"/>
          <w:szCs w:val="32"/>
          <w:highlight w:val="none"/>
          <w:u w:val="none" w:color="auto"/>
          <w:lang w:val="en-US" w:eastAsia="zh-CN" w:bidi="ar-SA"/>
        </w:rPr>
        <w:t>启动南雄市</w:t>
      </w:r>
      <w:r>
        <w:rPr>
          <w:rFonts w:hint="eastAsia" w:ascii="Times New Roman" w:hAnsi="Times New Roman" w:eastAsia="仿宋_GB2312" w:cs="仿宋_GB2312"/>
          <w:color w:val="auto"/>
          <w:sz w:val="32"/>
          <w:szCs w:val="32"/>
          <w:highlight w:val="none"/>
          <w:u w:val="none" w:color="auto"/>
          <w:lang w:val="en-US" w:eastAsia="zh-CN"/>
        </w:rPr>
        <w:t>珠玑综合养老服务中心及附属楼建设</w:t>
      </w:r>
      <w:r>
        <w:rPr>
          <w:rFonts w:hint="eastAsia" w:ascii="Times New Roman" w:hAnsi="Times New Roman" w:eastAsia="仿宋_GB2312" w:cs="仿宋_GB2312"/>
          <w:sz w:val="32"/>
          <w:szCs w:val="32"/>
          <w:highlight w:val="none"/>
          <w:u w:val="none" w:color="auto"/>
          <w:lang w:val="en-US" w:eastAsia="zh-CN"/>
        </w:rPr>
        <w:t>；全市基本养老保险制度覆盖率</w:t>
      </w:r>
      <w:r>
        <w:rPr>
          <w:rFonts w:hint="eastAsia" w:eastAsia="仿宋_GB2312" w:cs="仿宋_GB2312"/>
          <w:sz w:val="32"/>
          <w:szCs w:val="32"/>
          <w:highlight w:val="none"/>
          <w:u w:val="none" w:color="auto"/>
          <w:lang w:val="en-US" w:eastAsia="zh-CN"/>
        </w:rPr>
        <w:t>100</w:t>
      </w:r>
      <w:r>
        <w:rPr>
          <w:rFonts w:hint="eastAsia" w:ascii="Times New Roman" w:hAnsi="Times New Roman" w:eastAsia="仿宋_GB2312" w:cs="仿宋_GB2312"/>
          <w:sz w:val="32"/>
          <w:szCs w:val="32"/>
          <w:highlight w:val="none"/>
          <w:u w:val="none" w:color="auto"/>
          <w:lang w:val="en-US" w:eastAsia="zh-CN"/>
        </w:rPr>
        <w:t>%，基本医疗保险参保率</w:t>
      </w:r>
      <w:r>
        <w:rPr>
          <w:rFonts w:hint="eastAsia" w:eastAsia="仿宋_GB2312" w:cs="仿宋_GB2312"/>
          <w:sz w:val="32"/>
          <w:szCs w:val="32"/>
          <w:highlight w:val="none"/>
          <w:u w:val="none" w:color="auto"/>
          <w:lang w:val="en-US" w:eastAsia="zh-CN"/>
        </w:rPr>
        <w:t>99.01</w:t>
      </w:r>
      <w:r>
        <w:rPr>
          <w:rFonts w:hint="eastAsia" w:ascii="Times New Roman" w:hAnsi="Times New Roman" w:eastAsia="仿宋_GB2312" w:cs="仿宋_GB2312"/>
          <w:sz w:val="32"/>
          <w:szCs w:val="32"/>
          <w:highlight w:val="none"/>
          <w:u w:val="none" w:color="auto"/>
          <w:lang w:val="en-US" w:eastAsia="zh-CN"/>
        </w:rPr>
        <w:t>%。</w:t>
      </w:r>
      <w:r>
        <w:rPr>
          <w:rFonts w:hint="eastAsia" w:ascii="Times New Roman" w:hAnsi="Times New Roman" w:eastAsia="仿宋_GB2312" w:cs="仿宋_GB2312"/>
          <w:b/>
          <w:bCs/>
          <w:sz w:val="32"/>
          <w:szCs w:val="32"/>
          <w:highlight w:val="none"/>
          <w:u w:val="none" w:color="auto"/>
          <w:lang w:val="en-US" w:eastAsia="zh-CN"/>
        </w:rPr>
        <w:t>教育质量不断提升</w:t>
      </w:r>
      <w:r>
        <w:rPr>
          <w:rFonts w:hint="eastAsia" w:ascii="Times New Roman" w:hAnsi="Times New Roman" w:eastAsia="仿宋_GB2312" w:cs="仿宋_GB2312"/>
          <w:sz w:val="32"/>
          <w:szCs w:val="32"/>
          <w:highlight w:val="none"/>
          <w:u w:val="none" w:color="auto"/>
          <w:lang w:val="en-US" w:eastAsia="zh-CN"/>
        </w:rPr>
        <w:t>，稳步推进财贸学前教育项目—雄中路分园、水口镇中心幼儿园建设，预计新增</w:t>
      </w:r>
      <w:r>
        <w:rPr>
          <w:rFonts w:hint="eastAsia" w:eastAsia="仿宋_GB2312" w:cs="仿宋_GB2312"/>
          <w:sz w:val="32"/>
          <w:szCs w:val="32"/>
          <w:highlight w:val="none"/>
          <w:u w:val="none" w:color="auto"/>
          <w:lang w:val="en-US" w:eastAsia="zh-CN"/>
        </w:rPr>
        <w:t>学前教育公办</w:t>
      </w:r>
      <w:r>
        <w:rPr>
          <w:rFonts w:hint="eastAsia" w:ascii="Times New Roman" w:hAnsi="Times New Roman" w:eastAsia="仿宋_GB2312" w:cs="仿宋_GB2312"/>
          <w:sz w:val="32"/>
          <w:szCs w:val="32"/>
          <w:highlight w:val="none"/>
          <w:u w:val="none" w:color="auto"/>
          <w:lang w:val="en-US" w:eastAsia="zh-CN"/>
        </w:rPr>
        <w:t>学位540个，</w:t>
      </w:r>
      <w:r>
        <w:rPr>
          <w:rFonts w:hint="eastAsia" w:eastAsia="仿宋_GB2312" w:cs="仿宋_GB2312"/>
          <w:sz w:val="32"/>
          <w:szCs w:val="32"/>
          <w:highlight w:val="none"/>
          <w:u w:val="none" w:color="auto"/>
          <w:lang w:val="en-US" w:eastAsia="zh-CN"/>
        </w:rPr>
        <w:t>推进北城区托幼一体化教育建设项目，完成6所学校运动场升级改造，7所乡村小规模学校整合撤并，</w:t>
      </w:r>
      <w:r>
        <w:rPr>
          <w:rFonts w:hint="eastAsia" w:ascii="Times New Roman" w:hAnsi="Times New Roman" w:eastAsia="仿宋_GB2312" w:cs="仿宋_GB2312"/>
          <w:sz w:val="32"/>
          <w:szCs w:val="32"/>
          <w:highlight w:val="none"/>
          <w:u w:val="none" w:color="auto"/>
          <w:lang w:val="en-US" w:eastAsia="zh-CN"/>
        </w:rPr>
        <w:t>实现学前教育“5085”普惠目标。乡镇中心小学、乡镇寄宿制初中学校标准化覆盖率达到100%，105所学校达到“广东省义务教育标准化学校”标准。</w:t>
      </w:r>
      <w:r>
        <w:rPr>
          <w:rFonts w:hint="eastAsia" w:ascii="Times New Roman" w:hAnsi="Times New Roman" w:eastAsia="仿宋_GB2312" w:cs="仿宋_GB2312"/>
          <w:b/>
          <w:bCs/>
          <w:sz w:val="32"/>
          <w:szCs w:val="32"/>
          <w:highlight w:val="none"/>
          <w:u w:val="none" w:color="auto"/>
          <w:lang w:val="en-US" w:eastAsia="zh-CN"/>
        </w:rPr>
        <w:t>医疗水平不断进步</w:t>
      </w:r>
      <w:r>
        <w:rPr>
          <w:rFonts w:hint="eastAsia" w:ascii="Times New Roman" w:hAnsi="Times New Roman" w:eastAsia="仿宋_GB2312" w:cs="仿宋_GB2312"/>
          <w:sz w:val="32"/>
          <w:szCs w:val="32"/>
          <w:highlight w:val="none"/>
          <w:u w:val="none" w:color="auto"/>
          <w:lang w:val="en-US" w:eastAsia="zh-CN"/>
        </w:rPr>
        <w:t>，积极推进县域医共体建设，市人民医院综合门诊大楼、医养结合中心等项目建设稳步推进。市妇幼保健院完成搬迁并成功创建“二级甲等”。南雄市国家慢性病综合防控示范区顺利通过复审</w:t>
      </w:r>
      <w:r>
        <w:rPr>
          <w:rFonts w:hint="eastAsia" w:eastAsia="仿宋_GB2312" w:cs="仿宋_GB2312"/>
          <w:sz w:val="32"/>
          <w:szCs w:val="32"/>
          <w:highlight w:val="none"/>
          <w:u w:val="none" w:color="auto"/>
          <w:lang w:val="en-US" w:eastAsia="zh-CN"/>
        </w:rPr>
        <w:t>，连续三年获评“广东省严重精神障碍管理治疗工作优秀县”</w:t>
      </w:r>
      <w:r>
        <w:rPr>
          <w:rFonts w:hint="eastAsia" w:ascii="Times New Roman" w:hAnsi="Times New Roman" w:eastAsia="仿宋_GB2312" w:cs="仿宋_GB2312"/>
          <w:sz w:val="32"/>
          <w:szCs w:val="32"/>
          <w:highlight w:val="none"/>
          <w:u w:val="none" w:color="auto"/>
          <w:lang w:val="en-US" w:eastAsia="zh-CN"/>
        </w:rPr>
        <w:t>。</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Times New Roman" w:hAnsi="Times New Roman" w:eastAsia="仿宋_GB2312" w:cs="仿宋_GB2312"/>
          <w:sz w:val="32"/>
          <w:szCs w:val="32"/>
          <w:highlight w:val="none"/>
          <w:u w:val="none" w:color="auto"/>
        </w:rPr>
      </w:pPr>
      <w:r>
        <w:rPr>
          <w:rFonts w:hint="eastAsia" w:ascii="Times New Roman" w:hAnsi="Times New Roman" w:eastAsia="仿宋_GB2312" w:cs="仿宋_GB2312"/>
          <w:sz w:val="32"/>
          <w:szCs w:val="32"/>
          <w:highlight w:val="none"/>
          <w:u w:val="none" w:color="auto"/>
        </w:rPr>
        <w:t>202</w:t>
      </w:r>
      <w:r>
        <w:rPr>
          <w:rFonts w:hint="eastAsia" w:ascii="Times New Roman" w:hAnsi="Times New Roman" w:eastAsia="仿宋_GB2312" w:cs="仿宋_GB2312"/>
          <w:sz w:val="32"/>
          <w:szCs w:val="32"/>
          <w:highlight w:val="none"/>
          <w:u w:val="none" w:color="auto"/>
          <w:lang w:val="en-US" w:eastAsia="zh-CN"/>
        </w:rPr>
        <w:t>4</w:t>
      </w:r>
      <w:r>
        <w:rPr>
          <w:rFonts w:hint="eastAsia" w:ascii="Times New Roman" w:hAnsi="Times New Roman" w:eastAsia="仿宋_GB2312" w:cs="仿宋_GB2312"/>
          <w:sz w:val="32"/>
          <w:szCs w:val="32"/>
          <w:highlight w:val="none"/>
          <w:u w:val="none" w:color="auto"/>
        </w:rPr>
        <w:t>年</w:t>
      </w:r>
      <w:r>
        <w:rPr>
          <w:rFonts w:hint="eastAsia" w:ascii="Times New Roman" w:hAnsi="Times New Roman" w:eastAsia="仿宋_GB2312" w:cs="仿宋_GB2312"/>
          <w:i w:val="0"/>
          <w:iCs w:val="0"/>
          <w:caps w:val="0"/>
          <w:color w:val="auto"/>
          <w:spacing w:val="0"/>
          <w:sz w:val="32"/>
          <w:szCs w:val="32"/>
          <w:highlight w:val="none"/>
          <w:u w:val="none" w:color="auto"/>
          <w:shd w:val="clear" w:fill="FFFFFF"/>
        </w:rPr>
        <w:t>是实现“十四五”规划目标任务的关键一年</w:t>
      </w:r>
      <w:r>
        <w:rPr>
          <w:rFonts w:hint="eastAsia" w:eastAsia="仿宋_GB2312" w:cs="仿宋_GB2312"/>
          <w:sz w:val="32"/>
          <w:szCs w:val="32"/>
          <w:highlight w:val="none"/>
          <w:u w:val="none" w:color="auto"/>
          <w:lang w:val="en" w:eastAsia="zh-CN"/>
        </w:rPr>
        <w:t>，</w:t>
      </w:r>
      <w:r>
        <w:rPr>
          <w:rFonts w:hint="eastAsia" w:ascii="Times New Roman" w:hAnsi="Times New Roman" w:eastAsia="仿宋_GB2312" w:cs="仿宋_GB2312"/>
          <w:sz w:val="32"/>
          <w:szCs w:val="32"/>
          <w:highlight w:val="none"/>
          <w:u w:val="none" w:color="auto"/>
          <w:lang w:val="en" w:eastAsia="zh-CN"/>
        </w:rPr>
        <w:t>面对</w:t>
      </w:r>
      <w:r>
        <w:rPr>
          <w:rFonts w:hint="eastAsia" w:ascii="Times New Roman" w:hAnsi="Times New Roman" w:eastAsia="仿宋_GB2312" w:cs="仿宋_GB2312"/>
          <w:sz w:val="32"/>
          <w:szCs w:val="32"/>
          <w:highlight w:val="none"/>
          <w:u w:val="none" w:color="auto"/>
          <w:lang w:val="en"/>
        </w:rPr>
        <w:t>外部压力加大、内部困难增多的复杂严峻形势</w:t>
      </w:r>
      <w:r>
        <w:rPr>
          <w:rFonts w:hint="eastAsia" w:ascii="Times New Roman" w:hAnsi="Times New Roman" w:eastAsia="仿宋_GB2312" w:cs="仿宋_GB2312"/>
          <w:sz w:val="32"/>
          <w:szCs w:val="32"/>
          <w:highlight w:val="none"/>
          <w:u w:val="none" w:color="auto"/>
          <w:lang w:val="en" w:eastAsia="zh-CN"/>
        </w:rPr>
        <w:t>，我市沉着应变、综合施策，高质量发展扎实推进，</w:t>
      </w:r>
      <w:r>
        <w:rPr>
          <w:rFonts w:hint="eastAsia" w:ascii="Times New Roman" w:hAnsi="Times New Roman" w:eastAsia="仿宋_GB2312" w:cs="仿宋_GB2312"/>
          <w:i w:val="0"/>
          <w:iCs w:val="0"/>
          <w:caps w:val="0"/>
          <w:color w:val="auto"/>
          <w:spacing w:val="0"/>
          <w:sz w:val="32"/>
          <w:szCs w:val="32"/>
          <w:highlight w:val="none"/>
          <w:u w:val="none" w:color="auto"/>
          <w:shd w:val="clear" w:fill="FFFFFF"/>
        </w:rPr>
        <w:t>经济</w:t>
      </w:r>
      <w:r>
        <w:rPr>
          <w:rFonts w:hint="eastAsia" w:ascii="Times New Roman" w:hAnsi="Times New Roman" w:eastAsia="仿宋_GB2312" w:cs="仿宋_GB2312"/>
          <w:i w:val="0"/>
          <w:iCs w:val="0"/>
          <w:caps w:val="0"/>
          <w:color w:val="auto"/>
          <w:spacing w:val="0"/>
          <w:sz w:val="32"/>
          <w:szCs w:val="32"/>
          <w:highlight w:val="none"/>
          <w:u w:val="none" w:color="auto"/>
          <w:shd w:val="clear" w:fill="FFFFFF"/>
          <w:lang w:val="en-US" w:eastAsia="zh-CN"/>
        </w:rPr>
        <w:t>发展</w:t>
      </w:r>
      <w:r>
        <w:rPr>
          <w:rFonts w:hint="eastAsia" w:ascii="Times New Roman" w:hAnsi="Times New Roman" w:eastAsia="仿宋_GB2312" w:cs="仿宋_GB2312"/>
          <w:i w:val="0"/>
          <w:iCs w:val="0"/>
          <w:caps w:val="0"/>
          <w:color w:val="auto"/>
          <w:spacing w:val="0"/>
          <w:sz w:val="32"/>
          <w:szCs w:val="32"/>
          <w:highlight w:val="none"/>
          <w:u w:val="none" w:color="auto"/>
          <w:shd w:val="clear" w:fill="FFFFFF"/>
        </w:rPr>
        <w:t>潜能大，长期向好的基本趋势没有变</w:t>
      </w:r>
      <w:r>
        <w:rPr>
          <w:rFonts w:hint="eastAsia" w:ascii="Times New Roman" w:hAnsi="Times New Roman" w:eastAsia="仿宋_GB2312" w:cs="仿宋_GB2312"/>
          <w:i w:val="0"/>
          <w:iCs w:val="0"/>
          <w:caps w:val="0"/>
          <w:color w:val="auto"/>
          <w:spacing w:val="0"/>
          <w:sz w:val="32"/>
          <w:szCs w:val="32"/>
          <w:highlight w:val="none"/>
          <w:u w:val="none" w:color="auto"/>
          <w:shd w:val="clear" w:fill="FFFFFF"/>
          <w:lang w:eastAsia="zh-CN"/>
        </w:rPr>
        <w:t>。</w:t>
      </w:r>
      <w:r>
        <w:rPr>
          <w:rFonts w:hint="eastAsia" w:ascii="Times New Roman" w:hAnsi="Times New Roman" w:eastAsia="仿宋_GB2312" w:cs="仿宋_GB2312"/>
          <w:sz w:val="32"/>
          <w:szCs w:val="32"/>
          <w:highlight w:val="none"/>
          <w:u w:val="none" w:color="auto"/>
          <w:lang w:val="en-US" w:eastAsia="zh-CN"/>
        </w:rPr>
        <w:t>南雄</w:t>
      </w:r>
      <w:r>
        <w:rPr>
          <w:rFonts w:hint="eastAsia" w:ascii="Times New Roman" w:hAnsi="Times New Roman" w:eastAsia="仿宋_GB2312" w:cs="仿宋_GB2312"/>
          <w:b w:val="0"/>
          <w:bCs w:val="0"/>
          <w:i w:val="0"/>
          <w:iCs w:val="0"/>
          <w:caps w:val="0"/>
          <w:color w:val="000000" w:themeColor="text1"/>
          <w:spacing w:val="0"/>
          <w:kern w:val="2"/>
          <w:sz w:val="32"/>
          <w:szCs w:val="32"/>
          <w:highlight w:val="none"/>
          <w:u w:val="none" w:color="auto"/>
          <w:shd w:val="clear" w:fill="FFFFFF"/>
          <w:lang w:val="en-US" w:eastAsia="zh-CN" w:bidi="ar-SA"/>
          <w14:textFill>
            <w14:solidFill>
              <w14:schemeClr w14:val="tx1"/>
            </w14:solidFill>
          </w14:textFill>
        </w:rPr>
        <w:t>正处在蓄势发力、赶超进位的关键阶段，</w:t>
      </w:r>
      <w:r>
        <w:rPr>
          <w:rFonts w:hint="eastAsia" w:ascii="Times New Roman" w:hAnsi="Times New Roman" w:eastAsia="仿宋_GB2312" w:cs="仿宋_GB2312"/>
          <w:sz w:val="32"/>
          <w:szCs w:val="32"/>
          <w:highlight w:val="none"/>
          <w:u w:val="none" w:color="auto"/>
          <w:lang w:val="en"/>
        </w:rPr>
        <w:t>在充分肯定我市国民经济和社会发展</w:t>
      </w:r>
      <w:r>
        <w:rPr>
          <w:rFonts w:hint="eastAsia" w:ascii="Times New Roman" w:hAnsi="Times New Roman" w:eastAsia="仿宋_GB2312" w:cs="仿宋_GB2312"/>
          <w:sz w:val="32"/>
          <w:szCs w:val="32"/>
          <w:highlight w:val="none"/>
          <w:u w:val="none" w:color="auto"/>
          <w:lang w:val="en" w:eastAsia="zh-CN"/>
        </w:rPr>
        <w:t>取得的</w:t>
      </w:r>
      <w:r>
        <w:rPr>
          <w:rFonts w:hint="eastAsia" w:ascii="Times New Roman" w:hAnsi="Times New Roman" w:eastAsia="仿宋_GB2312" w:cs="仿宋_GB2312"/>
          <w:sz w:val="32"/>
          <w:szCs w:val="32"/>
          <w:highlight w:val="none"/>
          <w:u w:val="none" w:color="auto"/>
          <w:lang w:val="en"/>
        </w:rPr>
        <w:t>成绩的同时，也应清醒地认识到</w:t>
      </w:r>
      <w:r>
        <w:rPr>
          <w:rFonts w:hint="eastAsia" w:ascii="Times New Roman" w:hAnsi="Times New Roman" w:eastAsia="仿宋_GB2312" w:cs="仿宋_GB2312"/>
          <w:sz w:val="32"/>
          <w:szCs w:val="32"/>
          <w:highlight w:val="none"/>
          <w:u w:val="none" w:color="auto"/>
          <w:lang w:val="en" w:eastAsia="zh-CN"/>
        </w:rPr>
        <w:t>，</w:t>
      </w:r>
      <w:r>
        <w:rPr>
          <w:rFonts w:hint="eastAsia" w:ascii="Times New Roman" w:hAnsi="Times New Roman" w:eastAsia="仿宋_GB2312" w:cs="仿宋_GB2312"/>
          <w:sz w:val="32"/>
          <w:szCs w:val="32"/>
          <w:highlight w:val="none"/>
          <w:u w:val="none" w:color="auto"/>
          <w:lang w:val="en-US" w:eastAsia="zh-CN"/>
        </w:rPr>
        <w:t>我市县域</w:t>
      </w:r>
      <w:r>
        <w:rPr>
          <w:rFonts w:hint="eastAsia" w:ascii="Times New Roman" w:hAnsi="Times New Roman" w:eastAsia="仿宋_GB2312" w:cs="仿宋_GB2312"/>
          <w:b w:val="0"/>
          <w:bCs w:val="0"/>
          <w:i w:val="0"/>
          <w:iCs w:val="0"/>
          <w:caps w:val="0"/>
          <w:color w:val="000000" w:themeColor="text1"/>
          <w:spacing w:val="0"/>
          <w:kern w:val="2"/>
          <w:sz w:val="32"/>
          <w:szCs w:val="32"/>
          <w:highlight w:val="none"/>
          <w:u w:val="none" w:color="auto"/>
          <w:shd w:val="clear" w:fill="FFFFFF"/>
          <w:lang w:val="en-US" w:eastAsia="zh-CN" w:bidi="ar-SA"/>
          <w14:textFill>
            <w14:solidFill>
              <w14:schemeClr w14:val="tx1"/>
            </w14:solidFill>
          </w14:textFill>
        </w:rPr>
        <w:t>经济体量偏小</w:t>
      </w:r>
      <w:r>
        <w:rPr>
          <w:rFonts w:hint="eastAsia" w:ascii="Times New Roman" w:hAnsi="Times New Roman" w:eastAsia="仿宋_GB2312" w:cs="仿宋_GB2312"/>
          <w:sz w:val="32"/>
          <w:szCs w:val="32"/>
          <w:highlight w:val="none"/>
          <w:u w:val="none" w:color="auto"/>
          <w:lang w:val="en-US" w:eastAsia="zh-CN"/>
        </w:rPr>
        <w:t>、产业结构不优、</w:t>
      </w:r>
      <w:r>
        <w:rPr>
          <w:rFonts w:hint="eastAsia" w:ascii="Times New Roman" w:hAnsi="Times New Roman" w:eastAsia="仿宋_GB2312" w:cs="仿宋_GB2312"/>
          <w:b w:val="0"/>
          <w:bCs w:val="0"/>
          <w:i w:val="0"/>
          <w:iCs w:val="0"/>
          <w:caps w:val="0"/>
          <w:color w:val="000000" w:themeColor="text1"/>
          <w:spacing w:val="0"/>
          <w:kern w:val="2"/>
          <w:sz w:val="32"/>
          <w:szCs w:val="32"/>
          <w:highlight w:val="none"/>
          <w:u w:val="none" w:color="auto"/>
          <w:shd w:val="clear" w:fill="FFFFFF"/>
          <w:lang w:val="en-US" w:eastAsia="zh-CN" w:bidi="ar-SA"/>
          <w14:textFill>
            <w14:solidFill>
              <w14:schemeClr w14:val="tx1"/>
            </w14:solidFill>
          </w14:textFill>
        </w:rPr>
        <w:t>消费动能不足</w:t>
      </w:r>
      <w:r>
        <w:rPr>
          <w:rFonts w:hint="eastAsia" w:ascii="Times New Roman" w:hAnsi="Times New Roman" w:eastAsia="仿宋_GB2312" w:cs="仿宋_GB2312"/>
          <w:bCs/>
          <w:color w:val="000000" w:themeColor="text1"/>
          <w:kern w:val="0"/>
          <w:sz w:val="32"/>
          <w:szCs w:val="32"/>
          <w:highlight w:val="none"/>
          <w:u w:val="none" w:color="auto"/>
          <w:lang w:val="en-US" w:eastAsia="zh-CN" w:bidi="ar-SA"/>
          <w14:textFill>
            <w14:solidFill>
              <w14:schemeClr w14:val="tx1"/>
            </w14:solidFill>
          </w14:textFill>
        </w:rPr>
        <w:t>，</w:t>
      </w:r>
      <w:r>
        <w:rPr>
          <w:rFonts w:hint="eastAsia" w:ascii="Times New Roman" w:hAnsi="Times New Roman" w:eastAsia="仿宋_GB2312" w:cs="仿宋_GB2312"/>
          <w:color w:val="auto"/>
          <w:sz w:val="32"/>
          <w:szCs w:val="32"/>
          <w:highlight w:val="none"/>
          <w:u w:val="none" w:color="auto"/>
          <w:lang w:val="en" w:eastAsia="zh-CN"/>
        </w:rPr>
        <w:t>经</w:t>
      </w:r>
      <w:r>
        <w:rPr>
          <w:rFonts w:hint="eastAsia" w:ascii="Times New Roman" w:hAnsi="Times New Roman" w:eastAsia="仿宋_GB2312" w:cs="仿宋_GB2312"/>
          <w:sz w:val="32"/>
          <w:szCs w:val="32"/>
          <w:highlight w:val="none"/>
          <w:u w:val="none" w:color="auto"/>
        </w:rPr>
        <w:t>济社会发展还存在不少困难和挑战：</w:t>
      </w:r>
      <w:r>
        <w:rPr>
          <w:rFonts w:hint="eastAsia" w:ascii="Times New Roman" w:hAnsi="Times New Roman" w:eastAsia="仿宋_GB2312" w:cs="仿宋_GB2312"/>
          <w:b/>
          <w:bCs/>
          <w:sz w:val="32"/>
          <w:szCs w:val="32"/>
          <w:highlight w:val="none"/>
          <w:u w:val="none" w:color="auto"/>
          <w:lang w:val="en-US" w:eastAsia="zh-CN"/>
        </w:rPr>
        <w:t>一是</w:t>
      </w:r>
      <w:r>
        <w:rPr>
          <w:rFonts w:hint="eastAsia" w:ascii="Times New Roman" w:hAnsi="Times New Roman" w:eastAsia="仿宋_GB2312" w:cs="仿宋_GB2312"/>
          <w:color w:val="auto"/>
          <w:sz w:val="32"/>
          <w:szCs w:val="32"/>
          <w:highlight w:val="none"/>
          <w:u w:val="none" w:color="auto"/>
          <w:lang w:val="en" w:eastAsia="zh-CN"/>
        </w:rPr>
        <w:t>经济增长基础不够牢固</w:t>
      </w:r>
      <w:r>
        <w:rPr>
          <w:rFonts w:hint="eastAsia" w:ascii="Times New Roman" w:hAnsi="Times New Roman" w:eastAsia="仿宋_GB2312" w:cs="仿宋_GB2312"/>
          <w:b w:val="0"/>
          <w:bCs w:val="0"/>
          <w:i w:val="0"/>
          <w:iCs w:val="0"/>
          <w:caps w:val="0"/>
          <w:color w:val="auto"/>
          <w:spacing w:val="0"/>
          <w:kern w:val="2"/>
          <w:sz w:val="32"/>
          <w:szCs w:val="32"/>
          <w:highlight w:val="none"/>
          <w:u w:val="none" w:color="auto"/>
          <w:shd w:val="clear" w:fill="FFFFFF"/>
          <w:lang w:val="en-US" w:eastAsia="zh-CN" w:bidi="ar-SA"/>
        </w:rPr>
        <w:t>。农业链条短，工业底子薄，三产融合不充分；县域</w:t>
      </w:r>
      <w:r>
        <w:rPr>
          <w:rFonts w:hint="eastAsia" w:ascii="Times New Roman" w:hAnsi="Times New Roman" w:eastAsia="仿宋_GB2312" w:cs="仿宋_GB2312"/>
          <w:i w:val="0"/>
          <w:iCs w:val="0"/>
          <w:caps w:val="0"/>
          <w:color w:val="auto"/>
          <w:spacing w:val="0"/>
          <w:sz w:val="32"/>
          <w:szCs w:val="32"/>
          <w:highlight w:val="none"/>
          <w:u w:val="none" w:color="auto"/>
        </w:rPr>
        <w:t>市场规模整体较小</w:t>
      </w:r>
      <w:r>
        <w:rPr>
          <w:rFonts w:hint="eastAsia" w:ascii="Times New Roman" w:hAnsi="Times New Roman" w:eastAsia="仿宋_GB2312" w:cs="仿宋_GB2312"/>
          <w:i w:val="0"/>
          <w:iCs w:val="0"/>
          <w:caps w:val="0"/>
          <w:color w:val="auto"/>
          <w:spacing w:val="0"/>
          <w:sz w:val="32"/>
          <w:szCs w:val="32"/>
          <w:highlight w:val="none"/>
          <w:u w:val="none" w:color="auto"/>
          <w:lang w:eastAsia="zh-CN"/>
        </w:rPr>
        <w:t>，</w:t>
      </w:r>
      <w:r>
        <w:rPr>
          <w:rFonts w:hint="eastAsia" w:ascii="Times New Roman" w:hAnsi="Times New Roman" w:eastAsia="仿宋_GB2312" w:cs="仿宋_GB2312"/>
          <w:i w:val="0"/>
          <w:iCs w:val="0"/>
          <w:caps w:val="0"/>
          <w:color w:val="auto"/>
          <w:spacing w:val="0"/>
          <w:sz w:val="32"/>
          <w:szCs w:val="32"/>
          <w:highlight w:val="none"/>
          <w:u w:val="none" w:color="auto"/>
        </w:rPr>
        <w:t>大型经营主体布局动力不足</w:t>
      </w:r>
      <w:r>
        <w:rPr>
          <w:rFonts w:hint="eastAsia" w:ascii="Times New Roman" w:hAnsi="Times New Roman" w:eastAsia="仿宋_GB2312" w:cs="仿宋_GB2312"/>
          <w:i w:val="0"/>
          <w:iCs w:val="0"/>
          <w:caps w:val="0"/>
          <w:color w:val="auto"/>
          <w:spacing w:val="0"/>
          <w:sz w:val="32"/>
          <w:szCs w:val="32"/>
          <w:highlight w:val="none"/>
          <w:u w:val="none" w:color="auto"/>
          <w:lang w:eastAsia="zh-CN"/>
        </w:rPr>
        <w:t>，</w:t>
      </w:r>
      <w:r>
        <w:rPr>
          <w:rFonts w:hint="eastAsia" w:ascii="Times New Roman" w:hAnsi="Times New Roman" w:eastAsia="仿宋_GB2312" w:cs="仿宋_GB2312"/>
          <w:i w:val="0"/>
          <w:iCs w:val="0"/>
          <w:caps w:val="0"/>
          <w:color w:val="auto"/>
          <w:spacing w:val="0"/>
          <w:sz w:val="32"/>
          <w:szCs w:val="32"/>
          <w:highlight w:val="none"/>
          <w:u w:val="none" w:color="auto"/>
        </w:rPr>
        <w:t>消费潜力释放缓慢</w:t>
      </w:r>
      <w:r>
        <w:rPr>
          <w:rFonts w:hint="eastAsia" w:ascii="Times New Roman" w:hAnsi="Times New Roman" w:eastAsia="仿宋_GB2312" w:cs="仿宋_GB2312"/>
          <w:color w:val="auto"/>
          <w:sz w:val="32"/>
          <w:szCs w:val="32"/>
          <w:highlight w:val="none"/>
          <w:u w:val="none" w:color="auto"/>
          <w:lang w:val="en-US" w:eastAsia="zh-CN"/>
        </w:rPr>
        <w:t>。</w:t>
      </w:r>
      <w:r>
        <w:rPr>
          <w:rFonts w:hint="eastAsia" w:ascii="Times New Roman" w:hAnsi="Times New Roman" w:eastAsia="仿宋_GB2312" w:cs="仿宋_GB2312"/>
          <w:b/>
          <w:bCs/>
          <w:color w:val="auto"/>
          <w:sz w:val="32"/>
          <w:szCs w:val="32"/>
          <w:highlight w:val="none"/>
          <w:u w:val="none" w:color="auto"/>
          <w:lang w:val="en-US" w:eastAsia="zh-CN"/>
        </w:rPr>
        <w:t>二是</w:t>
      </w:r>
      <w:r>
        <w:rPr>
          <w:rFonts w:hint="eastAsia" w:ascii="Times New Roman" w:hAnsi="Times New Roman" w:eastAsia="仿宋_GB2312" w:cs="仿宋_GB2312"/>
          <w:color w:val="auto"/>
          <w:sz w:val="32"/>
          <w:szCs w:val="32"/>
          <w:highlight w:val="none"/>
          <w:u w:val="none" w:color="auto"/>
          <w:lang w:val="en-US" w:eastAsia="zh-CN"/>
        </w:rPr>
        <w:t>招商引资项目质量不够高。</w:t>
      </w:r>
      <w:r>
        <w:rPr>
          <w:rFonts w:hint="eastAsia" w:ascii="Times New Roman" w:hAnsi="Times New Roman" w:eastAsia="仿宋_GB2312" w:cs="仿宋_GB2312"/>
          <w:color w:val="auto"/>
          <w:kern w:val="2"/>
          <w:sz w:val="32"/>
          <w:szCs w:val="32"/>
          <w:highlight w:val="none"/>
          <w:u w:val="none" w:color="auto"/>
          <w:lang w:val="en-US" w:eastAsia="zh-CN" w:bidi="ar-SA"/>
        </w:rPr>
        <w:t>招引项目大多体量小、投资少，高新技术产业项目引进不够，缺乏产业带动性强的链主企业、龙头企业。</w:t>
      </w:r>
      <w:r>
        <w:rPr>
          <w:rFonts w:hint="eastAsia" w:ascii="Times New Roman" w:hAnsi="Times New Roman" w:eastAsia="仿宋_GB2312" w:cs="仿宋_GB2312"/>
          <w:b/>
          <w:bCs/>
          <w:sz w:val="32"/>
          <w:szCs w:val="32"/>
          <w:highlight w:val="none"/>
          <w:u w:val="none" w:color="auto"/>
          <w:lang w:val="en-US" w:eastAsia="zh-CN"/>
        </w:rPr>
        <w:t>三是</w:t>
      </w:r>
      <w:r>
        <w:rPr>
          <w:rFonts w:hint="eastAsia" w:ascii="Times New Roman" w:hAnsi="Times New Roman" w:eastAsia="仿宋_GB2312" w:cs="仿宋_GB2312"/>
          <w:b w:val="0"/>
          <w:bCs w:val="0"/>
          <w:i w:val="0"/>
          <w:iCs w:val="0"/>
          <w:caps w:val="0"/>
          <w:color w:val="000000" w:themeColor="text1"/>
          <w:spacing w:val="0"/>
          <w:kern w:val="2"/>
          <w:sz w:val="32"/>
          <w:szCs w:val="32"/>
          <w:highlight w:val="none"/>
          <w:u w:val="none" w:color="auto"/>
          <w:shd w:val="clear" w:fill="FFFFFF"/>
          <w:lang w:val="en-US" w:eastAsia="zh-CN" w:bidi="ar-SA"/>
          <w14:textFill>
            <w14:solidFill>
              <w14:schemeClr w14:val="tx1"/>
            </w14:solidFill>
          </w14:textFill>
        </w:rPr>
        <w:t>新型城镇化质量有待提升</w:t>
      </w:r>
      <w:r>
        <w:rPr>
          <w:rFonts w:hint="eastAsia" w:ascii="Times New Roman" w:hAnsi="Times New Roman" w:eastAsia="仿宋_GB2312" w:cs="仿宋_GB2312"/>
          <w:bCs/>
          <w:color w:val="000000" w:themeColor="text1"/>
          <w:kern w:val="0"/>
          <w:sz w:val="32"/>
          <w:szCs w:val="32"/>
          <w:highlight w:val="none"/>
          <w:u w:val="none" w:color="auto"/>
          <w:lang w:val="en-US" w:eastAsia="zh-CN" w:bidi="ar-SA"/>
          <w14:textFill>
            <w14:solidFill>
              <w14:schemeClr w14:val="tx1"/>
            </w14:solidFill>
          </w14:textFill>
        </w:rPr>
        <w:t>。市政设施、道路交通等基础设施欠账较多，教育、医疗、养老等公共服务供给不够均衡优质，生态治理仍需持续加强</w:t>
      </w:r>
      <w:r>
        <w:rPr>
          <w:rFonts w:hint="eastAsia" w:ascii="Times New Roman" w:hAnsi="Times New Roman" w:eastAsia="仿宋_GB2312" w:cs="仿宋_GB2312"/>
          <w:sz w:val="32"/>
          <w:szCs w:val="32"/>
          <w:highlight w:val="none"/>
          <w:u w:val="none" w:color="auto"/>
          <w:lang w:val="en-US" w:eastAsia="zh-CN"/>
        </w:rPr>
        <w:t>。</w:t>
      </w:r>
      <w:r>
        <w:rPr>
          <w:rFonts w:hint="eastAsia" w:ascii="Times New Roman" w:hAnsi="Times New Roman" w:eastAsia="仿宋_GB2312" w:cs="仿宋_GB2312"/>
          <w:b/>
          <w:bCs/>
          <w:sz w:val="32"/>
          <w:szCs w:val="32"/>
          <w:highlight w:val="none"/>
          <w:u w:val="none" w:color="auto"/>
          <w:lang w:val="en-US" w:eastAsia="zh-CN"/>
        </w:rPr>
        <w:t>四是</w:t>
      </w:r>
      <w:r>
        <w:rPr>
          <w:rFonts w:hint="eastAsia" w:ascii="Times New Roman" w:hAnsi="Times New Roman" w:eastAsia="仿宋_GB2312" w:cs="仿宋_GB2312"/>
          <w:sz w:val="32"/>
          <w:szCs w:val="32"/>
          <w:highlight w:val="none"/>
          <w:u w:val="none" w:color="auto"/>
          <w:lang w:val="en-US" w:eastAsia="zh-CN"/>
        </w:rPr>
        <w:t>财政收支矛盾突出。受</w:t>
      </w:r>
      <w:r>
        <w:rPr>
          <w:rFonts w:hint="eastAsia" w:ascii="Times New Roman" w:hAnsi="Times New Roman" w:eastAsia="仿宋_GB2312" w:cs="仿宋_GB2312"/>
          <w:i w:val="0"/>
          <w:iCs w:val="0"/>
          <w:caps w:val="0"/>
          <w:color w:val="000000"/>
          <w:spacing w:val="0"/>
          <w:sz w:val="32"/>
          <w:szCs w:val="32"/>
          <w:highlight w:val="none"/>
          <w:u w:val="none" w:color="auto"/>
          <w:shd w:val="clear" w:color="auto" w:fill="FFFFFF"/>
          <w:lang w:val="en-US" w:eastAsia="zh-CN"/>
        </w:rPr>
        <w:t>经济下行影响，</w:t>
      </w:r>
      <w:r>
        <w:rPr>
          <w:rFonts w:hint="eastAsia" w:ascii="Times New Roman" w:hAnsi="Times New Roman" w:eastAsia="仿宋_GB2312" w:cs="仿宋_GB2312"/>
          <w:sz w:val="32"/>
          <w:szCs w:val="32"/>
          <w:highlight w:val="none"/>
          <w:u w:val="none" w:color="auto"/>
          <w:lang w:val="en-US" w:eastAsia="zh-CN"/>
        </w:rPr>
        <w:t>重点税源企业税收贡献减弱，</w:t>
      </w:r>
      <w:r>
        <w:rPr>
          <w:rFonts w:hint="eastAsia" w:ascii="Times New Roman" w:hAnsi="Times New Roman" w:eastAsia="仿宋_GB2312" w:cs="仿宋_GB2312"/>
          <w:i w:val="0"/>
          <w:iCs w:val="0"/>
          <w:caps w:val="0"/>
          <w:color w:val="000000"/>
          <w:spacing w:val="0"/>
          <w:sz w:val="32"/>
          <w:szCs w:val="32"/>
          <w:highlight w:val="none"/>
          <w:u w:val="none" w:color="auto"/>
          <w:shd w:val="clear" w:color="auto" w:fill="FFFFFF"/>
          <w:lang w:val="en-US" w:eastAsia="zh-CN"/>
        </w:rPr>
        <w:t>但</w:t>
      </w:r>
      <w:r>
        <w:rPr>
          <w:rFonts w:hint="eastAsia" w:ascii="Times New Roman" w:hAnsi="Times New Roman" w:eastAsia="仿宋_GB2312" w:cs="仿宋_GB2312"/>
          <w:i w:val="0"/>
          <w:iCs w:val="0"/>
          <w:caps w:val="0"/>
          <w:color w:val="000000"/>
          <w:spacing w:val="0"/>
          <w:sz w:val="32"/>
          <w:szCs w:val="32"/>
          <w:highlight w:val="none"/>
          <w:u w:val="none" w:color="auto"/>
          <w:shd w:val="clear" w:color="auto" w:fill="FFFFFF"/>
        </w:rPr>
        <w:t>重点领域和刚性支出</w:t>
      </w:r>
      <w:r>
        <w:rPr>
          <w:rFonts w:hint="eastAsia" w:ascii="Times New Roman" w:hAnsi="Times New Roman" w:eastAsia="仿宋_GB2312" w:cs="仿宋_GB2312"/>
          <w:i w:val="0"/>
          <w:iCs w:val="0"/>
          <w:caps w:val="0"/>
          <w:color w:val="000000"/>
          <w:spacing w:val="0"/>
          <w:sz w:val="32"/>
          <w:szCs w:val="32"/>
          <w:highlight w:val="none"/>
          <w:u w:val="none" w:color="auto"/>
          <w:shd w:val="clear" w:color="auto" w:fill="FFFFFF"/>
          <w:lang w:val="en-US" w:eastAsia="zh-CN"/>
        </w:rPr>
        <w:t>压力</w:t>
      </w:r>
      <w:r>
        <w:rPr>
          <w:rFonts w:hint="eastAsia" w:ascii="Times New Roman" w:hAnsi="Times New Roman" w:eastAsia="仿宋_GB2312" w:cs="仿宋_GB2312"/>
          <w:i w:val="0"/>
          <w:iCs w:val="0"/>
          <w:caps w:val="0"/>
          <w:color w:val="000000"/>
          <w:spacing w:val="0"/>
          <w:sz w:val="32"/>
          <w:szCs w:val="32"/>
          <w:highlight w:val="none"/>
          <w:u w:val="none" w:color="auto"/>
          <w:shd w:val="clear" w:color="auto" w:fill="FFFFFF"/>
        </w:rPr>
        <w:t>不减，财政支出规模不断扩大，财政运行始终处于紧平衡状态。</w:t>
      </w:r>
      <w:r>
        <w:rPr>
          <w:rFonts w:hint="eastAsia" w:ascii="仿宋_GB2312" w:hAnsi="仿宋_GB2312" w:eastAsia="仿宋_GB2312" w:cs="仿宋_GB2312"/>
          <w:bCs/>
          <w:color w:val="000000" w:themeColor="text1"/>
          <w:kern w:val="0"/>
          <w:sz w:val="32"/>
          <w:szCs w:val="32"/>
          <w:highlight w:val="none"/>
          <w:lang w:val="en-US" w:eastAsia="zh-CN" w:bidi="ar-SA"/>
          <w14:textFill>
            <w14:solidFill>
              <w14:schemeClr w14:val="tx1"/>
            </w14:solidFill>
          </w14:textFill>
        </w:rPr>
        <w:t>对此，我们一定坚持问题导向，聚焦问题施策，着力予以解决。</w:t>
      </w:r>
    </w:p>
    <w:p>
      <w:pPr>
        <w:keepNext w:val="0"/>
        <w:keepLines w:val="0"/>
        <w:pageBreakBefore w:val="0"/>
        <w:widowControl w:val="0"/>
        <w:kinsoku/>
        <w:wordWrap/>
        <w:overflowPunct/>
        <w:topLinePunct w:val="0"/>
        <w:bidi w:val="0"/>
        <w:snapToGrid/>
        <w:spacing w:line="610" w:lineRule="exact"/>
        <w:ind w:left="0" w:leftChars="0" w:firstLine="640" w:firstLineChars="200"/>
        <w:textAlignment w:val="auto"/>
        <w:rPr>
          <w:rFonts w:hint="eastAsia" w:ascii="黑体" w:hAnsi="黑体" w:eastAsia="黑体" w:cs="黑体"/>
          <w:sz w:val="32"/>
          <w:szCs w:val="32"/>
          <w:highlight w:val="none"/>
          <w:u w:val="none" w:color="auto"/>
        </w:rPr>
      </w:pPr>
      <w:r>
        <w:rPr>
          <w:rFonts w:hint="eastAsia" w:ascii="黑体" w:hAnsi="黑体" w:eastAsia="黑体" w:cs="黑体"/>
          <w:sz w:val="32"/>
          <w:szCs w:val="32"/>
          <w:highlight w:val="none"/>
          <w:u w:val="none" w:color="auto"/>
        </w:rPr>
        <w:t>二、202</w:t>
      </w:r>
      <w:r>
        <w:rPr>
          <w:rFonts w:hint="eastAsia" w:ascii="黑体" w:hAnsi="黑体" w:eastAsia="黑体" w:cs="黑体"/>
          <w:sz w:val="32"/>
          <w:szCs w:val="32"/>
          <w:highlight w:val="none"/>
          <w:u w:val="none" w:color="auto"/>
          <w:lang w:val="en-US" w:eastAsia="zh-CN"/>
        </w:rPr>
        <w:t>5</w:t>
      </w:r>
      <w:r>
        <w:rPr>
          <w:rFonts w:hint="eastAsia" w:ascii="黑体" w:hAnsi="黑体" w:eastAsia="黑体" w:cs="黑体"/>
          <w:sz w:val="32"/>
          <w:szCs w:val="32"/>
          <w:highlight w:val="none"/>
          <w:u w:val="none" w:color="auto"/>
        </w:rPr>
        <w:t>年国民经济和社会发展计划安排意见</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Times New Roman" w:hAnsi="Times New Roman" w:eastAsia="仿宋_GB2312" w:cs="仿宋_GB2312"/>
          <w:color w:val="auto"/>
          <w:kern w:val="32"/>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202</w:t>
      </w:r>
      <w:r>
        <w:rPr>
          <w:rFonts w:hint="eastAsia" w:ascii="Times New Roman" w:hAnsi="Times New Roman" w:eastAsia="仿宋_GB2312" w:cs="仿宋_GB2312"/>
          <w:color w:val="auto"/>
          <w:sz w:val="32"/>
          <w:szCs w:val="32"/>
          <w:highlight w:val="none"/>
          <w:u w:val="none" w:color="auto"/>
          <w:lang w:val="en-US" w:eastAsia="zh-CN"/>
        </w:rPr>
        <w:t>5</w:t>
      </w:r>
      <w:r>
        <w:rPr>
          <w:rFonts w:hint="eastAsia" w:ascii="Times New Roman" w:hAnsi="Times New Roman" w:eastAsia="仿宋_GB2312" w:cs="仿宋_GB2312"/>
          <w:color w:val="auto"/>
          <w:sz w:val="32"/>
          <w:szCs w:val="32"/>
          <w:highlight w:val="none"/>
          <w:u w:val="none" w:color="auto"/>
        </w:rPr>
        <w:t>年全市经济社会发展工作的总体要求是：</w:t>
      </w:r>
      <w:r>
        <w:rPr>
          <w:rFonts w:hint="eastAsia" w:ascii="Times New Roman" w:hAnsi="Times New Roman" w:eastAsia="仿宋_GB2312" w:cs="仿宋_GB2312"/>
          <w:b w:val="0"/>
          <w:bCs w:val="0"/>
          <w:color w:val="000000" w:themeColor="text1"/>
          <w:kern w:val="2"/>
          <w:sz w:val="32"/>
          <w:szCs w:val="32"/>
          <w:highlight w:val="none"/>
          <w:u w:val="none" w:color="auto"/>
          <w:lang w:val="en-US" w:eastAsia="zh-CN" w:bidi="ar-SA"/>
          <w14:textFill>
            <w14:solidFill>
              <w14:schemeClr w14:val="tx1"/>
            </w14:solidFill>
          </w14:textFill>
        </w:rPr>
        <w:t>坚持以习近平新时代中国特色社会主义思想为指导，全面贯彻落实党的二十大和二十届二中、三中全会以及中央经济工作会议精神，深入学习贯彻习近平总书记对广东系列重要讲话和重要指示精神，认真落实省委十三届六次全会暨省委经济工作会议、韶关市委十三届八次全会暨市委经济工作会议部署要求，按照市委十四届七次全会工作安排，围绕落实省委“1310”具体部署、韶关市委“363”工作安排，坚持稳中求进工作总基调，完整准确全面贯彻新发展理念，服务和融入新发展格局，以“百千万工程”为总抓手扎实推动高质量发展，进一步全面深化改革，扩大高水平对外开放，建设现代化产业体系，更好统筹发展和安全，推动经济持续回升向好，不断提高人民生活水平，保持社会和谐稳定，高质量完成“十四五”规划目标任务，奋力开创中国式现代化南雄实践新局面。</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综合分析外部发展环境及我市发展基础，从实际出发，建议202</w:t>
      </w:r>
      <w:r>
        <w:rPr>
          <w:rFonts w:hint="eastAsia" w:ascii="Times New Roman" w:hAnsi="Times New Roman" w:eastAsia="仿宋_GB2312" w:cs="仿宋_GB2312"/>
          <w:color w:val="auto"/>
          <w:sz w:val="32"/>
          <w:szCs w:val="32"/>
          <w:highlight w:val="none"/>
          <w:u w:val="none" w:color="auto"/>
          <w:lang w:val="en-US" w:eastAsia="zh-CN"/>
        </w:rPr>
        <w:t>5</w:t>
      </w:r>
      <w:r>
        <w:rPr>
          <w:rFonts w:hint="eastAsia" w:ascii="Times New Roman" w:hAnsi="Times New Roman" w:eastAsia="仿宋_GB2312" w:cs="仿宋_GB2312"/>
          <w:color w:val="auto"/>
          <w:sz w:val="32"/>
          <w:szCs w:val="32"/>
          <w:highlight w:val="none"/>
          <w:u w:val="none" w:color="auto"/>
        </w:rPr>
        <w:t>年我市国民经济和社会发展主要预期目标及重点建设项目安排如下：</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楷体_GB2312" w:hAnsi="楷体_GB2312" w:eastAsia="楷体_GB2312" w:cs="楷体_GB2312"/>
          <w:color w:val="auto"/>
          <w:sz w:val="32"/>
          <w:szCs w:val="32"/>
          <w:highlight w:val="none"/>
          <w:u w:val="none" w:color="auto"/>
        </w:rPr>
      </w:pPr>
      <w:r>
        <w:rPr>
          <w:rFonts w:hint="eastAsia" w:ascii="楷体_GB2312" w:hAnsi="楷体_GB2312" w:eastAsia="楷体_GB2312" w:cs="楷体_GB2312"/>
          <w:color w:val="auto"/>
          <w:sz w:val="32"/>
          <w:szCs w:val="32"/>
          <w:highlight w:val="none"/>
          <w:u w:val="none" w:color="auto"/>
        </w:rPr>
        <w:t>（一）主要指标预期目标</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——全市生产总值增长</w:t>
      </w:r>
      <w:r>
        <w:rPr>
          <w:rFonts w:hint="eastAsia" w:ascii="Times New Roman" w:hAnsi="Times New Roman" w:eastAsia="仿宋_GB2312" w:cs="仿宋_GB2312"/>
          <w:color w:val="auto"/>
          <w:sz w:val="32"/>
          <w:szCs w:val="32"/>
          <w:highlight w:val="none"/>
          <w:u w:val="none" w:color="auto"/>
          <w:lang w:val="en-US" w:eastAsia="zh-CN"/>
        </w:rPr>
        <w:t>5</w:t>
      </w:r>
      <w:r>
        <w:rPr>
          <w:rFonts w:hint="eastAsia" w:ascii="Times New Roman" w:hAnsi="Times New Roman" w:eastAsia="仿宋_GB2312" w:cs="仿宋_GB2312"/>
          <w:color w:val="auto"/>
          <w:sz w:val="32"/>
          <w:szCs w:val="32"/>
          <w:highlight w:val="none"/>
          <w:u w:val="none" w:color="auto"/>
        </w:rPr>
        <w:t>%以上；其中，第一产业增加值增长</w:t>
      </w:r>
      <w:r>
        <w:rPr>
          <w:rFonts w:hint="eastAsia" w:ascii="Times New Roman" w:cs="仿宋_GB2312"/>
          <w:color w:val="222222"/>
          <w:sz w:val="32"/>
          <w:szCs w:val="32"/>
          <w:u w:val="none" w:color="auto"/>
          <w:lang w:val="en-US" w:eastAsia="zh-CN"/>
        </w:rPr>
        <w:t>5</w:t>
      </w:r>
      <w:r>
        <w:rPr>
          <w:rFonts w:hint="eastAsia" w:ascii="Times New Roman" w:hAnsi="Times New Roman" w:eastAsia="仿宋_GB2312" w:cs="仿宋_GB2312"/>
          <w:color w:val="222222"/>
          <w:sz w:val="32"/>
          <w:szCs w:val="32"/>
          <w:u w:val="none" w:color="auto"/>
          <w:lang w:val="en-US" w:eastAsia="zh-CN"/>
        </w:rPr>
        <w:t>%</w:t>
      </w:r>
      <w:r>
        <w:rPr>
          <w:rFonts w:hint="eastAsia" w:ascii="Times New Roman" w:hAnsi="Times New Roman" w:eastAsia="仿宋_GB2312" w:cs="仿宋_GB2312"/>
          <w:color w:val="auto"/>
          <w:sz w:val="32"/>
          <w:szCs w:val="32"/>
          <w:highlight w:val="none"/>
          <w:u w:val="none" w:color="auto"/>
        </w:rPr>
        <w:t>，第二产业增加值增长</w:t>
      </w:r>
      <w:r>
        <w:rPr>
          <w:rFonts w:hint="eastAsia" w:ascii="Times New Roman" w:cs="仿宋_GB2312"/>
          <w:color w:val="222222"/>
          <w:sz w:val="32"/>
          <w:szCs w:val="32"/>
          <w:u w:val="none" w:color="auto"/>
          <w:lang w:val="en-US" w:eastAsia="zh-CN"/>
        </w:rPr>
        <w:t>7</w:t>
      </w:r>
      <w:r>
        <w:rPr>
          <w:rFonts w:hint="eastAsia" w:ascii="Times New Roman" w:hAnsi="Times New Roman" w:eastAsia="仿宋_GB2312" w:cs="仿宋_GB2312"/>
          <w:color w:val="222222"/>
          <w:sz w:val="32"/>
          <w:szCs w:val="32"/>
          <w:u w:val="none" w:color="auto"/>
          <w:lang w:val="en-US" w:eastAsia="zh-CN"/>
        </w:rPr>
        <w:t>%</w:t>
      </w:r>
      <w:r>
        <w:rPr>
          <w:rFonts w:hint="eastAsia" w:ascii="Times New Roman" w:hAnsi="Times New Roman" w:eastAsia="仿宋_GB2312" w:cs="仿宋_GB2312"/>
          <w:color w:val="auto"/>
          <w:sz w:val="32"/>
          <w:szCs w:val="32"/>
          <w:highlight w:val="none"/>
          <w:u w:val="none" w:color="auto"/>
        </w:rPr>
        <w:t>，第三产业增加值增长</w:t>
      </w:r>
      <w:r>
        <w:rPr>
          <w:rFonts w:hint="eastAsia" w:ascii="Times New Roman" w:hAnsi="Times New Roman" w:eastAsia="仿宋_GB2312" w:cs="仿宋_GB2312"/>
          <w:b w:val="0"/>
          <w:bCs w:val="0"/>
          <w:color w:val="222222"/>
          <w:sz w:val="32"/>
          <w:szCs w:val="32"/>
          <w:u w:val="none" w:color="auto"/>
          <w:lang w:val="en-US" w:eastAsia="zh-CN"/>
        </w:rPr>
        <w:t>4.5</w:t>
      </w:r>
      <w:r>
        <w:rPr>
          <w:rFonts w:hint="eastAsia" w:ascii="Times New Roman" w:hAnsi="Times New Roman" w:eastAsia="仿宋_GB2312" w:cs="仿宋_GB2312"/>
          <w:color w:val="222222"/>
          <w:sz w:val="32"/>
          <w:szCs w:val="32"/>
          <w:u w:val="none" w:color="auto"/>
          <w:lang w:val="en-US" w:eastAsia="zh-CN"/>
        </w:rPr>
        <w:t>%</w:t>
      </w:r>
      <w:r>
        <w:rPr>
          <w:rFonts w:hint="eastAsia" w:ascii="Times New Roman" w:hAnsi="Times New Roman" w:eastAsia="仿宋_GB2312" w:cs="仿宋_GB2312"/>
          <w:color w:val="auto"/>
          <w:sz w:val="32"/>
          <w:szCs w:val="32"/>
          <w:highlight w:val="none"/>
          <w:u w:val="none" w:color="auto"/>
        </w:rPr>
        <w:t>；</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——固定资产投资增长</w:t>
      </w:r>
      <w:r>
        <w:rPr>
          <w:rFonts w:hint="eastAsia" w:ascii="Times New Roman" w:hAnsi="Times New Roman" w:eastAsia="仿宋_GB2312" w:cs="仿宋_GB2312"/>
          <w:color w:val="auto"/>
          <w:sz w:val="32"/>
          <w:szCs w:val="32"/>
          <w:highlight w:val="none"/>
          <w:u w:val="none" w:color="auto"/>
          <w:lang w:val="en-US" w:eastAsia="zh-CN"/>
        </w:rPr>
        <w:t>3</w:t>
      </w:r>
      <w:r>
        <w:rPr>
          <w:rFonts w:hint="eastAsia" w:ascii="Times New Roman" w:hAnsi="Times New Roman" w:eastAsia="仿宋_GB2312" w:cs="仿宋_GB2312"/>
          <w:color w:val="auto"/>
          <w:sz w:val="32"/>
          <w:szCs w:val="32"/>
          <w:highlight w:val="none"/>
          <w:u w:val="none" w:color="auto"/>
        </w:rPr>
        <w:t>%；</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——地方公共财政预算收入增长</w:t>
      </w:r>
      <w:r>
        <w:rPr>
          <w:rFonts w:hint="eastAsia" w:ascii="Times New Roman" w:cs="仿宋_GB2312"/>
          <w:color w:val="auto"/>
          <w:sz w:val="32"/>
          <w:szCs w:val="32"/>
          <w:highlight w:val="none"/>
          <w:u w:val="none" w:color="auto"/>
          <w:lang w:val="en-US" w:eastAsia="zh-CN"/>
        </w:rPr>
        <w:t>3</w:t>
      </w:r>
      <w:r>
        <w:rPr>
          <w:rFonts w:hint="eastAsia" w:ascii="Times New Roman" w:hAnsi="Times New Roman" w:eastAsia="仿宋_GB2312" w:cs="仿宋_GB2312"/>
          <w:color w:val="auto"/>
          <w:sz w:val="32"/>
          <w:szCs w:val="32"/>
          <w:highlight w:val="none"/>
          <w:u w:val="none" w:color="auto"/>
        </w:rPr>
        <w:t>%；</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——社会消费品零售总额增长</w:t>
      </w:r>
      <w:r>
        <w:rPr>
          <w:rFonts w:hint="eastAsia" w:ascii="Times New Roman" w:cs="仿宋_GB2312"/>
          <w:color w:val="auto"/>
          <w:sz w:val="32"/>
          <w:szCs w:val="32"/>
          <w:highlight w:val="none"/>
          <w:u w:val="none" w:color="auto"/>
          <w:lang w:val="en-US" w:eastAsia="zh-CN"/>
        </w:rPr>
        <w:t>5</w:t>
      </w:r>
      <w:r>
        <w:rPr>
          <w:rFonts w:hint="eastAsia" w:ascii="Times New Roman" w:hAnsi="Times New Roman" w:eastAsia="仿宋_GB2312" w:cs="仿宋_GB2312"/>
          <w:color w:val="auto"/>
          <w:sz w:val="32"/>
          <w:szCs w:val="32"/>
          <w:highlight w:val="none"/>
          <w:u w:val="none" w:color="auto"/>
        </w:rPr>
        <w:t>%；</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——城乡居民人均可支配收入与经济发展基本同步；</w:t>
      </w:r>
    </w:p>
    <w:p>
      <w:pPr>
        <w:pStyle w:val="2"/>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Times New Roman" w:hAnsi="Times New Roman" w:eastAsia="仿宋_GB2312"/>
          <w:color w:val="auto"/>
          <w:kern w:val="32"/>
          <w:sz w:val="32"/>
          <w:szCs w:val="32"/>
          <w:highlight w:val="none"/>
          <w:u w:val="none" w:color="auto"/>
        </w:rPr>
      </w:pPr>
      <w:r>
        <w:rPr>
          <w:rFonts w:hint="eastAsia" w:ascii="Times New Roman" w:hAnsi="Times New Roman" w:eastAsia="仿宋_GB2312"/>
          <w:color w:val="auto"/>
          <w:kern w:val="32"/>
          <w:sz w:val="32"/>
          <w:szCs w:val="32"/>
          <w:highlight w:val="none"/>
          <w:u w:val="none" w:color="auto"/>
        </w:rPr>
        <w:t>——粮食产量完成</w:t>
      </w:r>
      <w:r>
        <w:rPr>
          <w:rFonts w:hint="eastAsia" w:ascii="Times New Roman" w:hAnsi="Times New Roman" w:eastAsia="仿宋_GB2312"/>
          <w:color w:val="auto"/>
          <w:kern w:val="32"/>
          <w:sz w:val="32"/>
          <w:szCs w:val="32"/>
          <w:highlight w:val="none"/>
          <w:u w:val="none" w:color="auto"/>
          <w:lang w:val="en-US" w:eastAsia="zh-CN"/>
        </w:rPr>
        <w:t>上级</w:t>
      </w:r>
      <w:r>
        <w:rPr>
          <w:rFonts w:hint="eastAsia" w:ascii="Times New Roman" w:hAnsi="Times New Roman" w:eastAsia="仿宋_GB2312"/>
          <w:color w:val="auto"/>
          <w:kern w:val="32"/>
          <w:sz w:val="32"/>
          <w:szCs w:val="32"/>
          <w:highlight w:val="none"/>
          <w:u w:val="none" w:color="auto"/>
        </w:rPr>
        <w:t>下达任务</w:t>
      </w:r>
      <w:r>
        <w:rPr>
          <w:rFonts w:hint="eastAsia" w:ascii="Times New Roman"/>
          <w:color w:val="auto"/>
          <w:kern w:val="32"/>
          <w:sz w:val="32"/>
          <w:szCs w:val="32"/>
          <w:highlight w:val="none"/>
          <w:u w:val="none" w:color="auto"/>
          <w:lang w:eastAsia="zh-CN"/>
        </w:rPr>
        <w:t>；</w:t>
      </w:r>
    </w:p>
    <w:p>
      <w:pPr>
        <w:pStyle w:val="2"/>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Times New Roman" w:hAnsi="Times New Roman" w:eastAsia="仿宋_GB2312"/>
          <w:color w:val="auto"/>
          <w:kern w:val="32"/>
          <w:sz w:val="32"/>
          <w:szCs w:val="32"/>
          <w:highlight w:val="none"/>
          <w:u w:val="none" w:color="auto"/>
        </w:rPr>
      </w:pPr>
      <w:r>
        <w:rPr>
          <w:rFonts w:hint="eastAsia" w:ascii="Times New Roman" w:hAnsi="Times New Roman" w:eastAsia="仿宋_GB2312"/>
          <w:color w:val="auto"/>
          <w:kern w:val="32"/>
          <w:sz w:val="32"/>
          <w:szCs w:val="32"/>
          <w:highlight w:val="none"/>
          <w:u w:val="none" w:color="auto"/>
        </w:rPr>
        <w:t>——粮食播种面积完成</w:t>
      </w:r>
      <w:r>
        <w:rPr>
          <w:rFonts w:hint="eastAsia" w:ascii="Times New Roman" w:hAnsi="Times New Roman" w:eastAsia="仿宋_GB2312"/>
          <w:color w:val="auto"/>
          <w:kern w:val="32"/>
          <w:sz w:val="32"/>
          <w:szCs w:val="32"/>
          <w:highlight w:val="none"/>
          <w:u w:val="none" w:color="auto"/>
          <w:lang w:val="en-US" w:eastAsia="zh-CN"/>
        </w:rPr>
        <w:t>上级</w:t>
      </w:r>
      <w:r>
        <w:rPr>
          <w:rFonts w:hint="eastAsia" w:ascii="Times New Roman" w:hAnsi="Times New Roman" w:eastAsia="仿宋_GB2312"/>
          <w:color w:val="auto"/>
          <w:kern w:val="32"/>
          <w:sz w:val="32"/>
          <w:szCs w:val="32"/>
          <w:highlight w:val="none"/>
          <w:u w:val="none" w:color="auto"/>
        </w:rPr>
        <w:t>下达任务；</w:t>
      </w:r>
    </w:p>
    <w:p>
      <w:pPr>
        <w:pStyle w:val="2"/>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Times New Roman" w:hAnsi="Times New Roman" w:eastAsia="仿宋_GB2312"/>
          <w:color w:val="auto"/>
          <w:kern w:val="32"/>
          <w:sz w:val="32"/>
          <w:szCs w:val="32"/>
          <w:highlight w:val="none"/>
          <w:u w:val="none" w:color="auto"/>
        </w:rPr>
      </w:pPr>
      <w:r>
        <w:rPr>
          <w:rFonts w:hint="eastAsia" w:ascii="Times New Roman" w:hAnsi="Times New Roman" w:eastAsia="仿宋_GB2312"/>
          <w:color w:val="auto"/>
          <w:kern w:val="32"/>
          <w:sz w:val="32"/>
          <w:szCs w:val="32"/>
          <w:highlight w:val="none"/>
          <w:u w:val="none" w:color="auto"/>
        </w:rPr>
        <w:t>——空气质量优良天数比例完成</w:t>
      </w:r>
      <w:r>
        <w:rPr>
          <w:rFonts w:hint="eastAsia" w:ascii="Times New Roman" w:hAnsi="Times New Roman" w:eastAsia="仿宋_GB2312"/>
          <w:color w:val="auto"/>
          <w:kern w:val="32"/>
          <w:sz w:val="32"/>
          <w:szCs w:val="32"/>
          <w:highlight w:val="none"/>
          <w:u w:val="none" w:color="auto"/>
          <w:lang w:val="en-US" w:eastAsia="zh-CN"/>
        </w:rPr>
        <w:t>上级</w:t>
      </w:r>
      <w:r>
        <w:rPr>
          <w:rFonts w:hint="eastAsia" w:ascii="Times New Roman" w:hAnsi="Times New Roman" w:eastAsia="仿宋_GB2312"/>
          <w:color w:val="auto"/>
          <w:kern w:val="32"/>
          <w:sz w:val="32"/>
          <w:szCs w:val="32"/>
          <w:highlight w:val="none"/>
          <w:u w:val="none" w:color="auto"/>
        </w:rPr>
        <w:t>下达任务</w:t>
      </w:r>
      <w:r>
        <w:rPr>
          <w:rFonts w:hint="eastAsia" w:ascii="Times New Roman"/>
          <w:color w:val="auto"/>
          <w:kern w:val="32"/>
          <w:sz w:val="32"/>
          <w:szCs w:val="32"/>
          <w:highlight w:val="none"/>
          <w:u w:val="none" w:color="auto"/>
          <w:lang w:eastAsia="zh-CN"/>
        </w:rPr>
        <w:t>；</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——森林覆盖率达</w:t>
      </w:r>
      <w:r>
        <w:rPr>
          <w:rFonts w:hint="eastAsia" w:ascii="Times New Roman" w:cs="仿宋_GB2312"/>
          <w:color w:val="auto"/>
          <w:sz w:val="32"/>
          <w:szCs w:val="32"/>
          <w:highlight w:val="none"/>
          <w:u w:val="none" w:color="auto"/>
          <w:lang w:val="en-US" w:eastAsia="zh-CN"/>
        </w:rPr>
        <w:t>66.1</w:t>
      </w:r>
      <w:r>
        <w:rPr>
          <w:rFonts w:hint="eastAsia" w:ascii="Times New Roman" w:hAnsi="Times New Roman" w:eastAsia="仿宋_GB2312" w:cs="仿宋_GB2312"/>
          <w:color w:val="auto"/>
          <w:sz w:val="32"/>
          <w:szCs w:val="32"/>
          <w:highlight w:val="none"/>
          <w:u w:val="none" w:color="auto"/>
        </w:rPr>
        <w:t>%；</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——城市生活污水处理率达100%。</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楷体_GB2312" w:hAnsi="楷体_GB2312" w:eastAsia="楷体_GB2312" w:cs="楷体_GB2312"/>
          <w:color w:val="auto"/>
          <w:sz w:val="32"/>
          <w:szCs w:val="32"/>
          <w:highlight w:val="none"/>
          <w:u w:val="none" w:color="auto"/>
        </w:rPr>
      </w:pPr>
      <w:r>
        <w:rPr>
          <w:rFonts w:hint="eastAsia" w:ascii="楷体_GB2312" w:hAnsi="楷体_GB2312" w:eastAsia="楷体_GB2312" w:cs="楷体_GB2312"/>
          <w:color w:val="auto"/>
          <w:sz w:val="32"/>
          <w:szCs w:val="32"/>
          <w:highlight w:val="none"/>
          <w:u w:val="none" w:color="auto"/>
        </w:rPr>
        <w:t>（二）重点建设项目计划</w:t>
      </w:r>
    </w:p>
    <w:p>
      <w:pPr>
        <w:keepNext w:val="0"/>
        <w:keepLines w:val="0"/>
        <w:pageBreakBefore w:val="0"/>
        <w:widowControl w:val="0"/>
        <w:kinsoku/>
        <w:wordWrap/>
        <w:overflowPunct/>
        <w:topLinePunct w:val="0"/>
        <w:bidi w:val="0"/>
        <w:snapToGrid/>
        <w:spacing w:line="610" w:lineRule="exact"/>
        <w:ind w:left="0" w:leftChars="0" w:firstLine="640" w:firstLineChars="200"/>
        <w:textAlignment w:val="auto"/>
        <w:rPr>
          <w:rFonts w:hint="eastAsia" w:ascii="Times New Roman" w:hAnsi="Times New Roman" w:eastAsia="仿宋_GB2312" w:cs="仿宋_GB2312"/>
          <w:kern w:val="0"/>
          <w:sz w:val="32"/>
          <w:szCs w:val="32"/>
          <w:highlight w:val="none"/>
          <w:u w:val="none" w:color="auto"/>
        </w:rPr>
      </w:pPr>
      <w:r>
        <w:rPr>
          <w:rFonts w:hint="eastAsia" w:ascii="Times New Roman" w:hAnsi="Times New Roman" w:eastAsia="仿宋_GB2312" w:cs="仿宋_GB2312"/>
          <w:kern w:val="0"/>
          <w:sz w:val="32"/>
          <w:szCs w:val="32"/>
          <w:highlight w:val="none"/>
          <w:u w:val="none" w:color="auto"/>
        </w:rPr>
        <w:t>2025年我市重点建设正式项目计划安排39个，总投资227.5亿元，2025年计划投资52亿元。重点建设预备项目24个，估算总投资143.5亿元。其中：申报2025年省重点建设正式项目5个，总投资80.7亿元，2025年计划投资7.9亿元；申报省重点建设预备项目4个</w:t>
      </w:r>
      <w:r>
        <w:rPr>
          <w:rFonts w:hint="eastAsia" w:eastAsia="仿宋_GB2312" w:cs="仿宋_GB2312"/>
          <w:kern w:val="0"/>
          <w:sz w:val="32"/>
          <w:szCs w:val="32"/>
          <w:highlight w:val="none"/>
          <w:u w:val="none" w:color="auto"/>
          <w:lang w:eastAsia="zh-CN"/>
        </w:rPr>
        <w:t>，</w:t>
      </w:r>
      <w:r>
        <w:rPr>
          <w:rFonts w:hint="eastAsia" w:ascii="Times New Roman" w:hAnsi="Times New Roman" w:eastAsia="仿宋_GB2312" w:cs="仿宋_GB2312"/>
          <w:kern w:val="0"/>
          <w:sz w:val="32"/>
          <w:szCs w:val="32"/>
          <w:highlight w:val="none"/>
          <w:u w:val="none" w:color="auto"/>
        </w:rPr>
        <w:t>估算总投资65.2亿元。申报韶关市重点建设正式项目21个</w:t>
      </w:r>
      <w:r>
        <w:rPr>
          <w:rFonts w:hint="eastAsia" w:eastAsia="仿宋_GB2312" w:cs="仿宋_GB2312"/>
          <w:kern w:val="0"/>
          <w:sz w:val="32"/>
          <w:szCs w:val="32"/>
          <w:highlight w:val="none"/>
          <w:u w:val="none" w:color="auto"/>
          <w:lang w:eastAsia="zh-CN"/>
        </w:rPr>
        <w:t>，</w:t>
      </w:r>
      <w:r>
        <w:rPr>
          <w:rFonts w:hint="eastAsia" w:ascii="Times New Roman" w:hAnsi="Times New Roman" w:eastAsia="仿宋_GB2312" w:cs="仿宋_GB2312"/>
          <w:kern w:val="0"/>
          <w:sz w:val="32"/>
          <w:szCs w:val="32"/>
          <w:highlight w:val="none"/>
          <w:u w:val="none" w:color="auto"/>
        </w:rPr>
        <w:t>总投资132.8亿元</w:t>
      </w:r>
      <w:r>
        <w:rPr>
          <w:rFonts w:hint="eastAsia" w:eastAsia="仿宋_GB2312" w:cs="仿宋_GB2312"/>
          <w:kern w:val="0"/>
          <w:sz w:val="32"/>
          <w:szCs w:val="32"/>
          <w:highlight w:val="none"/>
          <w:u w:val="none" w:color="auto"/>
          <w:lang w:eastAsia="zh-CN"/>
        </w:rPr>
        <w:t>，</w:t>
      </w:r>
      <w:r>
        <w:rPr>
          <w:rFonts w:hint="eastAsia" w:ascii="Times New Roman" w:hAnsi="Times New Roman" w:eastAsia="仿宋_GB2312" w:cs="仿宋_GB2312"/>
          <w:kern w:val="0"/>
          <w:sz w:val="32"/>
          <w:szCs w:val="32"/>
          <w:highlight w:val="none"/>
          <w:u w:val="none" w:color="auto"/>
        </w:rPr>
        <w:t>2025年计划投资22.2亿元；申报韶关市重点建设预备项目15个，估算总投资81亿元。</w:t>
      </w:r>
    </w:p>
    <w:p>
      <w:pPr>
        <w:keepNext w:val="0"/>
        <w:keepLines w:val="0"/>
        <w:pageBreakBefore w:val="0"/>
        <w:widowControl w:val="0"/>
        <w:kinsoku/>
        <w:wordWrap/>
        <w:overflowPunct/>
        <w:topLinePunct w:val="0"/>
        <w:bidi w:val="0"/>
        <w:snapToGrid/>
        <w:spacing w:line="610" w:lineRule="exact"/>
        <w:ind w:left="0" w:leftChars="0" w:firstLine="640" w:firstLineChars="200"/>
        <w:textAlignment w:val="auto"/>
        <w:rPr>
          <w:rFonts w:hint="eastAsia" w:ascii="黑体" w:hAnsi="黑体" w:eastAsia="黑体" w:cs="黑体"/>
          <w:sz w:val="32"/>
          <w:szCs w:val="32"/>
          <w:highlight w:val="none"/>
          <w:u w:val="none" w:color="auto"/>
        </w:rPr>
      </w:pPr>
      <w:r>
        <w:rPr>
          <w:rFonts w:hint="eastAsia" w:ascii="黑体" w:hAnsi="黑体" w:eastAsia="黑体" w:cs="黑体"/>
          <w:sz w:val="32"/>
          <w:szCs w:val="32"/>
          <w:highlight w:val="none"/>
          <w:u w:val="none" w:color="auto"/>
        </w:rPr>
        <w:t>三、202</w:t>
      </w:r>
      <w:r>
        <w:rPr>
          <w:rFonts w:hint="eastAsia" w:ascii="黑体" w:hAnsi="黑体" w:eastAsia="黑体" w:cs="黑体"/>
          <w:sz w:val="32"/>
          <w:szCs w:val="32"/>
          <w:highlight w:val="none"/>
          <w:u w:val="none" w:color="auto"/>
          <w:lang w:val="en-US" w:eastAsia="zh-CN"/>
        </w:rPr>
        <w:t>5</w:t>
      </w:r>
      <w:r>
        <w:rPr>
          <w:rFonts w:hint="eastAsia" w:ascii="黑体" w:hAnsi="黑体" w:eastAsia="黑体" w:cs="黑体"/>
          <w:sz w:val="32"/>
          <w:szCs w:val="32"/>
          <w:highlight w:val="none"/>
          <w:u w:val="none" w:color="auto"/>
        </w:rPr>
        <w:t>年经济社会发展主要任务</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Times New Roman" w:hAnsi="Times New Roman" w:eastAsia="仿宋_GB2312" w:cs="仿宋_GB2312"/>
          <w:color w:val="auto"/>
          <w:sz w:val="32"/>
          <w:szCs w:val="32"/>
          <w:highlight w:val="none"/>
          <w:u w:val="none" w:color="auto"/>
        </w:rPr>
      </w:pPr>
      <w:r>
        <w:rPr>
          <w:rFonts w:hint="eastAsia" w:ascii="Times New Roman" w:hAnsi="Times New Roman" w:eastAsia="仿宋_GB2312" w:cs="仿宋_GB2312"/>
          <w:color w:val="auto"/>
          <w:sz w:val="32"/>
          <w:szCs w:val="32"/>
          <w:highlight w:val="none"/>
          <w:u w:val="none" w:color="auto"/>
        </w:rPr>
        <w:t>为实现我市202</w:t>
      </w:r>
      <w:r>
        <w:rPr>
          <w:rFonts w:hint="eastAsia" w:ascii="Times New Roman" w:hAnsi="Times New Roman" w:eastAsia="仿宋_GB2312" w:cs="仿宋_GB2312"/>
          <w:color w:val="auto"/>
          <w:sz w:val="32"/>
          <w:szCs w:val="32"/>
          <w:highlight w:val="none"/>
          <w:u w:val="none" w:color="auto"/>
          <w:lang w:val="en-US" w:eastAsia="zh-CN"/>
        </w:rPr>
        <w:t>5</w:t>
      </w:r>
      <w:r>
        <w:rPr>
          <w:rFonts w:hint="eastAsia" w:ascii="Times New Roman" w:hAnsi="Times New Roman" w:eastAsia="仿宋_GB2312" w:cs="仿宋_GB2312"/>
          <w:color w:val="auto"/>
          <w:sz w:val="32"/>
          <w:szCs w:val="32"/>
          <w:highlight w:val="none"/>
          <w:u w:val="none" w:color="auto"/>
        </w:rPr>
        <w:t>年经济社会发展主要目标，建议重点做好以下工作：</w:t>
      </w:r>
    </w:p>
    <w:p>
      <w:pPr>
        <w:keepNext w:val="0"/>
        <w:keepLines w:val="0"/>
        <w:pageBreakBefore w:val="0"/>
        <w:widowControl w:val="0"/>
        <w:kinsoku/>
        <w:wordWrap w:val="0"/>
        <w:overflowPunct/>
        <w:topLinePunct w:val="0"/>
        <w:bidi w:val="0"/>
        <w:snapToGrid/>
        <w:spacing w:line="610" w:lineRule="exact"/>
        <w:ind w:left="0" w:leftChars="0" w:firstLine="640" w:firstLineChars="200"/>
        <w:jc w:val="left"/>
        <w:textAlignment w:val="auto"/>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pPr>
      <w:r>
        <w:rPr>
          <w:rFonts w:hint="eastAsia" w:ascii="楷体_GB2312" w:hAnsi="楷体_GB2312" w:eastAsia="楷体_GB2312" w:cs="楷体_GB2312"/>
          <w:sz w:val="32"/>
          <w:szCs w:val="32"/>
          <w:highlight w:val="none"/>
          <w:u w:val="none" w:color="auto"/>
        </w:rPr>
        <w:t>（一）</w:t>
      </w:r>
      <w:r>
        <w:rPr>
          <w:rFonts w:hint="eastAsia" w:ascii="楷体_GB2312" w:hAnsi="楷体_GB2312" w:eastAsia="楷体_GB2312" w:cs="楷体_GB2312"/>
          <w:b w:val="0"/>
          <w:bCs w:val="0"/>
          <w:sz w:val="32"/>
          <w:szCs w:val="32"/>
          <w:highlight w:val="none"/>
          <w:u w:val="none" w:color="auto"/>
          <w:lang w:val="en-US" w:eastAsia="zh-CN"/>
        </w:rPr>
        <w:t>深入实施“百千万工程”，推进城乡融合发展。</w:t>
      </w:r>
      <w:r>
        <w:rPr>
          <w:rFonts w:hint="eastAsia" w:ascii="仿宋_GB2312" w:hAnsi="仿宋_GB2312" w:eastAsia="仿宋_GB2312" w:cs="仿宋_GB2312"/>
          <w:b/>
          <w:bCs/>
          <w:sz w:val="32"/>
          <w:szCs w:val="32"/>
          <w:highlight w:val="none"/>
          <w:u w:val="none" w:color="auto"/>
          <w:lang w:val="en-US" w:eastAsia="zh-CN"/>
        </w:rPr>
        <w:t>一是</w:t>
      </w:r>
      <w:r>
        <w:rPr>
          <w:rFonts w:hint="eastAsia" w:ascii="Times New Roman" w:hAnsi="Times New Roman" w:eastAsia="仿宋_GB2312" w:cs="仿宋_GB2312"/>
          <w:b/>
          <w:bCs/>
          <w:sz w:val="32"/>
          <w:szCs w:val="32"/>
          <w:highlight w:val="none"/>
          <w:u w:val="none" w:color="auto"/>
          <w:lang w:val="en-US" w:eastAsia="zh-CN"/>
        </w:rPr>
        <w:t>加快新型城镇化建设步伐。</w:t>
      </w:r>
      <w:r>
        <w:rPr>
          <w:rFonts w:hint="eastAsia" w:ascii="Times New Roman" w:hAnsi="Times New Roman" w:eastAsia="仿宋_GB2312" w:cs="仿宋_GB2312"/>
          <w:sz w:val="32"/>
          <w:szCs w:val="32"/>
          <w:highlight w:val="none"/>
          <w:u w:val="none" w:color="auto"/>
        </w:rPr>
        <w:t>优化城区生产、生活、生态空间格局，构建以城区为核心、中心镇和中心村合理布局的县域城镇空间格局。科学有序推进北城新区开发建设和旧城改造提升，加快推进老旧小区改造提升、保障性住房建设、城乡供水一体化等工程，不断拓展县域发展空间</w:t>
      </w:r>
      <w:r>
        <w:rPr>
          <w:rFonts w:hint="eastAsia" w:ascii="Times New Roman" w:hAnsi="Times New Roman" w:eastAsia="仿宋_GB2312" w:cs="仿宋_GB2312"/>
          <w:b w:val="0"/>
          <w:bCs w:val="0"/>
          <w:sz w:val="32"/>
          <w:szCs w:val="32"/>
          <w:highlight w:val="none"/>
          <w:u w:val="none" w:color="auto"/>
          <w:lang w:val="en-US" w:eastAsia="zh-CN"/>
        </w:rPr>
        <w:t>。</w:t>
      </w:r>
      <w:r>
        <w:rPr>
          <w:rFonts w:hint="eastAsia" w:ascii="Times New Roman" w:hAnsi="Times New Roman" w:eastAsia="仿宋_GB2312" w:cs="仿宋_GB2312"/>
          <w:sz w:val="32"/>
          <w:szCs w:val="32"/>
          <w:highlight w:val="none"/>
          <w:u w:val="none" w:color="auto"/>
        </w:rPr>
        <w:t>组建城市治理工作专班</w:t>
      </w:r>
      <w:r>
        <w:rPr>
          <w:rFonts w:hint="eastAsia" w:ascii="Times New Roman" w:hAnsi="Times New Roman" w:eastAsia="仿宋_GB2312" w:cs="仿宋_GB2312"/>
          <w:sz w:val="32"/>
          <w:szCs w:val="32"/>
          <w:highlight w:val="none"/>
          <w:u w:val="none" w:color="auto"/>
          <w:lang w:eastAsia="zh-CN"/>
        </w:rPr>
        <w:t>，对公厕、公园等市政设施统一进行管理维护，</w:t>
      </w:r>
      <w:r>
        <w:rPr>
          <w:rFonts w:hint="eastAsia" w:ascii="Times New Roman" w:hAnsi="Times New Roman" w:eastAsia="仿宋_GB2312" w:cs="仿宋_GB2312"/>
          <w:sz w:val="32"/>
          <w:szCs w:val="32"/>
          <w:highlight w:val="none"/>
          <w:u w:val="none" w:color="auto"/>
        </w:rPr>
        <w:t>常态化开展市容市貌</w:t>
      </w:r>
      <w:r>
        <w:rPr>
          <w:rFonts w:hint="eastAsia" w:ascii="Times New Roman" w:hAnsi="Times New Roman" w:eastAsia="仿宋_GB2312" w:cs="仿宋_GB2312"/>
          <w:sz w:val="32"/>
          <w:szCs w:val="32"/>
          <w:highlight w:val="none"/>
          <w:u w:val="none" w:color="auto"/>
          <w:lang w:eastAsia="zh-CN"/>
        </w:rPr>
        <w:t>、</w:t>
      </w:r>
      <w:r>
        <w:rPr>
          <w:rFonts w:hint="eastAsia" w:ascii="Times New Roman" w:hAnsi="Times New Roman" w:eastAsia="仿宋_GB2312" w:cs="仿宋_GB2312"/>
          <w:sz w:val="32"/>
          <w:szCs w:val="32"/>
          <w:highlight w:val="none"/>
          <w:u w:val="none" w:color="auto"/>
        </w:rPr>
        <w:t>违规占道经营等专项整治</w:t>
      </w:r>
      <w:r>
        <w:rPr>
          <w:rFonts w:hint="eastAsia" w:ascii="Times New Roman" w:hAnsi="Times New Roman" w:eastAsia="仿宋_GB2312" w:cs="仿宋_GB2312"/>
          <w:sz w:val="32"/>
          <w:szCs w:val="32"/>
          <w:highlight w:val="none"/>
          <w:u w:val="none" w:color="auto"/>
          <w:lang w:eastAsia="zh-CN"/>
        </w:rPr>
        <w:t>。</w:t>
      </w:r>
      <w:r>
        <w:rPr>
          <w:rFonts w:hint="eastAsia" w:ascii="Times New Roman" w:hAnsi="Times New Roman" w:eastAsia="仿宋_GB2312" w:cs="仿宋_GB2312"/>
          <w:color w:val="auto"/>
          <w:sz w:val="32"/>
          <w:szCs w:val="32"/>
          <w:highlight w:val="none"/>
          <w:u w:val="none" w:color="auto"/>
        </w:rPr>
        <w:t>实施新一轮农业转移人口市民化提升</w:t>
      </w:r>
      <w:r>
        <w:rPr>
          <w:rFonts w:hint="eastAsia" w:ascii="Times New Roman" w:hAnsi="Times New Roman" w:eastAsia="仿宋_GB2312" w:cs="仿宋_GB2312"/>
          <w:b w:val="0"/>
          <w:bCs w:val="0"/>
          <w:color w:val="auto"/>
          <w:sz w:val="32"/>
          <w:szCs w:val="32"/>
          <w:highlight w:val="none"/>
          <w:u w:val="none" w:color="auto"/>
          <w:lang w:val="en-US" w:eastAsia="zh-CN"/>
        </w:rPr>
        <w:t>，保障进城落户农民合法权益，推动常住人口城镇化率稳步提升。</w:t>
      </w:r>
      <w:r>
        <w:rPr>
          <w:rFonts w:hint="eastAsia" w:ascii="Times New Roman" w:hAnsi="Times New Roman" w:eastAsia="仿宋_GB2312" w:cs="仿宋_GB2312"/>
          <w:b/>
          <w:bCs/>
          <w:color w:val="auto"/>
          <w:sz w:val="32"/>
          <w:szCs w:val="32"/>
          <w:highlight w:val="none"/>
          <w:u w:val="none" w:color="auto"/>
          <w:lang w:val="en-US" w:eastAsia="zh-CN"/>
        </w:rPr>
        <w:t>二是</w:t>
      </w:r>
      <w:r>
        <w:rPr>
          <w:rFonts w:hint="eastAsia" w:ascii="Times New Roman" w:hAnsi="Times New Roman" w:eastAsia="仿宋_GB2312" w:cs="仿宋_GB2312"/>
          <w:b/>
          <w:bCs/>
          <w:sz w:val="32"/>
          <w:szCs w:val="32"/>
          <w:highlight w:val="none"/>
          <w:u w:val="none" w:color="auto"/>
          <w:lang w:val="en-US" w:eastAsia="zh-CN"/>
        </w:rPr>
        <w:t>强化乡镇联城带村功能。</w:t>
      </w:r>
      <w:r>
        <w:rPr>
          <w:rFonts w:hint="eastAsia" w:ascii="Times New Roman" w:hAnsi="Times New Roman" w:eastAsia="仿宋_GB2312" w:cs="仿宋_GB2312"/>
          <w:b w:val="0"/>
          <w:bCs w:val="0"/>
          <w:sz w:val="32"/>
          <w:szCs w:val="32"/>
          <w:highlight w:val="none"/>
          <w:u w:val="none" w:color="auto"/>
          <w:lang w:val="en-US" w:eastAsia="zh-CN"/>
        </w:rPr>
        <w:t>推进“珠玑</w:t>
      </w:r>
      <w:r>
        <w:rPr>
          <w:rFonts w:hint="eastAsia" w:eastAsia="仿宋_GB2312" w:cs="仿宋_GB2312"/>
          <w:b w:val="0"/>
          <w:bCs w:val="0"/>
          <w:sz w:val="32"/>
          <w:szCs w:val="32"/>
          <w:highlight w:val="none"/>
          <w:u w:val="none" w:color="auto"/>
          <w:lang w:val="en-US" w:eastAsia="zh-CN"/>
        </w:rPr>
        <w:t>－</w:t>
      </w:r>
      <w:r>
        <w:rPr>
          <w:rFonts w:hint="eastAsia" w:ascii="Times New Roman" w:hAnsi="Times New Roman" w:eastAsia="仿宋_GB2312" w:cs="仿宋_GB2312"/>
          <w:b w:val="0"/>
          <w:bCs w:val="0"/>
          <w:sz w:val="32"/>
          <w:szCs w:val="32"/>
          <w:highlight w:val="none"/>
          <w:u w:val="none" w:color="auto"/>
          <w:lang w:val="en-US" w:eastAsia="zh-CN"/>
        </w:rPr>
        <w:t>雄州同城化”步伐，加快将人口聚集程度较高的乌迳镇打造为市域副中心。</w:t>
      </w:r>
      <w:r>
        <w:rPr>
          <w:rFonts w:hint="eastAsia" w:ascii="Times New Roman" w:hAnsi="Times New Roman" w:eastAsia="仿宋_GB2312" w:cs="仿宋_GB2312"/>
          <w:sz w:val="32"/>
          <w:szCs w:val="32"/>
          <w:highlight w:val="none"/>
          <w:u w:val="none" w:color="auto"/>
        </w:rPr>
        <w:t>完善城乡交通体系，加快推进雄乐高速公路、井雄全高速公路等重大项目的前期工作，推动G220线南雄市过境段改线工程动工建设。</w:t>
      </w:r>
      <w:r>
        <w:rPr>
          <w:rFonts w:hint="eastAsia" w:ascii="Times New Roman" w:hAnsi="Times New Roman" w:eastAsia="仿宋_GB2312" w:cs="仿宋_GB2312"/>
          <w:sz w:val="32"/>
          <w:szCs w:val="32"/>
          <w:highlight w:val="none"/>
          <w:u w:val="none" w:color="auto"/>
          <w:lang w:eastAsia="zh-CN"/>
        </w:rPr>
        <w:t>对标</w:t>
      </w:r>
      <w:r>
        <w:rPr>
          <w:rFonts w:hint="eastAsia" w:ascii="Times New Roman" w:hAnsi="Times New Roman" w:eastAsia="仿宋_GB2312" w:cs="仿宋_GB2312"/>
          <w:b w:val="0"/>
          <w:bCs w:val="0"/>
          <w:sz w:val="32"/>
          <w:szCs w:val="32"/>
          <w:highlight w:val="none"/>
          <w:u w:val="none" w:color="auto"/>
          <w:lang w:val="en-US" w:eastAsia="zh-CN"/>
        </w:rPr>
        <w:t>“1+4+7+9+N”乡镇建设要求，持续提升乡镇学校、卫生院、供水、物流等公共基础设施服务水平。</w:t>
      </w:r>
      <w:r>
        <w:rPr>
          <w:rFonts w:hint="eastAsia" w:ascii="Times New Roman" w:hAnsi="Times New Roman" w:eastAsia="仿宋_GB2312" w:cs="仿宋_GB2312"/>
          <w:b/>
          <w:bCs/>
          <w:sz w:val="32"/>
          <w:szCs w:val="32"/>
          <w:highlight w:val="none"/>
          <w:u w:val="none" w:color="auto"/>
          <w:lang w:val="en-US" w:eastAsia="zh-CN"/>
        </w:rPr>
        <w:t>三是激发和美乡村内生动力。</w:t>
      </w:r>
      <w:r>
        <w:rPr>
          <w:rFonts w:hint="eastAsia" w:ascii="Times New Roman" w:hAnsi="Times New Roman" w:eastAsia="仿宋_GB2312" w:cs="仿宋_GB2312"/>
          <w:b w:val="0"/>
          <w:bCs w:val="0"/>
          <w:sz w:val="32"/>
          <w:szCs w:val="32"/>
          <w:highlight w:val="none"/>
          <w:u w:val="none" w:color="auto"/>
          <w:lang w:val="en-US" w:eastAsia="zh-CN"/>
        </w:rPr>
        <w:t>发展壮大农村集体经济，</w:t>
      </w:r>
      <w:r>
        <w:rPr>
          <w:rFonts w:hint="eastAsia" w:eastAsia="仿宋_GB2312" w:cs="仿宋_GB2312"/>
          <w:sz w:val="32"/>
          <w:szCs w:val="32"/>
          <w:highlight w:val="none"/>
          <w:u w:val="none" w:color="auto"/>
        </w:rPr>
        <w:t>组建强镇富村联合发展公司，推进25个扶持村集体经济试点项目</w:t>
      </w:r>
      <w:r>
        <w:rPr>
          <w:rFonts w:hint="eastAsia" w:ascii="Times New Roman" w:hAnsi="Times New Roman" w:eastAsia="仿宋_GB2312" w:cs="仿宋_GB2312"/>
          <w:b w:val="0"/>
          <w:bCs w:val="0"/>
          <w:sz w:val="32"/>
          <w:szCs w:val="32"/>
          <w:highlight w:val="none"/>
          <w:u w:val="none" w:color="auto"/>
          <w:lang w:val="en-US" w:eastAsia="zh-CN"/>
        </w:rPr>
        <w:t>。串联整合典型镇村优势资源，</w:t>
      </w:r>
      <w:r>
        <w:rPr>
          <w:rFonts w:hint="eastAsia" w:ascii="Times New Roman" w:hAnsi="Times New Roman" w:eastAsia="仿宋_GB2312" w:cs="仿宋_GB2312"/>
          <w:b w:val="0"/>
          <w:bCs w:val="0"/>
          <w:color w:val="000000"/>
          <w:spacing w:val="0"/>
          <w:kern w:val="0"/>
          <w:sz w:val="32"/>
          <w:szCs w:val="32"/>
          <w:highlight w:val="none"/>
          <w:u w:val="none" w:color="auto"/>
          <w:lang w:val="en-US" w:eastAsia="zh-CN"/>
        </w:rPr>
        <w:t>打造</w:t>
      </w:r>
      <w:r>
        <w:rPr>
          <w:rFonts w:hint="eastAsia" w:ascii="Times New Roman" w:hAnsi="Times New Roman" w:eastAsia="仿宋_GB2312" w:cs="仿宋_GB2312"/>
          <w:b w:val="0"/>
          <w:bCs w:val="0"/>
          <w:sz w:val="32"/>
          <w:szCs w:val="32"/>
          <w:highlight w:val="none"/>
          <w:u w:val="none" w:color="auto"/>
          <w:lang w:val="en-US" w:eastAsia="zh-CN"/>
        </w:rPr>
        <w:t>3条省际边界入省通道风貌提升示范带，高质量推进“广府原乡·红色苏区”环珠玑省际边界高质量发展区建设。</w:t>
      </w:r>
      <w:r>
        <w:rPr>
          <w:rFonts w:hint="eastAsia" w:ascii="Times New Roman" w:hAnsi="Times New Roman" w:eastAsia="仿宋_GB2312" w:cs="仿宋_GB2312"/>
          <w:b w:val="0"/>
          <w:bCs w:val="0"/>
          <w:color w:val="auto"/>
          <w:sz w:val="32"/>
          <w:szCs w:val="32"/>
          <w:highlight w:val="none"/>
          <w:u w:val="none" w:color="auto"/>
          <w:lang w:val="en-US" w:eastAsia="zh-CN"/>
        </w:rPr>
        <w:t>抓好典型镇、村美丽农村路提档升级工程，力争18个镇（街道）均有一条5公里左右的“美丽农村路”样板。</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Times New Roman" w:hAnsi="Times New Roman" w:eastAsia="仿宋_GB2312" w:cs="仿宋_GB2312"/>
          <w:sz w:val="32"/>
          <w:szCs w:val="32"/>
          <w:highlight w:val="none"/>
          <w:u w:val="none" w:color="auto"/>
          <w:lang w:bidi="zh-CN"/>
        </w:rPr>
      </w:pPr>
      <w:r>
        <w:rPr>
          <w:rFonts w:hint="eastAsia" w:ascii="楷体_GB2312" w:hAnsi="楷体_GB2312" w:eastAsia="楷体_GB2312" w:cs="楷体_GB2312"/>
          <w:sz w:val="32"/>
          <w:szCs w:val="32"/>
          <w:highlight w:val="none"/>
          <w:u w:val="none" w:color="auto"/>
        </w:rPr>
        <w:t>（二）</w:t>
      </w:r>
      <w:r>
        <w:rPr>
          <w:rFonts w:hint="eastAsia" w:ascii="楷体_GB2312" w:hAnsi="楷体_GB2312" w:eastAsia="楷体_GB2312" w:cs="楷体_GB2312"/>
          <w:b w:val="0"/>
          <w:bCs w:val="0"/>
          <w:sz w:val="32"/>
          <w:szCs w:val="32"/>
          <w:highlight w:val="none"/>
          <w:u w:val="none" w:color="auto"/>
          <w:lang w:val="en-US" w:eastAsia="zh-CN"/>
        </w:rPr>
        <w:t>强化产业支撑，做大做强实体经济。</w:t>
      </w:r>
      <w:r>
        <w:rPr>
          <w:rFonts w:hint="eastAsia" w:ascii="Times New Roman" w:hAnsi="Times New Roman" w:eastAsia="仿宋_GB2312" w:cs="仿宋_GB2312"/>
          <w:b/>
          <w:bCs/>
          <w:sz w:val="32"/>
          <w:szCs w:val="32"/>
          <w:highlight w:val="none"/>
          <w:u w:val="none" w:color="auto"/>
          <w:lang w:val="en-US" w:eastAsia="zh-CN"/>
        </w:rPr>
        <w:t>一是坚持制造业当家。</w:t>
      </w:r>
      <w:r>
        <w:rPr>
          <w:rFonts w:hint="eastAsia" w:ascii="Times New Roman" w:hAnsi="Times New Roman" w:eastAsia="仿宋_GB2312" w:cs="仿宋_GB2312"/>
          <w:b w:val="0"/>
          <w:bCs w:val="0"/>
          <w:sz w:val="32"/>
          <w:szCs w:val="32"/>
          <w:highlight w:val="none"/>
          <w:u w:val="none" w:color="auto"/>
          <w:lang w:val="en-US" w:eastAsia="zh-CN"/>
        </w:rPr>
        <w:t>大力</w:t>
      </w:r>
      <w:r>
        <w:rPr>
          <w:rFonts w:hint="eastAsia" w:ascii="Times New Roman" w:hAnsi="Times New Roman" w:eastAsia="仿宋_GB2312" w:cs="仿宋_GB2312"/>
          <w:color w:val="000000"/>
          <w:spacing w:val="0"/>
          <w:sz w:val="32"/>
          <w:szCs w:val="32"/>
          <w:highlight w:val="none"/>
          <w:lang w:val="en-US" w:eastAsia="zh-CN"/>
        </w:rPr>
        <w:t>推进园区扩容提质</w:t>
      </w:r>
      <w:r>
        <w:rPr>
          <w:rFonts w:hint="eastAsia" w:ascii="Times New Roman" w:hAnsi="Times New Roman" w:eastAsia="仿宋_GB2312" w:cs="仿宋_GB2312"/>
          <w:sz w:val="32"/>
          <w:szCs w:val="32"/>
          <w:highlight w:val="none"/>
          <w:u w:val="none" w:color="auto"/>
          <w:lang w:val="en-US" w:eastAsia="zh-CN"/>
        </w:rPr>
        <w:t>，</w:t>
      </w:r>
      <w:r>
        <w:rPr>
          <w:rFonts w:hint="eastAsia" w:ascii="Times New Roman" w:hAnsi="Times New Roman" w:eastAsia="仿宋_GB2312" w:cs="仿宋_GB2312"/>
          <w:color w:val="000000"/>
          <w:spacing w:val="0"/>
          <w:sz w:val="32"/>
          <w:szCs w:val="32"/>
          <w:highlight w:val="none"/>
          <w:lang w:val="en-US" w:eastAsia="zh-CN"/>
        </w:rPr>
        <w:t>做大做强做优“一园三片区”特色产业体系，</w:t>
      </w:r>
      <w:r>
        <w:rPr>
          <w:rFonts w:hint="eastAsia" w:ascii="Times New Roman" w:hAnsi="Times New Roman" w:eastAsia="仿宋_GB2312" w:cs="仿宋_GB2312"/>
          <w:kern w:val="2"/>
          <w:sz w:val="32"/>
          <w:szCs w:val="32"/>
          <w:highlight w:val="none"/>
          <w:u w:val="none" w:color="auto"/>
          <w:lang w:val="en-US" w:eastAsia="zh-CN" w:bidi="zh-CN"/>
        </w:rPr>
        <w:t>加快推进植保产业园建设</w:t>
      </w:r>
      <w:r>
        <w:rPr>
          <w:rFonts w:hint="eastAsia" w:ascii="Times New Roman" w:hAnsi="Times New Roman" w:eastAsia="仿宋_GB2312" w:cs="仿宋_GB2312"/>
          <w:sz w:val="32"/>
          <w:szCs w:val="32"/>
          <w:highlight w:val="none"/>
          <w:u w:val="none" w:color="auto"/>
          <w:lang w:val="en-US" w:eastAsia="zh-CN"/>
        </w:rPr>
        <w:t>，</w:t>
      </w:r>
      <w:r>
        <w:rPr>
          <w:rFonts w:hint="eastAsia" w:ascii="Times New Roman" w:hAnsi="Times New Roman" w:eastAsia="仿宋_GB2312" w:cs="仿宋_GB2312"/>
          <w:color w:val="000000"/>
          <w:spacing w:val="0"/>
          <w:sz w:val="32"/>
          <w:szCs w:val="32"/>
          <w:highlight w:val="none"/>
          <w:lang w:val="en-US" w:eastAsia="zh-CN"/>
        </w:rPr>
        <w:t>争取专项债资金完成土地平整、横一路、纵一路建设等基础设施建设，招引更多优质企业项目入驻，</w:t>
      </w:r>
      <w:r>
        <w:rPr>
          <w:rFonts w:hint="eastAsia" w:ascii="Times New Roman" w:hAnsi="Times New Roman" w:eastAsia="仿宋_GB2312" w:cs="仿宋_GB2312"/>
          <w:kern w:val="2"/>
          <w:sz w:val="32"/>
          <w:szCs w:val="32"/>
          <w:highlight w:val="none"/>
          <w:u w:val="none" w:color="auto"/>
          <w:lang w:val="en-US" w:eastAsia="zh-CN" w:bidi="zh-CN"/>
        </w:rPr>
        <w:t>加快形成绿色植保制剂产</w:t>
      </w:r>
      <w:r>
        <w:rPr>
          <w:rFonts w:hint="eastAsia" w:eastAsia="仿宋_GB2312" w:cs="仿宋_GB2312"/>
          <w:kern w:val="2"/>
          <w:sz w:val="32"/>
          <w:szCs w:val="32"/>
          <w:highlight w:val="none"/>
          <w:u w:val="none" w:color="auto"/>
          <w:lang w:val="en-US" w:eastAsia="zh-CN" w:bidi="zh-CN"/>
        </w:rPr>
        <w:t>业集</w:t>
      </w:r>
      <w:r>
        <w:rPr>
          <w:rFonts w:hint="eastAsia" w:ascii="Times New Roman" w:hAnsi="Times New Roman" w:eastAsia="仿宋_GB2312" w:cs="仿宋_GB2312"/>
          <w:kern w:val="2"/>
          <w:sz w:val="32"/>
          <w:szCs w:val="32"/>
          <w:highlight w:val="none"/>
          <w:u w:val="none" w:color="auto"/>
          <w:lang w:val="en-US" w:eastAsia="zh-CN" w:bidi="zh-CN"/>
        </w:rPr>
        <w:t>群</w:t>
      </w:r>
      <w:r>
        <w:rPr>
          <w:rFonts w:hint="eastAsia" w:ascii="Times New Roman" w:hAnsi="Times New Roman" w:eastAsia="仿宋_GB2312" w:cs="仿宋_GB2312"/>
          <w:color w:val="000000"/>
          <w:spacing w:val="0"/>
          <w:sz w:val="32"/>
          <w:szCs w:val="32"/>
          <w:highlight w:val="none"/>
          <w:lang w:val="en-US" w:eastAsia="zh-CN"/>
        </w:rPr>
        <w:t>。</w:t>
      </w:r>
      <w:r>
        <w:rPr>
          <w:rFonts w:hint="eastAsia" w:ascii="Times New Roman" w:hAnsi="Times New Roman" w:eastAsia="仿宋_GB2312" w:cs="仿宋_GB2312"/>
          <w:b w:val="0"/>
          <w:bCs w:val="0"/>
          <w:color w:val="000000"/>
          <w:spacing w:val="0"/>
          <w:sz w:val="32"/>
          <w:szCs w:val="40"/>
          <w:highlight w:val="none"/>
          <w:u w:val="none"/>
          <w:lang w:val="en-US" w:eastAsia="zh-CN"/>
        </w:rPr>
        <w:t>加快高新区项目落地，力争全年完成10家企业动工建设，推动宏星华铝模板项目建成投产</w:t>
      </w:r>
      <w:r>
        <w:rPr>
          <w:rFonts w:hint="eastAsia" w:eastAsia="仿宋_GB2312" w:cs="仿宋_GB2312"/>
          <w:b w:val="0"/>
          <w:bCs w:val="0"/>
          <w:color w:val="000000"/>
          <w:spacing w:val="0"/>
          <w:sz w:val="32"/>
          <w:szCs w:val="40"/>
          <w:highlight w:val="none"/>
          <w:u w:val="none"/>
          <w:lang w:val="en-US" w:eastAsia="zh-CN"/>
        </w:rPr>
        <w:t>、</w:t>
      </w:r>
      <w:r>
        <w:rPr>
          <w:rFonts w:hint="eastAsia" w:ascii="Times New Roman" w:hAnsi="Times New Roman" w:eastAsia="仿宋_GB2312" w:cs="仿宋_GB2312"/>
          <w:b w:val="0"/>
          <w:bCs w:val="0"/>
          <w:color w:val="000000"/>
          <w:spacing w:val="0"/>
          <w:sz w:val="32"/>
          <w:szCs w:val="40"/>
          <w:highlight w:val="none"/>
          <w:u w:val="none"/>
          <w:lang w:val="en-US" w:eastAsia="zh-CN"/>
        </w:rPr>
        <w:t>年产2亿支气雾剂瓶项目落地开工。</w:t>
      </w:r>
      <w:r>
        <w:rPr>
          <w:rFonts w:hint="eastAsia" w:ascii="Times New Roman" w:hAnsi="Times New Roman" w:eastAsia="仿宋_GB2312" w:cs="仿宋_GB2312"/>
          <w:kern w:val="2"/>
          <w:sz w:val="32"/>
          <w:szCs w:val="32"/>
          <w:highlight w:val="none"/>
          <w:u w:val="none" w:color="auto"/>
          <w:lang w:val="en-US" w:eastAsia="zh-CN" w:bidi="zh-CN"/>
        </w:rPr>
        <w:t>大力培育工业企业，重点跟踪沃太、邦固等发展较好的企业产业链扩链延链，争取新增5亿元企业1家、亿元企业2家</w:t>
      </w:r>
      <w:r>
        <w:rPr>
          <w:rFonts w:hint="eastAsia" w:eastAsia="仿宋_GB2312" w:cs="仿宋_GB2312"/>
          <w:kern w:val="2"/>
          <w:sz w:val="32"/>
          <w:szCs w:val="32"/>
          <w:highlight w:val="none"/>
          <w:u w:val="none" w:color="auto"/>
          <w:lang w:val="en-US" w:eastAsia="zh-CN" w:bidi="zh-CN"/>
        </w:rPr>
        <w:t>，培育规上工业企业5家</w:t>
      </w:r>
      <w:r>
        <w:rPr>
          <w:rFonts w:hint="eastAsia" w:ascii="Times New Roman" w:hAnsi="Times New Roman" w:eastAsia="仿宋_GB2312" w:cs="仿宋_GB2312"/>
          <w:sz w:val="32"/>
          <w:szCs w:val="32"/>
          <w:highlight w:val="none"/>
          <w:u w:val="none" w:color="auto"/>
          <w:lang w:val="en-US" w:eastAsia="zh-CN"/>
        </w:rPr>
        <w:t>。</w:t>
      </w:r>
      <w:r>
        <w:rPr>
          <w:rFonts w:hint="eastAsia" w:ascii="Times New Roman" w:hAnsi="Times New Roman" w:eastAsia="仿宋_GB2312" w:cs="仿宋_GB2312"/>
          <w:b/>
          <w:bCs/>
          <w:sz w:val="32"/>
          <w:szCs w:val="32"/>
          <w:highlight w:val="none"/>
          <w:u w:val="none" w:color="auto"/>
          <w:lang w:val="en-US" w:eastAsia="zh-CN"/>
        </w:rPr>
        <w:t>二是推动农业现代化发展。</w:t>
      </w:r>
      <w:r>
        <w:rPr>
          <w:rFonts w:hint="eastAsia" w:ascii="Times New Roman" w:hAnsi="Times New Roman" w:eastAsia="仿宋_GB2312" w:cs="仿宋_GB2312"/>
          <w:sz w:val="32"/>
          <w:szCs w:val="32"/>
          <w:highlight w:val="none"/>
          <w:u w:val="none" w:color="auto"/>
          <w:lang w:val="en-US" w:eastAsia="zh-CN"/>
        </w:rPr>
        <w:t>完成农林牧渔业总产值约</w:t>
      </w:r>
      <w:r>
        <w:rPr>
          <w:rFonts w:hint="eastAsia" w:eastAsia="仿宋_GB2312" w:cs="仿宋_GB2312"/>
          <w:sz w:val="32"/>
          <w:szCs w:val="32"/>
          <w:highlight w:val="none"/>
          <w:u w:val="none" w:color="auto"/>
          <w:lang w:val="en-US" w:eastAsia="zh-CN"/>
        </w:rPr>
        <w:t>67</w:t>
      </w:r>
      <w:r>
        <w:rPr>
          <w:rFonts w:hint="eastAsia" w:ascii="Times New Roman" w:hAnsi="Times New Roman" w:eastAsia="仿宋_GB2312" w:cs="仿宋_GB2312"/>
          <w:sz w:val="32"/>
          <w:szCs w:val="32"/>
          <w:highlight w:val="none"/>
          <w:u w:val="none" w:color="auto"/>
          <w:lang w:val="en-US" w:eastAsia="zh-CN"/>
        </w:rPr>
        <w:t>亿元、增长</w:t>
      </w:r>
      <w:r>
        <w:rPr>
          <w:rFonts w:hint="eastAsia" w:eastAsia="仿宋_GB2312" w:cs="仿宋_GB2312"/>
          <w:sz w:val="32"/>
          <w:szCs w:val="32"/>
          <w:highlight w:val="none"/>
          <w:u w:val="none" w:color="auto"/>
          <w:lang w:val="en-US" w:eastAsia="zh-CN"/>
        </w:rPr>
        <w:t>5</w:t>
      </w:r>
      <w:r>
        <w:rPr>
          <w:rFonts w:hint="eastAsia" w:ascii="Times New Roman" w:hAnsi="Times New Roman" w:eastAsia="仿宋_GB2312" w:cs="仿宋_GB2312"/>
          <w:sz w:val="32"/>
          <w:szCs w:val="32"/>
          <w:highlight w:val="none"/>
          <w:u w:val="none" w:color="auto"/>
          <w:lang w:val="en-US" w:eastAsia="zh-CN"/>
        </w:rPr>
        <w:t>%。</w:t>
      </w:r>
      <w:r>
        <w:rPr>
          <w:rFonts w:hint="eastAsia" w:ascii="Times New Roman" w:hAnsi="Times New Roman"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扛牢耕地保护</w:t>
      </w:r>
      <w:r>
        <w:rPr>
          <w:rFonts w:hint="eastAsia" w:ascii="Times New Roman" w:hAnsi="Times New Roman" w:eastAsia="仿宋_GB2312" w:cs="仿宋_GB2312"/>
          <w:b w:val="0"/>
          <w:bCs w:val="0"/>
          <w:i w:val="0"/>
          <w:iCs w:val="0"/>
          <w:caps w:val="0"/>
          <w:color w:val="auto"/>
          <w:spacing w:val="0"/>
          <w:sz w:val="32"/>
          <w:szCs w:val="32"/>
          <w:shd w:val="clear" w:fill="FFFFFF"/>
          <w:lang w:val="en-US" w:eastAsia="zh-CN"/>
        </w:rPr>
        <w:t>政治责任，确保</w:t>
      </w:r>
      <w:r>
        <w:rPr>
          <w:rFonts w:hint="eastAsia" w:ascii="Times New Roman" w:hAnsi="Times New Roman" w:eastAsia="仿宋_GB2312" w:cs="仿宋_GB2312"/>
          <w:sz w:val="32"/>
          <w:szCs w:val="32"/>
          <w:highlight w:val="none"/>
          <w:u w:val="none" w:color="auto"/>
          <w:lang w:val="en-US" w:eastAsia="zh-CN"/>
        </w:rPr>
        <w:t>粮食播种面积不少于52万亩，粮食产量不少于20.5万吨。加快产业园建设进度，基本完成南药产业园建设。补齐畜牧业短板，</w:t>
      </w:r>
      <w:r>
        <w:rPr>
          <w:rFonts w:hint="eastAsia" w:ascii="Times New Roman" w:hAnsi="Times New Roman" w:eastAsia="仿宋_GB2312" w:cs="仿宋_GB2312"/>
          <w:color w:val="auto"/>
          <w:sz w:val="32"/>
          <w:szCs w:val="32"/>
          <w:highlight w:val="none"/>
          <w:u w:val="none" w:color="auto"/>
          <w:lang w:val="en-US" w:eastAsia="zh-CN"/>
        </w:rPr>
        <w:t>推动邓坊镇年出栏3.5万头生猪养殖基地、雄州街道年出栏1万头生猪养殖基地建成投产，新增高效养殖场</w:t>
      </w:r>
      <w:r>
        <w:rPr>
          <w:rFonts w:hint="eastAsia" w:eastAsia="仿宋_GB2312" w:cs="仿宋_GB2312"/>
          <w:color w:val="auto"/>
          <w:sz w:val="32"/>
          <w:szCs w:val="32"/>
          <w:highlight w:val="none"/>
          <w:u w:val="none" w:color="auto"/>
          <w:lang w:val="en-US" w:eastAsia="zh-CN"/>
        </w:rPr>
        <w:t>3</w:t>
      </w:r>
      <w:r>
        <w:rPr>
          <w:rFonts w:hint="eastAsia" w:ascii="Times New Roman" w:hAnsi="Times New Roman" w:eastAsia="仿宋_GB2312" w:cs="仿宋_GB2312"/>
          <w:color w:val="auto"/>
          <w:sz w:val="32"/>
          <w:szCs w:val="32"/>
          <w:highlight w:val="none"/>
          <w:u w:val="none" w:color="auto"/>
          <w:lang w:val="en-US" w:eastAsia="zh-CN"/>
        </w:rPr>
        <w:t>家，</w:t>
      </w:r>
      <w:r>
        <w:rPr>
          <w:rFonts w:hint="eastAsia" w:ascii="Times New Roman" w:hAnsi="Times New Roman" w:eastAsia="仿宋_GB2312" w:cs="仿宋_GB2312"/>
          <w:kern w:val="0"/>
          <w:sz w:val="32"/>
          <w:szCs w:val="32"/>
          <w:highlight w:val="none"/>
          <w:u w:val="none" w:color="auto"/>
          <w:lang w:val="en-US" w:eastAsia="zh-CN"/>
        </w:rPr>
        <w:t>完成能繁母猪正常保有量</w:t>
      </w:r>
      <w:r>
        <w:rPr>
          <w:rFonts w:hint="eastAsia" w:eastAsia="仿宋_GB2312" w:cs="仿宋_GB2312"/>
          <w:kern w:val="0"/>
          <w:sz w:val="32"/>
          <w:szCs w:val="32"/>
          <w:highlight w:val="none"/>
          <w:u w:val="none" w:color="auto"/>
          <w:lang w:val="en-US" w:eastAsia="zh-CN"/>
        </w:rPr>
        <w:t>1.3</w:t>
      </w:r>
      <w:r>
        <w:rPr>
          <w:rFonts w:hint="eastAsia" w:ascii="Times New Roman" w:hAnsi="Times New Roman" w:eastAsia="仿宋_GB2312" w:cs="仿宋_GB2312"/>
          <w:kern w:val="0"/>
          <w:sz w:val="32"/>
          <w:szCs w:val="32"/>
          <w:highlight w:val="none"/>
          <w:u w:val="none" w:color="auto"/>
          <w:lang w:val="en-US" w:eastAsia="zh-CN"/>
        </w:rPr>
        <w:t>万头</w:t>
      </w:r>
      <w:r>
        <w:rPr>
          <w:rFonts w:hint="eastAsia" w:ascii="Times New Roman" w:hAnsi="Times New Roman" w:eastAsia="仿宋_GB2312" w:cs="仿宋_GB2312"/>
          <w:color w:val="auto"/>
          <w:sz w:val="32"/>
          <w:szCs w:val="32"/>
          <w:highlight w:val="none"/>
          <w:u w:val="none" w:color="auto"/>
          <w:lang w:val="en-US" w:eastAsia="zh-CN"/>
        </w:rPr>
        <w:t>。加强农业品牌建设，</w:t>
      </w:r>
      <w:r>
        <w:rPr>
          <w:rFonts w:hint="eastAsia" w:ascii="Times New Roman" w:hAnsi="Times New Roman"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完成2个以上有机或绿色认证、1个以上“国字号”或“粤字号”认证，建成1个以上粤港澳大湾区“菜篮子”生产基地。培育新型农业主体，</w:t>
      </w:r>
      <w:r>
        <w:rPr>
          <w:rFonts w:hint="eastAsia"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力争</w:t>
      </w:r>
      <w:r>
        <w:rPr>
          <w:rFonts w:hint="eastAsia" w:eastAsia="仿宋_GB2312" w:cs="仿宋_GB2312"/>
          <w:b w:val="0"/>
          <w:bCs w:val="0"/>
          <w:i w:val="0"/>
          <w:iCs w:val="0"/>
          <w:caps w:val="0"/>
          <w:color w:val="auto"/>
          <w:spacing w:val="0"/>
          <w:sz w:val="32"/>
          <w:szCs w:val="32"/>
          <w:highlight w:val="none"/>
          <w:shd w:val="clear" w:fill="FFFFFF"/>
          <w:lang w:val="en-US" w:eastAsia="zh-CN"/>
        </w:rPr>
        <w:t>新增1家市级、2家县级农民专业合作社，新增2家市级、2家县级龙头企业</w:t>
      </w:r>
      <w:r>
        <w:rPr>
          <w:rFonts w:hint="eastAsia" w:ascii="Times New Roman" w:hAnsi="Times New Roman" w:eastAsia="仿宋_GB2312" w:cs="仿宋_GB2312"/>
          <w:color w:val="auto"/>
          <w:sz w:val="32"/>
          <w:szCs w:val="32"/>
          <w:highlight w:val="none"/>
          <w:u w:val="none" w:color="auto"/>
          <w:lang w:val="en-US" w:eastAsia="zh-CN"/>
        </w:rPr>
        <w:t>。</w:t>
      </w:r>
      <w:r>
        <w:rPr>
          <w:rFonts w:hint="eastAsia" w:ascii="Times New Roman" w:hAnsi="Times New Roman" w:eastAsia="仿宋_GB2312" w:cs="仿宋_GB2312"/>
          <w:b/>
          <w:bCs/>
          <w:color w:val="auto"/>
          <w:sz w:val="32"/>
          <w:szCs w:val="32"/>
          <w:highlight w:val="none"/>
          <w:u w:val="none" w:color="auto"/>
          <w:lang w:val="en-US" w:eastAsia="zh-CN"/>
        </w:rPr>
        <w:t>三是</w:t>
      </w:r>
      <w:r>
        <w:rPr>
          <w:rFonts w:hint="eastAsia" w:ascii="Times New Roman" w:hAnsi="Times New Roman" w:eastAsia="仿宋_GB2312" w:cs="仿宋_GB2312"/>
          <w:b/>
          <w:bCs/>
          <w:i w:val="0"/>
          <w:iCs w:val="0"/>
          <w:caps w:val="0"/>
          <w:color w:val="000000" w:themeColor="text1"/>
          <w:spacing w:val="0"/>
          <w:sz w:val="32"/>
          <w:szCs w:val="32"/>
          <w:shd w:val="clear" w:fill="FFFFFF"/>
          <w:lang w:val="en-US" w:eastAsia="zh-CN"/>
          <w14:textFill>
            <w14:solidFill>
              <w14:schemeClr w14:val="tx1"/>
            </w14:solidFill>
          </w14:textFill>
        </w:rPr>
        <w:t>推进文旅产业深度融合。</w:t>
      </w:r>
      <w:r>
        <w:rPr>
          <w:rFonts w:hint="eastAsia" w:ascii="Times New Roman" w:hAnsi="Times New Roman" w:eastAsia="仿宋_GB2312" w:cs="仿宋_GB2312"/>
          <w:color w:val="auto"/>
          <w:spacing w:val="6"/>
          <w:sz w:val="32"/>
          <w:szCs w:val="32"/>
          <w:highlight w:val="none"/>
          <w:lang w:val="en-US" w:eastAsia="zh-CN"/>
        </w:rPr>
        <w:t>做足“山水”文章，突出“人文”特色</w:t>
      </w:r>
      <w:r>
        <w:rPr>
          <w:rFonts w:hint="eastAsia" w:ascii="Times New Roman" w:hAnsi="Times New Roman" w:eastAsia="仿宋_GB2312" w:cs="仿宋_GB2312"/>
          <w:sz w:val="32"/>
          <w:szCs w:val="32"/>
          <w:highlight w:val="none"/>
          <w:lang w:val="en-US" w:eastAsia="zh-CN"/>
        </w:rPr>
        <w:t>，打好“乡村”品牌，推动农文旅融合发展，力争全年接待游客</w:t>
      </w:r>
      <w:r>
        <w:rPr>
          <w:rFonts w:hint="eastAsia" w:eastAsia="仿宋_GB2312" w:cs="仿宋_GB2312"/>
          <w:sz w:val="32"/>
          <w:szCs w:val="32"/>
          <w:highlight w:val="none"/>
          <w:lang w:val="en-US" w:eastAsia="zh-CN"/>
        </w:rPr>
        <w:t>125</w:t>
      </w:r>
      <w:r>
        <w:rPr>
          <w:rFonts w:hint="eastAsia" w:ascii="Times New Roman" w:hAnsi="Times New Roman" w:eastAsia="仿宋_GB2312" w:cs="仿宋_GB2312"/>
          <w:sz w:val="32"/>
          <w:szCs w:val="32"/>
          <w:highlight w:val="none"/>
          <w:lang w:val="en-US" w:eastAsia="zh-CN"/>
        </w:rPr>
        <w:t>万人次、实现旅游综合收入</w:t>
      </w:r>
      <w:r>
        <w:rPr>
          <w:rFonts w:hint="eastAsia" w:eastAsia="仿宋_GB2312" w:cs="仿宋_GB2312"/>
          <w:sz w:val="32"/>
          <w:szCs w:val="32"/>
          <w:highlight w:val="none"/>
          <w:lang w:val="en-US" w:eastAsia="zh-CN"/>
        </w:rPr>
        <w:t>12</w:t>
      </w:r>
      <w:r>
        <w:rPr>
          <w:rFonts w:hint="eastAsia" w:ascii="Times New Roman" w:hAnsi="Times New Roman" w:eastAsia="仿宋_GB2312" w:cs="仿宋_GB2312"/>
          <w:sz w:val="32"/>
          <w:szCs w:val="32"/>
          <w:highlight w:val="none"/>
          <w:lang w:val="en-US" w:eastAsia="zh-CN"/>
        </w:rPr>
        <w:t>亿元</w:t>
      </w:r>
      <w:r>
        <w:rPr>
          <w:rFonts w:hint="eastAsia" w:eastAsia="仿宋_GB2312" w:cs="仿宋_GB2312"/>
          <w:sz w:val="32"/>
          <w:szCs w:val="32"/>
          <w:highlight w:val="none"/>
          <w:lang w:val="en-US" w:eastAsia="zh-CN"/>
        </w:rPr>
        <w:t>以上</w:t>
      </w:r>
      <w:r>
        <w:rPr>
          <w:rFonts w:hint="eastAsia"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b w:val="0"/>
          <w:bCs w:val="0"/>
          <w:sz w:val="32"/>
          <w:szCs w:val="32"/>
          <w:highlight w:val="none"/>
          <w:u w:val="none" w:color="auto"/>
          <w:lang w:val="en-US" w:eastAsia="zh-CN"/>
        </w:rPr>
        <w:t>加快鸦子寨森林康养基地、</w:t>
      </w:r>
      <w:r>
        <w:rPr>
          <w:rFonts w:hint="eastAsia" w:ascii="Times New Roman" w:hAnsi="Times New Roman" w:eastAsia="仿宋_GB2312" w:cs="仿宋_GB2312"/>
          <w:sz w:val="32"/>
          <w:szCs w:val="32"/>
          <w:highlight w:val="none"/>
          <w:u w:val="none" w:color="auto"/>
          <w:lang w:val="en-US" w:eastAsia="zh-CN"/>
        </w:rPr>
        <w:t>云峰山生态旅游区</w:t>
      </w:r>
      <w:r>
        <w:rPr>
          <w:rFonts w:hint="eastAsia" w:eastAsia="仿宋_GB2312" w:cs="仿宋_GB2312"/>
          <w:sz w:val="32"/>
          <w:szCs w:val="32"/>
          <w:highlight w:val="none"/>
          <w:u w:val="none" w:color="auto"/>
          <w:lang w:val="en-US" w:eastAsia="zh-CN"/>
        </w:rPr>
        <w:t>和</w:t>
      </w:r>
      <w:r>
        <w:rPr>
          <w:rFonts w:hint="eastAsia" w:ascii="Times New Roman" w:hAnsi="Times New Roman" w:eastAsia="仿宋_GB2312" w:cs="仿宋_GB2312"/>
          <w:b w:val="0"/>
          <w:bCs w:val="0"/>
          <w:color w:val="auto"/>
          <w:sz w:val="32"/>
          <w:szCs w:val="32"/>
          <w:highlight w:val="none"/>
          <w:u w:val="none" w:color="auto"/>
          <w:lang w:val="en-US" w:eastAsia="zh-CN"/>
        </w:rPr>
        <w:t>长征国家文化公园（南雄段）</w:t>
      </w:r>
      <w:r>
        <w:rPr>
          <w:rFonts w:hint="eastAsia" w:ascii="Times New Roman" w:hAnsi="Times New Roman" w:eastAsia="仿宋_GB2312" w:cs="仿宋_GB2312"/>
          <w:sz w:val="32"/>
          <w:szCs w:val="32"/>
          <w:highlight w:val="none"/>
          <w:u w:val="none" w:color="auto"/>
          <w:lang w:val="en-US" w:eastAsia="zh-CN"/>
        </w:rPr>
        <w:t>等文旅重点项目建设。丰富旅游市场供给，</w:t>
      </w:r>
      <w:r>
        <w:rPr>
          <w:rFonts w:hint="eastAsia" w:ascii="Times New Roman" w:hAnsi="Times New Roman" w:eastAsia="仿宋_GB2312" w:cs="仿宋_GB2312"/>
          <w:color w:val="auto"/>
          <w:sz w:val="32"/>
          <w:szCs w:val="32"/>
          <w:highlight w:val="none"/>
          <w:u w:val="none" w:color="auto"/>
          <w:lang w:val="en-US" w:eastAsia="zh-CN"/>
        </w:rPr>
        <w:t>创建一批“广府珠玑”品牌民宿，擦亮“梅岭辣鹅”特色饮食文化品牌，</w:t>
      </w:r>
      <w:r>
        <w:rPr>
          <w:rFonts w:hint="eastAsia" w:ascii="Times New Roman" w:hAnsi="Times New Roman" w:eastAsia="仿宋_GB2312" w:cs="仿宋_GB2312"/>
          <w:sz w:val="32"/>
          <w:szCs w:val="32"/>
          <w:highlight w:val="none"/>
          <w:u w:val="none" w:color="auto"/>
          <w:lang w:val="en-US" w:eastAsia="zh-CN"/>
        </w:rPr>
        <w:t>继续办好“姓氏文化节”</w:t>
      </w:r>
      <w:r>
        <w:rPr>
          <w:rFonts w:hint="eastAsia" w:eastAsia="仿宋_GB2312" w:cs="仿宋_GB2312"/>
          <w:sz w:val="32"/>
          <w:szCs w:val="32"/>
          <w:highlight w:val="none"/>
          <w:u w:val="none" w:color="auto"/>
          <w:lang w:val="en-US" w:eastAsia="zh-CN"/>
        </w:rPr>
        <w:t>“</w:t>
      </w:r>
      <w:r>
        <w:rPr>
          <w:rFonts w:hint="eastAsia" w:ascii="Times New Roman" w:hAnsi="Times New Roman" w:eastAsia="仿宋_GB2312" w:cs="仿宋_GB2312"/>
          <w:sz w:val="32"/>
          <w:szCs w:val="32"/>
          <w:highlight w:val="none"/>
          <w:u w:val="none" w:color="auto"/>
          <w:lang w:val="en-US" w:eastAsia="zh-CN"/>
        </w:rPr>
        <w:t>重走长征路”“银杏观赏旺季”等系列文旅活动。进一步优化精品线路产品，打造主题旅游精品线路。</w:t>
      </w:r>
    </w:p>
    <w:p>
      <w:pPr>
        <w:keepNext w:val="0"/>
        <w:keepLines w:val="0"/>
        <w:pageBreakBefore w:val="0"/>
        <w:widowControl w:val="0"/>
        <w:kinsoku/>
        <w:wordWrap/>
        <w:overflowPunct/>
        <w:topLinePunct w:val="0"/>
        <w:bidi w:val="0"/>
        <w:snapToGrid/>
        <w:spacing w:line="610" w:lineRule="exact"/>
        <w:ind w:left="0" w:leftChars="0" w:firstLine="640" w:firstLineChars="200"/>
        <w:textAlignment w:val="auto"/>
        <w:rPr>
          <w:rFonts w:hint="eastAsia" w:ascii="Times New Roman" w:hAnsi="Times New Roman" w:eastAsia="仿宋_GB2312" w:cs="仿宋_GB2312"/>
          <w:sz w:val="32"/>
          <w:szCs w:val="32"/>
          <w:highlight w:val="none"/>
          <w:u w:val="none" w:color="auto"/>
          <w:lang w:bidi="zh-CN"/>
        </w:rPr>
      </w:pPr>
      <w:r>
        <w:rPr>
          <w:rFonts w:hint="eastAsia" w:ascii="楷体_GB2312" w:hAnsi="楷体_GB2312" w:eastAsia="楷体_GB2312" w:cs="楷体_GB2312"/>
          <w:sz w:val="32"/>
          <w:szCs w:val="32"/>
          <w:highlight w:val="none"/>
          <w:u w:val="none" w:color="auto"/>
          <w:lang w:bidi="zh-CN"/>
        </w:rPr>
        <w:t>（三）</w:t>
      </w:r>
      <w:r>
        <w:rPr>
          <w:rFonts w:hint="eastAsia" w:ascii="楷体_GB2312" w:hAnsi="楷体_GB2312" w:eastAsia="楷体_GB2312" w:cs="楷体_GB2312"/>
          <w:b w:val="0"/>
          <w:bCs w:val="0"/>
          <w:sz w:val="32"/>
          <w:szCs w:val="32"/>
          <w:highlight w:val="none"/>
          <w:u w:val="none" w:color="auto"/>
          <w:lang w:val="en-US" w:eastAsia="zh-CN"/>
        </w:rPr>
        <w:t>强化项目支撑，激发投资消费活力。</w:t>
      </w:r>
      <w:r>
        <w:rPr>
          <w:rFonts w:hint="eastAsia" w:ascii="Times New Roman" w:hAnsi="Times New Roman" w:eastAsia="仿宋_GB2312" w:cs="仿宋_GB2312"/>
          <w:b/>
          <w:bCs/>
          <w:sz w:val="32"/>
          <w:szCs w:val="32"/>
          <w:highlight w:val="none"/>
          <w:u w:val="none" w:color="auto"/>
          <w:lang w:val="en-US" w:eastAsia="zh-CN"/>
        </w:rPr>
        <w:t>一是加大招商引资力度。</w:t>
      </w:r>
      <w:r>
        <w:rPr>
          <w:rFonts w:hint="eastAsia" w:ascii="Times New Roman" w:hAnsi="Times New Roman" w:eastAsia="仿宋_GB2312" w:cs="仿宋_GB2312"/>
          <w:bCs/>
          <w:color w:val="000000"/>
          <w:spacing w:val="0"/>
          <w:kern w:val="2"/>
          <w:sz w:val="32"/>
          <w:szCs w:val="32"/>
          <w:highlight w:val="none"/>
          <w:lang w:val="en-US" w:eastAsia="zh-CN" w:bidi="ar-SA"/>
        </w:rPr>
        <w:t>进一步压实全市各部门招商引资任务，充分发挥党政主要领导带头招商、产业链招商、驻点招商作用，</w:t>
      </w:r>
      <w:r>
        <w:rPr>
          <w:rFonts w:hint="eastAsia" w:ascii="Times New Roman" w:hAnsi="Times New Roman" w:eastAsia="仿宋_GB2312" w:cs="仿宋_GB2312"/>
          <w:color w:val="000000"/>
          <w:spacing w:val="0"/>
          <w:kern w:val="0"/>
          <w:sz w:val="32"/>
          <w:szCs w:val="32"/>
          <w:highlight w:val="none"/>
          <w:u w:val="none" w:color="auto"/>
          <w:lang w:val="en-US" w:eastAsia="zh-CN"/>
        </w:rPr>
        <w:t>用好南城—南雄对口帮扶协作、企业、商会、协会和乡贤等资源，</w:t>
      </w:r>
      <w:r>
        <w:rPr>
          <w:rFonts w:hint="eastAsia" w:ascii="Times New Roman" w:hAnsi="Times New Roman" w:eastAsia="仿宋_GB2312" w:cs="仿宋_GB2312"/>
          <w:sz w:val="32"/>
          <w:szCs w:val="32"/>
          <w:highlight w:val="none"/>
          <w:u w:val="none" w:color="auto"/>
          <w:lang w:val="en-US" w:eastAsia="zh-CN"/>
        </w:rPr>
        <w:t>力争全年完成新签约招商引资项目40个，合同投资额80亿元；新开工项目30个，新竣工项目25个，完成年度投资额30亿元。</w:t>
      </w:r>
      <w:r>
        <w:rPr>
          <w:rFonts w:hint="eastAsia" w:ascii="Times New Roman" w:hAnsi="Times New Roman" w:eastAsia="仿宋_GB2312" w:cs="仿宋_GB2312"/>
          <w:b/>
          <w:bCs/>
          <w:sz w:val="32"/>
          <w:szCs w:val="32"/>
          <w:highlight w:val="none"/>
          <w:u w:val="none" w:color="auto"/>
          <w:lang w:val="en-US" w:eastAsia="zh-CN"/>
        </w:rPr>
        <w:t>二是扩大重点项目投资。</w:t>
      </w:r>
      <w:r>
        <w:rPr>
          <w:rFonts w:hint="eastAsia" w:ascii="Times New Roman" w:hAnsi="Times New Roman" w:eastAsia="仿宋_GB2312" w:cs="仿宋_GB2312"/>
          <w:color w:val="000000"/>
          <w:spacing w:val="0"/>
          <w:kern w:val="2"/>
          <w:sz w:val="32"/>
          <w:szCs w:val="32"/>
          <w:highlight w:val="none"/>
          <w:u w:val="none" w:color="auto"/>
          <w:lang w:val="en-US" w:eastAsia="zh-CN" w:bidi="ar-SA"/>
        </w:rPr>
        <w:t>吃透把准上级重大战略部署和宏观政策导向，提高政策敏锐度和项目契合精准度，</w:t>
      </w:r>
      <w:r>
        <w:rPr>
          <w:rFonts w:hint="eastAsia" w:ascii="Times New Roman" w:hAnsi="Times New Roman" w:eastAsia="仿宋_GB2312" w:cs="仿宋_GB2312"/>
          <w:sz w:val="32"/>
          <w:szCs w:val="32"/>
          <w:highlight w:val="none"/>
          <w:u w:val="none" w:color="auto"/>
          <w:lang w:eastAsia="zh-CN"/>
        </w:rPr>
        <w:t>抓住“十五五”规划编制契机，</w:t>
      </w:r>
      <w:r>
        <w:rPr>
          <w:rFonts w:hint="eastAsia" w:ascii="Times New Roman" w:hAnsi="Times New Roman" w:eastAsia="仿宋_GB2312" w:cs="仿宋_GB2312"/>
          <w:color w:val="000000"/>
          <w:spacing w:val="0"/>
          <w:kern w:val="2"/>
          <w:sz w:val="32"/>
          <w:szCs w:val="32"/>
          <w:highlight w:val="none"/>
          <w:u w:val="none" w:color="auto"/>
          <w:lang w:val="en-US" w:eastAsia="zh-CN" w:bidi="ar-SA"/>
        </w:rPr>
        <w:t>认真谋划一批、储备一批、实施一批重大项目，最大力度把政策红利转化为具体项目，努力在新一轮发展中掌握主动、抢占先机。</w:t>
      </w:r>
      <w:r>
        <w:rPr>
          <w:rFonts w:hint="eastAsia" w:ascii="Times New Roman" w:hAnsi="Times New Roman" w:eastAsia="仿宋_GB2312" w:cs="仿宋_GB2312"/>
          <w:sz w:val="32"/>
          <w:szCs w:val="32"/>
          <w:highlight w:val="none"/>
          <w:u w:val="none" w:color="auto"/>
          <w:lang w:val="en-US" w:eastAsia="zh-CN"/>
        </w:rPr>
        <w:t>加强重点项目、已签约招商引资项目等协调调度，重点推动植保产业园基础设施、植保产业招商引资项目、宏星华铝模板项目等支撑性项目建设，争取尽快形成更多实物工程量，完成固定资产投资6</w:t>
      </w:r>
      <w:r>
        <w:rPr>
          <w:rFonts w:hint="eastAsia" w:eastAsia="仿宋_GB2312" w:cs="仿宋_GB2312"/>
          <w:sz w:val="32"/>
          <w:szCs w:val="32"/>
          <w:highlight w:val="none"/>
          <w:u w:val="none" w:color="auto"/>
          <w:lang w:val="en-US" w:eastAsia="zh-CN"/>
        </w:rPr>
        <w:t>2</w:t>
      </w:r>
      <w:r>
        <w:rPr>
          <w:rFonts w:hint="eastAsia" w:ascii="Times New Roman" w:hAnsi="Times New Roman" w:eastAsia="仿宋_GB2312" w:cs="仿宋_GB2312"/>
          <w:sz w:val="32"/>
          <w:szCs w:val="32"/>
          <w:highlight w:val="none"/>
          <w:u w:val="none" w:color="auto"/>
          <w:lang w:val="en-US" w:eastAsia="zh-CN"/>
        </w:rPr>
        <w:t>亿元、增长3%的目标。</w:t>
      </w:r>
      <w:r>
        <w:rPr>
          <w:rFonts w:hint="eastAsia" w:ascii="Times New Roman" w:hAnsi="Times New Roman" w:eastAsia="仿宋_GB2312" w:cs="仿宋_GB2312"/>
          <w:b/>
          <w:bCs/>
          <w:color w:val="000000"/>
          <w:spacing w:val="0"/>
          <w:kern w:val="0"/>
          <w:sz w:val="32"/>
          <w:highlight w:val="none"/>
          <w:u w:val="none" w:color="auto"/>
          <w:lang w:val="en-US" w:eastAsia="zh-CN"/>
        </w:rPr>
        <w:t>三是全面拓展内需空间。</w:t>
      </w:r>
      <w:r>
        <w:rPr>
          <w:rFonts w:hint="eastAsia" w:ascii="Times New Roman" w:hAnsi="Times New Roman" w:eastAsia="仿宋_GB2312" w:cs="仿宋_GB2312"/>
          <w:sz w:val="32"/>
          <w:szCs w:val="32"/>
          <w:highlight w:val="none"/>
          <w:u w:val="none" w:color="auto"/>
          <w:lang w:val="en-US" w:eastAsia="zh-CN"/>
        </w:rPr>
        <w:t>启动运营统仓共配物流中心，探索“企业联盟共同配送”模式，实现统配统送。</w:t>
      </w:r>
      <w:r>
        <w:rPr>
          <w:rFonts w:hint="eastAsia" w:ascii="Times New Roman" w:hAnsi="Times New Roman" w:eastAsia="仿宋_GB2312" w:cs="仿宋_GB2312"/>
          <w:sz w:val="32"/>
          <w:szCs w:val="32"/>
          <w:u w:val="none" w:color="auto"/>
        </w:rPr>
        <w:t>着力发挥消费拉动经济增长的基础性作用，</w:t>
      </w:r>
      <w:r>
        <w:rPr>
          <w:rFonts w:hint="eastAsia" w:ascii="Times New Roman" w:hAnsi="Times New Roman"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充分发挥大润发、维新路、廊桥等商圈带动作用，引导商贸企业举办大型促销活动，用好购物补贴、消费券等促销手段，</w:t>
      </w:r>
      <w:r>
        <w:rPr>
          <w:rFonts w:hint="eastAsia" w:ascii="仿宋_GB2312" w:hAnsi="宋体" w:eastAsia="仿宋_GB2312" w:cs="仿宋_GB2312"/>
          <w:spacing w:val="0"/>
          <w:kern w:val="21"/>
          <w:sz w:val="32"/>
          <w:szCs w:val="32"/>
        </w:rPr>
        <w:t>聚焦</w:t>
      </w:r>
      <w:r>
        <w:rPr>
          <w:rFonts w:hint="eastAsia" w:ascii="Times New Roman" w:hAnsi="Times New Roman"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新能源汽车、电子产品、家电家居等大宗消费</w:t>
      </w:r>
      <w:r>
        <w:rPr>
          <w:rFonts w:hint="eastAsia" w:ascii="仿宋_GB2312" w:hAnsi="宋体" w:eastAsia="仿宋_GB2312" w:cs="仿宋_GB2312"/>
          <w:spacing w:val="0"/>
          <w:kern w:val="21"/>
          <w:sz w:val="32"/>
          <w:szCs w:val="32"/>
        </w:rPr>
        <w:t>，积极举办</w:t>
      </w:r>
      <w:r>
        <w:rPr>
          <w:rFonts w:hint="eastAsia" w:ascii="仿宋_GB2312" w:hAnsi="宋体" w:eastAsia="仿宋_GB2312" w:cs="仿宋_GB2312"/>
          <w:b w:val="0"/>
          <w:bCs w:val="0"/>
          <w:spacing w:val="0"/>
          <w:kern w:val="21"/>
          <w:sz w:val="32"/>
          <w:szCs w:val="32"/>
        </w:rPr>
        <w:t>联合展销、以旧换新、家电下乡等促销活动，持续拉动城乡消费</w:t>
      </w:r>
      <w:r>
        <w:rPr>
          <w:rStyle w:val="15"/>
          <w:rFonts w:hint="eastAsia" w:ascii="Times New Roman" w:hAnsi="Times New Roman" w:eastAsia="仿宋_GB2312" w:cs="仿宋_GB2312"/>
          <w:sz w:val="32"/>
          <w:szCs w:val="32"/>
          <w:u w:val="none" w:color="auto"/>
        </w:rPr>
        <w:t>。</w:t>
      </w:r>
    </w:p>
    <w:p>
      <w:pPr>
        <w:keepNext w:val="0"/>
        <w:keepLines w:val="0"/>
        <w:pageBreakBefore w:val="0"/>
        <w:widowControl w:val="0"/>
        <w:kinsoku/>
        <w:wordWrap/>
        <w:overflowPunct/>
        <w:topLinePunct w:val="0"/>
        <w:autoSpaceDE/>
        <w:autoSpaceDN/>
        <w:bidi w:val="0"/>
        <w:adjustRightInd/>
        <w:snapToGrid/>
        <w:spacing w:line="610" w:lineRule="exact"/>
        <w:ind w:left="0" w:leftChars="0" w:firstLine="640" w:firstLineChars="200"/>
        <w:textAlignment w:val="auto"/>
        <w:rPr>
          <w:rFonts w:hint="eastAsia" w:ascii="Times New Roman" w:hAnsi="Times New Roman" w:eastAsia="仿宋_GB2312" w:cs="仿宋_GB2312"/>
          <w:color w:val="000000"/>
          <w:sz w:val="32"/>
          <w:szCs w:val="32"/>
          <w:highlight w:val="none"/>
          <w:u w:val="none" w:color="auto"/>
        </w:rPr>
      </w:pPr>
      <w:r>
        <w:rPr>
          <w:rFonts w:hint="eastAsia" w:ascii="楷体_GB2312" w:hAnsi="楷体_GB2312" w:eastAsia="楷体_GB2312" w:cs="楷体_GB2312"/>
          <w:color w:val="000000"/>
          <w:sz w:val="32"/>
          <w:szCs w:val="32"/>
          <w:highlight w:val="none"/>
          <w:u w:val="none" w:color="auto"/>
        </w:rPr>
        <w:t>（四）</w:t>
      </w:r>
      <w:r>
        <w:rPr>
          <w:rFonts w:hint="eastAsia" w:ascii="楷体_GB2312" w:hAnsi="楷体_GB2312" w:eastAsia="楷体_GB2312" w:cs="楷体_GB2312"/>
          <w:b w:val="0"/>
          <w:bCs w:val="0"/>
          <w:sz w:val="32"/>
          <w:szCs w:val="32"/>
          <w:highlight w:val="none"/>
          <w:u w:val="none" w:color="auto"/>
          <w:lang w:val="en-US" w:eastAsia="zh-CN"/>
        </w:rPr>
        <w:t>突出改革重点，进一步全面深化改革。</w:t>
      </w:r>
      <w:r>
        <w:rPr>
          <w:rFonts w:hint="eastAsia" w:ascii="Times New Roman" w:hAnsi="Times New Roman" w:eastAsia="仿宋_GB2312" w:cs="仿宋_GB2312"/>
          <w:b/>
          <w:bCs/>
          <w:sz w:val="32"/>
          <w:szCs w:val="32"/>
          <w:highlight w:val="none"/>
          <w:u w:val="none" w:color="auto"/>
          <w:lang w:val="en-US" w:eastAsia="zh-CN"/>
        </w:rPr>
        <w:t>一是抓好重点领域改革。</w:t>
      </w:r>
      <w:r>
        <w:rPr>
          <w:rFonts w:hint="eastAsia" w:ascii="Times New Roman" w:hAnsi="Times New Roman" w:eastAsia="仿宋_GB2312" w:cs="仿宋_GB2312"/>
          <w:color w:val="000000"/>
          <w:spacing w:val="0"/>
          <w:kern w:val="0"/>
          <w:sz w:val="32"/>
          <w:highlight w:val="none"/>
          <w:u w:val="none" w:color="auto"/>
          <w:lang w:val="en-US" w:eastAsia="zh-CN"/>
        </w:rPr>
        <w:t>推进扩权强县和强县扩权，积极承接更多省市级下放的经济社会管理权限。进一步优化市级组织架构，有序推进大部门制改革、事业单位改革。探索建立镇（街道）联合发展机制，推动地理位置相近、经济体量相差较大的镇（街</w:t>
      </w:r>
      <w:r>
        <w:rPr>
          <w:rFonts w:hint="eastAsia" w:eastAsia="仿宋_GB2312" w:cs="仿宋_GB2312"/>
          <w:color w:val="000000"/>
          <w:spacing w:val="0"/>
          <w:kern w:val="0"/>
          <w:sz w:val="32"/>
          <w:highlight w:val="none"/>
          <w:u w:val="none" w:color="auto"/>
          <w:lang w:val="en-US" w:eastAsia="zh-CN"/>
        </w:rPr>
        <w:t>道</w:t>
      </w:r>
      <w:r>
        <w:rPr>
          <w:rFonts w:hint="eastAsia" w:ascii="Times New Roman" w:hAnsi="Times New Roman" w:eastAsia="仿宋_GB2312" w:cs="仿宋_GB2312"/>
          <w:color w:val="000000"/>
          <w:spacing w:val="0"/>
          <w:kern w:val="0"/>
          <w:sz w:val="32"/>
          <w:highlight w:val="none"/>
          <w:u w:val="none" w:color="auto"/>
          <w:lang w:val="en-US" w:eastAsia="zh-CN"/>
        </w:rPr>
        <w:t>）组团联合发展。</w:t>
      </w:r>
      <w:r>
        <w:rPr>
          <w:rFonts w:hint="eastAsia" w:ascii="仿宋_GB2312" w:hAnsi="仿宋_GB2312" w:eastAsia="仿宋_GB2312" w:cs="仿宋_GB2312"/>
          <w:sz w:val="32"/>
          <w:szCs w:val="32"/>
          <w:lang w:val="en-US" w:eastAsia="zh-CN"/>
        </w:rPr>
        <w:t>深化土地制度改革</w:t>
      </w:r>
      <w:r>
        <w:rPr>
          <w:rFonts w:hint="eastAsia" w:ascii="仿宋_GB2312" w:hAnsi="仿宋_GB2312" w:eastAsia="仿宋_GB2312" w:cs="仿宋_GB2312"/>
          <w:sz w:val="32"/>
          <w:szCs w:val="32"/>
          <w:highlight w:val="none"/>
          <w:lang w:val="en-US" w:eastAsia="zh-CN"/>
        </w:rPr>
        <w:t>，</w:t>
      </w:r>
      <w:r>
        <w:rPr>
          <w:rFonts w:hint="eastAsia" w:ascii="Times New Roman" w:hAnsi="Times New Roman" w:eastAsia="仿宋_GB2312" w:cs="仿宋_GB2312"/>
          <w:color w:val="000000"/>
          <w:spacing w:val="0"/>
          <w:kern w:val="0"/>
          <w:sz w:val="32"/>
          <w:highlight w:val="none"/>
          <w:u w:val="none" w:color="auto"/>
          <w:lang w:val="en-US" w:eastAsia="zh-CN"/>
        </w:rPr>
        <w:t>积极探索全域土地综合整治新路径。</w:t>
      </w:r>
      <w:r>
        <w:rPr>
          <w:rFonts w:hint="eastAsia" w:ascii="Times New Roman" w:hAnsi="Times New Roman" w:eastAsia="仿宋_GB2312" w:cs="仿宋_GB2312"/>
          <w:sz w:val="32"/>
          <w:szCs w:val="32"/>
          <w:highlight w:val="none"/>
          <w:u w:val="none" w:color="auto"/>
          <w:lang w:val="en-US" w:eastAsia="zh-CN"/>
        </w:rPr>
        <w:t>持续深化农村综合改革，</w:t>
      </w:r>
      <w:r>
        <w:rPr>
          <w:rFonts w:hint="eastAsia" w:ascii="仿宋_GB2312" w:hAnsi="Times New Roman"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统筹推进农村承包地、宅基地、集体经营性建设用地“三块地”改革，</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深入推进“绿色农资”升级行动，推广</w:t>
      </w:r>
      <w:r>
        <w:rPr>
          <w:rFonts w:hint="eastAsia" w:ascii="Times New Roman" w:hAnsi="Times New Roman" w:eastAsia="仿宋_GB2312" w:cs="仿宋_GB2312"/>
          <w:sz w:val="32"/>
          <w:szCs w:val="32"/>
          <w:highlight w:val="none"/>
          <w:u w:val="none" w:color="auto"/>
          <w:lang w:val="en-US" w:eastAsia="zh-CN"/>
        </w:rPr>
        <w:t>“EPC+O”</w:t>
      </w:r>
      <w:r>
        <w:rPr>
          <w:rFonts w:hint="eastAsia" w:ascii="仿宋_GB2312" w:hAnsi="仿宋_GB2312" w:eastAsia="仿宋_GB2312" w:cs="仿宋_GB2312"/>
          <w:color w:val="000000" w:themeColor="text1"/>
          <w:sz w:val="32"/>
          <w:szCs w:val="32"/>
          <w14:textFill>
            <w14:solidFill>
              <w14:schemeClr w14:val="tx1"/>
            </w14:solidFill>
          </w14:textFill>
        </w:rPr>
        <w:t>模式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“小田变大田”经验</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Times New Roman" w:eastAsia="仿宋_GB2312" w:cs="仿宋_GB2312"/>
          <w:i w:val="0"/>
          <w:iCs w:val="0"/>
          <w:caps w:val="0"/>
          <w:color w:val="000000" w:themeColor="text1"/>
          <w:spacing w:val="0"/>
          <w:kern w:val="2"/>
          <w:sz w:val="32"/>
          <w:szCs w:val="32"/>
          <w:shd w:val="clear" w:fill="FFFFFF"/>
          <w:lang w:val="en-US" w:eastAsia="zh-CN" w:bidi="ar-SA"/>
          <w14:textFill>
            <w14:solidFill>
              <w14:schemeClr w14:val="tx1"/>
            </w14:solidFill>
          </w14:textFill>
        </w:rPr>
        <w:t>做好高标准农田和“社村”合作有机结合文章</w:t>
      </w:r>
      <w:r>
        <w:rPr>
          <w:rFonts w:hint="eastAsia" w:ascii="Times New Roman" w:hAnsi="Times New Roman" w:eastAsia="仿宋_GB2312" w:cs="仿宋_GB2312"/>
          <w:sz w:val="32"/>
          <w:szCs w:val="32"/>
          <w:highlight w:val="none"/>
          <w:u w:val="none" w:color="auto"/>
          <w:lang w:val="en-US" w:eastAsia="zh-CN"/>
        </w:rPr>
        <w:t>。</w:t>
      </w:r>
      <w:r>
        <w:rPr>
          <w:rFonts w:hint="eastAsia" w:ascii="Times New Roman" w:hAnsi="Times New Roman" w:eastAsia="仿宋_GB2312" w:cs="仿宋_GB2312"/>
          <w:b/>
          <w:bCs/>
          <w:sz w:val="32"/>
          <w:szCs w:val="32"/>
          <w:highlight w:val="none"/>
          <w:u w:val="none" w:color="auto"/>
          <w:lang w:val="en-US" w:eastAsia="zh-CN"/>
        </w:rPr>
        <w:t>二是持续优化营商环境</w:t>
      </w:r>
      <w:r>
        <w:rPr>
          <w:rFonts w:hint="eastAsia" w:ascii="Times New Roman" w:hAnsi="Times New Roman" w:eastAsia="仿宋_GB2312" w:cs="仿宋_GB2312"/>
          <w:sz w:val="32"/>
          <w:szCs w:val="32"/>
          <w:highlight w:val="none"/>
          <w:u w:val="none" w:color="auto"/>
          <w:lang w:val="en-US" w:eastAsia="zh-CN"/>
        </w:rPr>
        <w:t>。</w:t>
      </w:r>
      <w:r>
        <w:rPr>
          <w:rFonts w:hint="eastAsia" w:ascii="Times New Roman" w:hAnsi="Times New Roman" w:eastAsia="仿宋_GB2312" w:cs="仿宋_GB2312"/>
          <w:color w:val="000000"/>
          <w:spacing w:val="0"/>
          <w:kern w:val="0"/>
          <w:sz w:val="32"/>
          <w:highlight w:val="none"/>
          <w:u w:val="none" w:color="auto"/>
          <w:lang w:val="en-US" w:eastAsia="zh-CN"/>
        </w:rPr>
        <w:t>常态化对标先进地区营商环境水平，结合南雄实际借鉴吸收工作经验，提升市场满意率。打造政务服务“一网通办”，优化拓展“跨域通办”涉企政务服务事项范围，推行首席服务帮办代办、首席事务代表制度、跨区域跨层级服务模式，全力推进“高效办成一件事”。</w:t>
      </w:r>
      <w:r>
        <w:rPr>
          <w:rFonts w:hint="eastAsia" w:ascii="Times New Roman" w:hAnsi="Times New Roman" w:eastAsia="仿宋_GB2312" w:cs="仿宋_GB2312"/>
          <w:b/>
          <w:bCs/>
          <w:color w:val="000000"/>
          <w:spacing w:val="0"/>
          <w:kern w:val="0"/>
          <w:sz w:val="32"/>
          <w:highlight w:val="none"/>
          <w:u w:val="none" w:color="auto"/>
          <w:lang w:val="en-US" w:eastAsia="zh-CN"/>
        </w:rPr>
        <w:t>三是</w:t>
      </w:r>
      <w:r>
        <w:rPr>
          <w:rFonts w:hint="eastAsia" w:ascii="Times New Roman" w:hAnsi="Times New Roman" w:eastAsia="仿宋_GB2312" w:cs="仿宋_GB2312"/>
          <w:b/>
          <w:bCs/>
          <w:kern w:val="2"/>
          <w:sz w:val="32"/>
          <w:szCs w:val="32"/>
          <w:lang w:val="en-US" w:eastAsia="zh-CN" w:bidi="ar-SA"/>
        </w:rPr>
        <w:t>加强创新驱动。</w:t>
      </w:r>
      <w:r>
        <w:rPr>
          <w:rFonts w:hint="eastAsia" w:ascii="Times New Roman" w:hAnsi="Times New Roman" w:eastAsia="仿宋_GB2312" w:cs="仿宋_GB2312"/>
          <w:color w:val="000000"/>
          <w:spacing w:val="0"/>
          <w:kern w:val="0"/>
          <w:sz w:val="32"/>
          <w:szCs w:val="32"/>
          <w:highlight w:val="none"/>
          <w:u w:val="none" w:color="auto"/>
          <w:lang w:val="en-US" w:eastAsia="zh-CN" w:bidi="ar-SA"/>
        </w:rPr>
        <w:t>加快推进新型工业化，积极培育和发展新质生产力</w:t>
      </w:r>
      <w:r>
        <w:rPr>
          <w:rFonts w:hint="eastAsia" w:ascii="Times New Roman" w:hAnsi="Times New Roman" w:eastAsia="仿宋_GB2312" w:cs="仿宋_GB2312"/>
          <w:b w:val="0"/>
          <w:bCs w:val="0"/>
          <w:kern w:val="2"/>
          <w:sz w:val="32"/>
          <w:szCs w:val="32"/>
          <w:lang w:val="en-US" w:eastAsia="zh-CN" w:bidi="ar-SA"/>
        </w:rPr>
        <w:t>。</w:t>
      </w:r>
      <w:r>
        <w:rPr>
          <w:rFonts w:hint="eastAsia" w:ascii="Times New Roman" w:hAnsi="Times New Roman" w:eastAsia="仿宋_GB2312" w:cs="仿宋_GB2312"/>
          <w:color w:val="000000"/>
          <w:spacing w:val="0"/>
          <w:kern w:val="0"/>
          <w:sz w:val="32"/>
          <w:szCs w:val="32"/>
          <w:highlight w:val="none"/>
          <w:u w:val="none" w:color="auto"/>
          <w:lang w:val="en-US" w:eastAsia="zh-CN"/>
        </w:rPr>
        <w:t>以结构优化为抓手，</w:t>
      </w:r>
      <w:r>
        <w:rPr>
          <w:rFonts w:hint="eastAsia" w:ascii="Times New Roman" w:hAnsi="Times New Roman" w:eastAsia="仿宋_GB2312" w:cs="仿宋_GB2312"/>
          <w:color w:val="000000"/>
          <w:spacing w:val="0"/>
          <w:kern w:val="0"/>
          <w:sz w:val="32"/>
          <w:szCs w:val="32"/>
          <w:highlight w:val="none"/>
          <w:u w:val="none" w:color="auto"/>
          <w:lang w:val="en-US" w:eastAsia="zh-CN" w:bidi="ar-SA"/>
        </w:rPr>
        <w:t>紧密结合自身基础条件，</w:t>
      </w:r>
      <w:r>
        <w:rPr>
          <w:rFonts w:hint="eastAsia" w:ascii="Times New Roman" w:hAnsi="Times New Roman" w:eastAsia="仿宋_GB2312" w:cs="仿宋_GB2312"/>
          <w:color w:val="000000"/>
          <w:spacing w:val="0"/>
          <w:kern w:val="0"/>
          <w:sz w:val="32"/>
          <w:szCs w:val="32"/>
          <w:highlight w:val="none"/>
          <w:u w:val="none" w:color="auto"/>
          <w:lang w:val="en-US" w:eastAsia="zh-CN"/>
        </w:rPr>
        <w:t>推动制造业加快迈向价值链中高端。</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落实好</w:t>
      </w:r>
      <w:r>
        <w:rPr>
          <w:rFonts w:hint="eastAsia" w:ascii="Times New Roman" w:hAnsi="Times New Roman" w:eastAsia="仿宋_GB2312" w:cs="仿宋_GB2312"/>
          <w:b w:val="0"/>
          <w:bCs w:val="0"/>
          <w:sz w:val="32"/>
          <w:szCs w:val="32"/>
          <w:highlight w:val="none"/>
          <w:lang w:val="en-US" w:eastAsia="zh-CN"/>
        </w:rPr>
        <w:t>省技改十条、工业企业大规模设备更新等政策，</w:t>
      </w:r>
      <w:r>
        <w:rPr>
          <w:rFonts w:hint="eastAsia" w:ascii="Times New Roman" w:hAnsi="Times New Roman" w:eastAsia="仿宋_GB2312" w:cs="仿宋_GB2312"/>
          <w:color w:val="000000"/>
          <w:spacing w:val="0"/>
          <w:kern w:val="0"/>
          <w:sz w:val="32"/>
          <w:szCs w:val="32"/>
          <w:highlight w:val="none"/>
          <w:u w:val="none" w:color="auto"/>
          <w:lang w:val="en-US" w:eastAsia="zh-CN"/>
        </w:rPr>
        <w:t>引导和鼓励工业企业开展高端化、智能化、绿色化、融合化改造。</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实施企业技术创新引领行动，推动</w:t>
      </w:r>
      <w:r>
        <w:rPr>
          <w:rFonts w:hint="eastAsia" w:ascii="Times New Roman" w:hAnsi="Times New Roman" w:eastAsia="仿宋_GB2312" w:cs="仿宋_GB2312"/>
          <w:sz w:val="32"/>
          <w:szCs w:val="32"/>
          <w:highlight w:val="none"/>
          <w:lang w:val="en-US" w:eastAsia="zh-CN"/>
        </w:rPr>
        <w:t>5家中小企业进行数字化转型，</w:t>
      </w:r>
      <w:r>
        <w:rPr>
          <w:rFonts w:hint="eastAsia" w:ascii="Times New Roman" w:hAnsi="Times New Roman" w:eastAsia="仿宋_GB2312" w:cs="仿宋_GB2312"/>
          <w:i w:val="0"/>
          <w:iCs w:val="0"/>
          <w:caps w:val="0"/>
          <w:color w:val="auto"/>
          <w:spacing w:val="0"/>
          <w:sz w:val="32"/>
          <w:szCs w:val="32"/>
          <w:highlight w:val="none"/>
          <w:shd w:val="clear" w:color="auto" w:fill="FFFFFF"/>
          <w:lang w:val="en-US" w:eastAsia="zh-CN"/>
        </w:rPr>
        <w:t>新增高新技术企业14家、专精特新企业5家。</w:t>
      </w:r>
    </w:p>
    <w:p>
      <w:pPr>
        <w:pStyle w:val="2"/>
        <w:keepNext w:val="0"/>
        <w:keepLines w:val="0"/>
        <w:pageBreakBefore w:val="0"/>
        <w:widowControl w:val="0"/>
        <w:kinsoku/>
        <w:wordWrap/>
        <w:overflowPunct/>
        <w:topLinePunct w:val="0"/>
        <w:bidi w:val="0"/>
        <w:snapToGrid/>
        <w:spacing w:line="610" w:lineRule="exact"/>
        <w:ind w:left="0" w:leftChars="0" w:firstLine="640" w:firstLineChars="200"/>
        <w:jc w:val="both"/>
        <w:textAlignment w:val="auto"/>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pPr>
      <w:r>
        <w:rPr>
          <w:rFonts w:hint="eastAsia" w:ascii="楷体_GB2312" w:hAnsi="楷体_GB2312" w:eastAsia="楷体_GB2312" w:cs="楷体_GB2312"/>
          <w:kern w:val="2"/>
          <w:sz w:val="32"/>
          <w:szCs w:val="32"/>
          <w:highlight w:val="none"/>
          <w:u w:val="none" w:color="auto"/>
          <w:shd w:val="clear" w:color="auto" w:fill="FFFFFF"/>
        </w:rPr>
        <w:t>（五）</w:t>
      </w:r>
      <w:r>
        <w:rPr>
          <w:rFonts w:hint="eastAsia" w:ascii="楷体_GB2312" w:hAnsi="楷体_GB2312" w:eastAsia="楷体_GB2312" w:cs="楷体_GB2312"/>
          <w:b w:val="0"/>
          <w:bCs w:val="0"/>
          <w:color w:val="auto"/>
          <w:kern w:val="2"/>
          <w:sz w:val="32"/>
          <w:szCs w:val="32"/>
          <w:highlight w:val="none"/>
          <w:u w:val="none" w:color="auto"/>
          <w:lang w:val="en-US" w:eastAsia="zh-CN" w:bidi="ar-SA"/>
        </w:rPr>
        <w:t>加强生态保护，推动资源价值转化。</w:t>
      </w:r>
      <w:r>
        <w:rPr>
          <w:rFonts w:hint="eastAsia" w:ascii="Times New Roman" w:hAnsi="Times New Roman" w:eastAsia="仿宋_GB2312" w:cs="仿宋_GB2312"/>
          <w:b/>
          <w:bCs/>
          <w:sz w:val="32"/>
          <w:szCs w:val="32"/>
          <w:highlight w:val="none"/>
          <w:u w:val="none" w:color="auto"/>
          <w:lang w:val="en-US" w:eastAsia="zh-CN"/>
        </w:rPr>
        <w:t>一是加快绿美南雄生态建设。</w:t>
      </w:r>
      <w:r>
        <w:rPr>
          <w:rFonts w:hint="eastAsia" w:ascii="Times New Roman" w:hAnsi="Times New Roman" w:eastAsia="仿宋_GB2312" w:cs="仿宋_GB2312"/>
          <w:sz w:val="32"/>
          <w:szCs w:val="32"/>
          <w:highlight w:val="none"/>
          <w:u w:val="none" w:color="auto"/>
          <w:lang w:val="en-US" w:eastAsia="zh-CN"/>
        </w:rPr>
        <w:t>持续抓好绿美乡村建设。优化完善绿化规划，谋划新一轮乡村绿化植树工作。</w:t>
      </w:r>
      <w:r>
        <w:rPr>
          <w:rFonts w:hint="eastAsia" w:ascii="Times New Roman" w:hAnsi="Times New Roman" w:eastAsia="仿宋_GB2312" w:cs="仿宋_GB2312"/>
          <w:color w:val="auto"/>
          <w:kern w:val="2"/>
          <w:sz w:val="32"/>
          <w:szCs w:val="32"/>
          <w:highlight w:val="none"/>
          <w:u w:val="none" w:color="auto"/>
          <w:lang w:val="en-US" w:eastAsia="zh-CN" w:bidi="ar-SA"/>
        </w:rPr>
        <w:t>完成梅关古驿道郊野公园绿美示范点建设及梅岭古驿道自然教育基地提升项目。</w:t>
      </w:r>
      <w:r>
        <w:rPr>
          <w:rFonts w:hint="eastAsia" w:ascii="Times New Roman" w:hAnsi="Times New Roman" w:eastAsia="仿宋_GB2312" w:cs="仿宋_GB2312"/>
          <w:sz w:val="32"/>
          <w:szCs w:val="32"/>
          <w:highlight w:val="none"/>
          <w:u w:val="none" w:color="auto"/>
          <w:lang w:val="en-US" w:eastAsia="zh-CN"/>
        </w:rPr>
        <w:t>开展森林质量精准提升行动，完成林分优化1.15万亩、新造林抚育2.88万亩、森林抚育2.3万亩。有序推进</w:t>
      </w:r>
      <w:r>
        <w:rPr>
          <w:rFonts w:hint="eastAsia" w:ascii="Times New Roman" w:hAnsi="Times New Roman" w:eastAsia="仿宋_GB2312" w:cs="仿宋_GB2312"/>
          <w:color w:val="auto"/>
          <w:kern w:val="2"/>
          <w:sz w:val="32"/>
          <w:szCs w:val="32"/>
          <w:highlight w:val="none"/>
          <w:u w:val="none" w:color="auto"/>
          <w:lang w:val="en-US" w:eastAsia="zh-CN" w:bidi="ar-SA"/>
        </w:rPr>
        <w:t>国家储备林项目，</w:t>
      </w:r>
      <w:r>
        <w:rPr>
          <w:rFonts w:hint="eastAsia" w:ascii="Times New Roman" w:hAnsi="Times New Roman" w:eastAsia="仿宋_GB2312" w:cs="仿宋_GB2312"/>
          <w:sz w:val="32"/>
          <w:szCs w:val="32"/>
          <w:highlight w:val="none"/>
          <w:u w:val="none" w:color="auto"/>
          <w:lang w:val="en-US" w:eastAsia="zh-CN"/>
        </w:rPr>
        <w:t>收储意向林地1.9万亩，开展918亩集约造林，4160亩中幼林抚育，苗木培育100万株。</w:t>
      </w:r>
      <w:r>
        <w:rPr>
          <w:rFonts w:hint="eastAsia" w:ascii="Times New Roman" w:hAnsi="Times New Roman" w:eastAsia="仿宋_GB2312" w:cs="仿宋_GB2312"/>
          <w:b/>
          <w:bCs/>
          <w:sz w:val="32"/>
          <w:szCs w:val="32"/>
          <w:highlight w:val="none"/>
          <w:u w:val="none" w:color="auto"/>
          <w:lang w:val="en-US" w:eastAsia="zh-CN"/>
        </w:rPr>
        <w:t>二是打好污染防治攻坚战。</w:t>
      </w:r>
      <w:r>
        <w:rPr>
          <w:rFonts w:hint="eastAsia" w:ascii="Times New Roman" w:hAnsi="Times New Roman" w:eastAsia="仿宋_GB2312" w:cs="仿宋_GB2312"/>
          <w:sz w:val="32"/>
          <w:szCs w:val="32"/>
          <w:highlight w:val="none"/>
          <w:u w:val="none" w:color="auto"/>
          <w:lang w:val="en-US" w:eastAsia="zh-CN"/>
        </w:rPr>
        <w:t>持续抓好</w:t>
      </w:r>
      <w:r>
        <w:rPr>
          <w:rFonts w:hint="eastAsia" w:ascii="Times New Roman" w:cs="仿宋_GB2312"/>
          <w:sz w:val="32"/>
          <w:szCs w:val="32"/>
          <w:highlight w:val="none"/>
          <w:u w:val="none" w:color="auto"/>
          <w:lang w:val="en-US" w:eastAsia="zh-CN"/>
        </w:rPr>
        <w:t>中央生态环保督察</w:t>
      </w:r>
      <w:r>
        <w:rPr>
          <w:rFonts w:hint="eastAsia" w:ascii="Times New Roman" w:hAnsi="Times New Roman" w:eastAsia="仿宋_GB2312" w:cs="仿宋_GB2312"/>
          <w:sz w:val="32"/>
          <w:szCs w:val="32"/>
          <w:highlight w:val="none"/>
          <w:u w:val="none" w:color="auto"/>
          <w:lang w:val="en-US" w:eastAsia="zh-CN"/>
        </w:rPr>
        <w:t>反馈问题整改工作。全力开展</w:t>
      </w:r>
      <w:r>
        <w:rPr>
          <w:rFonts w:hint="eastAsia" w:ascii="Times New Roman" w:hAnsi="Times New Roman" w:eastAsia="仿宋_GB2312" w:cs="仿宋_GB2312"/>
          <w:b w:val="0"/>
          <w:bCs w:val="0"/>
          <w:color w:val="000000" w:themeColor="text1"/>
          <w:kern w:val="0"/>
          <w:sz w:val="32"/>
          <w:szCs w:val="32"/>
          <w:highlight w:val="none"/>
          <w:u w:val="none" w:color="auto"/>
          <w:lang w:val="en-US" w:eastAsia="zh-CN" w:bidi="ar-SA"/>
          <w14:textFill>
            <w14:solidFill>
              <w14:schemeClr w14:val="tx1"/>
            </w14:solidFill>
          </w14:textFill>
        </w:rPr>
        <w:t>河坪国考断面达标攻坚，</w:t>
      </w:r>
      <w:r>
        <w:rPr>
          <w:rFonts w:hint="eastAsia" w:ascii="Times New Roman" w:hAnsi="Times New Roman" w:eastAsia="仿宋_GB2312" w:cs="仿宋_GB2312"/>
          <w:b w:val="0"/>
          <w:bCs w:val="0"/>
          <w:i w:val="0"/>
          <w:caps w:val="0"/>
          <w:color w:val="auto"/>
          <w:spacing w:val="0"/>
          <w:w w:val="100"/>
          <w:kern w:val="0"/>
          <w:sz w:val="32"/>
          <w:szCs w:val="32"/>
          <w:highlight w:val="none"/>
          <w:u w:val="none" w:color="auto"/>
          <w:lang w:val="en-US" w:eastAsia="zh-CN"/>
        </w:rPr>
        <w:t>加快补齐污水收集治理短板，推进城镇污水管网建设与改造，统筹农村生活污水处理设施“建设</w:t>
      </w:r>
      <w:r>
        <w:rPr>
          <w:rFonts w:hint="eastAsia" w:ascii="Times New Roman" w:cs="仿宋_GB2312"/>
          <w:b w:val="0"/>
          <w:bCs w:val="0"/>
          <w:i w:val="0"/>
          <w:caps w:val="0"/>
          <w:color w:val="auto"/>
          <w:spacing w:val="0"/>
          <w:w w:val="100"/>
          <w:kern w:val="0"/>
          <w:sz w:val="32"/>
          <w:szCs w:val="32"/>
          <w:highlight w:val="none"/>
          <w:u w:val="none" w:color="auto"/>
          <w:lang w:val="en-US" w:eastAsia="zh-CN"/>
        </w:rPr>
        <w:t>－</w:t>
      </w:r>
      <w:r>
        <w:rPr>
          <w:rFonts w:hint="eastAsia" w:ascii="Times New Roman" w:hAnsi="Times New Roman" w:eastAsia="仿宋_GB2312" w:cs="仿宋_GB2312"/>
          <w:b w:val="0"/>
          <w:bCs w:val="0"/>
          <w:i w:val="0"/>
          <w:caps w:val="0"/>
          <w:color w:val="auto"/>
          <w:spacing w:val="0"/>
          <w:w w:val="100"/>
          <w:kern w:val="0"/>
          <w:sz w:val="32"/>
          <w:szCs w:val="32"/>
          <w:highlight w:val="none"/>
          <w:u w:val="none" w:color="auto"/>
          <w:lang w:val="en-US" w:eastAsia="zh-CN"/>
        </w:rPr>
        <w:t>验收</w:t>
      </w:r>
      <w:r>
        <w:rPr>
          <w:rFonts w:hint="eastAsia" w:ascii="Times New Roman" w:cs="仿宋_GB2312"/>
          <w:b w:val="0"/>
          <w:bCs w:val="0"/>
          <w:i w:val="0"/>
          <w:caps w:val="0"/>
          <w:color w:val="auto"/>
          <w:spacing w:val="0"/>
          <w:w w:val="100"/>
          <w:kern w:val="0"/>
          <w:sz w:val="32"/>
          <w:szCs w:val="32"/>
          <w:highlight w:val="none"/>
          <w:u w:val="none" w:color="auto"/>
          <w:lang w:val="en-US" w:eastAsia="zh-CN"/>
        </w:rPr>
        <w:t>－</w:t>
      </w:r>
      <w:r>
        <w:rPr>
          <w:rFonts w:hint="eastAsia" w:ascii="Times New Roman" w:hAnsi="Times New Roman" w:eastAsia="仿宋_GB2312" w:cs="仿宋_GB2312"/>
          <w:b w:val="0"/>
          <w:bCs w:val="0"/>
          <w:i w:val="0"/>
          <w:caps w:val="0"/>
          <w:color w:val="auto"/>
          <w:spacing w:val="0"/>
          <w:w w:val="100"/>
          <w:kern w:val="0"/>
          <w:sz w:val="32"/>
          <w:szCs w:val="32"/>
          <w:highlight w:val="none"/>
          <w:u w:val="none" w:color="auto"/>
          <w:lang w:val="en-US" w:eastAsia="zh-CN"/>
        </w:rPr>
        <w:t>移交</w:t>
      </w:r>
      <w:r>
        <w:rPr>
          <w:rFonts w:hint="eastAsia" w:ascii="Times New Roman" w:cs="仿宋_GB2312"/>
          <w:b w:val="0"/>
          <w:bCs w:val="0"/>
          <w:i w:val="0"/>
          <w:caps w:val="0"/>
          <w:color w:val="auto"/>
          <w:spacing w:val="0"/>
          <w:w w:val="100"/>
          <w:kern w:val="0"/>
          <w:sz w:val="32"/>
          <w:szCs w:val="32"/>
          <w:highlight w:val="none"/>
          <w:u w:val="none" w:color="auto"/>
          <w:lang w:val="en-US" w:eastAsia="zh-CN"/>
        </w:rPr>
        <w:t>－</w:t>
      </w:r>
      <w:r>
        <w:rPr>
          <w:rFonts w:hint="eastAsia" w:ascii="Times New Roman" w:hAnsi="Times New Roman" w:eastAsia="仿宋_GB2312" w:cs="仿宋_GB2312"/>
          <w:b w:val="0"/>
          <w:bCs w:val="0"/>
          <w:i w:val="0"/>
          <w:caps w:val="0"/>
          <w:color w:val="auto"/>
          <w:spacing w:val="0"/>
          <w:w w:val="100"/>
          <w:kern w:val="0"/>
          <w:sz w:val="32"/>
          <w:szCs w:val="32"/>
          <w:highlight w:val="none"/>
          <w:u w:val="none" w:color="auto"/>
          <w:lang w:val="en-US" w:eastAsia="zh-CN"/>
        </w:rPr>
        <w:t>运营”工作，确保</w:t>
      </w:r>
      <w:r>
        <w:rPr>
          <w:rFonts w:hint="eastAsia" w:ascii="Times New Roman" w:hAnsi="Times New Roman" w:eastAsia="仿宋_GB2312" w:cs="仿宋_GB2312"/>
          <w:b w:val="0"/>
          <w:bCs w:val="0"/>
          <w:color w:val="000000" w:themeColor="text1"/>
          <w:kern w:val="0"/>
          <w:sz w:val="32"/>
          <w:szCs w:val="32"/>
          <w:highlight w:val="none"/>
          <w:u w:val="none" w:color="auto"/>
          <w:lang w:val="en-US" w:eastAsia="zh-CN" w:bidi="ar-SA"/>
          <w14:textFill>
            <w14:solidFill>
              <w14:schemeClr w14:val="tx1"/>
            </w14:solidFill>
          </w14:textFill>
        </w:rPr>
        <w:t>县级以上集中式饮用水源地水质100%达标。12个“千吨万人”乡镇饮用水源保护区水质达到相应功能区标准。</w:t>
      </w:r>
      <w:r>
        <w:rPr>
          <w:rFonts w:hint="eastAsia" w:ascii="Times New Roman" w:hAnsi="Times New Roman" w:eastAsia="仿宋_GB2312" w:cs="仿宋_GB2312"/>
          <w:color w:val="000000"/>
          <w:kern w:val="2"/>
          <w:sz w:val="32"/>
          <w:szCs w:val="32"/>
          <w:lang w:val="en-US" w:eastAsia="zh-CN" w:bidi="ar-SA"/>
        </w:rPr>
        <w:t>加强建设用地和农用地土壤污染风险管控，建设用地安全利用率达100%</w:t>
      </w:r>
      <w:r>
        <w:rPr>
          <w:rFonts w:hint="eastAsia" w:ascii="Times New Roman" w:hAnsi="Times New Roman" w:eastAsia="仿宋_GB2312" w:cs="仿宋_GB2312"/>
          <w:b w:val="0"/>
          <w:bCs w:val="0"/>
          <w:color w:val="000000" w:themeColor="text1"/>
          <w:kern w:val="0"/>
          <w:sz w:val="32"/>
          <w:szCs w:val="32"/>
          <w:highlight w:val="none"/>
          <w:u w:val="none" w:color="auto"/>
          <w:lang w:val="en-US" w:eastAsia="zh-CN" w:bidi="ar-SA"/>
          <w14:textFill>
            <w14:solidFill>
              <w14:schemeClr w14:val="tx1"/>
            </w14:solidFill>
          </w14:textFill>
        </w:rPr>
        <w:t>。</w:t>
      </w:r>
      <w:r>
        <w:rPr>
          <w:rFonts w:hint="eastAsia" w:ascii="Times New Roman" w:hAnsi="Times New Roman" w:eastAsia="仿宋_GB2312" w:cs="仿宋_GB2312"/>
          <w:sz w:val="32"/>
          <w:szCs w:val="32"/>
          <w:highlight w:val="none"/>
          <w:u w:val="none" w:color="auto"/>
          <w:lang w:val="en-US" w:eastAsia="zh-CN"/>
        </w:rPr>
        <w:t>深化大气污染防治攻坚，城市环境空气质量六项指标年均值达到国家二级标准，保持空气质量指数（AQI）优良率在96%以上。</w:t>
      </w:r>
      <w:r>
        <w:rPr>
          <w:rFonts w:hint="eastAsia" w:ascii="Times New Roman" w:hAnsi="Times New Roman" w:eastAsia="仿宋_GB2312" w:cs="仿宋_GB2312"/>
          <w:b/>
          <w:bCs/>
          <w:sz w:val="32"/>
          <w:szCs w:val="32"/>
          <w:highlight w:val="none"/>
          <w:u w:val="none" w:color="auto"/>
          <w:lang w:val="en-US" w:eastAsia="zh-CN"/>
        </w:rPr>
        <w:t>三是拓宽生态资源开发利用途径。</w:t>
      </w:r>
      <w:r>
        <w:rPr>
          <w:rFonts w:hint="eastAsia" w:ascii="Times New Roman" w:hAnsi="Times New Roman" w:eastAsia="仿宋_GB2312" w:cs="仿宋_GB2312"/>
          <w:b w:val="0"/>
          <w:bCs w:val="0"/>
          <w:color w:val="auto"/>
          <w:sz w:val="32"/>
          <w:szCs w:val="32"/>
          <w:highlight w:val="none"/>
          <w:u w:val="none" w:color="auto"/>
          <w:lang w:val="en-US" w:eastAsia="zh-CN"/>
        </w:rPr>
        <w:t>持续壮大油茶、中草药、毛竹、银杏等经济林产业，</w:t>
      </w:r>
      <w:r>
        <w:rPr>
          <w:rFonts w:hint="eastAsia" w:ascii="Times New Roman" w:hAnsi="Times New Roman" w:eastAsia="仿宋_GB2312" w:cs="仿宋_GB2312"/>
          <w:sz w:val="32"/>
          <w:szCs w:val="32"/>
          <w:highlight w:val="none"/>
          <w:u w:val="none" w:color="auto"/>
          <w:lang w:val="en-US" w:eastAsia="zh-CN"/>
        </w:rPr>
        <w:t>合理利用特色林业产业基地，发展林下经济和森林康养，</w:t>
      </w:r>
      <w:r>
        <w:rPr>
          <w:rFonts w:hint="eastAsia" w:ascii="Times New Roman" w:hAnsi="Times New Roman" w:eastAsia="仿宋_GB2312" w:cs="仿宋_GB2312"/>
          <w:b w:val="0"/>
          <w:bCs w:val="0"/>
          <w:color w:val="auto"/>
          <w:sz w:val="32"/>
          <w:szCs w:val="32"/>
          <w:highlight w:val="none"/>
          <w:u w:val="none" w:color="auto"/>
          <w:lang w:val="en-US" w:eastAsia="zh-CN"/>
        </w:rPr>
        <w:t>林下经济面积达到80万亩。</w:t>
      </w:r>
      <w:r>
        <w:rPr>
          <w:rFonts w:hint="eastAsia" w:ascii="Times New Roman" w:hAnsi="Times New Roman" w:eastAsia="仿宋_GB2312" w:cs="仿宋_GB2312"/>
          <w:sz w:val="32"/>
          <w:szCs w:val="32"/>
          <w:highlight w:val="none"/>
          <w:u w:val="none" w:color="auto"/>
          <w:lang w:val="en-US" w:eastAsia="zh-CN"/>
        </w:rPr>
        <w:t>推进江头镇江头村地热采矿等拟设采矿权前期设置工作，积极推进垦造水田、拆旧复垦指标交易，力争完成土地出让收入1亿元。</w:t>
      </w:r>
    </w:p>
    <w:p>
      <w:pPr>
        <w:keepNext w:val="0"/>
        <w:keepLines w:val="0"/>
        <w:pageBreakBefore w:val="0"/>
        <w:widowControl w:val="0"/>
        <w:kinsoku/>
        <w:wordWrap/>
        <w:overflowPunct/>
        <w:topLinePunct w:val="0"/>
        <w:bidi w:val="0"/>
        <w:snapToGrid/>
        <w:spacing w:line="610" w:lineRule="exact"/>
        <w:ind w:left="0" w:leftChars="0" w:firstLine="640" w:firstLineChars="200"/>
        <w:textAlignment w:val="auto"/>
        <w:rPr>
          <w:rFonts w:hint="default" w:ascii="Times New Roman" w:hAnsi="Times New Roman" w:eastAsia="仿宋_GB2312" w:cs="仿宋_GB2312"/>
          <w:sz w:val="32"/>
          <w:szCs w:val="32"/>
          <w:highlight w:val="none"/>
          <w:u w:val="none" w:color="auto"/>
          <w:lang w:val="en-US" w:eastAsia="zh-CN"/>
        </w:rPr>
      </w:pPr>
      <w:r>
        <w:rPr>
          <w:rFonts w:hint="eastAsia" w:ascii="楷体_GB2312" w:hAnsi="楷体_GB2312" w:eastAsia="楷体_GB2312" w:cs="楷体_GB2312"/>
          <w:color w:val="000000" w:themeColor="text1"/>
          <w:sz w:val="32"/>
          <w:szCs w:val="32"/>
          <w:highlight w:val="none"/>
          <w:u w:val="none" w:color="auto"/>
          <w14:textFill>
            <w14:solidFill>
              <w14:schemeClr w14:val="tx1"/>
            </w14:solidFill>
          </w14:textFill>
        </w:rPr>
        <w:t>（</w:t>
      </w:r>
      <w:r>
        <w:rPr>
          <w:rFonts w:hint="eastAsia" w:ascii="楷体_GB2312" w:hAnsi="楷体_GB2312" w:eastAsia="楷体_GB2312" w:cs="楷体_GB2312"/>
          <w:b w:val="0"/>
          <w:bCs w:val="0"/>
          <w:sz w:val="32"/>
          <w:szCs w:val="32"/>
          <w:highlight w:val="none"/>
          <w:u w:val="none" w:color="auto"/>
          <w:lang w:val="en-US" w:eastAsia="zh-CN"/>
        </w:rPr>
        <w:t>六</w:t>
      </w:r>
      <w:r>
        <w:rPr>
          <w:rFonts w:hint="eastAsia" w:ascii="楷体_GB2312" w:hAnsi="楷体_GB2312" w:eastAsia="楷体_GB2312" w:cs="楷体_GB2312"/>
          <w:color w:val="000000" w:themeColor="text1"/>
          <w:sz w:val="32"/>
          <w:szCs w:val="32"/>
          <w:highlight w:val="none"/>
          <w:u w:val="none" w:color="auto"/>
          <w14:textFill>
            <w14:solidFill>
              <w14:schemeClr w14:val="tx1"/>
            </w14:solidFill>
          </w14:textFill>
        </w:rPr>
        <w:t>）</w:t>
      </w:r>
      <w:r>
        <w:rPr>
          <w:rFonts w:hint="eastAsia" w:ascii="楷体_GB2312" w:hAnsi="楷体_GB2312" w:eastAsia="楷体_GB2312" w:cs="楷体_GB2312"/>
          <w:b w:val="0"/>
          <w:bCs w:val="0"/>
          <w:sz w:val="32"/>
          <w:szCs w:val="32"/>
          <w:highlight w:val="none"/>
          <w:u w:val="none" w:color="auto"/>
          <w:lang w:val="en-US" w:eastAsia="zh-CN"/>
        </w:rPr>
        <w:t>抓好社会事业，不断增进民生福祉。</w:t>
      </w:r>
      <w:r>
        <w:rPr>
          <w:rFonts w:hint="eastAsia" w:ascii="Times New Roman" w:hAnsi="Times New Roman" w:eastAsia="仿宋_GB2312" w:cs="仿宋_GB2312"/>
          <w:b/>
          <w:bCs/>
          <w:sz w:val="32"/>
          <w:szCs w:val="32"/>
          <w:highlight w:val="none"/>
          <w:u w:val="none" w:color="auto"/>
          <w:lang w:val="en-US" w:eastAsia="zh-CN"/>
        </w:rPr>
        <w:t>一是兜牢民生保障底线</w:t>
      </w:r>
      <w:r>
        <w:rPr>
          <w:rFonts w:hint="eastAsia" w:ascii="Times New Roman" w:hAnsi="Times New Roman" w:eastAsia="仿宋_GB2312" w:cs="仿宋_GB2312"/>
          <w:sz w:val="32"/>
          <w:szCs w:val="32"/>
          <w:highlight w:val="none"/>
          <w:u w:val="none" w:color="auto"/>
          <w:lang w:val="en-US" w:eastAsia="zh-CN"/>
        </w:rPr>
        <w:t>。健全县、镇、村三级养老服务网络建设，持续推动珠玑镇综合养老服务中心建设，探索建设区域性敬老院，推动“长者饭堂”高效运营。继续落实完善困难残疾人生活补贴和重度残疾人护理补贴和孤儿、事实无人抚养儿童基本生活费增长机制，稳步提高保障水平。加强劳动者权益保障，落实根治欠薪等保障制度。</w:t>
      </w:r>
      <w:r>
        <w:rPr>
          <w:rFonts w:hint="eastAsia" w:ascii="Times New Roman" w:hAnsi="Times New Roman" w:eastAsia="仿宋_GB2312" w:cs="仿宋_GB2312"/>
          <w:b/>
          <w:bCs/>
          <w:sz w:val="32"/>
          <w:szCs w:val="32"/>
          <w:highlight w:val="none"/>
          <w:u w:val="none" w:color="auto"/>
          <w:lang w:val="en-US" w:eastAsia="zh-CN"/>
        </w:rPr>
        <w:t>二是优化公共服务供给。</w:t>
      </w:r>
      <w:r>
        <w:rPr>
          <w:rFonts w:hint="eastAsia" w:ascii="Times New Roman" w:hAnsi="Times New Roman" w:eastAsia="仿宋_GB2312" w:cs="仿宋_GB2312"/>
          <w:b w:val="0"/>
          <w:bCs w:val="0"/>
          <w:sz w:val="32"/>
          <w:szCs w:val="32"/>
          <w:highlight w:val="none"/>
          <w:u w:val="none" w:color="auto"/>
          <w:lang w:val="en-US" w:eastAsia="zh-CN"/>
        </w:rPr>
        <w:t>提升公共就业服务能力，落实就业创业政策，</w:t>
      </w:r>
      <w:r>
        <w:rPr>
          <w:rFonts w:hint="eastAsia" w:ascii="Times New Roman" w:hAnsi="Times New Roman" w:eastAsia="仿宋_GB2312" w:cs="仿宋_GB2312"/>
          <w:sz w:val="32"/>
          <w:szCs w:val="32"/>
          <w:highlight w:val="none"/>
          <w:u w:val="none" w:color="auto"/>
          <w:lang w:val="en-US" w:eastAsia="zh-CN"/>
        </w:rPr>
        <w:t>持续推进“粤菜师傅”“广东技工”“南粤家政”三项工程，促进就业创业。加快健康南雄建设，全面完成市人民医院综合门诊大楼项目建设，继续推进基层医疗机构服务项目建设。继续推进国家卫生市、卫生镇创建，创建1个</w:t>
      </w:r>
      <w:r>
        <w:rPr>
          <w:rFonts w:hint="eastAsia" w:eastAsia="仿宋_GB2312" w:cs="仿宋_GB2312"/>
          <w:sz w:val="32"/>
          <w:szCs w:val="32"/>
          <w:highlight w:val="none"/>
          <w:u w:val="none" w:color="auto"/>
          <w:lang w:val="en-US" w:eastAsia="zh-CN"/>
        </w:rPr>
        <w:t>省级</w:t>
      </w:r>
      <w:r>
        <w:rPr>
          <w:rFonts w:hint="eastAsia" w:ascii="Times New Roman" w:hAnsi="Times New Roman" w:eastAsia="仿宋_GB2312" w:cs="仿宋_GB2312"/>
          <w:sz w:val="32"/>
          <w:szCs w:val="32"/>
          <w:highlight w:val="none"/>
          <w:u w:val="none" w:color="auto"/>
          <w:lang w:val="en-US" w:eastAsia="zh-CN"/>
        </w:rPr>
        <w:t>卫生镇、10个</w:t>
      </w:r>
      <w:r>
        <w:rPr>
          <w:rFonts w:hint="eastAsia" w:eastAsia="仿宋_GB2312" w:cs="仿宋_GB2312"/>
          <w:sz w:val="32"/>
          <w:szCs w:val="32"/>
          <w:highlight w:val="none"/>
          <w:u w:val="none" w:color="auto"/>
          <w:lang w:val="en-US" w:eastAsia="zh-CN"/>
        </w:rPr>
        <w:t>省级</w:t>
      </w:r>
      <w:r>
        <w:rPr>
          <w:rFonts w:hint="eastAsia" w:ascii="Times New Roman" w:hAnsi="Times New Roman" w:eastAsia="仿宋_GB2312" w:cs="仿宋_GB2312"/>
          <w:sz w:val="32"/>
          <w:szCs w:val="32"/>
          <w:highlight w:val="none"/>
          <w:u w:val="none" w:color="auto"/>
          <w:lang w:val="en-US" w:eastAsia="zh-CN"/>
        </w:rPr>
        <w:t>卫生村。</w:t>
      </w:r>
      <w:r>
        <w:rPr>
          <w:rFonts w:hint="eastAsia" w:ascii="Times New Roman" w:hAnsi="Times New Roman" w:eastAsia="仿宋_GB2312" w:cs="仿宋_GB2312"/>
          <w:color w:val="auto"/>
          <w:sz w:val="32"/>
          <w:szCs w:val="32"/>
          <w:highlight w:val="none"/>
          <w:u w:val="none" w:color="auto"/>
          <w:lang w:val="en-US" w:eastAsia="zh-CN"/>
        </w:rPr>
        <w:t>优化教育资源配置，</w:t>
      </w:r>
      <w:r>
        <w:rPr>
          <w:rFonts w:hint="eastAsia" w:ascii="Times New Roman" w:hAnsi="Times New Roman" w:eastAsia="仿宋_GB2312" w:cs="仿宋_GB2312"/>
          <w:b w:val="0"/>
          <w:bCs w:val="0"/>
          <w:color w:val="auto"/>
          <w:sz w:val="32"/>
          <w:szCs w:val="32"/>
          <w:highlight w:val="none"/>
          <w:u w:val="none" w:color="auto"/>
          <w:lang w:val="en-US" w:eastAsia="zh-CN"/>
        </w:rPr>
        <w:t>持续推进城乡学前教育一体化管理资源中心试点项目，全力以赴推进国家学前教育普及普惠县创建工作</w:t>
      </w:r>
      <w:r>
        <w:rPr>
          <w:rFonts w:hint="eastAsia" w:ascii="Times New Roman" w:hAnsi="Times New Roman" w:eastAsia="仿宋_GB2312" w:cs="仿宋_GB2312"/>
          <w:sz w:val="32"/>
          <w:szCs w:val="32"/>
          <w:highlight w:val="none"/>
          <w:u w:val="none" w:color="auto"/>
          <w:lang w:val="en-US" w:eastAsia="zh-CN"/>
        </w:rPr>
        <w:t>。持续深化“艺益学堂”“品阅珠玑”“苏区少年说”“戏曲进乡村”等公共文化服务品牌。</w:t>
      </w:r>
      <w:r>
        <w:rPr>
          <w:rFonts w:hint="eastAsia" w:ascii="Times New Roman" w:hAnsi="Times New Roman" w:eastAsia="仿宋_GB2312" w:cs="仿宋_GB2312"/>
          <w:b/>
          <w:bCs/>
          <w:sz w:val="32"/>
          <w:szCs w:val="32"/>
          <w:highlight w:val="none"/>
          <w:u w:val="none" w:color="auto"/>
          <w:lang w:val="en-US" w:eastAsia="zh-CN"/>
        </w:rPr>
        <w:t>三是全力维护安全稳定。</w:t>
      </w:r>
      <w:r>
        <w:rPr>
          <w:rFonts w:hint="eastAsia" w:eastAsia="仿宋_GB2312" w:cs="仿宋_GB2312"/>
          <w:b w:val="0"/>
          <w:bCs w:val="0"/>
          <w:sz w:val="32"/>
          <w:szCs w:val="32"/>
          <w:highlight w:val="none"/>
          <w:u w:val="none" w:color="auto"/>
          <w:lang w:val="en-US" w:eastAsia="zh-CN"/>
        </w:rPr>
        <w:t>坚持和发展新时代“枫桥经验”，</w:t>
      </w:r>
      <w:r>
        <w:rPr>
          <w:rFonts w:hint="eastAsia" w:ascii="Times New Roman" w:hAnsi="Times New Roman" w:eastAsia="仿宋_GB2312" w:cs="仿宋_GB2312"/>
          <w:sz w:val="32"/>
          <w:szCs w:val="32"/>
          <w:highlight w:val="none"/>
          <w:u w:val="none" w:color="auto"/>
          <w:lang w:val="en-US" w:eastAsia="zh-CN"/>
        </w:rPr>
        <w:t>持续深化“1+6+N”基层社会治理工作体系建设，</w:t>
      </w:r>
      <w:r>
        <w:rPr>
          <w:rFonts w:hint="eastAsia" w:eastAsia="仿宋_GB2312" w:cs="仿宋_GB2312"/>
          <w:sz w:val="32"/>
          <w:szCs w:val="32"/>
          <w:highlight w:val="none"/>
          <w:u w:val="none" w:color="auto"/>
          <w:lang w:val="en-US" w:eastAsia="zh-CN"/>
        </w:rPr>
        <w:t>加强社会治安综合治理中心规范化建设，</w:t>
      </w:r>
      <w:r>
        <w:rPr>
          <w:rFonts w:hint="eastAsia" w:ascii="Times New Roman" w:hAnsi="Times New Roman" w:eastAsia="仿宋_GB2312" w:cs="仿宋_GB2312"/>
          <w:sz w:val="32"/>
          <w:szCs w:val="32"/>
          <w:highlight w:val="none"/>
          <w:u w:val="none" w:color="auto"/>
          <w:lang w:val="en-US" w:eastAsia="zh-CN"/>
        </w:rPr>
        <w:t>实现一站式受理、一揽子调处、全链条服务。深入推进治本攻坚三年行动及十大行业领域专项整治行动，有效推动危险化学品行业领域的安全稳定。</w:t>
      </w:r>
      <w:r>
        <w:rPr>
          <w:rFonts w:hint="eastAsia" w:eastAsia="仿宋_GB2312" w:cs="仿宋_GB2312"/>
          <w:sz w:val="32"/>
          <w:szCs w:val="32"/>
          <w:highlight w:val="none"/>
          <w:u w:val="none" w:color="auto"/>
          <w:lang w:val="en-US" w:eastAsia="zh-CN"/>
        </w:rPr>
        <w:t>持续深化平安南雄建设，严密防范渗透颠覆破坏、暴力恐怖、宗教极端活动，常态化开展扫黑除恶斗争，严厉打击各类违法犯罪行为。</w:t>
      </w:r>
    </w:p>
    <w:p>
      <w:pPr>
        <w:keepNext w:val="0"/>
        <w:keepLines w:val="0"/>
        <w:pageBreakBefore w:val="0"/>
        <w:widowControl w:val="0"/>
        <w:kinsoku/>
        <w:wordWrap/>
        <w:topLinePunct w:val="0"/>
        <w:bidi w:val="0"/>
        <w:snapToGrid/>
        <w:spacing w:line="610" w:lineRule="exact"/>
        <w:ind w:firstLine="640" w:firstLineChars="200"/>
        <w:textAlignment w:val="auto"/>
        <w:rPr>
          <w:rFonts w:hint="eastAsia" w:ascii="Times New Roman" w:hAnsi="Times New Roman" w:eastAsia="仿宋_GB2312" w:cs="仿宋_GB2312"/>
          <w:u w:val="none" w:color="auto"/>
          <w:lang w:eastAsia="zh-CN"/>
        </w:rPr>
      </w:pPr>
      <w:r>
        <w:rPr>
          <w:rFonts w:hint="eastAsia" w:ascii="楷体_GB2312" w:hAnsi="楷体_GB2312" w:eastAsia="楷体_GB2312" w:cs="楷体_GB2312"/>
          <w:b w:val="0"/>
          <w:bCs w:val="0"/>
          <w:sz w:val="32"/>
          <w:szCs w:val="32"/>
          <w:highlight w:val="none"/>
          <w:u w:val="none" w:color="auto"/>
          <w:lang w:val="en-US" w:eastAsia="zh-CN"/>
        </w:rPr>
        <w:t>（七）抓好“十五五”规划编制，科学谋划发展蓝图。</w:t>
      </w:r>
      <w:r>
        <w:rPr>
          <w:rFonts w:hint="eastAsia" w:ascii="Times New Roman" w:hAnsi="Times New Roman" w:eastAsia="仿宋_GB2312" w:cs="仿宋_GB2312"/>
          <w:b w:val="0"/>
          <w:bCs w:val="0"/>
          <w:sz w:val="32"/>
          <w:szCs w:val="32"/>
          <w:highlight w:val="none"/>
          <w:u w:val="none" w:color="auto"/>
          <w:lang w:val="en-US" w:eastAsia="zh-CN"/>
        </w:rPr>
        <w:t>“</w:t>
      </w:r>
      <w:r>
        <w:rPr>
          <w:rFonts w:hint="eastAsia" w:ascii="Times New Roman" w:hAnsi="Times New Roman" w:eastAsia="仿宋_GB2312" w:cs="仿宋_GB2312"/>
          <w:sz w:val="32"/>
          <w:szCs w:val="32"/>
          <w:u w:val="none" w:color="auto"/>
        </w:rPr>
        <w:t>十</w:t>
      </w:r>
      <w:r>
        <w:rPr>
          <w:rFonts w:hint="eastAsia" w:ascii="Times New Roman" w:hAnsi="Times New Roman" w:eastAsia="仿宋_GB2312" w:cs="仿宋_GB2312"/>
          <w:sz w:val="32"/>
          <w:szCs w:val="32"/>
          <w:u w:val="none" w:color="auto"/>
          <w:lang w:eastAsia="zh-CN"/>
        </w:rPr>
        <w:t>五</w:t>
      </w:r>
      <w:r>
        <w:rPr>
          <w:rFonts w:hint="eastAsia" w:ascii="Times New Roman" w:hAnsi="Times New Roman" w:eastAsia="仿宋_GB2312" w:cs="仿宋_GB2312"/>
          <w:sz w:val="32"/>
          <w:szCs w:val="32"/>
          <w:u w:val="none" w:color="auto"/>
        </w:rPr>
        <w:t>五”时期是实现第二个百年奋斗目标第一阶段任务，也是我国迈向2035年基本实现现代化的关键时期，编制好“十</w:t>
      </w:r>
      <w:r>
        <w:rPr>
          <w:rFonts w:hint="eastAsia" w:ascii="Times New Roman" w:hAnsi="Times New Roman" w:eastAsia="仿宋_GB2312" w:cs="仿宋_GB2312"/>
          <w:sz w:val="32"/>
          <w:szCs w:val="32"/>
          <w:u w:val="none" w:color="auto"/>
          <w:lang w:eastAsia="zh-CN"/>
        </w:rPr>
        <w:t>五</w:t>
      </w:r>
      <w:r>
        <w:rPr>
          <w:rFonts w:hint="eastAsia" w:ascii="Times New Roman" w:hAnsi="Times New Roman" w:eastAsia="仿宋_GB2312" w:cs="仿宋_GB2312"/>
          <w:sz w:val="32"/>
          <w:szCs w:val="32"/>
          <w:u w:val="none" w:color="auto"/>
        </w:rPr>
        <w:t>五”规划对于指导未来五年乃至更长时间的经济社会发展具有重要意义。</w:t>
      </w:r>
      <w:r>
        <w:rPr>
          <w:rFonts w:hint="eastAsia" w:ascii="Times New Roman" w:hAnsi="Times New Roman" w:eastAsia="仿宋_GB2312" w:cs="仿宋_GB2312"/>
          <w:b/>
          <w:bCs/>
          <w:sz w:val="32"/>
          <w:szCs w:val="32"/>
          <w:u w:val="none" w:color="auto"/>
        </w:rPr>
        <w:t>一是坚持全面规划和突出重点相协调。</w:t>
      </w:r>
      <w:r>
        <w:rPr>
          <w:rFonts w:hint="eastAsia" w:ascii="Times New Roman" w:hAnsi="Times New Roman" w:eastAsia="仿宋_GB2312" w:cs="仿宋_GB2312"/>
          <w:b w:val="0"/>
          <w:bCs w:val="0"/>
          <w:sz w:val="32"/>
          <w:szCs w:val="32"/>
          <w:u w:val="none" w:color="auto"/>
        </w:rPr>
        <w:t>既要</w:t>
      </w:r>
      <w:r>
        <w:rPr>
          <w:rFonts w:hint="eastAsia" w:ascii="Times New Roman" w:hAnsi="Times New Roman" w:eastAsia="仿宋_GB2312" w:cs="仿宋_GB2312"/>
          <w:sz w:val="32"/>
          <w:szCs w:val="32"/>
          <w:u w:val="none" w:color="auto"/>
        </w:rPr>
        <w:t>衔接2035年基本实现社会主义现代化目标</w:t>
      </w:r>
      <w:r>
        <w:rPr>
          <w:rFonts w:hint="eastAsia" w:ascii="Times New Roman" w:hAnsi="Times New Roman" w:eastAsia="仿宋_GB2312" w:cs="仿宋_GB2312"/>
          <w:sz w:val="32"/>
          <w:szCs w:val="32"/>
          <w:u w:val="none" w:color="auto"/>
          <w:lang w:eastAsia="zh-CN"/>
        </w:rPr>
        <w:t>，</w:t>
      </w:r>
      <w:r>
        <w:rPr>
          <w:rFonts w:hint="eastAsia" w:ascii="Times New Roman" w:hAnsi="Times New Roman" w:eastAsia="仿宋_GB2312" w:cs="仿宋_GB2312"/>
          <w:sz w:val="32"/>
          <w:szCs w:val="32"/>
          <w:u w:val="none" w:color="auto"/>
        </w:rPr>
        <w:t>着眼于全面服务和融入</w:t>
      </w:r>
      <w:r>
        <w:rPr>
          <w:rFonts w:hint="eastAsia" w:ascii="Times New Roman" w:hAnsi="Times New Roman" w:eastAsia="仿宋_GB2312" w:cs="仿宋_GB2312"/>
          <w:sz w:val="32"/>
          <w:szCs w:val="32"/>
          <w:u w:val="none" w:color="auto"/>
          <w:lang w:eastAsia="zh-CN"/>
        </w:rPr>
        <w:t>省委“</w:t>
      </w:r>
      <w:r>
        <w:rPr>
          <w:rFonts w:hint="eastAsia" w:ascii="Times New Roman" w:hAnsi="Times New Roman" w:eastAsia="仿宋_GB2312" w:cs="仿宋_GB2312"/>
          <w:sz w:val="32"/>
          <w:szCs w:val="32"/>
          <w:u w:val="none" w:color="auto"/>
          <w:lang w:val="en-US" w:eastAsia="zh-CN"/>
        </w:rPr>
        <w:t>1310</w:t>
      </w:r>
      <w:r>
        <w:rPr>
          <w:rFonts w:hint="eastAsia" w:ascii="Times New Roman" w:hAnsi="Times New Roman" w:eastAsia="仿宋_GB2312" w:cs="仿宋_GB2312"/>
          <w:sz w:val="32"/>
          <w:szCs w:val="32"/>
          <w:u w:val="none" w:color="auto"/>
          <w:lang w:eastAsia="zh-CN"/>
        </w:rPr>
        <w:t>”部署</w:t>
      </w:r>
      <w:r>
        <w:rPr>
          <w:rFonts w:hint="eastAsia" w:ascii="Times New Roman" w:hAnsi="Times New Roman" w:eastAsia="仿宋_GB2312" w:cs="仿宋_GB2312"/>
          <w:sz w:val="32"/>
          <w:szCs w:val="32"/>
          <w:u w:val="none" w:color="auto"/>
        </w:rPr>
        <w:t>，</w:t>
      </w:r>
      <w:r>
        <w:rPr>
          <w:rFonts w:hint="eastAsia" w:ascii="Times New Roman" w:hAnsi="Times New Roman" w:eastAsia="仿宋_GB2312" w:cs="仿宋_GB2312"/>
          <w:sz w:val="32"/>
          <w:szCs w:val="32"/>
          <w:u w:val="none" w:color="auto"/>
          <w:lang w:eastAsia="zh-CN"/>
        </w:rPr>
        <w:t>又要针对我市发展的重点领域和薄弱环节提出可行的思路和务实的举措</w:t>
      </w:r>
      <w:r>
        <w:rPr>
          <w:rFonts w:hint="eastAsia" w:ascii="Times New Roman" w:hAnsi="Times New Roman" w:eastAsia="仿宋_GB2312" w:cs="仿宋_GB2312"/>
          <w:sz w:val="32"/>
          <w:szCs w:val="32"/>
          <w:u w:val="none" w:color="auto"/>
        </w:rPr>
        <w:t>，研究启动实施一批重大工程项目、重大政策、重大改革举措。</w:t>
      </w:r>
      <w:r>
        <w:rPr>
          <w:rFonts w:hint="eastAsia" w:ascii="Times New Roman" w:hAnsi="Times New Roman" w:eastAsia="仿宋_GB2312" w:cs="仿宋_GB2312"/>
          <w:b/>
          <w:bCs/>
          <w:sz w:val="32"/>
          <w:szCs w:val="32"/>
          <w:u w:val="none" w:color="auto"/>
        </w:rPr>
        <w:t>二是注重战略性和可操作性相</w:t>
      </w:r>
      <w:r>
        <w:rPr>
          <w:rFonts w:hint="eastAsia" w:ascii="Times New Roman" w:hAnsi="Times New Roman" w:eastAsia="仿宋_GB2312" w:cs="仿宋_GB2312"/>
          <w:b/>
          <w:bCs/>
          <w:sz w:val="32"/>
          <w:szCs w:val="32"/>
          <w:u w:val="none" w:color="auto"/>
          <w:lang w:val="en-US" w:eastAsia="zh-CN"/>
        </w:rPr>
        <w:t>统一</w:t>
      </w:r>
      <w:r>
        <w:rPr>
          <w:rFonts w:hint="eastAsia" w:ascii="Times New Roman" w:hAnsi="Times New Roman" w:eastAsia="仿宋_GB2312" w:cs="仿宋_GB2312"/>
          <w:b/>
          <w:bCs/>
          <w:sz w:val="32"/>
          <w:szCs w:val="32"/>
          <w:u w:val="none" w:color="auto"/>
        </w:rPr>
        <w:t>。</w:t>
      </w:r>
      <w:r>
        <w:rPr>
          <w:rFonts w:hint="eastAsia" w:ascii="Times New Roman" w:hAnsi="Times New Roman" w:eastAsia="仿宋_GB2312" w:cs="仿宋_GB2312"/>
          <w:b w:val="0"/>
          <w:bCs w:val="0"/>
          <w:sz w:val="32"/>
          <w:szCs w:val="32"/>
          <w:u w:val="none" w:color="auto"/>
        </w:rPr>
        <w:t>在发挥县域资源</w:t>
      </w:r>
      <w:r>
        <w:rPr>
          <w:rFonts w:hint="eastAsia" w:eastAsia="仿宋_GB2312" w:cs="仿宋_GB2312"/>
          <w:b w:val="0"/>
          <w:bCs w:val="0"/>
          <w:sz w:val="32"/>
          <w:szCs w:val="32"/>
          <w:u w:val="none" w:color="auto"/>
          <w:lang w:eastAsia="zh-CN"/>
        </w:rPr>
        <w:t>禀赋</w:t>
      </w:r>
      <w:r>
        <w:rPr>
          <w:rFonts w:hint="eastAsia" w:ascii="Times New Roman" w:hAnsi="Times New Roman" w:eastAsia="仿宋_GB2312" w:cs="仿宋_GB2312"/>
          <w:b w:val="0"/>
          <w:bCs w:val="0"/>
          <w:sz w:val="32"/>
          <w:szCs w:val="32"/>
          <w:u w:val="none" w:color="auto"/>
        </w:rPr>
        <w:t>和比较优势上下功夫，进一步发挥我市的政策优势、生</w:t>
      </w:r>
      <w:r>
        <w:rPr>
          <w:rFonts w:hint="eastAsia" w:ascii="Times New Roman" w:hAnsi="Times New Roman" w:eastAsia="仿宋_GB2312" w:cs="仿宋_GB2312"/>
          <w:sz w:val="32"/>
          <w:szCs w:val="32"/>
          <w:u w:val="none" w:color="auto"/>
        </w:rPr>
        <w:t>态优势、文化优势和产业基础优势，科学设计指标体系，合理设定规划目标，明确规划实施责任主体，增强规划可操作性</w:t>
      </w:r>
      <w:r>
        <w:rPr>
          <w:rFonts w:hint="eastAsia" w:ascii="Times New Roman" w:hAnsi="Times New Roman" w:eastAsia="仿宋_GB2312" w:cs="仿宋_GB2312"/>
          <w:sz w:val="32"/>
          <w:szCs w:val="32"/>
          <w:u w:val="none" w:color="auto"/>
          <w:lang w:eastAsia="zh-CN"/>
        </w:rPr>
        <w:t>，</w:t>
      </w:r>
      <w:r>
        <w:rPr>
          <w:rFonts w:hint="eastAsia" w:ascii="Times New Roman" w:hAnsi="Times New Roman" w:eastAsia="仿宋_GB2312" w:cs="仿宋_GB2312"/>
          <w:sz w:val="32"/>
          <w:szCs w:val="32"/>
          <w:u w:val="none" w:color="auto"/>
        </w:rPr>
        <w:t>重点突出在项目谋划上更</w:t>
      </w:r>
      <w:r>
        <w:rPr>
          <w:rFonts w:hint="eastAsia" w:ascii="Times New Roman" w:hAnsi="Times New Roman" w:eastAsia="仿宋_GB2312" w:cs="仿宋_GB2312"/>
          <w:sz w:val="32"/>
          <w:szCs w:val="32"/>
          <w:u w:val="none" w:color="auto"/>
          <w:lang w:eastAsia="zh-CN"/>
        </w:rPr>
        <w:t>为科学</w:t>
      </w:r>
      <w:r>
        <w:rPr>
          <w:rFonts w:hint="eastAsia" w:ascii="Times New Roman" w:hAnsi="Times New Roman" w:eastAsia="仿宋_GB2312" w:cs="仿宋_GB2312"/>
          <w:sz w:val="32"/>
          <w:szCs w:val="32"/>
          <w:u w:val="none" w:color="auto"/>
        </w:rPr>
        <w:t>合理、更</w:t>
      </w:r>
      <w:r>
        <w:rPr>
          <w:rFonts w:hint="eastAsia" w:ascii="Times New Roman" w:hAnsi="Times New Roman" w:eastAsia="仿宋_GB2312" w:cs="仿宋_GB2312"/>
          <w:sz w:val="32"/>
          <w:szCs w:val="32"/>
          <w:u w:val="none" w:color="auto"/>
          <w:lang w:eastAsia="zh-CN"/>
        </w:rPr>
        <w:t>加</w:t>
      </w:r>
      <w:r>
        <w:rPr>
          <w:rFonts w:hint="eastAsia" w:ascii="Times New Roman" w:hAnsi="Times New Roman" w:eastAsia="仿宋_GB2312" w:cs="仿宋_GB2312"/>
          <w:sz w:val="32"/>
          <w:szCs w:val="32"/>
          <w:u w:val="none" w:color="auto"/>
        </w:rPr>
        <w:t>符合实际。</w:t>
      </w:r>
      <w:r>
        <w:rPr>
          <w:rFonts w:hint="eastAsia" w:ascii="Times New Roman" w:hAnsi="Times New Roman" w:eastAsia="仿宋_GB2312" w:cs="仿宋_GB2312"/>
          <w:b/>
          <w:bCs/>
          <w:sz w:val="32"/>
          <w:szCs w:val="32"/>
          <w:u w:val="none" w:color="auto"/>
        </w:rPr>
        <w:t>三是坚持科学规划与开门规划相</w:t>
      </w:r>
      <w:r>
        <w:rPr>
          <w:rFonts w:hint="eastAsia" w:ascii="Times New Roman" w:hAnsi="Times New Roman" w:eastAsia="仿宋_GB2312" w:cs="仿宋_GB2312"/>
          <w:b/>
          <w:bCs/>
          <w:sz w:val="32"/>
          <w:szCs w:val="32"/>
          <w:u w:val="none" w:color="auto"/>
          <w:lang w:eastAsia="zh-CN"/>
        </w:rPr>
        <w:t>结合</w:t>
      </w:r>
      <w:r>
        <w:rPr>
          <w:rFonts w:hint="eastAsia" w:ascii="Times New Roman" w:hAnsi="Times New Roman" w:eastAsia="仿宋_GB2312" w:cs="仿宋_GB2312"/>
          <w:b/>
          <w:bCs/>
          <w:sz w:val="32"/>
          <w:szCs w:val="32"/>
          <w:u w:val="none" w:color="auto"/>
        </w:rPr>
        <w:t>。</w:t>
      </w:r>
      <w:r>
        <w:rPr>
          <w:rFonts w:hint="eastAsia" w:ascii="Times New Roman" w:hAnsi="Times New Roman" w:eastAsia="仿宋_GB2312" w:cs="仿宋_GB2312"/>
          <w:b w:val="0"/>
          <w:bCs w:val="0"/>
          <w:sz w:val="32"/>
          <w:szCs w:val="32"/>
          <w:u w:val="none" w:color="auto"/>
          <w:lang w:val="en-US" w:eastAsia="zh-CN"/>
        </w:rPr>
        <w:t>做深做实</w:t>
      </w:r>
      <w:r>
        <w:rPr>
          <w:rFonts w:hint="eastAsia" w:ascii="Times New Roman" w:hAnsi="Times New Roman" w:eastAsia="仿宋_GB2312" w:cs="仿宋_GB2312"/>
          <w:b w:val="0"/>
          <w:bCs w:val="0"/>
          <w:sz w:val="32"/>
          <w:szCs w:val="32"/>
          <w:u w:val="none" w:color="auto"/>
        </w:rPr>
        <w:t>前期研究，</w:t>
      </w:r>
      <w:r>
        <w:rPr>
          <w:rFonts w:hint="eastAsia" w:ascii="Times New Roman" w:hAnsi="Times New Roman" w:eastAsia="仿宋_GB2312" w:cs="仿宋_GB2312"/>
          <w:sz w:val="32"/>
          <w:szCs w:val="32"/>
          <w:u w:val="none" w:color="auto"/>
          <w:lang w:eastAsia="zh-CN"/>
        </w:rPr>
        <w:t>统筹推进</w:t>
      </w:r>
      <w:r>
        <w:rPr>
          <w:rFonts w:hint="eastAsia" w:ascii="Times New Roman" w:hAnsi="Times New Roman" w:eastAsia="仿宋_GB2312" w:cs="仿宋_GB2312"/>
          <w:sz w:val="32"/>
          <w:szCs w:val="32"/>
          <w:u w:val="none" w:color="auto"/>
        </w:rPr>
        <w:t>“十五五”规划纲要</w:t>
      </w:r>
      <w:r>
        <w:rPr>
          <w:rFonts w:hint="eastAsia" w:ascii="Times New Roman" w:hAnsi="Times New Roman" w:eastAsia="仿宋_GB2312" w:cs="仿宋_GB2312"/>
          <w:sz w:val="32"/>
          <w:szCs w:val="32"/>
          <w:u w:val="none" w:color="auto"/>
          <w:lang w:eastAsia="zh-CN"/>
        </w:rPr>
        <w:t>和各专项规划编制</w:t>
      </w:r>
      <w:r>
        <w:rPr>
          <w:rFonts w:hint="eastAsia" w:ascii="Times New Roman" w:hAnsi="Times New Roman" w:eastAsia="仿宋_GB2312" w:cs="仿宋_GB2312"/>
          <w:sz w:val="32"/>
          <w:szCs w:val="32"/>
          <w:u w:val="none" w:color="auto"/>
        </w:rPr>
        <w:t>，使规划突出地方特色，因地制宜指导发展</w:t>
      </w:r>
      <w:r>
        <w:rPr>
          <w:rFonts w:hint="eastAsia" w:ascii="Times New Roman" w:hAnsi="Times New Roman" w:eastAsia="仿宋_GB2312" w:cs="仿宋_GB2312"/>
          <w:sz w:val="32"/>
          <w:szCs w:val="32"/>
          <w:u w:val="none" w:color="auto"/>
          <w:lang w:eastAsia="zh-CN"/>
        </w:rPr>
        <w:t>。同时要充分发扬民主</w:t>
      </w:r>
      <w:r>
        <w:rPr>
          <w:rFonts w:hint="eastAsia" w:ascii="Times New Roman" w:hAnsi="Times New Roman" w:eastAsia="仿宋_GB2312" w:cs="仿宋_GB2312"/>
          <w:sz w:val="32"/>
          <w:szCs w:val="32"/>
          <w:u w:val="none" w:color="auto"/>
          <w:lang w:val="en-US" w:eastAsia="zh-CN"/>
        </w:rPr>
        <w:t>精神</w:t>
      </w:r>
      <w:r>
        <w:rPr>
          <w:rFonts w:hint="eastAsia" w:ascii="Times New Roman" w:hAnsi="Times New Roman" w:eastAsia="仿宋_GB2312" w:cs="仿宋_GB2312"/>
          <w:sz w:val="32"/>
          <w:szCs w:val="32"/>
          <w:u w:val="none" w:color="auto"/>
          <w:lang w:eastAsia="zh-CN"/>
        </w:rPr>
        <w:t>，广泛听取意见，增强规划编制的透明度和社会参与度，使规划真正体现民需、民情和民意。</w:t>
      </w:r>
    </w:p>
    <w:p>
      <w:pPr>
        <w:keepNext w:val="0"/>
        <w:keepLines w:val="0"/>
        <w:pageBreakBefore w:val="0"/>
        <w:widowControl w:val="0"/>
        <w:kinsoku/>
        <w:wordWrap/>
        <w:overflowPunct/>
        <w:topLinePunct w:val="0"/>
        <w:bidi w:val="0"/>
        <w:snapToGrid/>
        <w:spacing w:line="610" w:lineRule="exact"/>
        <w:ind w:left="0" w:leftChars="0" w:firstLine="640" w:firstLineChars="200"/>
        <w:textAlignment w:val="auto"/>
        <w:rPr>
          <w:rFonts w:hint="eastAsia" w:ascii="Times New Roman" w:hAnsi="Times New Roman" w:eastAsia="仿宋_GB2312" w:cs="仿宋_GB2312"/>
          <w:sz w:val="32"/>
          <w:szCs w:val="32"/>
          <w:highlight w:val="none"/>
          <w:u w:val="none" w:color="auto"/>
        </w:rPr>
      </w:pPr>
      <w:r>
        <w:rPr>
          <w:rFonts w:hint="eastAsia" w:ascii="Times New Roman" w:hAnsi="Times New Roman" w:eastAsia="仿宋_GB2312" w:cs="仿宋_GB2312"/>
          <w:sz w:val="32"/>
          <w:szCs w:val="32"/>
          <w:highlight w:val="none"/>
          <w:u w:val="none" w:color="auto"/>
        </w:rPr>
        <w:t>做好202</w:t>
      </w:r>
      <w:r>
        <w:rPr>
          <w:rFonts w:hint="eastAsia" w:ascii="Times New Roman" w:hAnsi="Times New Roman" w:eastAsia="仿宋_GB2312" w:cs="仿宋_GB2312"/>
          <w:sz w:val="32"/>
          <w:szCs w:val="32"/>
          <w:highlight w:val="none"/>
          <w:u w:val="none" w:color="auto"/>
          <w:lang w:val="en-US" w:eastAsia="zh-CN"/>
        </w:rPr>
        <w:t>5</w:t>
      </w:r>
      <w:r>
        <w:rPr>
          <w:rFonts w:hint="eastAsia" w:ascii="Times New Roman" w:hAnsi="Times New Roman" w:eastAsia="仿宋_GB2312" w:cs="仿宋_GB2312"/>
          <w:sz w:val="32"/>
          <w:szCs w:val="32"/>
          <w:highlight w:val="none"/>
          <w:u w:val="none" w:color="auto"/>
        </w:rPr>
        <w:t>年的工作，任务艰巨，责任重大。我们将在市委的坚强领导下，在市人大及其常委会的监督支持下，</w:t>
      </w:r>
      <w:r>
        <w:rPr>
          <w:rFonts w:hint="eastAsia" w:ascii="Times New Roman" w:hAnsi="Times New Roman" w:eastAsia="仿宋_GB2312" w:cs="仿宋_GB2312"/>
          <w:kern w:val="32"/>
          <w:sz w:val="32"/>
          <w:szCs w:val="32"/>
          <w:highlight w:val="none"/>
          <w:u w:val="none" w:color="auto"/>
        </w:rPr>
        <w:t>认真贯彻落实习近平总书记在中央经济工作会议上的重要讲话精神，深刻把握经济工作的总体要求和政策取向，</w:t>
      </w:r>
      <w:r>
        <w:rPr>
          <w:rFonts w:hint="eastAsia" w:ascii="Times New Roman" w:hAnsi="Times New Roman" w:eastAsia="仿宋_GB2312" w:cs="仿宋_GB2312"/>
          <w:kern w:val="32"/>
          <w:sz w:val="32"/>
          <w:szCs w:val="32"/>
          <w:highlight w:val="none"/>
          <w:u w:val="none" w:color="auto"/>
          <w:lang w:eastAsia="zh-CN"/>
        </w:rPr>
        <w:t>坚定落实</w:t>
      </w:r>
      <w:r>
        <w:rPr>
          <w:rFonts w:hint="eastAsia" w:ascii="Times New Roman" w:hAnsi="Times New Roman" w:eastAsia="仿宋_GB2312" w:cs="仿宋_GB2312"/>
          <w:kern w:val="32"/>
          <w:sz w:val="32"/>
          <w:szCs w:val="32"/>
          <w:highlight w:val="none"/>
          <w:u w:val="none" w:color="auto"/>
        </w:rPr>
        <w:t>更加积极的财政政策和适度宽松的货币政策，大力提振消费、提高投资效益，</w:t>
      </w:r>
      <w:r>
        <w:rPr>
          <w:rFonts w:hint="eastAsia" w:ascii="Times New Roman" w:hAnsi="Times New Roman" w:eastAsia="仿宋_GB2312" w:cs="仿宋_GB2312"/>
          <w:sz w:val="32"/>
          <w:szCs w:val="32"/>
          <w:highlight w:val="none"/>
          <w:u w:val="none" w:color="auto"/>
        </w:rPr>
        <w:t>坚定信心</w:t>
      </w:r>
      <w:r>
        <w:rPr>
          <w:rFonts w:hint="eastAsia" w:ascii="Times New Roman" w:hAnsi="Times New Roman" w:eastAsia="仿宋_GB2312" w:cs="仿宋_GB2312"/>
          <w:sz w:val="32"/>
          <w:szCs w:val="32"/>
          <w:highlight w:val="none"/>
          <w:u w:val="none" w:color="auto"/>
          <w:lang w:eastAsia="zh-CN"/>
        </w:rPr>
        <w:t>、</w:t>
      </w:r>
      <w:r>
        <w:rPr>
          <w:rFonts w:hint="eastAsia" w:ascii="Times New Roman" w:hAnsi="Times New Roman" w:eastAsia="仿宋_GB2312" w:cs="仿宋_GB2312"/>
          <w:sz w:val="32"/>
          <w:szCs w:val="32"/>
          <w:highlight w:val="none"/>
          <w:u w:val="none" w:color="auto"/>
        </w:rPr>
        <w:t>埋头苦干</w:t>
      </w:r>
      <w:r>
        <w:rPr>
          <w:rFonts w:hint="eastAsia" w:ascii="Times New Roman" w:hAnsi="Times New Roman" w:eastAsia="仿宋_GB2312" w:cs="仿宋_GB2312"/>
          <w:sz w:val="32"/>
          <w:szCs w:val="32"/>
          <w:highlight w:val="none"/>
          <w:u w:val="none" w:color="auto"/>
          <w:lang w:eastAsia="zh-CN"/>
        </w:rPr>
        <w:t>，</w:t>
      </w:r>
      <w:r>
        <w:rPr>
          <w:rFonts w:hint="eastAsia" w:ascii="Times New Roman" w:hAnsi="Times New Roman" w:eastAsia="仿宋_GB2312" w:cs="仿宋_GB2312"/>
          <w:sz w:val="32"/>
          <w:szCs w:val="32"/>
          <w:highlight w:val="none"/>
          <w:u w:val="none" w:color="auto"/>
        </w:rPr>
        <w:t>破解发展难题，乘势而上开创南雄高质量发展新局面，为顺利完成我市202</w:t>
      </w:r>
      <w:r>
        <w:rPr>
          <w:rFonts w:hint="eastAsia" w:ascii="Times New Roman" w:hAnsi="Times New Roman" w:eastAsia="仿宋_GB2312" w:cs="仿宋_GB2312"/>
          <w:sz w:val="32"/>
          <w:szCs w:val="32"/>
          <w:highlight w:val="none"/>
          <w:u w:val="none" w:color="auto"/>
          <w:lang w:val="en-US" w:eastAsia="zh-CN"/>
        </w:rPr>
        <w:t>5</w:t>
      </w:r>
      <w:r>
        <w:rPr>
          <w:rFonts w:hint="eastAsia" w:ascii="Times New Roman" w:hAnsi="Times New Roman" w:eastAsia="仿宋_GB2312" w:cs="仿宋_GB2312"/>
          <w:sz w:val="32"/>
          <w:szCs w:val="32"/>
          <w:highlight w:val="none"/>
          <w:u w:val="none" w:color="auto"/>
        </w:rPr>
        <w:t>年国民经济和社会发展各项目标而努力奋斗！</w:t>
      </w:r>
    </w:p>
    <w:p>
      <w:pPr>
        <w:pStyle w:val="2"/>
        <w:keepNext w:val="0"/>
        <w:keepLines w:val="0"/>
        <w:pageBreakBefore w:val="0"/>
        <w:widowControl w:val="0"/>
        <w:kinsoku/>
        <w:wordWrap/>
        <w:overflowPunct/>
        <w:topLinePunct w:val="0"/>
        <w:bidi w:val="0"/>
        <w:snapToGrid/>
        <w:spacing w:line="610" w:lineRule="exact"/>
        <w:ind w:firstLine="640" w:firstLineChars="200"/>
        <w:textAlignment w:val="auto"/>
        <w:rPr>
          <w:rFonts w:ascii="Times New Roman" w:cs="Times New Roman"/>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highlight w:val="none"/>
          <w:u w:val="none" w:color="auto"/>
          <w14:textFill>
            <w14:solidFill>
              <w14:schemeClr w14:val="tx1"/>
            </w14:solidFill>
          </w14:textFill>
        </w:rPr>
        <w:t>以上报告，请予审议。</w:t>
      </w:r>
    </w:p>
    <w:p>
      <w:pPr>
        <w:pStyle w:val="2"/>
        <w:keepNext w:val="0"/>
        <w:keepLines w:val="0"/>
        <w:pageBreakBefore w:val="0"/>
        <w:widowControl w:val="0"/>
        <w:kinsoku/>
        <w:wordWrap/>
        <w:topLinePunct w:val="0"/>
        <w:bidi w:val="0"/>
        <w:snapToGrid/>
        <w:spacing w:line="610" w:lineRule="exact"/>
        <w:ind w:firstLine="640" w:firstLineChars="200"/>
        <w:jc w:val="both"/>
        <w:textAlignment w:val="auto"/>
        <w:rPr>
          <w:rFonts w:ascii="Times New Roman" w:cs="Times New Roman"/>
          <w:sz w:val="32"/>
          <w:szCs w:val="32"/>
        </w:rPr>
      </w:pPr>
    </w:p>
    <w:p>
      <w:pPr>
        <w:pStyle w:val="2"/>
        <w:keepNext w:val="0"/>
        <w:keepLines w:val="0"/>
        <w:pageBreakBefore w:val="0"/>
        <w:widowControl w:val="0"/>
        <w:kinsoku/>
        <w:wordWrap/>
        <w:overflowPunct/>
        <w:topLinePunct w:val="0"/>
        <w:bidi w:val="0"/>
        <w:snapToGrid/>
        <w:spacing w:line="610" w:lineRule="exact"/>
        <w:ind w:firstLine="640" w:firstLineChars="200"/>
        <w:jc w:val="both"/>
        <w:textAlignment w:val="auto"/>
        <w:rPr>
          <w:rFonts w:hint="eastAsia" w:ascii="仿宋_GB2312" w:hAnsi="仿宋_GB2312" w:eastAsia="仿宋_GB2312" w:cs="仿宋_GB2312"/>
          <w:sz w:val="32"/>
          <w:szCs w:val="32"/>
          <w:highlight w:val="none"/>
        </w:rPr>
      </w:pPr>
      <w:r>
        <w:rPr>
          <w:rFonts w:hint="eastAsia" w:hAnsi="仿宋_GB2312" w:cs="仿宋_GB2312"/>
          <w:sz w:val="32"/>
          <w:szCs w:val="32"/>
          <w:highlight w:val="none"/>
          <w:lang w:eastAsia="zh-CN"/>
        </w:rPr>
        <w:t>附件</w:t>
      </w:r>
      <w:r>
        <w:rPr>
          <w:rFonts w:hint="eastAsia" w:ascii="仿宋_GB2312" w:hAnsi="仿宋_GB2312" w:eastAsia="仿宋_GB2312" w:cs="仿宋_GB2312"/>
          <w:sz w:val="32"/>
          <w:szCs w:val="32"/>
          <w:highlight w:val="none"/>
        </w:rPr>
        <w:t>：</w:t>
      </w:r>
      <w:r>
        <w:rPr>
          <w:rFonts w:hint="default" w:ascii="Times New Roman" w:hAnsi="Times New Roman" w:eastAsia="仿宋_GB2312" w:cs="Times New Roman"/>
          <w:sz w:val="32"/>
          <w:szCs w:val="32"/>
          <w:highlight w:val="none"/>
        </w:rPr>
        <w:t>1</w:t>
      </w:r>
      <w:r>
        <w:rPr>
          <w:rFonts w:hint="eastAsia" w:ascii="仿宋_GB2312" w:hAnsi="仿宋_GB2312" w:eastAsia="仿宋_GB2312" w:cs="仿宋_GB2312"/>
          <w:sz w:val="32"/>
          <w:szCs w:val="32"/>
          <w:highlight w:val="none"/>
        </w:rPr>
        <w:t>.关于落实南雄市第十</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届人民代表大会第</w:t>
      </w:r>
      <w:r>
        <w:rPr>
          <w:rFonts w:hint="eastAsia" w:hAnsi="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次</w:t>
      </w:r>
    </w:p>
    <w:p>
      <w:pPr>
        <w:pStyle w:val="2"/>
        <w:keepNext w:val="0"/>
        <w:keepLines w:val="0"/>
        <w:pageBreakBefore w:val="0"/>
        <w:widowControl w:val="0"/>
        <w:kinsoku/>
        <w:wordWrap/>
        <w:overflowPunct/>
        <w:topLinePunct w:val="0"/>
        <w:bidi w:val="0"/>
        <w:snapToGrid/>
        <w:spacing w:line="610" w:lineRule="exact"/>
        <w:ind w:firstLine="1920" w:firstLineChars="600"/>
        <w:jc w:val="both"/>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会议决议的情况</w:t>
      </w:r>
    </w:p>
    <w:p>
      <w:pPr>
        <w:pStyle w:val="2"/>
        <w:keepNext w:val="0"/>
        <w:keepLines w:val="0"/>
        <w:pageBreakBefore w:val="0"/>
        <w:widowControl w:val="0"/>
        <w:kinsoku/>
        <w:wordWrap/>
        <w:overflowPunct/>
        <w:topLinePunct w:val="0"/>
        <w:bidi w:val="0"/>
        <w:snapToGrid/>
        <w:spacing w:line="610" w:lineRule="exact"/>
        <w:ind w:firstLine="1600" w:firstLineChars="500"/>
        <w:jc w:val="both"/>
        <w:textAlignment w:val="auto"/>
        <w:rPr>
          <w:rFonts w:hint="eastAsia" w:ascii="仿宋_GB2312" w:hAnsi="仿宋_GB2312" w:eastAsia="仿宋_GB2312" w:cs="仿宋_GB2312"/>
        </w:rPr>
      </w:pPr>
      <w:r>
        <w:rPr>
          <w:rFonts w:hint="default" w:ascii="Times New Roman" w:hAnsi="Times New Roman" w:eastAsia="仿宋_GB2312" w:cs="Times New Roman"/>
          <w:sz w:val="32"/>
          <w:szCs w:val="32"/>
          <w:highlight w:val="none"/>
        </w:rPr>
        <w:t>2</w:t>
      </w:r>
      <w:r>
        <w:rPr>
          <w:rFonts w:hint="eastAsia" w:ascii="仿宋_GB2312" w:hAnsi="仿宋_GB2312" w:eastAsia="仿宋_GB2312" w:cs="仿宋_GB2312"/>
          <w:sz w:val="32"/>
          <w:szCs w:val="32"/>
          <w:highlight w:val="none"/>
        </w:rPr>
        <w:t>.主要指标及术语简介</w:t>
      </w:r>
    </w:p>
    <w:p>
      <w:pPr>
        <w:keepNext w:val="0"/>
        <w:keepLines w:val="0"/>
        <w:pageBreakBefore w:val="0"/>
        <w:kinsoku/>
        <w:topLinePunct w:val="0"/>
        <w:bidi w:val="0"/>
        <w:snapToGrid/>
        <w:spacing w:line="610" w:lineRule="exact"/>
      </w:pPr>
      <w:r>
        <w:br w:type="page"/>
      </w:r>
    </w:p>
    <w:p>
      <w:pPr>
        <w:keepNext w:val="0"/>
        <w:keepLines w:val="0"/>
        <w:pageBreakBefore w:val="0"/>
        <w:widowControl/>
        <w:kinsoku/>
        <w:wordWrap/>
        <w:topLinePunct w:val="0"/>
        <w:bidi w:val="0"/>
        <w:snapToGrid/>
        <w:spacing w:line="61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附件1</w:t>
      </w:r>
    </w:p>
    <w:p>
      <w:pPr>
        <w:keepNext w:val="0"/>
        <w:keepLines w:val="0"/>
        <w:pageBreakBefore w:val="0"/>
        <w:widowControl w:val="0"/>
        <w:kinsoku/>
        <w:wordWrap/>
        <w:overflowPunct/>
        <w:topLinePunct w:val="0"/>
        <w:autoSpaceDE/>
        <w:autoSpaceDN/>
        <w:bidi w:val="0"/>
        <w:adjustRightInd/>
        <w:snapToGrid/>
        <w:spacing w:line="610" w:lineRule="exact"/>
        <w:jc w:val="both"/>
        <w:textAlignment w:val="auto"/>
        <w:rPr>
          <w:rFonts w:hint="default" w:ascii="Times New Roman" w:hAnsi="Times New Roman" w:eastAsia="方正小标宋简体" w:cs="Times New Roman"/>
          <w:sz w:val="44"/>
          <w:szCs w:val="44"/>
          <w:highlight w:val="none"/>
        </w:rPr>
      </w:pP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sz w:val="44"/>
          <w:szCs w:val="44"/>
          <w:highlight w:val="none"/>
        </w:rPr>
        <w:t>关于落实南雄市第</w:t>
      </w:r>
      <w:r>
        <w:rPr>
          <w:rFonts w:hint="eastAsia" w:ascii="Times New Roman" w:hAnsi="Times New Roman" w:eastAsia="方正小标宋简体" w:cs="Times New Roman"/>
          <w:sz w:val="44"/>
          <w:szCs w:val="44"/>
          <w:highlight w:val="none"/>
          <w:lang w:val="en-US" w:eastAsia="zh-CN"/>
        </w:rPr>
        <w:t>十六</w:t>
      </w:r>
      <w:r>
        <w:rPr>
          <w:rFonts w:hint="default" w:ascii="Times New Roman" w:hAnsi="Times New Roman" w:eastAsia="方正小标宋简体" w:cs="Times New Roman"/>
          <w:sz w:val="44"/>
          <w:szCs w:val="44"/>
          <w:highlight w:val="none"/>
        </w:rPr>
        <w:t>届人民代表大会</w:t>
      </w:r>
    </w:p>
    <w:p>
      <w:pPr>
        <w:keepNext w:val="0"/>
        <w:keepLines w:val="0"/>
        <w:pageBreakBefore w:val="0"/>
        <w:widowControl w:val="0"/>
        <w:kinsoku/>
        <w:wordWrap/>
        <w:overflowPunct/>
        <w:topLinePunct w:val="0"/>
        <w:autoSpaceDE/>
        <w:autoSpaceDN/>
        <w:bidi w:val="0"/>
        <w:adjustRightInd/>
        <w:snapToGrid/>
        <w:spacing w:line="610" w:lineRule="exact"/>
        <w:jc w:val="center"/>
        <w:textAlignment w:val="auto"/>
        <w:rPr>
          <w:rFonts w:hint="default" w:ascii="Times New Roman" w:hAnsi="Times New Roman" w:eastAsia="方正小标宋简体" w:cs="Times New Roman"/>
          <w:sz w:val="44"/>
          <w:szCs w:val="44"/>
          <w:highlight w:val="none"/>
        </w:rPr>
      </w:pPr>
      <w:r>
        <w:rPr>
          <w:rFonts w:hint="default" w:ascii="Times New Roman" w:hAnsi="Times New Roman" w:eastAsia="方正小标宋简体" w:cs="Times New Roman"/>
          <w:color w:val="auto"/>
          <w:sz w:val="44"/>
          <w:szCs w:val="44"/>
          <w:highlight w:val="none"/>
        </w:rPr>
        <w:t>第</w:t>
      </w:r>
      <w:r>
        <w:rPr>
          <w:rFonts w:hint="eastAsia" w:eastAsia="方正小标宋简体" w:cs="Times New Roman"/>
          <w:color w:val="auto"/>
          <w:sz w:val="44"/>
          <w:szCs w:val="44"/>
          <w:highlight w:val="none"/>
          <w:lang w:val="en-US" w:eastAsia="zh-CN"/>
        </w:rPr>
        <w:t>四</w:t>
      </w:r>
      <w:r>
        <w:rPr>
          <w:rFonts w:hint="default" w:ascii="Times New Roman" w:hAnsi="Times New Roman" w:eastAsia="方正小标宋简体" w:cs="Times New Roman"/>
          <w:color w:val="auto"/>
          <w:sz w:val="44"/>
          <w:szCs w:val="44"/>
          <w:highlight w:val="none"/>
        </w:rPr>
        <w:t>次</w:t>
      </w:r>
      <w:r>
        <w:rPr>
          <w:rFonts w:hint="default" w:ascii="Times New Roman" w:hAnsi="Times New Roman" w:eastAsia="方正小标宋简体" w:cs="Times New Roman"/>
          <w:sz w:val="44"/>
          <w:szCs w:val="44"/>
          <w:highlight w:val="none"/>
        </w:rPr>
        <w:t>会议决议的情况</w:t>
      </w:r>
    </w:p>
    <w:p>
      <w:pPr>
        <w:keepNext w:val="0"/>
        <w:keepLines w:val="0"/>
        <w:pageBreakBefore w:val="0"/>
        <w:widowControl w:val="0"/>
        <w:kinsoku/>
        <w:wordWrap/>
        <w:overflowPunct/>
        <w:topLinePunct w:val="0"/>
        <w:autoSpaceDE/>
        <w:autoSpaceDN/>
        <w:bidi w:val="0"/>
        <w:adjustRightInd/>
        <w:snapToGrid/>
        <w:spacing w:line="610" w:lineRule="exact"/>
        <w:textAlignment w:val="auto"/>
        <w:rPr>
          <w:rFonts w:hint="default" w:ascii="Times New Roman" w:hAnsi="Times New Roman" w:cs="Times New Roman"/>
          <w:color w:val="333333"/>
          <w:sz w:val="24"/>
          <w:highlight w:val="none"/>
        </w:rPr>
      </w:pP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auto"/>
        <w:rPr>
          <w:rFonts w:hint="default" w:ascii="Times New Roman" w:hAnsi="Times New Roman" w:eastAsia="仿宋_GB2312" w:cs="Times New Roman"/>
          <w:color w:val="000000"/>
          <w:sz w:val="32"/>
          <w:szCs w:val="32"/>
          <w:highlight w:val="none"/>
        </w:rPr>
      </w:pPr>
      <w:r>
        <w:rPr>
          <w:rFonts w:hint="default" w:ascii="Times New Roman" w:hAnsi="Times New Roman" w:eastAsia="仿宋_GB2312" w:cs="Times New Roman"/>
          <w:color w:val="000000"/>
          <w:sz w:val="32"/>
          <w:szCs w:val="32"/>
          <w:highlight w:val="none"/>
        </w:rPr>
        <w:t>在202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w:t>
      </w:r>
      <w:r>
        <w:rPr>
          <w:rFonts w:hint="default" w:ascii="Times New Roman" w:hAnsi="Times New Roman" w:eastAsia="仿宋_GB2312" w:cs="Times New Roman"/>
          <w:color w:val="000000"/>
          <w:sz w:val="32"/>
          <w:szCs w:val="32"/>
          <w:highlight w:val="none"/>
          <w:lang w:val="en-US" w:eastAsia="zh-CN"/>
        </w:rPr>
        <w:t>2</w:t>
      </w:r>
      <w:r>
        <w:rPr>
          <w:rFonts w:hint="default" w:ascii="Times New Roman" w:hAnsi="Times New Roman" w:eastAsia="仿宋_GB2312" w:cs="Times New Roman"/>
          <w:color w:val="000000"/>
          <w:sz w:val="32"/>
          <w:szCs w:val="32"/>
          <w:highlight w:val="none"/>
        </w:rPr>
        <w:t>月</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日召开的南雄市第十</w:t>
      </w:r>
      <w:r>
        <w:rPr>
          <w:rFonts w:hint="default" w:ascii="Times New Roman" w:hAnsi="Times New Roman" w:eastAsia="仿宋_GB2312" w:cs="Times New Roman"/>
          <w:color w:val="000000"/>
          <w:sz w:val="32"/>
          <w:szCs w:val="32"/>
          <w:highlight w:val="none"/>
          <w:lang w:val="en-US" w:eastAsia="zh-CN"/>
        </w:rPr>
        <w:t>六</w:t>
      </w:r>
      <w:r>
        <w:rPr>
          <w:rFonts w:hint="default" w:ascii="Times New Roman" w:hAnsi="Times New Roman" w:eastAsia="仿宋_GB2312" w:cs="Times New Roman"/>
          <w:color w:val="000000"/>
          <w:sz w:val="32"/>
          <w:szCs w:val="32"/>
          <w:highlight w:val="none"/>
        </w:rPr>
        <w:t>届人民代表大会第</w:t>
      </w:r>
      <w:r>
        <w:rPr>
          <w:rFonts w:hint="eastAsia" w:eastAsia="仿宋_GB2312" w:cs="Times New Roman"/>
          <w:color w:val="000000"/>
          <w:sz w:val="32"/>
          <w:szCs w:val="32"/>
          <w:highlight w:val="none"/>
          <w:lang w:val="en-US" w:eastAsia="zh-CN"/>
        </w:rPr>
        <w:t>四</w:t>
      </w:r>
      <w:r>
        <w:rPr>
          <w:rFonts w:hint="default" w:ascii="Times New Roman" w:hAnsi="Times New Roman" w:eastAsia="仿宋_GB2312" w:cs="Times New Roman"/>
          <w:color w:val="000000"/>
          <w:sz w:val="32"/>
          <w:szCs w:val="32"/>
          <w:highlight w:val="none"/>
        </w:rPr>
        <w:t>次会议上，市人大财政经济委员会对我市《关于南雄市202</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年国民经济和社会发展计划执行情况及202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年计划草案的报告》进行了审查，会后下发了《南雄市第十六届人民代表大会财政经济委员会关于202</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rPr>
        <w:t>年国民经济和社会发展计划执行情况及202</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rPr>
        <w:t>年计划草案的审查结果报告》，提出了四点建议，市政府高度重视并积极贯彻落实，现将情况报告如下：</w:t>
      </w:r>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黑体" w:cs="Times New Roman"/>
          <w:color w:val="auto"/>
          <w:sz w:val="32"/>
          <w:szCs w:val="32"/>
          <w:highlight w:val="none"/>
          <w:u w:val="none"/>
          <w:lang w:val="en-US" w:eastAsia="zh-CN"/>
        </w:rPr>
        <w:t>一、</w:t>
      </w:r>
      <w:r>
        <w:rPr>
          <w:rFonts w:hint="default" w:ascii="Times New Roman" w:hAnsi="Times New Roman" w:eastAsia="黑体" w:cs="Times New Roman"/>
          <w:sz w:val="32"/>
          <w:szCs w:val="32"/>
          <w:lang w:val="en-US" w:eastAsia="zh-CN"/>
        </w:rPr>
        <w:t>深入实施“百千万工程”，推动县域经济结构优化</w:t>
      </w:r>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坚持实体经济为本、制造业当家，持续优化产业结构。全年完成规上工业增加值15.</w:t>
      </w:r>
      <w:r>
        <w:rPr>
          <w:rFonts w:hint="eastAsia" w:eastAsia="仿宋_GB2312" w:cs="Times New Roman"/>
          <w:color w:val="000000"/>
          <w:sz w:val="32"/>
          <w:szCs w:val="32"/>
          <w:highlight w:val="none"/>
          <w:lang w:val="en-US" w:eastAsia="zh-CN"/>
        </w:rPr>
        <w:t>48</w:t>
      </w:r>
      <w:r>
        <w:rPr>
          <w:rFonts w:hint="default" w:ascii="Times New Roman" w:hAnsi="Times New Roman" w:eastAsia="仿宋_GB2312" w:cs="Times New Roman"/>
          <w:color w:val="000000"/>
          <w:sz w:val="32"/>
          <w:szCs w:val="32"/>
          <w:highlight w:val="none"/>
          <w:lang w:val="en-US" w:eastAsia="zh-CN"/>
        </w:rPr>
        <w:t>亿元、增长11</w:t>
      </w:r>
      <w:r>
        <w:rPr>
          <w:rFonts w:hint="eastAsia" w:eastAsia="仿宋_GB2312" w:cs="Times New Roman"/>
          <w:color w:val="000000"/>
          <w:sz w:val="32"/>
          <w:szCs w:val="32"/>
          <w:highlight w:val="none"/>
          <w:lang w:val="en-US" w:eastAsia="zh-CN"/>
        </w:rPr>
        <w:t>.4</w:t>
      </w:r>
      <w:r>
        <w:rPr>
          <w:rFonts w:hint="default" w:ascii="Times New Roman" w:hAnsi="Times New Roman" w:eastAsia="仿宋_GB2312" w:cs="Times New Roman"/>
          <w:color w:val="000000"/>
          <w:sz w:val="32"/>
          <w:szCs w:val="32"/>
          <w:highlight w:val="none"/>
          <w:lang w:val="en-US" w:eastAsia="zh-CN"/>
        </w:rPr>
        <w:t>%，完成工业投资19.</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val="en-US" w:eastAsia="zh-CN"/>
        </w:rPr>
        <w:t>亿元、增长1</w:t>
      </w:r>
      <w:r>
        <w:rPr>
          <w:rFonts w:hint="eastAsia" w:eastAsia="仿宋_GB2312" w:cs="Times New Roman"/>
          <w:color w:val="000000"/>
          <w:sz w:val="32"/>
          <w:szCs w:val="32"/>
          <w:highlight w:val="none"/>
          <w:lang w:val="en-US" w:eastAsia="zh-CN"/>
        </w:rPr>
        <w:t>0</w:t>
      </w:r>
      <w:r>
        <w:rPr>
          <w:rFonts w:hint="default" w:ascii="Times New Roman" w:hAnsi="Times New Roman" w:eastAsia="仿宋_GB2312" w:cs="Times New Roman"/>
          <w:color w:val="000000"/>
          <w:sz w:val="32"/>
          <w:szCs w:val="32"/>
          <w:highlight w:val="none"/>
          <w:lang w:val="en-US" w:eastAsia="zh-CN"/>
        </w:rPr>
        <w:t>%。围绕“一园三片区”规划布局，发展壮大先进材料、新材料、绿色植保等</w:t>
      </w:r>
      <w:r>
        <w:rPr>
          <w:rFonts w:hint="eastAsia" w:ascii="Times New Roman" w:hAnsi="Times New Roman" w:eastAsia="仿宋_GB2312" w:cs="Times New Roman"/>
          <w:color w:val="000000"/>
          <w:sz w:val="32"/>
          <w:szCs w:val="32"/>
          <w:highlight w:val="none"/>
          <w:lang w:val="en-US" w:eastAsia="zh-CN"/>
        </w:rPr>
        <w:t>新兴</w:t>
      </w:r>
      <w:r>
        <w:rPr>
          <w:rFonts w:hint="default" w:ascii="Times New Roman" w:hAnsi="Times New Roman" w:eastAsia="仿宋_GB2312" w:cs="Times New Roman"/>
          <w:color w:val="000000"/>
          <w:sz w:val="32"/>
          <w:szCs w:val="32"/>
          <w:highlight w:val="none"/>
          <w:lang w:val="en-US" w:eastAsia="zh-CN"/>
        </w:rPr>
        <w:t>产业，绿色植保产业园基础设施</w:t>
      </w:r>
      <w:r>
        <w:rPr>
          <w:rFonts w:hint="eastAsia" w:ascii="Times New Roman" w:hAnsi="Times New Roman" w:eastAsia="仿宋_GB2312" w:cs="Times New Roman"/>
          <w:color w:val="000000"/>
          <w:sz w:val="32"/>
          <w:szCs w:val="32"/>
          <w:highlight w:val="none"/>
          <w:lang w:val="en-US" w:eastAsia="zh-CN"/>
        </w:rPr>
        <w:t>加快</w:t>
      </w:r>
      <w:r>
        <w:rPr>
          <w:rFonts w:hint="default" w:ascii="Times New Roman" w:hAnsi="Times New Roman" w:eastAsia="仿宋_GB2312" w:cs="Times New Roman"/>
          <w:color w:val="000000"/>
          <w:sz w:val="32"/>
          <w:szCs w:val="32"/>
          <w:highlight w:val="none"/>
          <w:lang w:val="en-US" w:eastAsia="zh-CN"/>
        </w:rPr>
        <w:t>建设</w:t>
      </w:r>
      <w:r>
        <w:rPr>
          <w:rFonts w:hint="eastAsia" w:ascii="Times New Roman" w:hAnsi="Times New Roman"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招引企业21家，总投资28.82亿元。推动涂料、树脂、陶瓷洁具等产业延长产业链，南雄产业转移工业园获批为涂料与树脂新材料特色产业园，成为首批通过复核认定的省级化工园区。</w:t>
      </w:r>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default" w:ascii="Times New Roman" w:hAnsi="Times New Roman" w:eastAsia="黑体" w:cs="Times New Roman"/>
          <w:bCs/>
          <w:kern w:val="32"/>
          <w:sz w:val="32"/>
          <w:szCs w:val="32"/>
          <w:highlight w:val="none"/>
        </w:rPr>
      </w:pPr>
      <w:r>
        <w:rPr>
          <w:rFonts w:hint="default" w:ascii="Times New Roman" w:hAnsi="Times New Roman" w:eastAsia="黑体" w:cs="Times New Roman"/>
          <w:bCs/>
          <w:kern w:val="32"/>
          <w:sz w:val="32"/>
          <w:szCs w:val="32"/>
          <w:highlight w:val="none"/>
          <w:lang w:val="en-US" w:eastAsia="zh-CN"/>
        </w:rPr>
        <w:t>二</w:t>
      </w:r>
      <w:r>
        <w:rPr>
          <w:rFonts w:hint="default" w:ascii="Times New Roman" w:hAnsi="Times New Roman" w:eastAsia="黑体" w:cs="Times New Roman"/>
          <w:bCs/>
          <w:kern w:val="32"/>
          <w:sz w:val="32"/>
          <w:szCs w:val="32"/>
          <w:highlight w:val="none"/>
        </w:rPr>
        <w:t>、抓招商抓项目，优化发展内生动力</w:t>
      </w:r>
    </w:p>
    <w:p>
      <w:pPr>
        <w:keepNext w:val="0"/>
        <w:keepLines w:val="0"/>
        <w:pageBreakBefore w:val="0"/>
        <w:widowControl w:val="0"/>
        <w:kinsoku/>
        <w:wordWrap/>
        <w:overflowPunct/>
        <w:topLinePunct w:val="0"/>
        <w:autoSpaceDE/>
        <w:autoSpaceDN/>
        <w:bidi w:val="0"/>
        <w:adjustRightInd/>
        <w:snapToGrid/>
        <w:spacing w:line="610" w:lineRule="exact"/>
        <w:ind w:firstLine="630" w:firstLineChars="196"/>
        <w:textAlignment w:val="auto"/>
        <w:rPr>
          <w:rFonts w:hint="default" w:ascii="Times New Roman" w:hAnsi="Times New Roman" w:eastAsia="仿宋_GB2312" w:cs="Times New Roman"/>
          <w:sz w:val="32"/>
          <w:szCs w:val="32"/>
          <w:highlight w:val="none"/>
          <w:lang w:val="en-US"/>
        </w:rPr>
      </w:pPr>
      <w:r>
        <w:rPr>
          <w:rFonts w:hint="eastAsia" w:ascii="Times New Roman" w:hAnsi="Times New Roman" w:eastAsia="仿宋_GB2312" w:cs="Times New Roman"/>
          <w:b/>
          <w:bCs/>
          <w:sz w:val="32"/>
          <w:szCs w:val="32"/>
          <w:highlight w:val="none"/>
          <w:lang w:val="en-US" w:eastAsia="zh-CN"/>
        </w:rPr>
        <w:t>一是</w:t>
      </w:r>
      <w:r>
        <w:rPr>
          <w:rFonts w:hint="default" w:ascii="Times New Roman" w:hAnsi="Times New Roman" w:eastAsia="仿宋_GB2312" w:cs="Times New Roman"/>
          <w:sz w:val="32"/>
          <w:szCs w:val="32"/>
          <w:highlight w:val="none"/>
          <w:lang w:val="en-US" w:eastAsia="zh-CN"/>
        </w:rPr>
        <w:t>推动高质量招商</w:t>
      </w:r>
      <w:r>
        <w:rPr>
          <w:rFonts w:hint="eastAsia"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坚持把招商引资作为“一把手工程”实施，</w:t>
      </w:r>
      <w:r>
        <w:rPr>
          <w:rFonts w:hint="eastAsia" w:eastAsia="仿宋_GB2312" w:cs="Times New Roman"/>
          <w:sz w:val="32"/>
          <w:szCs w:val="32"/>
          <w:highlight w:val="none"/>
          <w:lang w:val="en-US" w:eastAsia="zh-CN"/>
        </w:rPr>
        <w:t>实行</w:t>
      </w:r>
      <w:r>
        <w:rPr>
          <w:rFonts w:hint="default" w:ascii="Times New Roman" w:hAnsi="Times New Roman" w:eastAsia="仿宋_GB2312" w:cs="Times New Roman"/>
          <w:sz w:val="32"/>
          <w:szCs w:val="32"/>
          <w:highlight w:val="none"/>
          <w:lang w:val="en-US" w:eastAsia="zh-CN"/>
        </w:rPr>
        <w:t>全员招商、产业链</w:t>
      </w:r>
      <w:r>
        <w:rPr>
          <w:rFonts w:hint="eastAsia" w:eastAsia="仿宋_GB2312" w:cs="Times New Roman"/>
          <w:sz w:val="32"/>
          <w:szCs w:val="32"/>
          <w:highlight w:val="none"/>
          <w:lang w:val="en-US" w:eastAsia="zh-CN"/>
        </w:rPr>
        <w:t>专业</w:t>
      </w:r>
      <w:r>
        <w:rPr>
          <w:rFonts w:hint="default" w:ascii="Times New Roman" w:hAnsi="Times New Roman" w:eastAsia="仿宋_GB2312" w:cs="Times New Roman"/>
          <w:sz w:val="32"/>
          <w:szCs w:val="32"/>
          <w:highlight w:val="none"/>
          <w:lang w:val="en-US" w:eastAsia="zh-CN"/>
        </w:rPr>
        <w:t>招商、镇街招商等模式，</w:t>
      </w:r>
      <w:r>
        <w:rPr>
          <w:rFonts w:hint="eastAsia" w:eastAsia="仿宋_GB2312" w:cs="Times New Roman"/>
          <w:color w:val="auto"/>
          <w:sz w:val="32"/>
          <w:szCs w:val="32"/>
          <w:highlight w:val="none"/>
          <w:lang w:val="en-US" w:eastAsia="zh-CN"/>
        </w:rPr>
        <w:t>全年</w:t>
      </w:r>
      <w:r>
        <w:rPr>
          <w:rFonts w:hint="default" w:ascii="Times New Roman" w:hAnsi="Times New Roman" w:eastAsia="仿宋_GB2312" w:cs="Times New Roman"/>
          <w:color w:val="auto"/>
          <w:sz w:val="32"/>
          <w:szCs w:val="32"/>
          <w:highlight w:val="none"/>
          <w:lang w:val="en-US" w:eastAsia="zh-CN"/>
        </w:rPr>
        <w:t>完成新签约</w:t>
      </w:r>
      <w:r>
        <w:rPr>
          <w:rFonts w:hint="eastAsia" w:eastAsia="仿宋_GB2312" w:cs="Times New Roman"/>
          <w:color w:val="auto"/>
          <w:sz w:val="32"/>
          <w:szCs w:val="32"/>
          <w:highlight w:val="none"/>
          <w:lang w:val="en-US" w:eastAsia="zh-CN"/>
        </w:rPr>
        <w:t>项目</w:t>
      </w:r>
      <w:r>
        <w:rPr>
          <w:rFonts w:hint="default" w:ascii="Times New Roman" w:hAnsi="Times New Roman" w:eastAsia="仿宋_GB2312" w:cs="Times New Roman"/>
          <w:color w:val="auto"/>
          <w:sz w:val="32"/>
          <w:szCs w:val="32"/>
          <w:highlight w:val="none"/>
          <w:lang w:val="en-US" w:eastAsia="zh-CN"/>
        </w:rPr>
        <w:t>1</w:t>
      </w:r>
      <w:r>
        <w:rPr>
          <w:rFonts w:hint="eastAsia" w:eastAsia="仿宋_GB2312" w:cs="Times New Roman"/>
          <w:color w:val="auto"/>
          <w:sz w:val="32"/>
          <w:szCs w:val="32"/>
          <w:highlight w:val="none"/>
          <w:lang w:val="en-US" w:eastAsia="zh-CN"/>
        </w:rPr>
        <w:t>43</w:t>
      </w:r>
      <w:r>
        <w:rPr>
          <w:rFonts w:hint="default" w:ascii="Times New Roman" w:hAnsi="Times New Roman" w:eastAsia="仿宋_GB2312" w:cs="Times New Roman"/>
          <w:color w:val="auto"/>
          <w:sz w:val="32"/>
          <w:szCs w:val="32"/>
          <w:highlight w:val="none"/>
          <w:lang w:val="en-US" w:eastAsia="zh-CN"/>
        </w:rPr>
        <w:t>个，合同投资额6</w:t>
      </w:r>
      <w:r>
        <w:rPr>
          <w:rFonts w:hint="eastAsia" w:eastAsia="仿宋_GB2312" w:cs="Times New Roman"/>
          <w:color w:val="auto"/>
          <w:sz w:val="32"/>
          <w:szCs w:val="32"/>
          <w:highlight w:val="none"/>
          <w:lang w:val="en-US" w:eastAsia="zh-CN"/>
        </w:rPr>
        <w:t>7</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6亿元</w:t>
      </w:r>
      <w:r>
        <w:rPr>
          <w:rFonts w:hint="eastAsia" w:eastAsia="仿宋_GB2312" w:cs="Times New Roman"/>
          <w:color w:val="auto"/>
          <w:sz w:val="32"/>
          <w:szCs w:val="32"/>
          <w:highlight w:val="none"/>
          <w:lang w:val="en-US" w:eastAsia="zh-CN"/>
        </w:rPr>
        <w:t>，其中超亿元项目18个</w:t>
      </w:r>
      <w:r>
        <w:rPr>
          <w:rFonts w:hint="default" w:ascii="Times New Roman" w:hAnsi="Times New Roman" w:eastAsia="仿宋_GB2312" w:cs="Times New Roman"/>
          <w:color w:val="auto"/>
          <w:sz w:val="32"/>
          <w:szCs w:val="32"/>
          <w:highlight w:val="none"/>
          <w:lang w:val="en-US" w:eastAsia="zh-CN"/>
        </w:rPr>
        <w:t>；新开工项目15</w:t>
      </w:r>
      <w:r>
        <w:rPr>
          <w:rFonts w:hint="eastAsia" w:eastAsia="仿宋_GB2312" w:cs="Times New Roman"/>
          <w:color w:val="auto"/>
          <w:sz w:val="32"/>
          <w:szCs w:val="32"/>
          <w:highlight w:val="none"/>
          <w:lang w:val="en-US" w:eastAsia="zh-CN"/>
        </w:rPr>
        <w:t>6</w:t>
      </w:r>
      <w:r>
        <w:rPr>
          <w:rFonts w:hint="default" w:ascii="Times New Roman" w:hAnsi="Times New Roman" w:eastAsia="仿宋_GB2312" w:cs="Times New Roman"/>
          <w:color w:val="auto"/>
          <w:sz w:val="32"/>
          <w:szCs w:val="32"/>
          <w:highlight w:val="none"/>
          <w:lang w:val="en-US" w:eastAsia="zh-CN"/>
        </w:rPr>
        <w:t>个；新竣工项目</w:t>
      </w:r>
      <w:r>
        <w:rPr>
          <w:rFonts w:hint="eastAsia" w:eastAsia="仿宋_GB2312" w:cs="Times New Roman"/>
          <w:color w:val="auto"/>
          <w:sz w:val="32"/>
          <w:szCs w:val="32"/>
          <w:highlight w:val="none"/>
          <w:lang w:val="en-US" w:eastAsia="zh-CN"/>
        </w:rPr>
        <w:t>105</w:t>
      </w:r>
      <w:r>
        <w:rPr>
          <w:rFonts w:hint="default" w:ascii="Times New Roman" w:hAnsi="Times New Roman" w:eastAsia="仿宋_GB2312" w:cs="Times New Roman"/>
          <w:color w:val="auto"/>
          <w:sz w:val="32"/>
          <w:szCs w:val="32"/>
          <w:highlight w:val="none"/>
          <w:lang w:val="en-US" w:eastAsia="zh-CN"/>
        </w:rPr>
        <w:t>个；完成年度投资额</w:t>
      </w:r>
      <w:r>
        <w:rPr>
          <w:rFonts w:hint="eastAsia" w:eastAsia="仿宋_GB2312" w:cs="Times New Roman"/>
          <w:color w:val="auto"/>
          <w:sz w:val="32"/>
          <w:szCs w:val="32"/>
          <w:highlight w:val="none"/>
          <w:lang w:val="en-US" w:eastAsia="zh-CN"/>
        </w:rPr>
        <w:t>38.23</w:t>
      </w:r>
      <w:r>
        <w:rPr>
          <w:rFonts w:hint="default" w:ascii="Times New Roman" w:hAnsi="Times New Roman" w:eastAsia="仿宋_GB2312" w:cs="Times New Roman"/>
          <w:color w:val="auto"/>
          <w:sz w:val="32"/>
          <w:szCs w:val="32"/>
          <w:highlight w:val="none"/>
          <w:lang w:val="en-US" w:eastAsia="zh-CN"/>
        </w:rPr>
        <w:t>亿元。</w:t>
      </w:r>
      <w:r>
        <w:rPr>
          <w:rFonts w:hint="default" w:ascii="Times New Roman" w:hAnsi="Times New Roman" w:eastAsia="仿宋_GB2312" w:cs="Times New Roman"/>
          <w:b/>
          <w:bCs/>
          <w:sz w:val="32"/>
          <w:szCs w:val="32"/>
          <w:highlight w:val="none"/>
          <w:lang w:val="en-US" w:eastAsia="zh-CN"/>
        </w:rPr>
        <w:t>二是</w:t>
      </w:r>
      <w:r>
        <w:rPr>
          <w:rFonts w:hint="default" w:ascii="Times New Roman" w:hAnsi="Times New Roman" w:eastAsia="仿宋_GB2312" w:cs="Times New Roman"/>
          <w:sz w:val="32"/>
          <w:szCs w:val="32"/>
          <w:highlight w:val="none"/>
          <w:lang w:val="en-US" w:eastAsia="zh-CN"/>
        </w:rPr>
        <w:t>抓好项目谋划建设。充分把握</w:t>
      </w:r>
      <w:r>
        <w:rPr>
          <w:rFonts w:hint="eastAsia" w:ascii="Times New Roman" w:hAnsi="Times New Roman" w:eastAsia="仿宋_GB2312" w:cs="Times New Roman"/>
          <w:sz w:val="32"/>
          <w:szCs w:val="32"/>
          <w:highlight w:val="none"/>
          <w:lang w:val="en-US" w:eastAsia="zh-CN"/>
        </w:rPr>
        <w:t>上级有关</w:t>
      </w:r>
      <w:r>
        <w:rPr>
          <w:rFonts w:hint="default" w:ascii="Times New Roman" w:hAnsi="Times New Roman" w:eastAsia="仿宋_GB2312" w:cs="Times New Roman"/>
          <w:sz w:val="32"/>
          <w:szCs w:val="32"/>
          <w:highlight w:val="none"/>
          <w:lang w:val="en-US" w:eastAsia="zh-CN"/>
        </w:rPr>
        <w:t>政策方向，2024年争取地方政府</w:t>
      </w:r>
      <w:r>
        <w:rPr>
          <w:rFonts w:hint="eastAsia" w:eastAsia="仿宋_GB2312" w:cs="Times New Roman"/>
          <w:sz w:val="32"/>
          <w:szCs w:val="32"/>
          <w:highlight w:val="none"/>
          <w:lang w:val="en-US" w:eastAsia="zh-CN"/>
        </w:rPr>
        <w:t>新增</w:t>
      </w:r>
      <w:r>
        <w:rPr>
          <w:rFonts w:hint="default" w:ascii="Times New Roman" w:hAnsi="Times New Roman" w:eastAsia="仿宋_GB2312" w:cs="Times New Roman"/>
          <w:sz w:val="32"/>
          <w:szCs w:val="32"/>
          <w:highlight w:val="none"/>
          <w:lang w:val="en-US" w:eastAsia="zh-CN"/>
        </w:rPr>
        <w:t>专项债额度10.6亿元，中央预算内资金1.15亿元，“两新”超长期国债资金480万元，中央预算内投资省级补助资金1621万元，省重大项目前期经费1980万元。</w:t>
      </w:r>
      <w:r>
        <w:rPr>
          <w:rFonts w:hint="eastAsia" w:ascii="Times New Roman" w:hAnsi="Times New Roman" w:eastAsia="仿宋_GB2312" w:cs="Times New Roman"/>
          <w:sz w:val="32"/>
          <w:szCs w:val="32"/>
          <w:highlight w:val="none"/>
          <w:lang w:val="en-US" w:eastAsia="zh-CN"/>
        </w:rPr>
        <w:t>大力推动</w:t>
      </w:r>
      <w:r>
        <w:rPr>
          <w:rFonts w:hint="default" w:ascii="Times New Roman" w:hAnsi="Times New Roman" w:eastAsia="仿宋_GB2312" w:cs="Times New Roman"/>
          <w:sz w:val="32"/>
          <w:szCs w:val="32"/>
          <w:highlight w:val="none"/>
          <w:lang w:val="en-US" w:eastAsia="zh-CN"/>
        </w:rPr>
        <w:t>39个</w:t>
      </w:r>
      <w:r>
        <w:rPr>
          <w:rFonts w:hint="eastAsia" w:eastAsia="仿宋_GB2312" w:cs="Times New Roman"/>
          <w:sz w:val="32"/>
          <w:szCs w:val="32"/>
          <w:highlight w:val="none"/>
          <w:lang w:val="en-US" w:eastAsia="zh-CN"/>
        </w:rPr>
        <w:t>市重点项目建设</w:t>
      </w:r>
      <w:r>
        <w:rPr>
          <w:rFonts w:hint="default" w:ascii="Times New Roman" w:hAnsi="Times New Roman" w:eastAsia="仿宋_GB2312" w:cs="Times New Roman"/>
          <w:sz w:val="32"/>
          <w:szCs w:val="32"/>
          <w:highlight w:val="none"/>
          <w:lang w:val="en-US" w:eastAsia="zh-CN"/>
        </w:rPr>
        <w:t>，全年完成投资56</w:t>
      </w:r>
      <w:r>
        <w:rPr>
          <w:rFonts w:hint="eastAsia" w:eastAsia="仿宋_GB2312" w:cs="Times New Roman"/>
          <w:sz w:val="32"/>
          <w:szCs w:val="32"/>
          <w:highlight w:val="none"/>
          <w:lang w:val="en-US" w:eastAsia="zh-CN"/>
        </w:rPr>
        <w:t>.1</w:t>
      </w:r>
      <w:r>
        <w:rPr>
          <w:rFonts w:hint="default" w:ascii="Times New Roman" w:hAnsi="Times New Roman" w:eastAsia="仿宋_GB2312" w:cs="Times New Roman"/>
          <w:sz w:val="32"/>
          <w:szCs w:val="32"/>
          <w:highlight w:val="none"/>
          <w:lang w:val="en-US" w:eastAsia="zh-CN"/>
        </w:rPr>
        <w:t>亿元，完成率102%。</w:t>
      </w:r>
      <w:r>
        <w:rPr>
          <w:rFonts w:hint="eastAsia" w:eastAsia="仿宋_GB2312" w:cs="Times New Roman"/>
          <w:sz w:val="32"/>
          <w:szCs w:val="32"/>
          <w:highlight w:val="none"/>
          <w:lang w:val="en-US" w:eastAsia="zh-CN"/>
        </w:rPr>
        <w:t>其中，4个省重点建设项目年度完成投资11.8亿元，完成率为153%，超额完成了省下达的7.7亿元目标任务；18个韶关市重点建设项目年度完成投资21.3亿元，完成率为126.7%，超额完成韶关市下达的16.8亿元目标任务。</w:t>
      </w:r>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default" w:ascii="Times New Roman" w:hAnsi="Times New Roman" w:eastAsia="黑体" w:cs="Times New Roman"/>
          <w:color w:val="auto"/>
          <w:sz w:val="32"/>
          <w:szCs w:val="32"/>
          <w:highlight w:val="none"/>
          <w:lang w:val="en-US" w:eastAsia="zh-CN"/>
        </w:rPr>
      </w:pPr>
      <w:r>
        <w:rPr>
          <w:rFonts w:hint="default" w:ascii="Times New Roman" w:hAnsi="Times New Roman" w:eastAsia="黑体" w:cs="Times New Roman"/>
          <w:color w:val="auto"/>
          <w:sz w:val="32"/>
          <w:szCs w:val="32"/>
          <w:highlight w:val="none"/>
          <w:lang w:val="en-US" w:eastAsia="zh-CN"/>
        </w:rPr>
        <w:t>三、推进“绿美南雄”建设，提升发展“含绿量”“减碳量”“含金量”</w:t>
      </w:r>
    </w:p>
    <w:p>
      <w:pPr>
        <w:keepNext w:val="0"/>
        <w:keepLines w:val="0"/>
        <w:pageBreakBefore w:val="0"/>
        <w:widowControl w:val="0"/>
        <w:kinsoku/>
        <w:wordWrap/>
        <w:overflowPunct/>
        <w:topLinePunct w:val="0"/>
        <w:autoSpaceDE/>
        <w:autoSpaceDN/>
        <w:bidi w:val="0"/>
        <w:adjustRightInd/>
        <w:snapToGrid/>
        <w:spacing w:line="610" w:lineRule="exact"/>
        <w:ind w:firstLine="630" w:firstLineChars="196"/>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bCs/>
          <w:color w:val="auto"/>
          <w:sz w:val="32"/>
          <w:szCs w:val="32"/>
          <w:lang w:eastAsia="zh-CN"/>
        </w:rPr>
        <w:t>一是</w:t>
      </w:r>
      <w:r>
        <w:rPr>
          <w:rFonts w:hint="eastAsia" w:ascii="仿宋_GB2312" w:hAnsi="仿宋_GB2312" w:eastAsia="仿宋_GB2312" w:cs="仿宋_GB2312"/>
          <w:color w:val="auto"/>
          <w:sz w:val="32"/>
          <w:szCs w:val="32"/>
          <w:lang w:eastAsia="zh-CN"/>
        </w:rPr>
        <w:t>加强生态环境建设。持续推进绿美广东生态建设示范点建设，高质量完成森林质量精准提升林分优化</w:t>
      </w:r>
      <w:r>
        <w:rPr>
          <w:rFonts w:hint="eastAsia" w:ascii="Times New Roman" w:hAnsi="Times New Roman" w:eastAsia="仿宋_GB2312" w:cs="Times New Roman"/>
          <w:sz w:val="32"/>
          <w:szCs w:val="32"/>
          <w:highlight w:val="none"/>
          <w:lang w:eastAsia="zh-CN"/>
        </w:rPr>
        <w:t>1.3</w:t>
      </w:r>
      <w:r>
        <w:rPr>
          <w:rFonts w:hint="eastAsia" w:ascii="Times New Roman" w:hAnsi="Times New Roman" w:eastAsia="仿宋_GB2312" w:cs="Times New Roman"/>
          <w:sz w:val="32"/>
          <w:szCs w:val="32"/>
          <w:highlight w:val="none"/>
          <w:lang w:val="en-US" w:eastAsia="zh-CN"/>
        </w:rPr>
        <w:t>3</w:t>
      </w:r>
      <w:r>
        <w:rPr>
          <w:rFonts w:hint="eastAsia" w:ascii="仿宋_GB2312" w:hAnsi="仿宋_GB2312" w:eastAsia="仿宋_GB2312" w:cs="仿宋_GB2312"/>
          <w:color w:val="auto"/>
          <w:sz w:val="32"/>
          <w:szCs w:val="32"/>
          <w:lang w:eastAsia="zh-CN"/>
        </w:rPr>
        <w:t>万亩、新造林抚育</w:t>
      </w:r>
      <w:r>
        <w:rPr>
          <w:rFonts w:hint="eastAsia" w:ascii="Times New Roman" w:hAnsi="Times New Roman" w:eastAsia="仿宋_GB2312" w:cs="Times New Roman"/>
          <w:sz w:val="32"/>
          <w:szCs w:val="32"/>
          <w:highlight w:val="none"/>
          <w:lang w:eastAsia="zh-CN"/>
        </w:rPr>
        <w:t>2.65</w:t>
      </w:r>
      <w:r>
        <w:rPr>
          <w:rFonts w:hint="eastAsia" w:ascii="仿宋_GB2312" w:hAnsi="仿宋_GB2312" w:eastAsia="仿宋_GB2312" w:cs="仿宋_GB2312"/>
          <w:color w:val="auto"/>
          <w:sz w:val="32"/>
          <w:szCs w:val="32"/>
          <w:lang w:eastAsia="zh-CN"/>
        </w:rPr>
        <w:t>万亩、森林抚育</w:t>
      </w:r>
      <w:r>
        <w:rPr>
          <w:rFonts w:hint="eastAsia" w:ascii="Times New Roman" w:hAnsi="Times New Roman" w:eastAsia="仿宋_GB2312" w:cs="Times New Roman"/>
          <w:sz w:val="32"/>
          <w:szCs w:val="32"/>
          <w:highlight w:val="none"/>
          <w:lang w:eastAsia="zh-CN"/>
        </w:rPr>
        <w:t>3.07</w:t>
      </w:r>
      <w:r>
        <w:rPr>
          <w:rFonts w:hint="eastAsia" w:ascii="仿宋_GB2312" w:hAnsi="仿宋_GB2312" w:eastAsia="仿宋_GB2312" w:cs="仿宋_GB2312"/>
          <w:color w:val="auto"/>
          <w:sz w:val="32"/>
          <w:szCs w:val="32"/>
          <w:lang w:eastAsia="zh-CN"/>
        </w:rPr>
        <w:t>万亩。系统开展河坪国考断面水质达标攻坚，全市地表水市控以上断面水质优良率、乡镇和县级以上集中式饮用水水源地水质达标率均达</w:t>
      </w:r>
      <w:r>
        <w:rPr>
          <w:rFonts w:hint="eastAsia" w:ascii="Times New Roman" w:hAnsi="Times New Roman" w:eastAsia="仿宋_GB2312" w:cs="Times New Roman"/>
          <w:sz w:val="32"/>
          <w:szCs w:val="32"/>
          <w:highlight w:val="none"/>
          <w:lang w:eastAsia="zh-CN"/>
        </w:rPr>
        <w:t>100%</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二是</w:t>
      </w:r>
      <w:r>
        <w:rPr>
          <w:rFonts w:hint="eastAsia" w:ascii="仿宋_GB2312" w:hAnsi="仿宋_GB2312" w:eastAsia="仿宋_GB2312" w:cs="仿宋_GB2312"/>
          <w:color w:val="auto"/>
          <w:sz w:val="32"/>
          <w:szCs w:val="32"/>
          <w:lang w:eastAsia="zh-CN"/>
        </w:rPr>
        <w:t>持续探索生态产品价值化。大力发展林业经济，新增茶叶种植面积</w:t>
      </w:r>
      <w:r>
        <w:rPr>
          <w:rFonts w:hint="eastAsia" w:ascii="Times New Roman" w:hAnsi="Times New Roman" w:eastAsia="仿宋_GB2312" w:cs="Times New Roman"/>
          <w:sz w:val="32"/>
          <w:szCs w:val="32"/>
          <w:highlight w:val="none"/>
          <w:lang w:eastAsia="zh-CN"/>
        </w:rPr>
        <w:t>1500</w:t>
      </w:r>
      <w:r>
        <w:rPr>
          <w:rFonts w:hint="eastAsia" w:ascii="仿宋_GB2312" w:hAnsi="仿宋_GB2312" w:eastAsia="仿宋_GB2312" w:cs="仿宋_GB2312"/>
          <w:color w:val="auto"/>
          <w:sz w:val="32"/>
          <w:szCs w:val="32"/>
          <w:lang w:eastAsia="zh-CN"/>
        </w:rPr>
        <w:t>亩、竹林面积</w:t>
      </w:r>
      <w:r>
        <w:rPr>
          <w:rFonts w:hint="eastAsia" w:ascii="Times New Roman" w:hAnsi="Times New Roman" w:eastAsia="仿宋_GB2312" w:cs="Times New Roman"/>
          <w:sz w:val="32"/>
          <w:szCs w:val="32"/>
          <w:highlight w:val="none"/>
          <w:lang w:eastAsia="zh-CN"/>
        </w:rPr>
        <w:t>1.3</w:t>
      </w:r>
      <w:r>
        <w:rPr>
          <w:rFonts w:hint="eastAsia" w:ascii="仿宋_GB2312" w:hAnsi="仿宋_GB2312" w:eastAsia="仿宋_GB2312" w:cs="仿宋_GB2312"/>
          <w:color w:val="auto"/>
          <w:sz w:val="32"/>
          <w:szCs w:val="32"/>
          <w:lang w:eastAsia="zh-CN"/>
        </w:rPr>
        <w:t>万亩。持续推进国家储备林项目，完成省级保障性苗圃苗木供应</w:t>
      </w:r>
      <w:r>
        <w:rPr>
          <w:rFonts w:hint="eastAsia" w:ascii="Times New Roman" w:hAnsi="Times New Roman" w:eastAsia="仿宋_GB2312" w:cs="Times New Roman"/>
          <w:sz w:val="32"/>
          <w:szCs w:val="32"/>
          <w:highlight w:val="none"/>
          <w:lang w:eastAsia="zh-CN"/>
        </w:rPr>
        <w:t>65.41</w:t>
      </w:r>
      <w:r>
        <w:rPr>
          <w:rFonts w:hint="eastAsia" w:ascii="仿宋_GB2312" w:hAnsi="仿宋_GB2312" w:eastAsia="仿宋_GB2312" w:cs="仿宋_GB2312"/>
          <w:color w:val="auto"/>
          <w:sz w:val="32"/>
          <w:szCs w:val="32"/>
          <w:lang w:eastAsia="zh-CN"/>
        </w:rPr>
        <w:t>万株，苗木上盆培育</w:t>
      </w:r>
      <w:r>
        <w:rPr>
          <w:rFonts w:hint="eastAsia" w:ascii="Times New Roman" w:hAnsi="Times New Roman" w:eastAsia="仿宋_GB2312" w:cs="Times New Roman"/>
          <w:sz w:val="32"/>
          <w:szCs w:val="32"/>
          <w:highlight w:val="none"/>
          <w:lang w:eastAsia="zh-CN"/>
        </w:rPr>
        <w:t>110</w:t>
      </w:r>
      <w:r>
        <w:rPr>
          <w:rFonts w:hint="eastAsia" w:ascii="仿宋_GB2312" w:hAnsi="仿宋_GB2312" w:eastAsia="仿宋_GB2312" w:cs="仿宋_GB2312"/>
          <w:color w:val="auto"/>
          <w:sz w:val="32"/>
          <w:szCs w:val="32"/>
          <w:lang w:eastAsia="zh-CN"/>
        </w:rPr>
        <w:t>万株，油茶嫁接</w:t>
      </w:r>
      <w:r>
        <w:rPr>
          <w:rFonts w:hint="eastAsia" w:ascii="Times New Roman" w:hAnsi="Times New Roman" w:eastAsia="仿宋_GB2312" w:cs="Times New Roman"/>
          <w:sz w:val="32"/>
          <w:szCs w:val="32"/>
          <w:highlight w:val="none"/>
          <w:lang w:eastAsia="zh-CN"/>
        </w:rPr>
        <w:t>5</w:t>
      </w:r>
      <w:r>
        <w:rPr>
          <w:rFonts w:hint="eastAsia" w:ascii="仿宋_GB2312" w:hAnsi="仿宋_GB2312" w:eastAsia="仿宋_GB2312" w:cs="仿宋_GB2312"/>
          <w:color w:val="auto"/>
          <w:sz w:val="32"/>
          <w:szCs w:val="32"/>
          <w:lang w:eastAsia="zh-CN"/>
        </w:rPr>
        <w:t>万株。全年实现林业产值</w:t>
      </w:r>
      <w:r>
        <w:rPr>
          <w:rFonts w:hint="eastAsia" w:ascii="Times New Roman" w:hAnsi="Times New Roman" w:eastAsia="仿宋_GB2312" w:cs="Times New Roman"/>
          <w:sz w:val="32"/>
          <w:szCs w:val="32"/>
          <w:highlight w:val="none"/>
          <w:lang w:eastAsia="zh-CN"/>
        </w:rPr>
        <w:t>6.43</w:t>
      </w:r>
      <w:r>
        <w:rPr>
          <w:rFonts w:hint="eastAsia" w:ascii="仿宋_GB2312" w:hAnsi="仿宋_GB2312" w:eastAsia="仿宋_GB2312" w:cs="仿宋_GB2312"/>
          <w:color w:val="auto"/>
          <w:sz w:val="32"/>
          <w:szCs w:val="32"/>
          <w:lang w:eastAsia="zh-CN"/>
        </w:rPr>
        <w:t>亿元、增长</w:t>
      </w:r>
      <w:r>
        <w:rPr>
          <w:rFonts w:hint="eastAsia" w:eastAsia="仿宋_GB2312" w:cs="Times New Roman"/>
          <w:sz w:val="32"/>
          <w:szCs w:val="32"/>
          <w:highlight w:val="none"/>
          <w:lang w:val="en-US" w:eastAsia="zh-CN"/>
        </w:rPr>
        <w:t>4.2</w:t>
      </w:r>
      <w:r>
        <w:rPr>
          <w:rFonts w:hint="eastAsia" w:ascii="Times New Roman" w:hAnsi="Times New Roman" w:eastAsia="仿宋_GB2312" w:cs="Times New Roman"/>
          <w:sz w:val="32"/>
          <w:szCs w:val="32"/>
          <w:highlight w:val="none"/>
          <w:lang w:eastAsia="zh-CN"/>
        </w:rPr>
        <w:t>%</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bCs/>
          <w:color w:val="auto"/>
          <w:sz w:val="32"/>
          <w:szCs w:val="32"/>
          <w:lang w:eastAsia="zh-CN"/>
        </w:rPr>
        <w:t>三是</w:t>
      </w:r>
      <w:r>
        <w:rPr>
          <w:rFonts w:hint="eastAsia" w:ascii="仿宋_GB2312" w:hAnsi="仿宋_GB2312" w:eastAsia="仿宋_GB2312" w:cs="仿宋_GB2312"/>
          <w:color w:val="auto"/>
          <w:sz w:val="32"/>
          <w:szCs w:val="32"/>
          <w:lang w:eastAsia="zh-CN"/>
        </w:rPr>
        <w:t>积极发展生态康养产业。加快鸦子寨森林康养基地、云峰山生态旅游区等文旅重点项目建设，充分挖掘文旅消费潜力，全年接待游客</w:t>
      </w:r>
      <w:r>
        <w:rPr>
          <w:rFonts w:hint="eastAsia" w:ascii="Times New Roman" w:hAnsi="Times New Roman" w:eastAsia="仿宋_GB2312" w:cs="Times New Roman"/>
          <w:sz w:val="32"/>
          <w:szCs w:val="32"/>
          <w:highlight w:val="none"/>
          <w:lang w:eastAsia="zh-CN"/>
        </w:rPr>
        <w:t>11</w:t>
      </w:r>
      <w:r>
        <w:rPr>
          <w:rFonts w:hint="eastAsia" w:ascii="Times New Roman" w:hAnsi="Times New Roman" w:eastAsia="仿宋_GB2312" w:cs="Times New Roman"/>
          <w:sz w:val="32"/>
          <w:szCs w:val="32"/>
          <w:highlight w:val="none"/>
          <w:lang w:val="en-US" w:eastAsia="zh-CN"/>
        </w:rPr>
        <w:t>4.19</w:t>
      </w:r>
      <w:r>
        <w:rPr>
          <w:rFonts w:hint="eastAsia" w:ascii="仿宋_GB2312" w:hAnsi="仿宋_GB2312" w:eastAsia="仿宋_GB2312" w:cs="仿宋_GB2312"/>
          <w:color w:val="auto"/>
          <w:sz w:val="32"/>
          <w:szCs w:val="32"/>
          <w:lang w:eastAsia="zh-CN"/>
        </w:rPr>
        <w:t>万人次，旅游总收入</w:t>
      </w:r>
      <w:r>
        <w:rPr>
          <w:rFonts w:hint="eastAsia" w:ascii="Times New Roman" w:hAnsi="Times New Roman" w:eastAsia="仿宋_GB2312" w:cs="Times New Roman"/>
          <w:sz w:val="32"/>
          <w:szCs w:val="32"/>
          <w:highlight w:val="none"/>
          <w:lang w:eastAsia="zh-CN"/>
        </w:rPr>
        <w:t>10.</w:t>
      </w:r>
      <w:r>
        <w:rPr>
          <w:rFonts w:hint="eastAsia" w:ascii="Times New Roman" w:hAnsi="Times New Roman" w:eastAsia="仿宋_GB2312" w:cs="Times New Roman"/>
          <w:sz w:val="32"/>
          <w:szCs w:val="32"/>
          <w:highlight w:val="none"/>
          <w:lang w:val="en-US" w:eastAsia="zh-CN"/>
        </w:rPr>
        <w:t>97</w:t>
      </w:r>
      <w:r>
        <w:rPr>
          <w:rFonts w:hint="eastAsia" w:ascii="仿宋_GB2312" w:hAnsi="仿宋_GB2312" w:eastAsia="仿宋_GB2312" w:cs="仿宋_GB2312"/>
          <w:color w:val="auto"/>
          <w:sz w:val="32"/>
          <w:szCs w:val="32"/>
          <w:lang w:eastAsia="zh-CN"/>
        </w:rPr>
        <w:t>亿元。</w:t>
      </w:r>
    </w:p>
    <w:p>
      <w:pPr>
        <w:keepNext w:val="0"/>
        <w:keepLines w:val="0"/>
        <w:pageBreakBefore w:val="0"/>
        <w:widowControl w:val="0"/>
        <w:kinsoku/>
        <w:wordWrap/>
        <w:overflowPunct/>
        <w:topLinePunct w:val="0"/>
        <w:autoSpaceDE/>
        <w:autoSpaceDN/>
        <w:bidi w:val="0"/>
        <w:adjustRightInd/>
        <w:snapToGrid/>
        <w:spacing w:line="610" w:lineRule="exact"/>
        <w:ind w:firstLine="627" w:firstLineChars="196"/>
        <w:textAlignment w:val="auto"/>
        <w:rPr>
          <w:rFonts w:hint="default" w:ascii="Times New Roman" w:hAnsi="Times New Roman" w:eastAsia="黑体" w:cs="Times New Roman"/>
          <w:color w:val="0000FF"/>
          <w:sz w:val="32"/>
          <w:szCs w:val="32"/>
          <w:highlight w:val="none"/>
          <w:lang w:val="en-US" w:eastAsia="zh-CN"/>
        </w:rPr>
      </w:pPr>
      <w:r>
        <w:rPr>
          <w:rFonts w:hint="default" w:ascii="Times New Roman" w:hAnsi="Times New Roman" w:eastAsia="黑体" w:cs="Times New Roman"/>
          <w:color w:val="auto"/>
          <w:sz w:val="32"/>
          <w:szCs w:val="32"/>
          <w:highlight w:val="none"/>
        </w:rPr>
        <w:t>四、提升城乡基础设施基本公共服务，增进人民群众福祉</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auto"/>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b/>
          <w:bCs/>
          <w:spacing w:val="0"/>
          <w:kern w:val="0"/>
          <w:sz w:val="32"/>
          <w:szCs w:val="32"/>
          <w:u w:val="none" w:color="auto"/>
          <w:lang w:val="en-US" w:eastAsia="zh-CN"/>
        </w:rPr>
        <w:t>一是</w:t>
      </w:r>
      <w:r>
        <w:rPr>
          <w:rFonts w:hint="eastAsia" w:ascii="仿宋_GB2312" w:hAnsi="仿宋_GB2312" w:eastAsia="仿宋_GB2312" w:cs="仿宋_GB2312"/>
          <w:spacing w:val="0"/>
          <w:kern w:val="0"/>
          <w:sz w:val="32"/>
          <w:szCs w:val="32"/>
          <w:u w:val="none" w:color="auto"/>
          <w:lang w:val="en-US" w:eastAsia="zh-CN"/>
        </w:rPr>
        <w:t>补齐基础设施短板。抢抓全省首批以县城为重要载体的新型城镇化试点机遇，谋划北城区基础设施建设、高新区产城融合等</w:t>
      </w:r>
      <w:r>
        <w:rPr>
          <w:rFonts w:hint="eastAsia" w:ascii="Times New Roman" w:hAnsi="Times New Roman" w:eastAsia="仿宋_GB2312" w:cs="Times New Roman"/>
          <w:spacing w:val="0"/>
          <w:kern w:val="2"/>
          <w:sz w:val="32"/>
          <w:szCs w:val="32"/>
          <w:highlight w:val="none"/>
          <w:u w:val="none"/>
          <w:lang w:val="en-US" w:eastAsia="zh-CN"/>
        </w:rPr>
        <w:t>91</w:t>
      </w:r>
      <w:r>
        <w:rPr>
          <w:rFonts w:hint="eastAsia" w:ascii="仿宋_GB2312" w:hAnsi="仿宋_GB2312" w:eastAsia="仿宋_GB2312" w:cs="仿宋_GB2312"/>
          <w:spacing w:val="0"/>
          <w:kern w:val="0"/>
          <w:sz w:val="32"/>
          <w:szCs w:val="32"/>
          <w:u w:val="none" w:color="auto"/>
          <w:lang w:val="en-US" w:eastAsia="zh-CN"/>
        </w:rPr>
        <w:t>个新型城镇化项目，大力推进城市更新改造；投入约</w:t>
      </w:r>
      <w:r>
        <w:rPr>
          <w:rFonts w:hint="eastAsia" w:ascii="Times New Roman" w:hAnsi="Times New Roman" w:eastAsia="仿宋_GB2312" w:cs="Times New Roman"/>
          <w:spacing w:val="0"/>
          <w:kern w:val="2"/>
          <w:sz w:val="32"/>
          <w:szCs w:val="32"/>
          <w:highlight w:val="none"/>
          <w:u w:val="none"/>
          <w:lang w:val="en-US" w:eastAsia="zh-CN"/>
        </w:rPr>
        <w:t>7.72</w:t>
      </w:r>
      <w:r>
        <w:rPr>
          <w:rFonts w:hint="eastAsia" w:ascii="仿宋_GB2312" w:hAnsi="仿宋_GB2312" w:eastAsia="仿宋_GB2312" w:cs="仿宋_GB2312"/>
          <w:spacing w:val="0"/>
          <w:kern w:val="0"/>
          <w:sz w:val="32"/>
          <w:szCs w:val="32"/>
          <w:u w:val="none" w:color="auto"/>
          <w:lang w:val="en-US" w:eastAsia="zh-CN"/>
        </w:rPr>
        <w:t>亿元统筹推进典型镇村建设，持续改善镇村风貌，新增村内硬化道路</w:t>
      </w:r>
      <w:r>
        <w:rPr>
          <w:rFonts w:hint="eastAsia" w:ascii="Times New Roman"/>
          <w:sz w:val="32"/>
          <w:szCs w:val="32"/>
          <w:highlight w:val="none"/>
          <w:u w:val="none" w:color="auto"/>
        </w:rPr>
        <w:t>46</w:t>
      </w:r>
      <w:r>
        <w:rPr>
          <w:rFonts w:hint="eastAsia" w:ascii="仿宋_GB2312" w:hAnsi="仿宋_GB2312" w:eastAsia="仿宋_GB2312" w:cs="仿宋_GB2312"/>
          <w:spacing w:val="0"/>
          <w:kern w:val="0"/>
          <w:sz w:val="32"/>
          <w:szCs w:val="32"/>
          <w:u w:val="none" w:color="auto"/>
          <w:lang w:val="en-US" w:eastAsia="zh-CN"/>
        </w:rPr>
        <w:t>公里</w:t>
      </w:r>
      <w:r>
        <w:rPr>
          <w:rFonts w:hint="eastAsia" w:ascii="Times New Roman"/>
          <w:sz w:val="32"/>
          <w:szCs w:val="32"/>
          <w:highlight w:val="none"/>
          <w:u w:val="none" w:color="auto"/>
        </w:rPr>
        <w:t>，</w:t>
      </w:r>
      <w:r>
        <w:rPr>
          <w:rFonts w:hint="eastAsia" w:ascii="仿宋_GB2312" w:hAnsi="仿宋_GB2312" w:eastAsia="仿宋_GB2312" w:cs="仿宋_GB2312"/>
          <w:spacing w:val="0"/>
          <w:kern w:val="0"/>
          <w:sz w:val="32"/>
          <w:szCs w:val="32"/>
          <w:u w:val="none" w:color="auto"/>
          <w:lang w:val="en-US" w:eastAsia="zh-CN"/>
        </w:rPr>
        <w:t>拓宽改造农村公路</w:t>
      </w:r>
      <w:r>
        <w:rPr>
          <w:rFonts w:hint="eastAsia" w:ascii="Times New Roman"/>
          <w:sz w:val="32"/>
          <w:szCs w:val="32"/>
          <w:highlight w:val="none"/>
          <w:u w:val="none" w:color="auto"/>
        </w:rPr>
        <w:t>71</w:t>
      </w:r>
      <w:r>
        <w:rPr>
          <w:rFonts w:hint="eastAsia" w:ascii="仿宋_GB2312" w:hAnsi="仿宋_GB2312" w:eastAsia="仿宋_GB2312" w:cs="仿宋_GB2312"/>
          <w:spacing w:val="0"/>
          <w:kern w:val="0"/>
          <w:sz w:val="32"/>
          <w:szCs w:val="32"/>
          <w:u w:val="none" w:color="auto"/>
          <w:lang w:val="en-US" w:eastAsia="zh-CN"/>
        </w:rPr>
        <w:t>公里；新增镇级污水管网16公里，实现镇村农村生活垃圾收运处置体系全覆盖，</w:t>
      </w:r>
      <w:r>
        <w:rPr>
          <w:rFonts w:hint="eastAsia" w:ascii="仿宋_GB2312" w:hAnsi="仿宋_GB2312" w:eastAsia="仿宋_GB2312" w:cs="仿宋_GB2312"/>
          <w:color w:val="auto"/>
          <w:spacing w:val="0"/>
          <w:kern w:val="0"/>
          <w:sz w:val="32"/>
          <w:szCs w:val="32"/>
          <w:u w:val="none" w:color="auto"/>
          <w:lang w:val="en-US" w:eastAsia="zh-CN"/>
        </w:rPr>
        <w:t>村庄保洁覆盖面和垃圾处理率均达100%。</w:t>
      </w:r>
      <w:r>
        <w:rPr>
          <w:rFonts w:hint="eastAsia" w:ascii="仿宋_GB2312" w:hAnsi="仿宋_GB2312" w:eastAsia="仿宋_GB2312" w:cs="仿宋_GB2312"/>
          <w:b/>
          <w:bCs/>
          <w:spacing w:val="0"/>
          <w:kern w:val="0"/>
          <w:sz w:val="32"/>
          <w:szCs w:val="32"/>
          <w:u w:val="none" w:color="auto"/>
          <w:lang w:val="en-US" w:eastAsia="zh-CN"/>
        </w:rPr>
        <w:t>二是</w:t>
      </w:r>
      <w:r>
        <w:rPr>
          <w:rFonts w:hint="eastAsia" w:ascii="仿宋_GB2312" w:hAnsi="仿宋_GB2312" w:eastAsia="仿宋_GB2312" w:cs="仿宋_GB2312"/>
          <w:spacing w:val="0"/>
          <w:kern w:val="0"/>
          <w:sz w:val="32"/>
          <w:szCs w:val="32"/>
          <w:u w:val="none" w:color="auto"/>
          <w:lang w:val="en-US" w:eastAsia="zh-CN"/>
        </w:rPr>
        <w:t>持续改善民生保障。完成年度十件民生实事，解决群众“急难愁盼”问题；持续优化教育资源配置，稳步推进财贸学前教育项目—雄中路分园、水口镇中心幼儿园建设，预计新增学前教育公办学位</w:t>
      </w:r>
      <w:r>
        <w:rPr>
          <w:rFonts w:hint="eastAsia" w:ascii="Times New Roman" w:hAnsi="Times New Roman" w:eastAsia="仿宋_GB2312" w:cs="Times New Roman"/>
          <w:spacing w:val="0"/>
          <w:kern w:val="2"/>
          <w:sz w:val="32"/>
          <w:szCs w:val="32"/>
          <w:highlight w:val="none"/>
          <w:u w:val="none"/>
          <w:lang w:val="en-US" w:eastAsia="zh-CN"/>
        </w:rPr>
        <w:t>540</w:t>
      </w:r>
      <w:r>
        <w:rPr>
          <w:rFonts w:hint="eastAsia" w:ascii="仿宋_GB2312" w:hAnsi="仿宋_GB2312" w:eastAsia="仿宋_GB2312" w:cs="仿宋_GB2312"/>
          <w:spacing w:val="0"/>
          <w:kern w:val="0"/>
          <w:sz w:val="32"/>
          <w:szCs w:val="32"/>
          <w:u w:val="none" w:color="auto"/>
          <w:lang w:val="en-US" w:eastAsia="zh-CN"/>
        </w:rPr>
        <w:t>个，实现学前教育</w:t>
      </w:r>
      <w:r>
        <w:rPr>
          <w:rFonts w:hint="eastAsia" w:ascii="Times New Roman" w:hAnsi="Times New Roman" w:eastAsia="仿宋_GB2312" w:cs="Times New Roman"/>
          <w:spacing w:val="0"/>
          <w:kern w:val="2"/>
          <w:sz w:val="32"/>
          <w:szCs w:val="32"/>
          <w:highlight w:val="none"/>
          <w:u w:val="none"/>
          <w:lang w:val="en-US" w:eastAsia="zh-CN"/>
        </w:rPr>
        <w:t>“5085”</w:t>
      </w:r>
      <w:r>
        <w:rPr>
          <w:rFonts w:hint="eastAsia" w:ascii="仿宋_GB2312" w:hAnsi="仿宋_GB2312" w:eastAsia="仿宋_GB2312" w:cs="仿宋_GB2312"/>
          <w:spacing w:val="0"/>
          <w:kern w:val="0"/>
          <w:sz w:val="32"/>
          <w:szCs w:val="32"/>
          <w:u w:val="none" w:color="auto"/>
          <w:lang w:val="en-US" w:eastAsia="zh-CN"/>
        </w:rPr>
        <w:t>普惠目标。</w:t>
      </w:r>
      <w:r>
        <w:rPr>
          <w:rFonts w:hint="eastAsia" w:ascii="Times New Roman" w:hAnsi="Times New Roman" w:eastAsia="仿宋_GB2312" w:cs="Times New Roman"/>
          <w:spacing w:val="0"/>
          <w:kern w:val="2"/>
          <w:sz w:val="32"/>
          <w:szCs w:val="32"/>
          <w:highlight w:val="none"/>
          <w:u w:val="none"/>
          <w:lang w:val="en-US" w:eastAsia="zh-CN"/>
        </w:rPr>
        <w:t>105</w:t>
      </w:r>
      <w:r>
        <w:rPr>
          <w:rFonts w:hint="eastAsia" w:ascii="仿宋_GB2312" w:hAnsi="仿宋_GB2312" w:eastAsia="仿宋_GB2312" w:cs="仿宋_GB2312"/>
          <w:spacing w:val="0"/>
          <w:kern w:val="0"/>
          <w:sz w:val="32"/>
          <w:szCs w:val="32"/>
          <w:u w:val="none" w:color="auto"/>
          <w:lang w:val="en-US" w:eastAsia="zh-CN"/>
        </w:rPr>
        <w:t>所学校达到“广东省义务教育标准化学校”标准；完善医疗卫生服务体系，积极推进县域医共体建设，市人民医院综合门诊大楼、医养结合中心等项目建设稳步推进，市妇幼保健院完成搬迁并成功创建“二级甲等”；落实“稳就业</w:t>
      </w:r>
      <w:r>
        <w:rPr>
          <w:rFonts w:hint="eastAsia" w:ascii="Times New Roman" w:hAnsi="Times New Roman" w:eastAsia="仿宋_GB2312" w:cs="Times New Roman"/>
          <w:spacing w:val="0"/>
          <w:kern w:val="2"/>
          <w:sz w:val="32"/>
          <w:szCs w:val="32"/>
          <w:highlight w:val="none"/>
          <w:u w:val="none"/>
          <w:lang w:val="en-US" w:eastAsia="zh-CN"/>
        </w:rPr>
        <w:t>16</w:t>
      </w:r>
      <w:r>
        <w:rPr>
          <w:rFonts w:hint="eastAsia" w:ascii="仿宋_GB2312" w:hAnsi="仿宋_GB2312" w:eastAsia="仿宋_GB2312" w:cs="仿宋_GB2312"/>
          <w:spacing w:val="0"/>
          <w:kern w:val="0"/>
          <w:sz w:val="32"/>
          <w:szCs w:val="32"/>
          <w:u w:val="none" w:color="auto"/>
          <w:lang w:val="en-US" w:eastAsia="zh-CN"/>
        </w:rPr>
        <w:t>条”等政策，全年新增城镇就业</w:t>
      </w:r>
      <w:r>
        <w:rPr>
          <w:rFonts w:hint="eastAsia" w:ascii="Times New Roman" w:hAnsi="Times New Roman" w:eastAsia="仿宋_GB2312" w:cs="Times New Roman"/>
          <w:spacing w:val="0"/>
          <w:kern w:val="2"/>
          <w:sz w:val="32"/>
          <w:szCs w:val="32"/>
          <w:highlight w:val="none"/>
          <w:u w:val="none"/>
          <w:lang w:val="en-US" w:eastAsia="zh-CN"/>
        </w:rPr>
        <w:t>22</w:t>
      </w:r>
      <w:r>
        <w:rPr>
          <w:rFonts w:hint="eastAsia" w:eastAsia="仿宋_GB2312" w:cs="Times New Roman"/>
          <w:spacing w:val="0"/>
          <w:kern w:val="2"/>
          <w:sz w:val="32"/>
          <w:szCs w:val="32"/>
          <w:highlight w:val="none"/>
          <w:u w:val="none"/>
          <w:lang w:val="en-US" w:eastAsia="zh-CN"/>
        </w:rPr>
        <w:t>5</w:t>
      </w:r>
      <w:r>
        <w:rPr>
          <w:rFonts w:hint="eastAsia" w:ascii="Times New Roman" w:hAnsi="Times New Roman" w:eastAsia="仿宋_GB2312" w:cs="Times New Roman"/>
          <w:spacing w:val="0"/>
          <w:kern w:val="2"/>
          <w:sz w:val="32"/>
          <w:szCs w:val="32"/>
          <w:highlight w:val="none"/>
          <w:u w:val="none"/>
          <w:lang w:val="en-US" w:eastAsia="zh-CN"/>
        </w:rPr>
        <w:t>0</w:t>
      </w:r>
      <w:r>
        <w:rPr>
          <w:rFonts w:hint="eastAsia" w:ascii="仿宋_GB2312" w:hAnsi="仿宋_GB2312" w:eastAsia="仿宋_GB2312" w:cs="仿宋_GB2312"/>
          <w:spacing w:val="0"/>
          <w:kern w:val="0"/>
          <w:sz w:val="32"/>
          <w:szCs w:val="32"/>
          <w:u w:val="none" w:color="auto"/>
          <w:lang w:val="en-US" w:eastAsia="zh-CN"/>
        </w:rPr>
        <w:t>人，城镇失业人员再就业</w:t>
      </w:r>
      <w:r>
        <w:rPr>
          <w:rFonts w:hint="eastAsia" w:ascii="Times New Roman" w:hAnsi="Times New Roman" w:eastAsia="仿宋_GB2312" w:cs="Times New Roman"/>
          <w:spacing w:val="0"/>
          <w:kern w:val="2"/>
          <w:sz w:val="32"/>
          <w:szCs w:val="32"/>
          <w:highlight w:val="none"/>
          <w:u w:val="none"/>
          <w:lang w:val="en-US" w:eastAsia="zh-CN"/>
        </w:rPr>
        <w:t>15</w:t>
      </w:r>
      <w:r>
        <w:rPr>
          <w:rFonts w:hint="eastAsia" w:eastAsia="仿宋_GB2312" w:cs="Times New Roman"/>
          <w:spacing w:val="0"/>
          <w:kern w:val="2"/>
          <w:sz w:val="32"/>
          <w:szCs w:val="32"/>
          <w:highlight w:val="none"/>
          <w:u w:val="none"/>
          <w:lang w:val="en-US" w:eastAsia="zh-CN"/>
        </w:rPr>
        <w:t>1</w:t>
      </w:r>
      <w:r>
        <w:rPr>
          <w:rFonts w:hint="eastAsia" w:ascii="Times New Roman" w:hAnsi="Times New Roman" w:eastAsia="仿宋_GB2312" w:cs="Times New Roman"/>
          <w:spacing w:val="0"/>
          <w:kern w:val="2"/>
          <w:sz w:val="32"/>
          <w:szCs w:val="32"/>
          <w:highlight w:val="none"/>
          <w:u w:val="none"/>
          <w:lang w:val="en-US" w:eastAsia="zh-CN"/>
        </w:rPr>
        <w:t>0</w:t>
      </w:r>
      <w:r>
        <w:rPr>
          <w:rFonts w:hint="eastAsia" w:ascii="仿宋_GB2312" w:hAnsi="仿宋_GB2312" w:eastAsia="仿宋_GB2312" w:cs="仿宋_GB2312"/>
          <w:spacing w:val="0"/>
          <w:kern w:val="0"/>
          <w:sz w:val="32"/>
          <w:szCs w:val="32"/>
          <w:u w:val="none" w:color="auto"/>
          <w:lang w:val="en-US" w:eastAsia="zh-CN"/>
        </w:rPr>
        <w:t>人，就业困难人员实现就业</w:t>
      </w:r>
      <w:r>
        <w:rPr>
          <w:rFonts w:hint="eastAsia" w:eastAsia="仿宋_GB2312" w:cs="Times New Roman"/>
          <w:spacing w:val="0"/>
          <w:kern w:val="2"/>
          <w:sz w:val="32"/>
          <w:szCs w:val="32"/>
          <w:highlight w:val="none"/>
          <w:u w:val="none"/>
          <w:lang w:val="en-US" w:eastAsia="zh-CN"/>
        </w:rPr>
        <w:t>308</w:t>
      </w:r>
      <w:r>
        <w:rPr>
          <w:rFonts w:hint="eastAsia" w:ascii="仿宋_GB2312" w:hAnsi="仿宋_GB2312" w:eastAsia="仿宋_GB2312" w:cs="仿宋_GB2312"/>
          <w:spacing w:val="0"/>
          <w:kern w:val="0"/>
          <w:sz w:val="32"/>
          <w:szCs w:val="32"/>
          <w:u w:val="none" w:color="auto"/>
          <w:lang w:val="en-US" w:eastAsia="zh-CN"/>
        </w:rPr>
        <w:t>人，促进创业</w:t>
      </w:r>
      <w:r>
        <w:rPr>
          <w:rFonts w:hint="eastAsia" w:eastAsia="仿宋_GB2312" w:cs="Times New Roman"/>
          <w:spacing w:val="0"/>
          <w:kern w:val="2"/>
          <w:sz w:val="32"/>
          <w:szCs w:val="32"/>
          <w:highlight w:val="none"/>
          <w:u w:val="none"/>
          <w:lang w:val="en-US" w:eastAsia="zh-CN"/>
        </w:rPr>
        <w:t>155</w:t>
      </w:r>
      <w:r>
        <w:rPr>
          <w:rFonts w:hint="eastAsia" w:ascii="仿宋_GB2312" w:hAnsi="仿宋_GB2312" w:eastAsia="仿宋_GB2312" w:cs="仿宋_GB2312"/>
          <w:spacing w:val="0"/>
          <w:kern w:val="0"/>
          <w:sz w:val="32"/>
          <w:szCs w:val="32"/>
          <w:u w:val="none" w:color="auto"/>
          <w:lang w:val="en-US" w:eastAsia="zh-CN"/>
        </w:rPr>
        <w:t>人，全面提升人民群众获得感、幸福感、安全感。</w:t>
      </w:r>
    </w:p>
    <w:p>
      <w:pPr>
        <w:keepNext w:val="0"/>
        <w:keepLines w:val="0"/>
        <w:pageBreakBefore w:val="0"/>
        <w:widowControl w:val="0"/>
        <w:kinsoku/>
        <w:wordWrap/>
        <w:overflowPunct/>
        <w:topLinePunct w:val="0"/>
        <w:autoSpaceDE/>
        <w:autoSpaceDN/>
        <w:bidi w:val="0"/>
        <w:adjustRightInd/>
        <w:snapToGrid/>
        <w:spacing w:line="610" w:lineRule="exact"/>
        <w:textAlignment w:val="auto"/>
      </w:pPr>
    </w:p>
    <w:p>
      <w:pPr>
        <w:keepNext w:val="0"/>
        <w:keepLines w:val="0"/>
        <w:pageBreakBefore w:val="0"/>
        <w:kinsoku/>
        <w:topLinePunct w:val="0"/>
        <w:bidi w:val="0"/>
        <w:snapToGrid/>
        <w:spacing w:line="610" w:lineRule="exact"/>
        <w:rPr>
          <w:rFonts w:hint="default" w:eastAsia="宋体"/>
          <w:lang w:val="en-US" w:eastAsia="zh-CN"/>
        </w:rPr>
      </w:pPr>
      <w:r>
        <w:br w:type="page"/>
      </w:r>
    </w:p>
    <w:p>
      <w:pPr>
        <w:keepNext w:val="0"/>
        <w:keepLines w:val="0"/>
        <w:pageBreakBefore w:val="0"/>
        <w:widowControl/>
        <w:kinsoku/>
        <w:wordWrap/>
        <w:overflowPunct/>
        <w:topLinePunct w:val="0"/>
        <w:autoSpaceDE/>
        <w:autoSpaceDN/>
        <w:bidi w:val="0"/>
        <w:adjustRightInd/>
        <w:snapToGrid/>
        <w:spacing w:line="610" w:lineRule="exact"/>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rPr>
        <w:t>附件2</w:t>
      </w:r>
    </w:p>
    <w:p>
      <w:pPr>
        <w:keepNext w:val="0"/>
        <w:keepLines w:val="0"/>
        <w:pageBreakBefore w:val="0"/>
        <w:tabs>
          <w:tab w:val="center" w:pos="4153"/>
        </w:tabs>
        <w:kinsoku/>
        <w:wordWrap/>
        <w:overflowPunct/>
        <w:topLinePunct w:val="0"/>
        <w:autoSpaceDE/>
        <w:autoSpaceDN/>
        <w:bidi w:val="0"/>
        <w:adjustRightInd/>
        <w:snapToGrid/>
        <w:spacing w:line="610" w:lineRule="exact"/>
        <w:jc w:val="center"/>
        <w:textAlignment w:val="baseline"/>
        <w:rPr>
          <w:rFonts w:hint="default" w:ascii="Times New Roman" w:hAnsi="Times New Roman" w:eastAsia="方正小标宋简体" w:cs="Times New Roman"/>
          <w:sz w:val="44"/>
          <w:szCs w:val="44"/>
          <w:highlight w:val="none"/>
          <w:shd w:val="clear" w:color="auto" w:fill="FFFFFF"/>
        </w:rPr>
      </w:pPr>
    </w:p>
    <w:p>
      <w:pPr>
        <w:keepNext w:val="0"/>
        <w:keepLines w:val="0"/>
        <w:pageBreakBefore w:val="0"/>
        <w:tabs>
          <w:tab w:val="center" w:pos="4153"/>
        </w:tabs>
        <w:kinsoku/>
        <w:wordWrap/>
        <w:overflowPunct/>
        <w:topLinePunct w:val="0"/>
        <w:autoSpaceDE/>
        <w:autoSpaceDN/>
        <w:bidi w:val="0"/>
        <w:adjustRightInd/>
        <w:snapToGrid/>
        <w:spacing w:line="610" w:lineRule="exact"/>
        <w:jc w:val="center"/>
        <w:textAlignment w:val="baseline"/>
        <w:rPr>
          <w:rFonts w:hint="default" w:ascii="Times New Roman" w:hAnsi="Times New Roman" w:eastAsia="方正小标宋简体" w:cs="Times New Roman"/>
          <w:sz w:val="32"/>
          <w:szCs w:val="32"/>
          <w:highlight w:val="none"/>
          <w:shd w:val="clear" w:color="auto" w:fill="FFFFFF"/>
        </w:rPr>
      </w:pPr>
      <w:r>
        <w:rPr>
          <w:rFonts w:hint="default" w:ascii="Times New Roman" w:hAnsi="Times New Roman" w:eastAsia="方正小标宋简体" w:cs="Times New Roman"/>
          <w:sz w:val="44"/>
          <w:szCs w:val="44"/>
          <w:highlight w:val="none"/>
          <w:shd w:val="clear" w:color="auto" w:fill="FFFFFF"/>
        </w:rPr>
        <w:t>主要指标及术语简介</w:t>
      </w:r>
    </w:p>
    <w:p>
      <w:pPr>
        <w:pStyle w:val="10"/>
        <w:keepNext w:val="0"/>
        <w:keepLines w:val="0"/>
        <w:pageBreakBefore w:val="0"/>
        <w:numPr>
          <w:ilvl w:val="0"/>
          <w:numId w:val="0"/>
        </w:numPr>
        <w:kinsoku/>
        <w:wordWrap/>
        <w:topLinePunct w:val="0"/>
        <w:autoSpaceDE/>
        <w:autoSpaceDN/>
        <w:bidi w:val="0"/>
        <w:adjustRightInd/>
        <w:snapToGrid/>
        <w:spacing w:line="610" w:lineRule="exact"/>
        <w:ind w:firstLine="643" w:firstLineChars="200"/>
        <w:rPr>
          <w:rFonts w:hint="eastAsia" w:eastAsia="仿宋_GB2312"/>
          <w:b/>
          <w:bCs/>
          <w:sz w:val="32"/>
          <w:szCs w:val="32"/>
          <w:lang w:val="en-US" w:eastAsia="zh-CN"/>
        </w:rPr>
      </w:pPr>
    </w:p>
    <w:p>
      <w:pPr>
        <w:pStyle w:val="10"/>
        <w:keepNext w:val="0"/>
        <w:keepLines w:val="0"/>
        <w:pageBreakBefore w:val="0"/>
        <w:widowControl w:val="0"/>
        <w:numPr>
          <w:ilvl w:val="0"/>
          <w:numId w:val="0"/>
        </w:numPr>
        <w:kinsoku/>
        <w:wordWrap/>
        <w:topLinePunct w:val="0"/>
        <w:autoSpaceDE/>
        <w:autoSpaceDN/>
        <w:bidi w:val="0"/>
        <w:adjustRightInd/>
        <w:snapToGrid/>
        <w:spacing w:line="61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sz w:val="32"/>
          <w:szCs w:val="32"/>
        </w:rPr>
        <w:t>省委“1310”具体部署</w:t>
      </w:r>
      <w:r>
        <w:rPr>
          <w:rFonts w:hint="eastAsia" w:ascii="仿宋_GB2312" w:hAnsi="仿宋_GB2312" w:eastAsia="仿宋_GB2312" w:cs="仿宋_GB2312"/>
          <w:b/>
          <w:bCs/>
          <w:sz w:val="32"/>
          <w:szCs w:val="32"/>
          <w:lang w:eastAsia="zh-CN"/>
        </w:rPr>
        <w:t>：</w:t>
      </w:r>
      <w:r>
        <w:rPr>
          <w:rFonts w:ascii="仿宋_GB2312" w:hAnsi="仿宋_GB2312" w:eastAsia="仿宋_GB2312" w:cs="仿宋_GB2312"/>
          <w:spacing w:val="0"/>
          <w:kern w:val="0"/>
          <w:sz w:val="32"/>
          <w:szCs w:val="32"/>
          <w:lang w:val="en"/>
        </w:rPr>
        <w:t>“</w:t>
      </w:r>
      <w:r>
        <w:rPr>
          <w:rFonts w:hint="default" w:ascii="Times New Roman" w:hAnsi="Times New Roman" w:eastAsia="仿宋_GB2312" w:cs="Times New Roman"/>
          <w:spacing w:val="0"/>
          <w:kern w:val="0"/>
          <w:sz w:val="32"/>
          <w:szCs w:val="32"/>
          <w:lang w:val="en"/>
        </w:rPr>
        <w:t>1</w:t>
      </w:r>
      <w:r>
        <w:rPr>
          <w:rFonts w:ascii="仿宋_GB2312" w:hAnsi="仿宋_GB2312" w:eastAsia="仿宋_GB2312" w:cs="仿宋_GB2312"/>
          <w:spacing w:val="0"/>
          <w:kern w:val="0"/>
          <w:sz w:val="32"/>
          <w:szCs w:val="32"/>
          <w:lang w:val="en"/>
        </w:rPr>
        <w:t>”</w:t>
      </w:r>
      <w:r>
        <w:rPr>
          <w:rFonts w:hint="eastAsia" w:ascii="仿宋_GB2312" w:hAnsi="仿宋_GB2312" w:eastAsia="仿宋_GB2312" w:cs="仿宋_GB2312"/>
          <w:spacing w:val="0"/>
          <w:kern w:val="0"/>
          <w:sz w:val="32"/>
          <w:szCs w:val="32"/>
          <w:lang w:val="en"/>
        </w:rPr>
        <w:t>指</w:t>
      </w:r>
      <w:r>
        <w:rPr>
          <w:rFonts w:ascii="仿宋_GB2312" w:hAnsi="仿宋_GB2312" w:eastAsia="仿宋_GB2312" w:cs="仿宋_GB2312"/>
          <w:spacing w:val="0"/>
          <w:kern w:val="0"/>
          <w:sz w:val="32"/>
          <w:szCs w:val="32"/>
          <w:lang w:val="en"/>
        </w:rPr>
        <w:t>锚定一个目标</w:t>
      </w:r>
      <w:r>
        <w:rPr>
          <w:rFonts w:hint="eastAsia" w:ascii="仿宋_GB2312" w:hAnsi="仿宋_GB2312" w:eastAsia="仿宋_GB2312" w:cs="仿宋_GB2312"/>
          <w:spacing w:val="0"/>
          <w:kern w:val="0"/>
          <w:sz w:val="32"/>
          <w:szCs w:val="32"/>
          <w:lang w:val="en"/>
        </w:rPr>
        <w:t>，即“走在前列”总目标。“</w:t>
      </w:r>
      <w:r>
        <w:rPr>
          <w:rFonts w:hint="default" w:ascii="Times New Roman" w:hAnsi="Times New Roman" w:eastAsia="仿宋_GB2312" w:cs="Times New Roman"/>
          <w:spacing w:val="0"/>
          <w:kern w:val="0"/>
          <w:sz w:val="32"/>
          <w:szCs w:val="32"/>
          <w:lang w:val="en"/>
        </w:rPr>
        <w:t>3</w:t>
      </w:r>
      <w:r>
        <w:rPr>
          <w:rFonts w:hint="eastAsia" w:ascii="仿宋_GB2312" w:hAnsi="仿宋_GB2312" w:eastAsia="仿宋_GB2312" w:cs="仿宋_GB2312"/>
          <w:spacing w:val="0"/>
          <w:kern w:val="0"/>
          <w:sz w:val="32"/>
          <w:szCs w:val="32"/>
          <w:lang w:val="en"/>
        </w:rPr>
        <w:t>”指激活改革、开放、创新三大动力。“</w:t>
      </w:r>
      <w:r>
        <w:rPr>
          <w:rFonts w:hint="default" w:ascii="Times New Roman" w:hAnsi="Times New Roman" w:eastAsia="仿宋_GB2312" w:cs="Times New Roman"/>
          <w:spacing w:val="0"/>
          <w:kern w:val="0"/>
          <w:sz w:val="32"/>
          <w:szCs w:val="32"/>
        </w:rPr>
        <w:t>10</w:t>
      </w:r>
      <w:r>
        <w:rPr>
          <w:rFonts w:hint="eastAsia" w:ascii="仿宋_GB2312" w:hAnsi="仿宋_GB2312" w:eastAsia="仿宋_GB2312" w:cs="仿宋_GB2312"/>
          <w:spacing w:val="0"/>
          <w:kern w:val="0"/>
          <w:sz w:val="32"/>
          <w:szCs w:val="32"/>
          <w:lang w:val="en"/>
        </w:rPr>
        <w:t>”指奋力实现“十大新突破”，即纵深推进新阶段粤港澳大湾区建设，在牵引全面深化改革开放上取得新突破；始终坚持实体经济为本、制造业当家，在建设更具国际竞争力的现代化产业体系上取得新突破；一体推进教育强省、科技创新强省、人才强省建设，在实现高水平科技自立自强上取得新突破；深入实施“百县千镇万村高质量发展工程”，在城乡区域协调发展上取得新突破；全面推进海洋强省建设，在打造海上新广东上取得新突破；深入推进绿美广东生态建设，在打造人与自然和谐共生的现代化广东样板上取得新突破；扎实推进文化强省建设，在努力交出物质文明和精神文明两份好的答卷上取得新突破；用心用情抓好民生社会事业，在推动共同富裕上取得新突破；扎实推进法治广东平安广东建设，在构建新安全格局上取得新突破；坚定不移加强党的全面领导和党的建设，在营造良好政治生态上取得新突破。</w:t>
      </w:r>
    </w:p>
    <w:p>
      <w:pPr>
        <w:keepNext w:val="0"/>
        <w:keepLines w:val="0"/>
        <w:pageBreakBefore w:val="0"/>
        <w:widowControl w:val="0"/>
        <w:kinsoku/>
        <w:wordWrap/>
        <w:topLinePunct w:val="0"/>
        <w:autoSpaceDE/>
        <w:autoSpaceDN/>
        <w:bidi w:val="0"/>
        <w:adjustRightInd/>
        <w:snapToGrid/>
        <w:spacing w:line="610" w:lineRule="exact"/>
        <w:ind w:firstLine="643"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bCs/>
          <w:kern w:val="2"/>
          <w:sz w:val="32"/>
          <w:szCs w:val="32"/>
          <w:lang w:val="en-US" w:eastAsia="zh-CN" w:bidi="ar-SA"/>
        </w:rPr>
        <w:t>2.“</w:t>
      </w:r>
      <w:r>
        <w:rPr>
          <w:rFonts w:hint="default" w:ascii="仿宋_GB2312" w:hAnsi="仿宋_GB2312" w:eastAsia="仿宋_GB2312" w:cs="仿宋_GB2312"/>
          <w:b/>
          <w:bCs/>
          <w:kern w:val="2"/>
          <w:sz w:val="32"/>
          <w:szCs w:val="32"/>
          <w:lang w:val="en-US" w:eastAsia="zh-CN" w:bidi="ar-SA"/>
        </w:rPr>
        <w:t>363</w:t>
      </w:r>
      <w:r>
        <w:rPr>
          <w:rFonts w:hint="eastAsia" w:ascii="仿宋_GB2312" w:hAnsi="仿宋_GB2312" w:eastAsia="仿宋_GB2312" w:cs="仿宋_GB2312"/>
          <w:b/>
          <w:bCs/>
          <w:kern w:val="2"/>
          <w:sz w:val="32"/>
          <w:szCs w:val="32"/>
          <w:lang w:val="en-US" w:eastAsia="zh-CN" w:bidi="ar-SA"/>
        </w:rPr>
        <w:t>”工作部署：</w:t>
      </w:r>
      <w:r>
        <w:rPr>
          <w:rFonts w:hint="eastAsia" w:ascii="仿宋_GB2312" w:hAnsi="仿宋_GB2312" w:eastAsia="仿宋_GB2312" w:cs="仿宋_GB2312"/>
          <w:sz w:val="32"/>
          <w:szCs w:val="32"/>
          <w:lang w:eastAsia="zh-CN"/>
        </w:rPr>
        <w:t>第一个“</w:t>
      </w:r>
      <w:r>
        <w:rPr>
          <w:rFonts w:hint="default" w:ascii="Times New Roman" w:hAnsi="Times New Roman" w:eastAsia="仿宋_GB2312" w:cs="Times New Roman"/>
          <w:sz w:val="32"/>
          <w:szCs w:val="32"/>
          <w:lang w:eastAsia="zh-CN"/>
        </w:rPr>
        <w:t>3</w:t>
      </w:r>
      <w:r>
        <w:rPr>
          <w:rFonts w:hint="eastAsia" w:ascii="仿宋_GB2312" w:hAnsi="仿宋_GB2312" w:eastAsia="仿宋_GB2312" w:cs="仿宋_GB2312"/>
          <w:sz w:val="32"/>
          <w:szCs w:val="32"/>
          <w:lang w:eastAsia="zh-CN"/>
        </w:rPr>
        <w:t>”指实施生态立市、工业强市、县域富市“三大战略”，“</w:t>
      </w:r>
      <w:r>
        <w:rPr>
          <w:rFonts w:hint="default" w:ascii="Times New Roman" w:hAnsi="Times New Roman" w:eastAsia="仿宋_GB2312" w:cs="Times New Roman"/>
          <w:sz w:val="32"/>
          <w:szCs w:val="32"/>
          <w:lang w:eastAsia="zh-CN"/>
        </w:rPr>
        <w:t>6</w:t>
      </w:r>
      <w:r>
        <w:rPr>
          <w:rFonts w:hint="eastAsia" w:ascii="仿宋_GB2312" w:hAnsi="仿宋_GB2312" w:eastAsia="仿宋_GB2312" w:cs="仿宋_GB2312"/>
          <w:sz w:val="32"/>
          <w:szCs w:val="32"/>
          <w:lang w:eastAsia="zh-CN"/>
        </w:rPr>
        <w:t>”指开展绿美韶关、产业攻坚、科教人才、营商环境优化、要素保障、资源盘活“六大行动”，第二个“</w:t>
      </w:r>
      <w:r>
        <w:rPr>
          <w:rFonts w:hint="default" w:ascii="Times New Roman" w:hAnsi="Times New Roman" w:eastAsia="仿宋_GB2312" w:cs="Times New Roman"/>
          <w:sz w:val="32"/>
          <w:szCs w:val="32"/>
          <w:lang w:eastAsia="zh-CN"/>
        </w:rPr>
        <w:t>3</w:t>
      </w:r>
      <w:r>
        <w:rPr>
          <w:rFonts w:hint="eastAsia" w:ascii="仿宋_GB2312" w:hAnsi="仿宋_GB2312" w:eastAsia="仿宋_GB2312" w:cs="仿宋_GB2312"/>
          <w:sz w:val="32"/>
          <w:szCs w:val="32"/>
          <w:lang w:eastAsia="zh-CN"/>
        </w:rPr>
        <w:t>”指推动基础设施水平、基层治理水平、民生事业水平“三大提升”。</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baseline"/>
        <w:rPr>
          <w:rFonts w:hint="default" w:ascii="Times New Roman" w:hAnsi="Times New Roman" w:eastAsia="仿宋_GB2312" w:cs="Times New Roman"/>
          <w:sz w:val="32"/>
          <w:szCs w:val="32"/>
          <w:highlight w:val="none"/>
          <w:shd w:val="clear" w:color="auto" w:fill="FFFFFF"/>
        </w:rPr>
      </w:pPr>
      <w:r>
        <w:rPr>
          <w:rFonts w:hint="eastAsia" w:ascii="仿宋_GB2312" w:hAnsi="仿宋_GB2312" w:eastAsia="仿宋_GB2312" w:cs="仿宋_GB2312"/>
          <w:b/>
          <w:bCs/>
          <w:kern w:val="2"/>
          <w:sz w:val="32"/>
          <w:szCs w:val="32"/>
          <w:lang w:val="en-US" w:eastAsia="zh-CN" w:bidi="ar-SA"/>
        </w:rPr>
        <w:t>3</w:t>
      </w:r>
      <w:r>
        <w:rPr>
          <w:rFonts w:hint="default" w:ascii="仿宋_GB2312" w:hAnsi="仿宋_GB2312" w:eastAsia="仿宋_GB2312" w:cs="仿宋_GB2312"/>
          <w:b/>
          <w:bCs/>
          <w:kern w:val="2"/>
          <w:sz w:val="32"/>
          <w:szCs w:val="32"/>
          <w:lang w:val="en-US" w:eastAsia="zh-CN" w:bidi="ar-SA"/>
        </w:rPr>
        <w:t>.国内生产总值（英文缩写GDP）</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sz w:val="32"/>
          <w:szCs w:val="32"/>
          <w:highlight w:val="none"/>
          <w:shd w:val="clear" w:color="auto" w:fill="FFFFFF"/>
        </w:rPr>
        <w:t>指一个国家（或地区）所有常住单位在一定时期内生产活动的最终成果的货币表现，是反映一个国家（或地区）国民经济发展的规模和结构的最主要的综合指标。通常讲的经济总量指的是国内生产总值，经济增长率指的是国内生产总值增长率。国内生产总值核算有三种方法：从生产角度核算，国内生产总值等于国民经济各产业部门增加值之和；从收入角度核算，国内生产总值等于国民经济各产业部门的劳动者报酬、生产税净额、固定资产折旧、营业盈余之和；从支出角度核算，国内生产总值等于最终消费、资本形成总额、净出口之和，消费、投资、出口被喻为拉动经济增长的三驾马车。国内生产总值按国土原则计算，其等于本国（或地区）所有常住单位的增加值之和。</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hint="eastAsia"/>
          <w:lang w:eastAsia="zh-CN"/>
        </w:rPr>
      </w:pPr>
      <w:r>
        <w:rPr>
          <w:rFonts w:hint="default" w:ascii="Times New Roman" w:hAnsi="Times New Roman" w:eastAsia="仿宋_GB2312" w:cs="Times New Roman"/>
          <w:sz w:val="32"/>
          <w:szCs w:val="32"/>
          <w:highlight w:val="none"/>
          <w:shd w:val="clear" w:color="auto" w:fill="FFFFFF"/>
        </w:rPr>
        <w:t>国内生产总值实际（预计）完成数一般以当年价计算，增长数按可比价计算。</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baseline"/>
        <w:rPr>
          <w:rFonts w:hint="default" w:ascii="Times New Roman" w:hAnsi="Times New Roman" w:eastAsia="仿宋_GB2312" w:cs="Times New Roman"/>
          <w:sz w:val="32"/>
          <w:szCs w:val="32"/>
          <w:highlight w:val="none"/>
          <w:shd w:val="clear" w:color="auto" w:fill="FFFFFF"/>
        </w:rPr>
      </w:pPr>
      <w:r>
        <w:rPr>
          <w:rFonts w:hint="eastAsia" w:ascii="仿宋_GB2312" w:hAnsi="仿宋_GB2312" w:eastAsia="仿宋_GB2312" w:cs="仿宋_GB2312"/>
          <w:b/>
          <w:bCs/>
          <w:kern w:val="2"/>
          <w:sz w:val="32"/>
          <w:szCs w:val="32"/>
          <w:lang w:val="en-US" w:eastAsia="zh-CN" w:bidi="ar-SA"/>
        </w:rPr>
        <w:t>4</w:t>
      </w:r>
      <w:r>
        <w:rPr>
          <w:rFonts w:hint="default" w:ascii="仿宋_GB2312" w:hAnsi="仿宋_GB2312" w:eastAsia="仿宋_GB2312" w:cs="仿宋_GB2312"/>
          <w:b/>
          <w:bCs/>
          <w:kern w:val="2"/>
          <w:sz w:val="32"/>
          <w:szCs w:val="32"/>
          <w:lang w:val="en-US" w:eastAsia="zh-CN" w:bidi="ar-SA"/>
        </w:rPr>
        <w:t>.产业</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sz w:val="32"/>
          <w:szCs w:val="32"/>
          <w:highlight w:val="none"/>
          <w:shd w:val="clear" w:color="auto" w:fill="FFFFFF"/>
        </w:rPr>
        <w:t>根据国家新的国民经济行业分类，目前我国产业部门划分为三大产业：第一产业指农林牧渔业，具</w:t>
      </w:r>
      <w:r>
        <w:rPr>
          <w:rFonts w:hint="eastAsia" w:eastAsia="仿宋_GB2312" w:cs="Times New Roman"/>
          <w:sz w:val="32"/>
          <w:szCs w:val="32"/>
          <w:highlight w:val="none"/>
          <w:shd w:val="clear" w:color="auto" w:fill="FFFFFF"/>
          <w:lang w:eastAsia="zh-CN"/>
        </w:rPr>
        <w:t>体包</w:t>
      </w:r>
      <w:r>
        <w:rPr>
          <w:rFonts w:hint="default" w:ascii="Times New Roman" w:hAnsi="Times New Roman" w:eastAsia="仿宋_GB2312" w:cs="Times New Roman"/>
          <w:sz w:val="32"/>
          <w:szCs w:val="32"/>
          <w:highlight w:val="none"/>
          <w:shd w:val="clear" w:color="auto" w:fill="FFFFFF"/>
        </w:rPr>
        <w:t>含农业、林业、牧业、渔业；第二产业指工业和建筑业（工业具体包括采矿业，制造业，电力、燃气及水的生产供应业）；第一、二产业以外的各行业划归为第三产业。三次产业结构是指国内生产总值中，第一产业、第二产业、第三产业增加值所占的比例或比重，是衡量经济发展水平和产业构成的重要指标，其中第三产业所占比例是衡量现代化程度的重要指标之一。</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baseline"/>
        <w:rPr>
          <w:rFonts w:hint="default" w:ascii="Times New Roman" w:hAnsi="Times New Roman" w:eastAsia="仿宋_GB2312" w:cs="Times New Roman"/>
          <w:sz w:val="32"/>
          <w:szCs w:val="32"/>
          <w:highlight w:val="none"/>
          <w:shd w:val="clear" w:color="auto" w:fill="FFFFFF"/>
        </w:rPr>
      </w:pPr>
      <w:r>
        <w:rPr>
          <w:rFonts w:hint="eastAsia" w:ascii="仿宋_GB2312" w:hAnsi="仿宋_GB2312" w:eastAsia="仿宋_GB2312" w:cs="仿宋_GB2312"/>
          <w:b/>
          <w:bCs/>
          <w:kern w:val="2"/>
          <w:sz w:val="32"/>
          <w:szCs w:val="32"/>
          <w:lang w:val="en-US" w:eastAsia="zh-CN" w:bidi="ar-SA"/>
        </w:rPr>
        <w:t>5</w:t>
      </w:r>
      <w:r>
        <w:rPr>
          <w:rFonts w:hint="default" w:ascii="仿宋_GB2312" w:hAnsi="仿宋_GB2312" w:eastAsia="仿宋_GB2312" w:cs="仿宋_GB2312"/>
          <w:b/>
          <w:bCs/>
          <w:kern w:val="2"/>
          <w:sz w:val="32"/>
          <w:szCs w:val="32"/>
          <w:lang w:val="en-US" w:eastAsia="zh-CN" w:bidi="ar-SA"/>
        </w:rPr>
        <w:t>.增加值</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sz w:val="32"/>
          <w:szCs w:val="32"/>
          <w:highlight w:val="none"/>
          <w:shd w:val="clear" w:color="auto" w:fill="FFFFFF"/>
        </w:rPr>
        <w:t>指常住单位生产（或服务）过程创造的新增价值和固定资产的转移价值（折旧）。从生产角度计算，它等于总产出减去中间投入；从收入角度计算，它等于劳动者报酬、生产税净额、固定资产折旧和营业盈余之和。这个指标反映通过各种商品流通渠道向居民和社会集团供应的生活消费品满足他们生活需要的情况，是研究人民生活</w:t>
      </w:r>
      <w:r>
        <w:rPr>
          <w:rFonts w:hint="eastAsia" w:eastAsia="仿宋_GB2312" w:cs="Times New Roman"/>
          <w:sz w:val="32"/>
          <w:szCs w:val="32"/>
          <w:highlight w:val="none"/>
          <w:shd w:val="clear" w:color="auto" w:fill="FFFFFF"/>
          <w:lang w:eastAsia="zh-CN"/>
        </w:rPr>
        <w:t>，</w:t>
      </w:r>
      <w:r>
        <w:rPr>
          <w:rFonts w:hint="default" w:ascii="Times New Roman" w:hAnsi="Times New Roman" w:eastAsia="仿宋_GB2312" w:cs="Times New Roman"/>
          <w:sz w:val="32"/>
          <w:szCs w:val="32"/>
          <w:highlight w:val="none"/>
          <w:shd w:val="clear" w:color="auto" w:fill="FFFFFF"/>
        </w:rPr>
        <w:t>社会消费品购买力、货币流通等方面的重要指标。</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6.“N2N”区域绿色生态循环农业模式：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一定区域（县域）范围内以生态学和经济学原理为指导，采用“政府引导、企业主导、市场运作”的方式，以农业废弃物资源化利用中心和有机肥生产中心为核心，整合上游N家养殖企业和下游N家种植企业，通过第三方治理解决养殖场的粪污、病死畜禽，通过现代农业技术和有机肥料等的使用，减少化肥和农药的使用，解决农田土壤板结等问题，恢复种植生态体系，提高农产品质量；并根据地方特色，创立具有特色的农产品品牌，通过互联网智能监控云平台，大力推进有机农产品物流商贸平台建设，促进农业转型升级，建设一个多目标、多功能、多成分、多层次的组合合理、结构有序、开放循环、内外交流、关系协调、协同发展、动态平衡的新型农业生态体系。第一个“N”指养殖业子系统；中间的“2”指农业废弃物资源化利用中心和有机肥生产中心；第二个“N”指种植业子系统。</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7.“EPC+O”模式：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即工程总承包加运营，一家公司或团队负责项目的设计、采购、施工并在建成后负责一段时间的运营，确保项目从建设到运营的无缝衔接。</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3" w:firstLineChars="200"/>
        <w:jc w:val="both"/>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8.“我为‘百千万工程’建新功”：</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为推动“百千万工程”提质增效，南雄市委决定2024年在全市开展“我为‘百千万工程’建新功”活动，主要包括“家乡建设我参与”“百场宣讲进千家万户”“我为‘百千万工程’出主意”等9个子活动。通过党员干部带头讲故事、提建议、建家乡等，营造比学赶超、赛龙夺锦的浓厚氛围。</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baseline"/>
        <w:rPr>
          <w:rFonts w:hint="default" w:ascii="Times New Roman" w:hAnsi="Times New Roman" w:eastAsia="仿宋_GB2312" w:cs="Times New Roman"/>
          <w:sz w:val="32"/>
          <w:szCs w:val="32"/>
          <w:highlight w:val="none"/>
          <w:shd w:val="clear" w:color="auto" w:fill="FFFFFF"/>
        </w:rPr>
      </w:pPr>
      <w:r>
        <w:rPr>
          <w:rFonts w:hint="eastAsia" w:ascii="仿宋_GB2312" w:hAnsi="仿宋_GB2312" w:eastAsia="仿宋_GB2312" w:cs="仿宋_GB2312"/>
          <w:b/>
          <w:bCs/>
          <w:kern w:val="2"/>
          <w:sz w:val="32"/>
          <w:szCs w:val="32"/>
          <w:lang w:val="en-US" w:eastAsia="zh-CN" w:bidi="ar-SA"/>
        </w:rPr>
        <w:t>9</w:t>
      </w:r>
      <w:r>
        <w:rPr>
          <w:rFonts w:hint="default" w:ascii="仿宋_GB2312" w:hAnsi="仿宋_GB2312" w:eastAsia="仿宋_GB2312" w:cs="仿宋_GB2312"/>
          <w:b/>
          <w:bCs/>
          <w:kern w:val="2"/>
          <w:sz w:val="32"/>
          <w:szCs w:val="32"/>
          <w:lang w:val="en-US" w:eastAsia="zh-CN" w:bidi="ar-SA"/>
        </w:rPr>
        <w:t>.新型城镇化</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sz w:val="32"/>
          <w:szCs w:val="32"/>
          <w:highlight w:val="none"/>
          <w:shd w:val="clear" w:color="auto" w:fill="FFFFFF"/>
        </w:rPr>
        <w:t>是以城乡统筹、城乡一体、产业互动、节约集约、生态宜居、和谐发展为基本特征的城镇化，是大中小城市、小城镇、新型农村社区协调发展、互促共进的城镇化。新型城镇化的核心在于不以牺牲农业和粮食、生态和环境为代价，着眼农民，涵盖农村，实现城乡基础设施一体化和公共服务均等化，促进经济社会发展，实现共同富裕。</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jc w:val="both"/>
        <w:textAlignment w:val="auto"/>
        <w:rPr>
          <w:rFonts w:hint="eastAsia"/>
          <w:lang w:val="en-US" w:eastAsia="zh-CN"/>
        </w:rPr>
      </w:pPr>
      <w:r>
        <w:rPr>
          <w:rFonts w:hint="eastAsia" w:ascii="仿宋_GB2312" w:hAnsi="仿宋_GB2312" w:eastAsia="仿宋_GB2312" w:cs="仿宋_GB2312"/>
          <w:b/>
          <w:bCs/>
          <w:kern w:val="2"/>
          <w:sz w:val="32"/>
          <w:szCs w:val="32"/>
          <w:lang w:val="en-US" w:eastAsia="zh-CN" w:bidi="ar-SA"/>
        </w:rPr>
        <w:t>10.</w:t>
      </w:r>
      <w:r>
        <w:rPr>
          <w:rFonts w:hint="default" w:ascii="仿宋_GB2312" w:hAnsi="仿宋_GB2312" w:eastAsia="仿宋_GB2312" w:cs="仿宋_GB2312"/>
          <w:b/>
          <w:bCs/>
          <w:kern w:val="2"/>
          <w:sz w:val="32"/>
          <w:szCs w:val="32"/>
          <w:lang w:val="en-US" w:eastAsia="zh-CN" w:bidi="ar-SA"/>
        </w:rPr>
        <w:t>“企业联盟共同配送”</w:t>
      </w:r>
      <w:r>
        <w:rPr>
          <w:rFonts w:hint="eastAsia" w:ascii="仿宋_GB2312" w:hAnsi="仿宋_GB2312" w:eastAsia="仿宋_GB2312" w:cs="仿宋_GB2312"/>
          <w:b/>
          <w:bCs/>
          <w:kern w:val="2"/>
          <w:sz w:val="32"/>
          <w:szCs w:val="32"/>
          <w:lang w:val="en-US" w:eastAsia="zh-CN" w:bidi="ar-SA"/>
        </w:rPr>
        <w:t>模式：</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多家企业为了实现资源共享、降低成本等目的而联合起来进行配送的一种物流模式。在这种模式下，物流园内的企业会通过签订合作协议，整合各自的物流资源，包括仓库、运输车辆、配送人员等，例如，一些小型电商企业，单独配送时成本高、效率低，它们组成联盟后，能够将货物集中在一处仓库，共同安排车辆按照最优路线进行配送，从而提高车辆的满载率，减少运输里程，降低运输成本。这种模式还可以整合订单信息，提升配送的准确性和时效性。</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jc w:val="both"/>
        <w:textAlignment w:val="auto"/>
        <w:rPr>
          <w:rFonts w:hint="default"/>
        </w:rPr>
      </w:pPr>
      <w:r>
        <w:rPr>
          <w:rFonts w:hint="eastAsia" w:ascii="仿宋_GB2312" w:hAnsi="仿宋_GB2312" w:eastAsia="仿宋_GB2312" w:cs="仿宋_GB2312"/>
          <w:b/>
          <w:bCs/>
          <w:kern w:val="2"/>
          <w:sz w:val="32"/>
          <w:szCs w:val="32"/>
          <w:lang w:val="en-US" w:eastAsia="zh-CN" w:bidi="ar-SA"/>
        </w:rPr>
        <w:t>11.“启航计划”：</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省委人才工作领导小组2023年8月出台实施的百县千镇万村高质量发展人才支持计划，旨在通过落实“产业人才强县”“紧缺人才聚县”“乡土人才兴县”“专业人才扶县”四大行动18条措施和10条人才特殊支持保障政策，为推动县域高质量发展、强化乡镇节点功能、建设宜居宜业和美乡村、促进城乡一体化发展提供人才支撑和智力保障。</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jc w:val="both"/>
        <w:textAlignment w:val="auto"/>
        <w:rPr>
          <w:rFonts w:hint="default"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12.学前教育“5085”：</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即公办幼儿园在园幼儿数占比达到50%，公办幼儿园和普惠性民办幼儿园占比达到85%以上。</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rPr>
          <w:rFonts w:hint="default" w:ascii="Times New Roman" w:hAnsi="Times New Roman" w:eastAsia="仿宋_GB2312" w:cs="Times New Roman"/>
          <w:sz w:val="32"/>
          <w:szCs w:val="32"/>
          <w:highlight w:val="none"/>
          <w:shd w:val="clear" w:color="auto" w:fill="FFFFFF"/>
        </w:rPr>
      </w:pPr>
      <w:r>
        <w:rPr>
          <w:rFonts w:hint="eastAsia" w:ascii="仿宋_GB2312" w:hAnsi="仿宋_GB2312" w:eastAsia="仿宋_GB2312" w:cs="仿宋_GB2312"/>
          <w:b/>
          <w:bCs/>
          <w:kern w:val="2"/>
          <w:sz w:val="32"/>
          <w:szCs w:val="32"/>
          <w:lang w:val="en-US" w:eastAsia="zh-CN" w:bidi="ar-SA"/>
        </w:rPr>
        <w:t>13</w:t>
      </w:r>
      <w:r>
        <w:rPr>
          <w:rFonts w:hint="default" w:ascii="仿宋_GB2312" w:hAnsi="仿宋_GB2312" w:eastAsia="仿宋_GB2312" w:cs="仿宋_GB2312"/>
          <w:b/>
          <w:bCs/>
          <w:kern w:val="2"/>
          <w:sz w:val="32"/>
          <w:szCs w:val="32"/>
          <w:lang w:val="en-US" w:eastAsia="zh-CN" w:bidi="ar-SA"/>
        </w:rPr>
        <w:t>.地方公共财政预算收入</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sz w:val="32"/>
          <w:szCs w:val="32"/>
          <w:highlight w:val="none"/>
          <w:shd w:val="clear" w:color="auto" w:fill="FFFFFF"/>
        </w:rPr>
        <w:t>一般公共预算是指以税收为主体的财政收入，安排用于保障和改善民生、推动经济社会发展、维护国家安全、维持国家机构正常运转等方面的收支预算。地方一般公共预算收入包括地方本级收入、上级政府对本级政府的税收返还、转移支付和下级政府的上解收入。</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baseline"/>
        <w:rPr>
          <w:rFonts w:hint="default" w:ascii="Times New Roman" w:hAnsi="Times New Roman" w:eastAsia="仿宋_GB2312" w:cs="Times New Roman"/>
          <w:sz w:val="32"/>
          <w:szCs w:val="32"/>
          <w:highlight w:val="none"/>
          <w:shd w:val="clear" w:color="auto" w:fill="FFFFFF"/>
        </w:rPr>
      </w:pPr>
      <w:r>
        <w:rPr>
          <w:rFonts w:hint="eastAsia" w:ascii="仿宋_GB2312" w:hAnsi="仿宋_GB2312" w:eastAsia="仿宋_GB2312" w:cs="仿宋_GB2312"/>
          <w:b/>
          <w:bCs/>
          <w:kern w:val="2"/>
          <w:sz w:val="32"/>
          <w:szCs w:val="32"/>
          <w:lang w:val="en-US" w:eastAsia="zh-CN" w:bidi="ar-SA"/>
        </w:rPr>
        <w:t>14</w:t>
      </w:r>
      <w:r>
        <w:rPr>
          <w:rFonts w:hint="default" w:ascii="仿宋_GB2312" w:hAnsi="仿宋_GB2312" w:eastAsia="仿宋_GB2312" w:cs="仿宋_GB2312"/>
          <w:b/>
          <w:bCs/>
          <w:kern w:val="2"/>
          <w:sz w:val="32"/>
          <w:szCs w:val="32"/>
          <w:lang w:val="en-US" w:eastAsia="zh-CN" w:bidi="ar-SA"/>
        </w:rPr>
        <w:t>.固定资产投资</w:t>
      </w:r>
      <w:r>
        <w:rPr>
          <w:rFonts w:hint="eastAsia" w:ascii="仿宋_GB2312" w:hAnsi="仿宋_GB2312" w:eastAsia="仿宋_GB2312" w:cs="仿宋_GB2312"/>
          <w:b/>
          <w:bCs/>
          <w:kern w:val="2"/>
          <w:sz w:val="32"/>
          <w:szCs w:val="32"/>
          <w:lang w:val="en-US" w:eastAsia="zh-CN" w:bidi="ar-SA"/>
        </w:rPr>
        <w:t>额：</w:t>
      </w:r>
      <w:r>
        <w:rPr>
          <w:rFonts w:hint="default" w:ascii="Times New Roman" w:hAnsi="Times New Roman" w:eastAsia="仿宋_GB2312" w:cs="Times New Roman"/>
          <w:sz w:val="32"/>
          <w:szCs w:val="32"/>
          <w:highlight w:val="none"/>
          <w:shd w:val="clear" w:color="auto" w:fill="FFFFFF"/>
        </w:rPr>
        <w:t>是以货币表现的建造和购置固定资产活动的工作量，是反映固定资产投资规模、速度、比例关系和使用方向的综合指标。按现行的投资计划管理体制分，固定资产投资额分为基本建设、更新改造、房地产开发和其他固定资产投资；按投资构成分为建筑工程、安装工程、设备工具器购置、其他费用（含土地购置费、设计费等）；按所有制性质分为国有单位投资、城乡集体经济单位投资、</w:t>
      </w:r>
      <w:r>
        <w:rPr>
          <w:rFonts w:hint="eastAsia" w:eastAsia="仿宋_GB2312" w:cs="Times New Roman"/>
          <w:sz w:val="32"/>
          <w:szCs w:val="32"/>
          <w:highlight w:val="none"/>
          <w:shd w:val="clear" w:color="auto" w:fill="FFFFFF"/>
          <w:lang w:eastAsia="zh-CN"/>
        </w:rPr>
        <w:t>其他</w:t>
      </w:r>
      <w:r>
        <w:rPr>
          <w:rFonts w:hint="default" w:ascii="Times New Roman" w:hAnsi="Times New Roman" w:eastAsia="仿宋_GB2312" w:cs="Times New Roman"/>
          <w:sz w:val="32"/>
          <w:szCs w:val="32"/>
          <w:highlight w:val="none"/>
          <w:shd w:val="clear" w:color="auto" w:fill="FFFFFF"/>
        </w:rPr>
        <w:t>各种经济类型的单位投资和城乡居民个人投资。</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baseline"/>
        <w:rPr>
          <w:rFonts w:hint="default" w:ascii="Times New Roman" w:hAnsi="Times New Roman" w:eastAsia="仿宋_GB2312" w:cs="Times New Roman"/>
          <w:sz w:val="32"/>
          <w:szCs w:val="32"/>
          <w:highlight w:val="none"/>
          <w:shd w:val="clear" w:color="auto" w:fill="FFFFFF"/>
        </w:rPr>
      </w:pPr>
      <w:r>
        <w:rPr>
          <w:rFonts w:hint="eastAsia" w:ascii="仿宋_GB2312" w:hAnsi="仿宋_GB2312" w:eastAsia="仿宋_GB2312" w:cs="仿宋_GB2312"/>
          <w:b/>
          <w:bCs/>
          <w:kern w:val="2"/>
          <w:sz w:val="32"/>
          <w:szCs w:val="32"/>
          <w:lang w:val="en-US" w:eastAsia="zh-CN" w:bidi="ar-SA"/>
        </w:rPr>
        <w:t>15</w:t>
      </w:r>
      <w:r>
        <w:rPr>
          <w:rFonts w:hint="default" w:ascii="仿宋_GB2312" w:hAnsi="仿宋_GB2312" w:eastAsia="仿宋_GB2312" w:cs="仿宋_GB2312"/>
          <w:b/>
          <w:bCs/>
          <w:kern w:val="2"/>
          <w:sz w:val="32"/>
          <w:szCs w:val="32"/>
          <w:lang w:val="en-US" w:eastAsia="zh-CN" w:bidi="ar-SA"/>
        </w:rPr>
        <w:t>.社会消费品零售总额</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sz w:val="32"/>
          <w:szCs w:val="32"/>
          <w:highlight w:val="none"/>
          <w:shd w:val="clear" w:color="auto" w:fill="FFFFFF"/>
        </w:rPr>
        <w:t>指各种经济类型的批发零售贸易业、餐饮业、制造业和其他行业对城乡居民和社会集团的消费品零售额的总和。这个指标反映通过各种商品流通渠道向居民和社会集团供应的生活消费品满足他们生活需要的情况，是研究人民生活，社会消费品购买力、货币流通等方面的重要指标。</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baseline"/>
        <w:rPr>
          <w:rFonts w:hint="default" w:ascii="Times New Roman" w:hAnsi="Times New Roman" w:eastAsia="仿宋_GB2312" w:cs="Times New Roman"/>
          <w:sz w:val="32"/>
          <w:szCs w:val="32"/>
          <w:highlight w:val="none"/>
          <w:shd w:val="clear" w:color="auto" w:fill="FFFFFF"/>
        </w:rPr>
      </w:pPr>
      <w:r>
        <w:rPr>
          <w:rFonts w:hint="default" w:ascii="仿宋_GB2312" w:hAnsi="仿宋_GB2312" w:eastAsia="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6</w:t>
      </w:r>
      <w:r>
        <w:rPr>
          <w:rFonts w:hint="default" w:ascii="仿宋_GB2312" w:hAnsi="仿宋_GB2312" w:eastAsia="仿宋_GB2312" w:cs="仿宋_GB2312"/>
          <w:b/>
          <w:bCs/>
          <w:kern w:val="2"/>
          <w:sz w:val="32"/>
          <w:szCs w:val="32"/>
          <w:lang w:val="en-US" w:eastAsia="zh-CN" w:bidi="ar-SA"/>
        </w:rPr>
        <w:t>.城乡居民人均可支配收入</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sz w:val="32"/>
          <w:szCs w:val="32"/>
          <w:highlight w:val="none"/>
          <w:shd w:val="clear" w:color="auto" w:fill="FFFFFF"/>
        </w:rPr>
        <w:t>指城乡居民在调查期内获得的、可用于最终消费支出和储蓄的总和，即调查户可以用来自由支配的收入。可支配收入既包括现金，也包括实物收入。按照收入的来源，可支配收入包含四项，分别为：工资性收入、经营净收入、财产净收入和转移净收入。</w:t>
      </w:r>
    </w:p>
    <w:p>
      <w:pPr>
        <w:keepNext w:val="0"/>
        <w:keepLines w:val="0"/>
        <w:pageBreakBefore w:val="0"/>
        <w:widowControl w:val="0"/>
        <w:kinsoku/>
        <w:wordWrap/>
        <w:overflowPunct/>
        <w:topLinePunct w:val="0"/>
        <w:autoSpaceDE/>
        <w:autoSpaceDN/>
        <w:bidi w:val="0"/>
        <w:adjustRightInd/>
        <w:snapToGrid/>
        <w:spacing w:line="610" w:lineRule="exact"/>
        <w:ind w:firstLine="643" w:firstLineChars="200"/>
        <w:textAlignment w:val="baseline"/>
        <w:rPr>
          <w:rFonts w:hint="default" w:ascii="Times New Roman" w:hAnsi="Times New Roman" w:eastAsia="仿宋_GB2312" w:cs="Times New Roman"/>
          <w:sz w:val="32"/>
          <w:szCs w:val="32"/>
          <w:highlight w:val="none"/>
          <w:shd w:val="clear" w:color="auto" w:fill="FFFFFF"/>
        </w:rPr>
      </w:pPr>
      <w:r>
        <w:rPr>
          <w:rFonts w:hint="default" w:ascii="仿宋_GB2312" w:hAnsi="仿宋_GB2312" w:eastAsia="仿宋_GB2312" w:cs="仿宋_GB2312"/>
          <w:b/>
          <w:bCs/>
          <w:kern w:val="2"/>
          <w:sz w:val="32"/>
          <w:szCs w:val="32"/>
          <w:lang w:val="en-US" w:eastAsia="zh-CN" w:bidi="ar-SA"/>
        </w:rPr>
        <w:t>1</w:t>
      </w:r>
      <w:r>
        <w:rPr>
          <w:rFonts w:hint="eastAsia" w:ascii="仿宋_GB2312" w:hAnsi="仿宋_GB2312" w:eastAsia="仿宋_GB2312" w:cs="仿宋_GB2312"/>
          <w:b/>
          <w:bCs/>
          <w:kern w:val="2"/>
          <w:sz w:val="32"/>
          <w:szCs w:val="32"/>
          <w:lang w:val="en-US" w:eastAsia="zh-CN" w:bidi="ar-SA"/>
        </w:rPr>
        <w:t>7</w:t>
      </w:r>
      <w:r>
        <w:rPr>
          <w:rFonts w:hint="default" w:ascii="仿宋_GB2312" w:hAnsi="仿宋_GB2312" w:eastAsia="仿宋_GB2312" w:cs="仿宋_GB2312"/>
          <w:b/>
          <w:bCs/>
          <w:kern w:val="2"/>
          <w:sz w:val="32"/>
          <w:szCs w:val="32"/>
          <w:lang w:val="en-US" w:eastAsia="zh-CN" w:bidi="ar-SA"/>
        </w:rPr>
        <w:t>.发展速度、增长速度</w:t>
      </w:r>
      <w:r>
        <w:rPr>
          <w:rFonts w:hint="eastAsia" w:ascii="仿宋_GB2312" w:hAnsi="仿宋_GB2312" w:eastAsia="仿宋_GB2312" w:cs="仿宋_GB2312"/>
          <w:b/>
          <w:bCs/>
          <w:kern w:val="2"/>
          <w:sz w:val="32"/>
          <w:szCs w:val="32"/>
          <w:lang w:val="en-US" w:eastAsia="zh-CN" w:bidi="ar-SA"/>
        </w:rPr>
        <w:t>：</w:t>
      </w:r>
      <w:r>
        <w:rPr>
          <w:rFonts w:hint="default" w:ascii="Times New Roman" w:hAnsi="Times New Roman" w:eastAsia="仿宋_GB2312" w:cs="Times New Roman"/>
          <w:sz w:val="32"/>
          <w:szCs w:val="32"/>
          <w:highlight w:val="none"/>
          <w:shd w:val="clear" w:color="auto" w:fill="FFFFFF"/>
        </w:rPr>
        <w:t>发展速度也称为发展指数，是反映社会经济发展程度的相对指标，它根据两个不同时期的发展水平的对比而得。由于比较的基期或标准时期不同，发展速度可分为定基（即根据需要把对比的时期固定在某一年份，如1949年、1978年、2000年等）发展速度和环比（即对比的时期为报告期的上一年）发展速度。</w:t>
      </w:r>
    </w:p>
    <w:p>
      <w:pPr>
        <w:keepNext w:val="0"/>
        <w:keepLines w:val="0"/>
        <w:pageBreakBefore w:val="0"/>
        <w:widowControl w:val="0"/>
        <w:kinsoku/>
        <w:wordWrap/>
        <w:overflowPunct/>
        <w:topLinePunct w:val="0"/>
        <w:autoSpaceDE/>
        <w:autoSpaceDN/>
        <w:bidi w:val="0"/>
        <w:adjustRightInd/>
        <w:snapToGrid/>
        <w:spacing w:line="610" w:lineRule="exact"/>
        <w:ind w:firstLine="640" w:firstLineChars="200"/>
        <w:textAlignment w:val="baseline"/>
        <w:rPr>
          <w:rFonts w:hint="default"/>
        </w:rPr>
      </w:pPr>
      <w:r>
        <w:rPr>
          <w:rFonts w:hint="default" w:ascii="Times New Roman" w:hAnsi="Times New Roman" w:eastAsia="仿宋_GB2312" w:cs="Times New Roman"/>
          <w:sz w:val="32"/>
          <w:szCs w:val="32"/>
          <w:highlight w:val="none"/>
          <w:shd w:val="clear" w:color="auto" w:fill="FFFFFF"/>
        </w:rPr>
        <w:t>增长速度是反映社会经济增长程度的相对指标，它是报告期的增长量与基期发展水平之比。增长速度＝发展速度－1（或100%）。目前，反映社会经济发展变化程度，一般</w:t>
      </w:r>
      <w:r>
        <w:rPr>
          <w:rFonts w:hint="eastAsia" w:eastAsia="仿宋_GB2312" w:cs="Times New Roman"/>
          <w:sz w:val="32"/>
          <w:szCs w:val="32"/>
          <w:highlight w:val="none"/>
          <w:shd w:val="clear" w:color="auto" w:fill="FFFFFF"/>
          <w:lang w:eastAsia="zh-CN"/>
        </w:rPr>
        <w:t>适用</w:t>
      </w:r>
      <w:r>
        <w:rPr>
          <w:rFonts w:hint="eastAsia" w:eastAsia="仿宋_GB2312" w:cs="Times New Roman"/>
          <w:sz w:val="32"/>
          <w:szCs w:val="32"/>
          <w:highlight w:val="none"/>
          <w:shd w:val="clear" w:color="auto" w:fill="FFFFFF"/>
          <w:lang w:val="en-US" w:eastAsia="zh-CN"/>
        </w:rPr>
        <w:t>于</w:t>
      </w:r>
      <w:r>
        <w:rPr>
          <w:rFonts w:hint="default" w:ascii="Times New Roman" w:hAnsi="Times New Roman" w:eastAsia="仿宋_GB2312" w:cs="Times New Roman"/>
          <w:sz w:val="32"/>
          <w:szCs w:val="32"/>
          <w:highlight w:val="none"/>
          <w:shd w:val="clear" w:color="auto" w:fill="FFFFFF"/>
        </w:rPr>
        <w:t>增长速度。</w:t>
      </w:r>
    </w:p>
    <w:p>
      <w:pPr>
        <w:keepNext w:val="0"/>
        <w:keepLines w:val="0"/>
        <w:pageBreakBefore w:val="0"/>
        <w:widowControl w:val="0"/>
        <w:numPr>
          <w:ilvl w:val="0"/>
          <w:numId w:val="0"/>
        </w:numPr>
        <w:kinsoku/>
        <w:wordWrap/>
        <w:overflowPunct/>
        <w:topLinePunct w:val="0"/>
        <w:autoSpaceDE/>
        <w:autoSpaceDN/>
        <w:bidi w:val="0"/>
        <w:adjustRightInd/>
        <w:snapToGrid/>
        <w:spacing w:line="610" w:lineRule="exact"/>
        <w:ind w:firstLine="64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kern w:val="2"/>
          <w:sz w:val="32"/>
          <w:szCs w:val="32"/>
          <w:lang w:val="en-US" w:eastAsia="zh-CN" w:bidi="ar-SA"/>
        </w:rPr>
        <w:t>18.“1+6+N”基层“一站式”矛盾纠纷调处工作体系：</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“1”指综治中心，“6”指综合网格及法院、检察院、公安、司法等基层政法力量和“粤平安”社会治理云平台等信息化支撑平台，“N”指其他综治力量。</w:t>
      </w:r>
    </w:p>
    <w:p>
      <w:pPr>
        <w:rPr>
          <w:rFonts w:ascii="Times New Roman" w:hAnsi="Times New Roman" w:eastAsia="宋体" w:cs="Times New Roman"/>
          <w:highlight w:val="none"/>
        </w:rPr>
      </w:pPr>
    </w:p>
    <w:p>
      <w:pPr>
        <w:spacing w:line="400" w:lineRule="exact"/>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pStyle w:val="2"/>
        <w:rPr>
          <w:rFonts w:hint="eastAsia" w:ascii="Times New Roman" w:hAnsi="Times New Roman" w:eastAsia="仿宋_GB2312" w:cs="Times New Roman"/>
          <w:sz w:val="32"/>
          <w:szCs w:val="32"/>
          <w:highlight w:val="none"/>
        </w:rPr>
      </w:pPr>
    </w:p>
    <w:p>
      <w:pPr>
        <w:ind w:firstLine="160" w:firstLineChars="50"/>
        <w:rPr>
          <w:rFonts w:hint="eastAsia" w:ascii="仿宋_GB2312" w:hAnsi="Times New Roman" w:eastAsia="仿宋_GB2312" w:cs="仿宋_GB2312"/>
          <w:sz w:val="32"/>
          <w:szCs w:val="32"/>
          <w:highlight w:val="none"/>
          <w:lang w:val="zh-CN"/>
        </w:rPr>
      </w:pPr>
      <w:r>
        <w:rPr>
          <w:rFonts w:hint="eastAsia" w:ascii="Times New Roman" w:hAnsi="Times New Roman" w:eastAsia="仿宋_GB2312" w:cs="Times New Roman"/>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234305"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2343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2.15pt;z-index:251659264;mso-width-relative:page;mso-height-relative:page;" filled="f" stroked="t" coordsize="21600,21600" o:gfxdata="UEsDBAoAAAAAAIdO4kAAAAAAAAAAAAAAAAAEAAAAZHJzL1BLAwQUAAAACACHTuJAOGwHt9IAAAAC&#10;AQAADwAAAGRycy9kb3ducmV2LnhtbE2PzU7DMBCE70i8g7VIXCpqN0WoSuP0AOTGhVLEdRtvk4h4&#10;ncbuDzw9Wy5wGWk0q5lvi9XZ9+pIY+wCW5hNDSjiOriOGwubt+puASomZId9YLLwRRFW5fVVgbkL&#10;J36l4zo1Sko45mihTWnItY51Sx7jNAzEku3C6DGJHRvtRjxJue91ZsyD9tixLLQ40GNL9ef64C3E&#10;6p321feknpiPeRMo2z+9PKO1tzczswSV6Jz+juGCL+hQCtM2HNhF1VuQR9KvSrbI7uegthery0L/&#10;Ry9/AFBLAwQUAAAACACHTuJAMJLZ+fUBAADkAwAADgAAAGRycy9lMm9Eb2MueG1srVPNjtMwEL4j&#10;8Q6W7zRtliI2arqHLcsFQSXYB5g6TmLJf/K4TfsSvAASNzhx5M7bsDwGY6fbheXSAzk4Y8/4m/m+&#10;GS+u9kaznQyonK35bDLlTFrhGmW7mt9+uHn2kjOMYBvQzsqaHyTyq+XTJ4vBV7J0vdONDIxALFaD&#10;r3kfo6+KAkUvDeDEeWnJ2bpgINI2dEUTYCB0o4tyOn1RDC40PjghEel0NTr5ETGcA+jaVgm5cmJr&#10;pI0japAaIlHCXnnky1xt20oR37Utysh0zYlpzCslIXuT1mK5gKoL4HsljiXAOSU84mRAWUp6glpB&#10;BLYN6h8oo0Rw6No4Ec4UI5GsCLGYTR9p874HLzMXkhr9SXT8f7Di7W4dmGpqXnJmwVDD7z59//nx&#10;y68fn2m9+/aVlUmkwWNFsdd2HY479OuQGO/bYNKfuLB9FvZwElbuIxN0OC8vnl9M55yJe1/xcNEH&#10;jK+lMywZNdfKJs5Qwe4NRkpGofch6VhbNtT8cl4mOKABbKnxZBpPJNB2+S46rZobpXW6gaHbXOvA&#10;dpCGIH+JEuH+FZaSrAD7MS67xvHoJTSvbMPiwZM8ll4FTyUY2XCmJT2iZBEgVBGUPieSUmtLFSRV&#10;Rx2TtXHNgZqx9UF1PSkxy1UmDzU/13sc1DRdf+4z0sPjXP4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OGwHt9IAAAACAQAADwAAAAAAAAABACAAAAAiAAAAZHJzL2Rvd25yZXYueG1sUEsBAhQAFAAA&#10;AAgAh07iQDCS2fn1AQAA5AMAAA4AAAAAAAAAAQAgAAAAIQEAAGRycy9lMm9Eb2MueG1sUEsFBgAA&#10;AAAGAAYAWQEAAIgFAAAAAA==&#10;">
                <v:fill on="f" focussize="0,0"/>
                <v:stroke color="#000000" joinstyle="round"/>
                <v:imagedata o:title=""/>
                <o:lock v:ext="edit" aspectratio="f"/>
              </v:line>
            </w:pict>
          </mc:Fallback>
        </mc:AlternateContent>
      </w:r>
      <w:r>
        <w:rPr>
          <w:rFonts w:hint="eastAsia" w:ascii="仿宋_GB2312" w:hAnsi="Times New Roman" w:eastAsia="仿宋_GB2312" w:cs="仿宋_GB2312"/>
          <w:sz w:val="32"/>
          <w:szCs w:val="32"/>
          <w:highlight w:val="none"/>
          <w:lang w:val="zh-CN"/>
        </w:rPr>
        <w:t>大会秘书处                              共印</w:t>
      </w:r>
      <w:r>
        <w:rPr>
          <w:rFonts w:hint="eastAsia" w:ascii="仿宋_GB2312" w:hAnsi="Times New Roman" w:eastAsia="仿宋_GB2312" w:cs="仿宋_GB2312"/>
          <w:sz w:val="32"/>
          <w:szCs w:val="32"/>
          <w:highlight w:val="none"/>
          <w:lang w:val="en-US" w:eastAsia="zh-CN"/>
        </w:rPr>
        <w:t>450</w:t>
      </w:r>
      <w:r>
        <w:rPr>
          <w:rFonts w:hint="eastAsia" w:ascii="仿宋_GB2312" w:hAnsi="Times New Roman" w:eastAsia="仿宋_GB2312" w:cs="仿宋_GB2312"/>
          <w:sz w:val="32"/>
          <w:szCs w:val="32"/>
          <w:highlight w:val="none"/>
          <w:lang w:val="zh-CN"/>
        </w:rPr>
        <w:t>份</w:t>
      </w:r>
    </w:p>
    <w:p>
      <w:pPr>
        <w:spacing w:line="100" w:lineRule="exact"/>
        <w:rPr>
          <w:rFonts w:hint="default" w:ascii="Times New Roman" w:hAnsi="Times New Roman" w:cs="Times New Roman"/>
          <w:sz w:val="32"/>
          <w:szCs w:val="32"/>
          <w:highlight w:val="none"/>
          <w:shd w:val="clear" w:color="auto" w:fill="FFFFFF"/>
        </w:rPr>
      </w:pPr>
      <w:r>
        <w:rPr>
          <w:rFonts w:hint="eastAsia" w:ascii="Times New Roman" w:hAnsi="Times New Roman" w:eastAsia="宋体" w:cs="Times New Roman"/>
          <w:highlight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234305"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523430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0pt;height:0pt;width:412.15pt;z-index:251660288;mso-width-relative:page;mso-height-relative:page;" filled="f" stroked="t" coordsize="21600,21600" o:gfxdata="UEsDBAoAAAAAAIdO4kAAAAAAAAAAAAAAAAAEAAAAZHJzL1BLAwQUAAAACACHTuJAOGwHt9IAAAAC&#10;AQAADwAAAGRycy9kb3ducmV2LnhtbE2PzU7DMBCE70i8g7VIXCpqN0WoSuP0AOTGhVLEdRtvk4h4&#10;ncbuDzw9Wy5wGWk0q5lvi9XZ9+pIY+wCW5hNDSjiOriOGwubt+puASomZId9YLLwRRFW5fVVgbkL&#10;J36l4zo1Sko45mihTWnItY51Sx7jNAzEku3C6DGJHRvtRjxJue91ZsyD9tixLLQ40GNL9ef64C3E&#10;6p321feknpiPeRMo2z+9PKO1tzczswSV6Jz+juGCL+hQCtM2HNhF1VuQR9KvSrbI7uegthery0L/&#10;Ry9/AFBLAwQUAAAACACHTuJAIfm9lPQBAADkAwAADgAAAGRycy9lMm9Eb2MueG1srVPNjtMwEL4j&#10;8Q6W7zRpSxFETfewZbkgqAQ8wNRxEkv+k8dt2pfgBZC4wYkjd96G5TEYO90uLJceyMEZe8bfzPfN&#10;eHl1MJrtZUDlbM2nk5IzaYVrlO1q/uH9zZPnnGEE24B2Vtb8KJFfrR4/Wg6+kjPXO93IwAjEYjX4&#10;mvcx+qooUPTSAE6cl5acrQsGIm1DVzQBBkI3upiV5bNicKHxwQmJSKfr0clPiOESQNe2Ssi1Ezsj&#10;bRxRg9QQiRL2yiNf5WrbVor4tm1RRqZrTkxjXikJ2du0FqslVF0A3ytxKgEuKeEBJwPKUtIz1Boi&#10;sF1Q/0AZJYJD18aJcKYYiWRFiMW0fKDNux68zFxIavRn0fH/wYo3+01gqqn5nDMLhhp+++n7z49f&#10;fv34TOvtt69snkQaPFYUe2034bRDvwmJ8aENJv2JCztkYY9nYeUhMkGHi9n86bxccCbufMX9RR8w&#10;vpLOsGTUXCubOEMF+9cYKRmF3oWkY23ZUPMXi1mCAxrAlhpPpvFEAm2X76LTqrlRWqcbGLrttQ5s&#10;D2kI8pcoEe5fYSnJGrAf47JrHI9eQvPSNiwePclj6VXwVIKRDWda0iNKFgFCFUHpSyIptbZUQVJ1&#10;1DFZW9ccqRk7H1TXkxLTXGXyUPNzvadBTdP15z4j3T/O1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4bAe30gAAAAIBAAAPAAAAAAAAAAEAIAAAACIAAABkcnMvZG93bnJldi54bWxQSwECFAAUAAAA&#10;CACHTuJAIfm9lPQBAADkAwAADgAAAAAAAAABACAAAAAhAQAAZHJzL2Uyb0RvYy54bWxQSwUGAAAA&#10;AAYABgBZAQAAhwUAAAAA&#10;">
                <v:fill on="f" focussize="0,0"/>
                <v:stroke color="#000000" joinstyle="round"/>
                <v:imagedata o:title=""/>
                <o:lock v:ext="edit" aspectratio="f"/>
              </v:line>
            </w:pict>
          </mc:Fallback>
        </mc:AlternateConten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-97155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24"/>
                              <w:szCs w:val="4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7.65pt;height:144pt;width:144pt;mso-position-horizontal:outside;mso-position-horizontal-relative:margin;mso-wrap-style:none;z-index:251659264;mso-width-relative:page;mso-height-relative:page;" filled="f" stroked="f" coordsize="21600,21600" o:gfxdata="UEsDBAoAAAAAAIdO4kAAAAAAAAAAAAAAAAAEAAAAZHJzL1BLAwQUAAAACACHTuJAxZq3XNYAAAAI&#10;AQAADwAAAGRycy9kb3ducmV2LnhtbE2PQU/DMAyF70j8h8hI3La0HbCqNJ3ERDkisXLgmDWmLTRO&#10;lWRd+feYE7vZfk/P3yt3ix3FjD4MjhSk6wQEUuvMQJ2C96Ze5SBC1GT06AgV/GCAXXV9VerCuDO9&#10;4XyIneAQCoVW0Mc4FVKGtkerw9pNSKx9Om915NV30nh95nA7yixJHqTVA/GHXk+477H9Ppysgn3d&#10;NH7G4McPfKk3X69Pd/i8KHV7kyaPICIu8d8Mf/iMDhUzHd2JTBCjAi4SFazS+w0IlrM858uRh222&#10;BVmV8rJA9Qt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Wat1zWAAAACA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7"/>
                      <w:rPr>
                        <w:sz w:val="24"/>
                        <w:szCs w:val="40"/>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017468"/>
    <w:rsid w:val="01173BB8"/>
    <w:rsid w:val="01FB688A"/>
    <w:rsid w:val="03822CFE"/>
    <w:rsid w:val="048433E8"/>
    <w:rsid w:val="04F55751"/>
    <w:rsid w:val="05F202CB"/>
    <w:rsid w:val="077706A0"/>
    <w:rsid w:val="091D1F66"/>
    <w:rsid w:val="099230AA"/>
    <w:rsid w:val="09A711E3"/>
    <w:rsid w:val="09EF09C1"/>
    <w:rsid w:val="0B7C0033"/>
    <w:rsid w:val="15A67D98"/>
    <w:rsid w:val="15D66ED9"/>
    <w:rsid w:val="170F4451"/>
    <w:rsid w:val="1714006B"/>
    <w:rsid w:val="178925BA"/>
    <w:rsid w:val="17E441F0"/>
    <w:rsid w:val="17E4559B"/>
    <w:rsid w:val="17F65611"/>
    <w:rsid w:val="18187335"/>
    <w:rsid w:val="18F24080"/>
    <w:rsid w:val="1A575A5D"/>
    <w:rsid w:val="1C53612E"/>
    <w:rsid w:val="1C870B2E"/>
    <w:rsid w:val="1DBA5005"/>
    <w:rsid w:val="204B2AA1"/>
    <w:rsid w:val="25AD58C2"/>
    <w:rsid w:val="270C4509"/>
    <w:rsid w:val="279F537D"/>
    <w:rsid w:val="29E130AE"/>
    <w:rsid w:val="2B9D619F"/>
    <w:rsid w:val="2CF1115B"/>
    <w:rsid w:val="2D12039F"/>
    <w:rsid w:val="300E30A0"/>
    <w:rsid w:val="324C4353"/>
    <w:rsid w:val="33695AB1"/>
    <w:rsid w:val="362A2588"/>
    <w:rsid w:val="399245C4"/>
    <w:rsid w:val="39BB39AE"/>
    <w:rsid w:val="3B6D3B02"/>
    <w:rsid w:val="3D454011"/>
    <w:rsid w:val="3D873C5B"/>
    <w:rsid w:val="3F5D7776"/>
    <w:rsid w:val="3FBC2BF4"/>
    <w:rsid w:val="406347F8"/>
    <w:rsid w:val="40CF0629"/>
    <w:rsid w:val="427C5901"/>
    <w:rsid w:val="439E4BF1"/>
    <w:rsid w:val="46780C9B"/>
    <w:rsid w:val="468F539C"/>
    <w:rsid w:val="478F6C36"/>
    <w:rsid w:val="48910472"/>
    <w:rsid w:val="49F3575A"/>
    <w:rsid w:val="4AE932BC"/>
    <w:rsid w:val="4D7D2FED"/>
    <w:rsid w:val="4DBE271B"/>
    <w:rsid w:val="522D1654"/>
    <w:rsid w:val="528B199C"/>
    <w:rsid w:val="52DA7D38"/>
    <w:rsid w:val="52F047D2"/>
    <w:rsid w:val="56861332"/>
    <w:rsid w:val="573E229D"/>
    <w:rsid w:val="5A382944"/>
    <w:rsid w:val="5A5C0F23"/>
    <w:rsid w:val="5B2D6220"/>
    <w:rsid w:val="5B3637AA"/>
    <w:rsid w:val="5BDF73FA"/>
    <w:rsid w:val="5C164884"/>
    <w:rsid w:val="5C5E209B"/>
    <w:rsid w:val="5C9E11F9"/>
    <w:rsid w:val="5E1D240E"/>
    <w:rsid w:val="5ED05841"/>
    <w:rsid w:val="5F831334"/>
    <w:rsid w:val="5FE25BC9"/>
    <w:rsid w:val="61B433CE"/>
    <w:rsid w:val="61F80822"/>
    <w:rsid w:val="62AD0EBC"/>
    <w:rsid w:val="62DB2335"/>
    <w:rsid w:val="656E5DB3"/>
    <w:rsid w:val="67E55FB4"/>
    <w:rsid w:val="6A3824F8"/>
    <w:rsid w:val="6A8B4898"/>
    <w:rsid w:val="6CDB673E"/>
    <w:rsid w:val="6FAA6FD2"/>
    <w:rsid w:val="707324D0"/>
    <w:rsid w:val="711F61B4"/>
    <w:rsid w:val="71D73B46"/>
    <w:rsid w:val="71EF4584"/>
    <w:rsid w:val="745B4B23"/>
    <w:rsid w:val="75007F3D"/>
    <w:rsid w:val="759E0DF0"/>
    <w:rsid w:val="77707769"/>
    <w:rsid w:val="782970A8"/>
    <w:rsid w:val="7A0C0FA9"/>
    <w:rsid w:val="7F3E04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纯文本1"/>
    <w:qFormat/>
    <w:uiPriority w:val="0"/>
    <w:pPr>
      <w:widowControl w:val="0"/>
      <w:jc w:val="both"/>
    </w:pPr>
    <w:rPr>
      <w:rFonts w:ascii="宋体" w:hAnsi="Courier New" w:eastAsia="仿宋_GB2312" w:cs="黑体"/>
      <w:kern w:val="2"/>
      <w:sz w:val="32"/>
      <w:szCs w:val="24"/>
      <w:lang w:val="en-US" w:eastAsia="zh-CN" w:bidi="ar-SA"/>
    </w:rPr>
  </w:style>
  <w:style w:type="paragraph" w:styleId="4">
    <w:name w:val="annotation text"/>
    <w:basedOn w:val="1"/>
    <w:qFormat/>
    <w:uiPriority w:val="0"/>
    <w:pPr>
      <w:jc w:val="left"/>
    </w:pPr>
  </w:style>
  <w:style w:type="paragraph" w:styleId="5">
    <w:name w:val="Body Text"/>
    <w:basedOn w:val="1"/>
    <w:next w:val="1"/>
    <w:qFormat/>
    <w:uiPriority w:val="0"/>
    <w:pPr>
      <w:spacing w:after="120"/>
    </w:pPr>
  </w:style>
  <w:style w:type="paragraph" w:styleId="6">
    <w:name w:val="Plain Text"/>
    <w:basedOn w:val="1"/>
    <w:next w:val="1"/>
    <w:qFormat/>
    <w:uiPriority w:val="0"/>
    <w:rPr>
      <w:rFonts w:ascii="宋体" w:hAnsi="Courier New"/>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w:basedOn w:val="1"/>
    <w:next w:val="1"/>
    <w:qFormat/>
    <w:uiPriority w:val="0"/>
    <w:pPr>
      <w:ind w:left="200" w:hanging="200" w:hangingChars="200"/>
    </w:pPr>
    <w:rPr>
      <w:rFonts w:ascii="Times New Roman" w:hAnsi="Times New Roman"/>
      <w:szCs w:val="20"/>
    </w:rPr>
  </w:style>
  <w:style w:type="paragraph" w:styleId="10">
    <w:name w:val="toc 2"/>
    <w:basedOn w:val="1"/>
    <w:next w:val="1"/>
    <w:semiHidden/>
    <w:qFormat/>
    <w:uiPriority w:val="0"/>
    <w:pPr>
      <w:ind w:left="420" w:leftChars="200"/>
    </w:pPr>
  </w:style>
  <w:style w:type="character" w:styleId="13">
    <w:name w:val="Strong"/>
    <w:basedOn w:val="12"/>
    <w:qFormat/>
    <w:uiPriority w:val="0"/>
    <w:rPr>
      <w:b/>
    </w:rPr>
  </w:style>
  <w:style w:type="paragraph" w:customStyle="1" w:styleId="14">
    <w:name w:val="样式 10 磅2"/>
    <w:qFormat/>
    <w:uiPriority w:val="0"/>
    <w:pPr>
      <w:widowControl w:val="0"/>
      <w:jc w:val="both"/>
    </w:pPr>
    <w:rPr>
      <w:rFonts w:ascii="Calibri" w:hAnsi="Calibri" w:eastAsia="宋体" w:cs="Arial"/>
      <w:spacing w:val="-4"/>
      <w:kern w:val="2"/>
      <w:sz w:val="21"/>
      <w:szCs w:val="24"/>
      <w:lang w:val="en-US" w:eastAsia="zh-CN" w:bidi="ar-SA"/>
    </w:rPr>
  </w:style>
  <w:style w:type="character" w:customStyle="1" w:styleId="15">
    <w:name w:val="NormalCharacter"/>
    <w:qFormat/>
    <w:uiPriority w:val="0"/>
    <w:rPr>
      <w:rFonts w:ascii="Times New Roman" w:hAnsi="Times New Roman" w:eastAsia="宋体" w:cs="Times New Roman"/>
      <w:kern w:val="2"/>
      <w:sz w:val="21"/>
      <w:szCs w:val="24"/>
      <w:lang w:val="en-US" w:eastAsia="zh-CN" w:bidi="ar-SA"/>
    </w:rPr>
  </w:style>
  <w:style w:type="paragraph" w:customStyle="1" w:styleId="16">
    <w:name w:val="p0"/>
    <w:qFormat/>
    <w:uiPriority w:val="0"/>
    <w:pPr>
      <w:widowControl/>
      <w:jc w:val="both"/>
    </w:pPr>
    <w:rPr>
      <w:rFonts w:ascii="Times New Roman" w:hAnsi="Times New Roman" w:eastAsia="宋体" w:cs="Times New Roman"/>
      <w:kern w:val="0"/>
      <w:sz w:val="32"/>
      <w:szCs w:val="3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32</Pages>
  <Words>15237</Words>
  <Characters>16071</Characters>
  <Lines>0</Lines>
  <Paragraphs>0</Paragraphs>
  <TotalTime>6</TotalTime>
  <ScaleCrop>false</ScaleCrop>
  <LinksUpToDate>false</LinksUpToDate>
  <CharactersWithSpaces>16103</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2025-01-07T23:51:00Z</dcterms:created>
  <dc:creator>Administrator</dc:creator>
  <cp:lastModifiedBy>Administrator</cp:lastModifiedBy>
  <cp:lastPrinted>2025-02-19T02:41:00Z</cp:lastPrinted>
  <dcterms:modified xsi:type="dcterms:W3CDTF">2025-03-06T07:22:17Z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A528261C91B042DD8C9FD17E8CBB3700</vt:lpwstr>
  </property>
  <property fmtid="{D5CDD505-2E9C-101B-9397-08002B2CF9AE}" pid="4" name="KSOTemplateDocerSaveRecord">
    <vt:lpwstr>eyJoZGlkIjoiYTEyZDQ2NTg1OWI2M2JkOGJkNDA5ODMzMzJkOTg5NjIifQ==</vt:lpwstr>
  </property>
</Properties>
</file>