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4A30C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2571E41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韶关市各县（市、区）教师资格认定机构联系方式</w:t>
      </w:r>
    </w:p>
    <w:tbl>
      <w:tblPr>
        <w:tblStyle w:val="5"/>
        <w:tblW w:w="155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92"/>
        <w:gridCol w:w="1508"/>
        <w:gridCol w:w="3630"/>
        <w:gridCol w:w="3015"/>
        <w:gridCol w:w="2670"/>
        <w:gridCol w:w="2520"/>
      </w:tblGrid>
      <w:tr w14:paraId="1DFF3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449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1EEE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机构名称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2E76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F09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  <w:lang w:eastAsia="zh-CN"/>
              </w:rPr>
              <w:t>日常办公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地址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ECF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center"/>
              <w:rPr>
                <w:rFonts w:hint="eastAsia" w:ascii="Times New Roman" w:hAnsi="Times New Roman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通知公告发布网址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7C85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center"/>
              <w:rPr>
                <w:rFonts w:hint="eastAsia"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pacing w:val="0"/>
                <w:sz w:val="20"/>
                <w:szCs w:val="20"/>
                <w:vertAlign w:val="baseline"/>
                <w:lang w:eastAsia="zh-CN"/>
              </w:rPr>
              <w:t>通知公告发布网站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10547">
            <w:pPr>
              <w:widowControl/>
              <w:jc w:val="center"/>
              <w:rPr>
                <w:rFonts w:hint="eastAsia" w:ascii="Times New Roman" w:hAnsi="Times New Roman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FF"/>
                <w:kern w:val="0"/>
                <w:szCs w:val="21"/>
                <w:highlight w:val="none"/>
              </w:rPr>
              <w:t>认定范围</w:t>
            </w:r>
            <w:r>
              <w:rPr>
                <w:rFonts w:hint="eastAsia" w:ascii="Times New Roman" w:hAnsi="Times New Roman"/>
                <w:b/>
                <w:color w:val="0000FF"/>
                <w:kern w:val="0"/>
                <w:szCs w:val="21"/>
                <w:highlight w:val="none"/>
                <w:lang w:eastAsia="zh-CN"/>
              </w:rPr>
              <w:t>（注意区分）</w:t>
            </w:r>
          </w:p>
        </w:tc>
      </w:tr>
      <w:tr w14:paraId="3DAA5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6A7E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3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1BFF">
            <w:pPr>
              <w:widowControl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0751-8877822</w:t>
            </w:r>
          </w:p>
          <w:p w14:paraId="1407ABF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0751-6919623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FDC11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韶关市武江区惠民北路89号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EA6F6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http://jy.sg.gov.cn/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D7CAB">
            <w:pPr>
              <w:widowControl/>
              <w:jc w:val="left"/>
              <w:rPr>
                <w:rFonts w:hint="eastAsia" w:ascii="Times New Roman" w:hAnsi="Times New Roman" w:eastAsia="仿宋_GB2312"/>
                <w:b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韶关市教育局网站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9113B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  <w:lang w:eastAsia="zh-CN"/>
              </w:rPr>
              <w:t>全市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高中、中职（</w:t>
            </w: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实习指导教师</w:t>
            </w:r>
            <w:r>
              <w:rPr>
                <w:rFonts w:hint="eastAsia" w:ascii="Times New Roman" w:hAnsi="Times New Roman" w:eastAsia="仿宋_GB2312"/>
                <w:b/>
                <w:color w:val="FF0000"/>
                <w:szCs w:val="21"/>
              </w:rPr>
              <w:t>）教师</w:t>
            </w:r>
          </w:p>
        </w:tc>
      </w:tr>
      <w:tr w14:paraId="452BB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7BE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韶关市武江区教育局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8812A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0751-8153378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CD45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韶关市武江区芙蓉北路70号1号楼武江区教育局人事监察股610室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A3BD1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http://www.sgwjq.gov.cn/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062C"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武江区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2326174">
            <w:pPr>
              <w:jc w:val="both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按</w:t>
            </w:r>
            <w:r>
              <w:rPr>
                <w:rFonts w:hint="eastAsia" w:ascii="Times New Roman" w:hAnsi="Times New Roman"/>
                <w:b/>
                <w:bCs/>
                <w:color w:val="FF0000"/>
                <w:szCs w:val="21"/>
                <w:lang w:eastAsia="zh-CN"/>
              </w:rPr>
              <w:t>属地管理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认定：</w:t>
            </w:r>
          </w:p>
          <w:p w14:paraId="560464AD">
            <w:pPr>
              <w:jc w:val="center"/>
              <w:rPr>
                <w:rFonts w:hint="eastAsia" w:ascii="Times New Roman" w:hAnsi="Times New Roman"/>
                <w:szCs w:val="21"/>
              </w:rPr>
            </w:pPr>
          </w:p>
          <w:p w14:paraId="270227F1"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幼儿园教师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 w14:paraId="6C5E409A">
            <w:pPr>
              <w:ind w:firstLine="210" w:firstLineChars="100"/>
              <w:jc w:val="both"/>
              <w:rPr>
                <w:rFonts w:hint="eastAsia" w:ascii="Times New Roman" w:hAnsi="Times New Roman"/>
                <w:szCs w:val="21"/>
              </w:rPr>
            </w:pPr>
          </w:p>
          <w:p w14:paraId="42B77A66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小学教师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 w14:paraId="31B3437C"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/>
                <w:szCs w:val="21"/>
              </w:rPr>
              <w:t>初级中学教师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资格</w:t>
            </w:r>
          </w:p>
          <w:p w14:paraId="6A1AAD51"/>
        </w:tc>
      </w:tr>
      <w:tr w14:paraId="4B076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D5F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韶关市浈江区教育局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A75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0751-8917293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782A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韶关市浈江区前进路2号浈江区教育局2楼人事股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4717D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http://www.sgzj.gov.cn/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CF59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浈江区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20C3947C"/>
        </w:tc>
      </w:tr>
      <w:tr w14:paraId="13C2C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C91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3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曲江区教育局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095F1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0751-6669112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EF6D2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韶关市曲江区鞍山路文化中心七楼韶关市曲江区教育局人事股（门牌号：701）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5351E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http://www.qujiang.gov.cn/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4B733">
            <w:pPr>
              <w:jc w:val="left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韶关市曲江区人民政府网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1B675C97"/>
        </w:tc>
      </w:tr>
      <w:tr w14:paraId="72798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4E62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C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ACE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0751-3330313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2952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始兴县太平镇墨江大桥北路51号始兴县教育局人事监察股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B81E6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http://www.gdsx.gov.cn/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BC92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始兴县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1399118A"/>
        </w:tc>
      </w:tr>
      <w:tr w14:paraId="7E851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2AC9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2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8D5AE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0751-6355700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5692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仁化县丹山路2号仁化县教育局二楼人事股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0C349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http://www.sgrh.gov.cn/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C9D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仁化县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57A061CB"/>
        </w:tc>
      </w:tr>
      <w:tr w14:paraId="04EED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BDFF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C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6B539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0751-2873961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4BD5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翁源县龙仙镇浈阳大道翁源县教师发展中心A327办公室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758DE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https://www.wengyuan.gov.cn/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95D45"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翁源县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6688C259"/>
        </w:tc>
      </w:tr>
      <w:tr w14:paraId="2E7D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842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D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乳源瑶族自治县教育局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29B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0751-5369660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D5CF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乳城镇南环西路8号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25E50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http://www.ruyuan.gov.cn/ryxw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82FBD"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乳源瑶族自治县</w:t>
            </w:r>
            <w:r>
              <w:rPr>
                <w:rFonts w:hint="eastAsia" w:ascii="宋体" w:hAnsi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人民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3E0E7EAA"/>
        </w:tc>
      </w:tr>
      <w:tr w14:paraId="27F95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133C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A36B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0751-6920903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D0829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新丰县丰城街道金园路132号一楼行政服务中心综合服务大厅1-6号窗口。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B3D0E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https://www.xinfeng.gov.cn/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8F037">
            <w:pPr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新丰县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50249FD3"/>
        </w:tc>
      </w:tr>
      <w:tr w14:paraId="12948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8C2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F3B0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0751-5569052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44D1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乐昌市公主下路66号教育局五楼505室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BEB9C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http://www.lechang.gov.cn/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B46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乐昌市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</w:tcPr>
          <w:p w14:paraId="7A70CD3B"/>
        </w:tc>
      </w:tr>
      <w:tr w14:paraId="010CA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4D1D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南雄市教育局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2C2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0751-3825197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3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南雄市雄州街道林荫西路35号（南雄市教育局四楼人事</w:t>
            </w:r>
            <w:r>
              <w:rPr>
                <w:rFonts w:hint="eastAsia" w:ascii="宋体" w:hAnsi="宋体" w:eastAsia="宋体" w:cs="宋体"/>
                <w:i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股）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B0880">
            <w:pPr>
              <w:jc w:val="left"/>
              <w:rPr>
                <w:rFonts w:hint="eastAsia" w:ascii="Times New Roman" w:hAnsi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https://www.gdnx.gov.cn/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A28D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17" w:lineRule="atLeast"/>
              <w:ind w:left="0" w:leftChars="0" w:right="0" w:rightChars="0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南雄市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0"/>
                <w:szCs w:val="20"/>
                <w:vertAlign w:val="baseline"/>
              </w:rPr>
              <w:t>人民政府网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19F1F299"/>
        </w:tc>
      </w:tr>
    </w:tbl>
    <w:p w14:paraId="19D5BC63"/>
    <w:sectPr>
      <w:footerReference r:id="rId3" w:type="default"/>
      <w:pgSz w:w="16838" w:h="11906" w:orient="landscape"/>
      <w:pgMar w:top="533" w:right="743" w:bottom="533" w:left="7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33242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E4C8C1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zNzJjZDQzMWVkMGRjYzk4ZmFmM2MwYzhlOTJlYzAifQ=="/>
  </w:docVars>
  <w:rsids>
    <w:rsidRoot w:val="004F0296"/>
    <w:rsid w:val="000368D4"/>
    <w:rsid w:val="000C4686"/>
    <w:rsid w:val="004F0296"/>
    <w:rsid w:val="00630294"/>
    <w:rsid w:val="0066445A"/>
    <w:rsid w:val="00706321"/>
    <w:rsid w:val="00766596"/>
    <w:rsid w:val="008E2ED4"/>
    <w:rsid w:val="00A71442"/>
    <w:rsid w:val="00EB6F4E"/>
    <w:rsid w:val="00F848FB"/>
    <w:rsid w:val="00F9381C"/>
    <w:rsid w:val="15FD0F05"/>
    <w:rsid w:val="17D970F6"/>
    <w:rsid w:val="1A452E25"/>
    <w:rsid w:val="345A4799"/>
    <w:rsid w:val="377B51EC"/>
    <w:rsid w:val="4499129F"/>
    <w:rsid w:val="4C6B3259"/>
    <w:rsid w:val="57F7199A"/>
    <w:rsid w:val="656A2ECD"/>
    <w:rsid w:val="6BA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561</Words>
  <Characters>975</Characters>
  <Lines>5</Lines>
  <Paragraphs>1</Paragraphs>
  <TotalTime>1</TotalTime>
  <ScaleCrop>false</ScaleCrop>
  <LinksUpToDate>false</LinksUpToDate>
  <CharactersWithSpaces>995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2018-03-07T08:30:00Z</dcterms:created>
  <dc:creator>USER</dc:creator>
  <cp:lastModifiedBy>Jasmin</cp:lastModifiedBy>
  <dcterms:modified xsi:type="dcterms:W3CDTF">2024-09-12T03:43:03Z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4241E86DA81049DEA16E33E32DE041A2_12</vt:lpwstr>
  </property>
</Properties>
</file>