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南雄市电子商务进农村综合示范</w:t>
      </w:r>
    </w:p>
    <w:p>
      <w:pPr>
        <w:pStyle w:val="33"/>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工 作 简 报</w:t>
      </w:r>
    </w:p>
    <w:p>
      <w:pPr>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ascii="Times New Roman" w:hAnsi="Times New Roman" w:eastAsia="楷体_GB2312" w:cs="楷体_GB2312"/>
          <w:color w:val="000000"/>
          <w:kern w:val="0"/>
          <w:sz w:val="31"/>
          <w:szCs w:val="31"/>
          <w:lang w:bidi="zh-CN"/>
        </w:rPr>
      </w:pPr>
    </w:p>
    <w:p>
      <w:pPr>
        <w:keepNext w:val="0"/>
        <w:keepLines w:val="0"/>
        <w:pageBreakBefore w:val="0"/>
        <w:widowControl w:val="0"/>
        <w:kinsoku/>
        <w:wordWrap/>
        <w:overflowPunct w:val="0"/>
        <w:topLinePunct w:val="0"/>
        <w:autoSpaceDE w:val="0"/>
        <w:autoSpaceDN w:val="0"/>
        <w:bidi w:val="0"/>
        <w:adjustRightInd/>
        <w:snapToGrid/>
        <w:spacing w:after="0" w:line="360" w:lineRule="auto"/>
        <w:jc w:val="center"/>
        <w:textAlignment w:val="auto"/>
        <w:rPr>
          <w:rFonts w:ascii="Times New Roman" w:hAnsi="Times New Roman"/>
        </w:rPr>
      </w:pPr>
      <w:r>
        <w:rPr>
          <w:rFonts w:hint="eastAsia" w:ascii="Times New Roman" w:hAnsi="Times New Roman" w:eastAsia="楷体_GB2312" w:cs="楷体_GB2312"/>
          <w:color w:val="000000"/>
          <w:kern w:val="0"/>
          <w:sz w:val="31"/>
          <w:szCs w:val="31"/>
          <w:lang w:bidi="zh-CN"/>
        </w:rPr>
        <w:t>（第</w:t>
      </w:r>
      <w:r>
        <w:rPr>
          <w:rFonts w:hint="eastAsia" w:ascii="Times New Roman" w:hAnsi="Times New Roman" w:eastAsia="楷体_GB2312" w:cs="楷体_GB2312"/>
          <w:color w:val="000000"/>
          <w:kern w:val="0"/>
          <w:sz w:val="31"/>
          <w:szCs w:val="31"/>
          <w:lang w:val="en-US" w:bidi="zh-CN"/>
        </w:rPr>
        <w:t xml:space="preserve"> 26 </w:t>
      </w:r>
      <w:r>
        <w:rPr>
          <w:rFonts w:hint="eastAsia" w:ascii="Times New Roman" w:hAnsi="Times New Roman" w:eastAsia="楷体_GB2312" w:cs="楷体_GB2312"/>
          <w:color w:val="000000"/>
          <w:kern w:val="0"/>
          <w:sz w:val="31"/>
          <w:szCs w:val="31"/>
          <w:lang w:bidi="zh-CN"/>
        </w:rPr>
        <w:t>期）</w:t>
      </w:r>
    </w:p>
    <w:p>
      <w:pPr>
        <w:keepNext w:val="0"/>
        <w:keepLines w:val="0"/>
        <w:pageBreakBefore w:val="0"/>
        <w:widowControl w:val="0"/>
        <w:kinsoku/>
        <w:wordWrap/>
        <w:overflowPunct w:val="0"/>
        <w:topLinePunct w:val="0"/>
        <w:autoSpaceDE w:val="0"/>
        <w:autoSpaceDN w:val="0"/>
        <w:bidi w:val="0"/>
        <w:adjustRightInd/>
        <w:snapToGrid/>
        <w:spacing w:after="0" w:line="360" w:lineRule="auto"/>
        <w:textAlignment w:val="auto"/>
        <w:rPr>
          <w:rFonts w:ascii="Times New Roman" w:hAnsi="Times New Roman"/>
        </w:rPr>
      </w:pPr>
    </w:p>
    <w:p>
      <w:pPr>
        <w:pStyle w:val="33"/>
        <w:keepNext w:val="0"/>
        <w:keepLines w:val="0"/>
        <w:pageBreakBefore w:val="0"/>
        <w:widowControl w:val="0"/>
        <w:kinsoku/>
        <w:wordWrap/>
        <w:overflowPunct w:val="0"/>
        <w:topLinePunct w:val="0"/>
        <w:autoSpaceDE w:val="0"/>
        <w:autoSpaceDN w:val="0"/>
        <w:bidi w:val="0"/>
        <w:adjustRightInd/>
        <w:snapToGrid/>
        <w:spacing w:line="360" w:lineRule="auto"/>
        <w:textAlignment w:val="auto"/>
        <w:rPr>
          <w:rFonts w:eastAsia="仿宋_GB2312" w:cs="仿宋_GB2312"/>
          <w:color w:val="000000"/>
          <w:spacing w:val="20"/>
          <w:sz w:val="32"/>
          <w:szCs w:val="32"/>
        </w:rPr>
      </w:pPr>
      <w:r>
        <w:rPr>
          <w:rFonts w:hint="eastAsia" w:eastAsia="仿宋_GB2312" w:cs="仿宋_GB2312"/>
          <w:color w:val="000000"/>
          <w:spacing w:val="20"/>
          <w:sz w:val="32"/>
          <w:szCs w:val="32"/>
          <w:lang w:eastAsia="zh-CN"/>
        </w:rPr>
        <w:t>南雄市商务局</w:t>
      </w:r>
      <w:r>
        <w:rPr>
          <w:rFonts w:hint="eastAsia" w:eastAsia="仿宋_GB2312" w:cs="仿宋_GB2312"/>
          <w:color w:val="000000"/>
          <w:spacing w:val="20"/>
          <w:sz w:val="32"/>
          <w:szCs w:val="32"/>
          <w:lang w:val="en-US" w:eastAsia="zh-CN"/>
        </w:rPr>
        <w:t xml:space="preserve">              </w:t>
      </w:r>
      <w:r>
        <w:rPr>
          <w:rFonts w:hint="eastAsia" w:eastAsia="仿宋_GB2312" w:cs="仿宋_GB2312"/>
          <w:color w:val="000000"/>
          <w:spacing w:val="20"/>
          <w:sz w:val="32"/>
          <w:szCs w:val="32"/>
        </w:rPr>
        <w:t xml:space="preserve">      202</w:t>
      </w:r>
      <w:r>
        <w:rPr>
          <w:rFonts w:hint="eastAsia" w:eastAsia="仿宋_GB2312" w:cs="仿宋_GB2312"/>
          <w:color w:val="000000"/>
          <w:spacing w:val="20"/>
          <w:sz w:val="32"/>
          <w:szCs w:val="32"/>
          <w:lang w:val="en-US" w:eastAsia="zh-CN"/>
        </w:rPr>
        <w:t>3</w:t>
      </w:r>
      <w:r>
        <w:rPr>
          <w:rFonts w:hint="eastAsia" w:eastAsia="仿宋_GB2312" w:cs="仿宋_GB2312"/>
          <w:color w:val="000000"/>
          <w:spacing w:val="20"/>
          <w:sz w:val="32"/>
          <w:szCs w:val="32"/>
        </w:rPr>
        <w:t>年</w:t>
      </w:r>
      <w:r>
        <w:rPr>
          <w:rFonts w:hint="eastAsia" w:eastAsia="仿宋_GB2312" w:cs="仿宋_GB2312"/>
          <w:color w:val="000000"/>
          <w:spacing w:val="20"/>
          <w:sz w:val="32"/>
          <w:szCs w:val="32"/>
          <w:lang w:val="en-US" w:eastAsia="zh-CN"/>
        </w:rPr>
        <w:t>9</w:t>
      </w:r>
      <w:r>
        <w:rPr>
          <w:rFonts w:hint="eastAsia" w:eastAsia="仿宋_GB2312" w:cs="仿宋_GB2312"/>
          <w:color w:val="000000"/>
          <w:spacing w:val="20"/>
          <w:sz w:val="32"/>
          <w:szCs w:val="32"/>
        </w:rPr>
        <w:t>月</w:t>
      </w:r>
      <w:r>
        <w:rPr>
          <w:rFonts w:hint="eastAsia" w:eastAsia="仿宋_GB2312" w:cs="仿宋_GB2312"/>
          <w:color w:val="000000"/>
          <w:spacing w:val="20"/>
          <w:sz w:val="32"/>
          <w:szCs w:val="32"/>
          <w:lang w:val="en-US" w:eastAsia="zh-CN"/>
        </w:rPr>
        <w:t>8</w:t>
      </w:r>
      <w:r>
        <w:rPr>
          <w:rFonts w:hint="eastAsia" w:eastAsia="仿宋_GB2312" w:cs="仿宋_GB2312"/>
          <w:color w:val="000000"/>
          <w:spacing w:val="20"/>
          <w:sz w:val="32"/>
          <w:szCs w:val="32"/>
        </w:rPr>
        <w:t>日</w:t>
      </w:r>
    </w:p>
    <w:p>
      <w:pPr>
        <w:pStyle w:val="6"/>
        <w:keepNext w:val="0"/>
        <w:keepLines w:val="0"/>
        <w:pageBreakBefore w:val="0"/>
        <w:widowControl w:val="0"/>
        <w:kinsoku/>
        <w:wordWrap/>
        <w:overflowPunct w:val="0"/>
        <w:topLinePunct w:val="0"/>
        <w:autoSpaceDE w:val="0"/>
        <w:autoSpaceDN w:val="0"/>
        <w:bidi w:val="0"/>
        <w:adjustRightInd/>
        <w:snapToGrid/>
        <w:spacing w:before="313" w:beforeLines="100" w:after="313" w:afterLines="100" w:line="360" w:lineRule="auto"/>
        <w:ind w:left="0"/>
        <w:jc w:val="center"/>
        <w:textAlignment w:val="auto"/>
        <w:rPr>
          <w:rFonts w:hint="eastAsia" w:ascii="黑体" w:hAnsi="黑体" w:eastAsia="黑体" w:cs="黑体"/>
        </w:rPr>
      </w:pPr>
      <w:r>
        <w:rPr>
          <w:rFonts w:hint="eastAsia" w:ascii="黑体" w:hAnsi="黑体" w:eastAsia="黑体" w:cs="黑体"/>
          <w:b/>
          <w:bCs/>
          <w:sz w:val="42"/>
          <w:szCs w:val="42"/>
          <w:lang w:val="en-US"/>
        </w:rPr>
        <mc:AlternateContent>
          <mc:Choice Requires="wps">
            <w:drawing>
              <wp:anchor distT="0" distB="0" distL="114300" distR="114300" simplePos="0" relativeHeight="251660288" behindDoc="0" locked="0" layoutInCell="1" allowOverlap="1">
                <wp:simplePos x="0" y="0"/>
                <wp:positionH relativeFrom="column">
                  <wp:posOffset>-38735</wp:posOffset>
                </wp:positionH>
                <wp:positionV relativeFrom="paragraph">
                  <wp:posOffset>29845</wp:posOffset>
                </wp:positionV>
                <wp:extent cx="5676900" cy="0"/>
                <wp:effectExtent l="0" t="28575" r="0" b="28575"/>
                <wp:wrapNone/>
                <wp:docPr id="9" name="直线 2"/>
                <wp:cNvGraphicFramePr/>
                <a:graphic xmlns:a="http://schemas.openxmlformats.org/drawingml/2006/main">
                  <a:graphicData uri="http://schemas.microsoft.com/office/word/2010/wordprocessingShape">
                    <wps:wsp>
                      <wps:cNvCnPr/>
                      <wps:spPr>
                        <a:xfrm>
                          <a:off x="0" y="0"/>
                          <a:ext cx="5676900" cy="0"/>
                        </a:xfrm>
                        <a:prstGeom prst="line">
                          <a:avLst/>
                        </a:prstGeom>
                        <a:ln w="57150" cap="flat" cmpd="thickThin">
                          <a:solidFill>
                            <a:srgbClr val="FF0000"/>
                          </a:solidFill>
                          <a:prstDash val="solid"/>
                          <a:headEnd type="none" w="med" len="med"/>
                          <a:tailEnd type="none" w="med" len="med"/>
                        </a:ln>
                        <a:effectLst/>
                      </wps:spPr>
                      <wps:bodyPr/>
                    </wps:wsp>
                  </a:graphicData>
                </a:graphic>
              </wp:anchor>
            </w:drawing>
          </mc:Choice>
          <mc:Fallback>
            <w:pict>
              <v:line id="直线 2" o:spid="_x0000_s1026" o:spt="20" style="position:absolute;left:0pt;margin-left:-3.05pt;margin-top:2.35pt;height:0pt;width:447pt;z-index:251660288;mso-width-relative:page;mso-height-relative:page;" filled="f" stroked="t" coordsize="21600,21600" o:gfxdata="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L+Xf7SAAAA&#10;BgEAAA8AAAAAAAAAAQAgAAAAIgAAAGRycy9kb3ducmV2LnhtbFBLAQIUABQAAAAIAIdO4kC5+PUd&#10;6gEAAOQDAAAOAAAAAAAAAAEAIAAAACEBAABkcnMvZTJvRG9jLnhtbFBLBQYAAAAABgAGAFkBAAB9&#10;BQAAAAA=&#10;">
                <v:fill on="f" focussize="0,0"/>
                <v:stroke weight="4.5pt" color="#FF0000" linestyle="thickThin" joinstyle="round"/>
                <v:imagedata o:title=""/>
                <o:lock v:ext="edit" aspectratio="f"/>
              </v:line>
            </w:pict>
          </mc:Fallback>
        </mc:AlternateContent>
      </w:r>
      <w:r>
        <w:rPr>
          <w:rFonts w:hint="eastAsia" w:ascii="黑体" w:hAnsi="黑体" w:eastAsia="黑体" w:cs="黑体"/>
        </w:rPr>
        <w:t>本期要目</w:t>
      </w: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kern w:val="0"/>
          <w:sz w:val="32"/>
          <w:szCs w:val="32"/>
          <w:lang w:bidi="zh-CN"/>
        </w:rPr>
      </w:pPr>
      <w:r>
        <w:rPr>
          <w:rFonts w:hint="eastAsia" w:ascii="Times New Roman" w:hAnsi="Times New Roman" w:eastAsia="黑体" w:cs="黑体"/>
          <w:bCs/>
          <w:kern w:val="0"/>
          <w:sz w:val="32"/>
          <w:szCs w:val="32"/>
          <w:lang w:bidi="zh-CN"/>
        </w:rPr>
        <w:t>◆ 电子商务工作动态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一、商务局召开2023年电子商务公共服务中心工作推进会</w:t>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二、我市举办广府珠玑抖音直播大赛</w:t>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三、南雄市区域公共品牌项目工作推进情况</w:t>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四、南雄：实现农村寄递物流全覆盖 构建城乡高效配送体系</w:t>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p>
    <w:p>
      <w:pPr>
        <w:pStyle w:val="21"/>
        <w:rPr>
          <w:rFonts w:hint="default"/>
          <w:lang w:val="en-US" w:eastAsia="zh-CN"/>
        </w:rPr>
      </w:pPr>
    </w:p>
    <w:p>
      <w:pPr>
        <w:pStyle w:val="21"/>
        <w:ind w:left="0" w:leftChars="0" w:firstLine="0" w:firstLineChars="0"/>
        <w:rPr>
          <w:rFonts w:hint="default"/>
          <w:lang w:val="en-US" w:eastAsia="zh-CN"/>
        </w:rPr>
      </w:pPr>
      <w:r>
        <w:rPr>
          <w:rFonts w:hint="eastAsia"/>
          <w:lang w:val="en-US" w:eastAsia="zh-CN"/>
        </w:rPr>
        <w:t xml:space="preserve">  </w:t>
      </w:r>
    </w:p>
    <w:p>
      <w:pPr>
        <w:pStyle w:val="23"/>
        <w:ind w:left="0" w:leftChars="0" w:firstLine="0" w:firstLineChars="0"/>
        <w:rPr>
          <w:rFonts w:hint="default"/>
          <w:lang w:val="en-US"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Times New Roman" w:hAnsi="Times New Roman" w:eastAsia="黑体" w:cs="黑体"/>
          <w:bCs/>
          <w:color w:val="000000" w:themeColor="text1"/>
          <w:kern w:val="0"/>
          <w:sz w:val="32"/>
          <w:szCs w:val="32"/>
          <w:lang w:bidi="zh-CN"/>
          <w14:textFill>
            <w14:solidFill>
              <w14:schemeClr w14:val="tx1"/>
            </w14:solidFill>
          </w14:textFill>
        </w:rPr>
        <w:t>◆ 农产品上行销售数据</w:t>
      </w:r>
    </w:p>
    <w:p>
      <w:pPr>
        <w:pStyle w:val="9"/>
        <w:keepNext w:val="0"/>
        <w:keepLines w:val="0"/>
        <w:pageBreakBefore w:val="0"/>
        <w:numPr>
          <w:ilvl w:val="0"/>
          <w:numId w:val="0"/>
        </w:numPr>
        <w:kinsoku/>
        <w:wordWrap/>
        <w:topLinePunct w:val="0"/>
        <w:bidi w:val="0"/>
        <w:adjustRightInd/>
        <w:snapToGrid/>
        <w:spacing w:line="560" w:lineRule="exact"/>
        <w:ind w:firstLine="640" w:firstLineChars="200"/>
        <w:textAlignment w:val="auto"/>
        <w:rPr>
          <w:rFonts w:hint="eastAsia" w:ascii="黑体" w:hAnsi="黑体" w:eastAsia="黑体" w:cs="黑体"/>
          <w:b/>
          <w:bCs/>
          <w:kern w:val="0"/>
          <w:sz w:val="32"/>
          <w:szCs w:val="32"/>
          <w:lang w:val="en-US" w:eastAsia="zh-CN" w:bidi="zh-CN"/>
        </w:rPr>
      </w:pPr>
      <w:r>
        <w:rPr>
          <w:rFonts w:hint="eastAsia" w:ascii="仿宋_GB2312" w:hAnsi="宋体" w:eastAsia="仿宋_GB2312" w:cs="仿宋_GB2312"/>
          <w:b w:val="0"/>
          <w:color w:val="000000" w:themeColor="text1"/>
          <w:kern w:val="0"/>
          <w:sz w:val="32"/>
          <w:szCs w:val="32"/>
          <w:lang w:val="en-US" w:eastAsia="zh-CN" w:bidi="ar-SA"/>
          <w14:textFill>
            <w14:solidFill>
              <w14:schemeClr w14:val="tx1"/>
            </w14:solidFill>
          </w14:textFill>
        </w:rPr>
        <w:t>各电商服务站点销售情况</w:t>
      </w:r>
    </w:p>
    <w:p>
      <w:pPr>
        <w:pStyle w:val="14"/>
        <w:rPr>
          <w:rFonts w:hint="eastAsia" w:ascii="黑体" w:hAnsi="黑体" w:eastAsia="黑体" w:cs="黑体"/>
          <w:b/>
          <w:bCs/>
          <w:kern w:val="0"/>
          <w:sz w:val="32"/>
          <w:szCs w:val="32"/>
          <w:lang w:val="en-US" w:eastAsia="zh-CN" w:bidi="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kern w:val="0"/>
          <w:sz w:val="32"/>
          <w:szCs w:val="32"/>
          <w:lang w:val="en-US" w:eastAsia="zh-CN" w:bidi="zh-CN"/>
        </w:rPr>
      </w:pPr>
      <w:r>
        <w:rPr>
          <w:rFonts w:hint="eastAsia" w:ascii="黑体" w:hAnsi="黑体" w:eastAsia="黑体" w:cs="黑体"/>
          <w:b/>
          <w:bCs/>
          <w:kern w:val="0"/>
          <w:sz w:val="32"/>
          <w:szCs w:val="32"/>
          <w:lang w:val="en-US" w:eastAsia="zh-CN" w:bidi="zh-CN"/>
        </w:rPr>
        <w:t>【电子商务工作动态】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lang w:val="en-US" w:eastAsia="zh-CN"/>
        </w:rPr>
      </w:pPr>
      <w:r>
        <w:rPr>
          <w:rFonts w:hint="eastAsia" w:ascii="仿宋_GB2312" w:hAnsi="仿宋_GB2312" w:eastAsia="仿宋_GB2312" w:cs="仿宋_GB2312"/>
          <w:b/>
          <w:bCs/>
          <w:sz w:val="32"/>
          <w:szCs w:val="32"/>
          <w:lang w:val="en-US" w:eastAsia="zh-CN"/>
        </w:rPr>
        <w:t>一、商务局召开2023年电子商务公共服务中心工作推进会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商务局局长刘均</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val="en-US" w:eastAsia="zh-CN"/>
        </w:rPr>
        <w:t>南雄市电子商务公共服务中心</w:t>
      </w:r>
      <w:r>
        <w:rPr>
          <w:rFonts w:hint="eastAsia" w:ascii="仿宋_GB2312" w:hAnsi="仿宋_GB2312" w:eastAsia="仿宋_GB2312" w:cs="仿宋_GB2312"/>
          <w:sz w:val="32"/>
          <w:szCs w:val="32"/>
        </w:rPr>
        <w:t>主持召开</w:t>
      </w:r>
      <w:r>
        <w:rPr>
          <w:rFonts w:hint="eastAsia" w:ascii="仿宋_GB2312" w:hAnsi="仿宋_GB2312" w:eastAsia="仿宋_GB2312" w:cs="仿宋_GB2312"/>
          <w:sz w:val="32"/>
          <w:szCs w:val="32"/>
          <w:lang w:val="en-US" w:eastAsia="zh-CN"/>
        </w:rPr>
        <w:t>2023年</w:t>
      </w:r>
      <w:r>
        <w:rPr>
          <w:rFonts w:hint="eastAsia" w:ascii="仿宋_GB2312" w:hAnsi="仿宋_GB2312" w:eastAsia="仿宋_GB2312" w:cs="仿宋_GB2312"/>
          <w:sz w:val="32"/>
          <w:szCs w:val="32"/>
        </w:rPr>
        <w:t>南雄市电子商务</w:t>
      </w:r>
      <w:r>
        <w:rPr>
          <w:rFonts w:hint="eastAsia" w:ascii="仿宋_GB2312" w:hAnsi="仿宋_GB2312" w:eastAsia="仿宋_GB2312" w:cs="仿宋_GB2312"/>
          <w:sz w:val="32"/>
          <w:szCs w:val="32"/>
          <w:lang w:val="en-US" w:eastAsia="zh-CN"/>
        </w:rPr>
        <w:t>公共服务中心工作推进会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研究部署我市电子商务工作。</w:t>
      </w:r>
    </w:p>
    <w:p>
      <w:pPr>
        <w:pStyle w:val="12"/>
        <w:rPr>
          <w:rFonts w:hint="eastAsia"/>
          <w:lang w:val="en-US" w:eastAsia="zh-CN"/>
        </w:rPr>
      </w:pPr>
    </w:p>
    <w:p>
      <w:pPr>
        <w:pStyle w:val="14"/>
        <w:rPr>
          <w:rFonts w:hint="default"/>
          <w:lang w:val="en-US" w:eastAsia="zh-CN"/>
        </w:rPr>
      </w:pPr>
      <w:r>
        <w:rPr>
          <w:rFonts w:hint="default"/>
          <w:lang w:val="en-US" w:eastAsia="zh-CN"/>
        </w:rPr>
        <w:drawing>
          <wp:inline distT="0" distB="0" distL="114300" distR="114300">
            <wp:extent cx="5606415" cy="4206240"/>
            <wp:effectExtent l="0" t="0" r="13335" b="3810"/>
            <wp:docPr id="1" name="图片 1" descr="448abb96fdf140b1031e5c119b8d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48abb96fdf140b1031e5c119b8d8d9"/>
                    <pic:cNvPicPr>
                      <a:picLocks noChangeAspect="1"/>
                    </pic:cNvPicPr>
                  </pic:nvPicPr>
                  <pic:blipFill>
                    <a:blip r:embed="rId6"/>
                    <a:stretch>
                      <a:fillRect/>
                    </a:stretch>
                  </pic:blipFill>
                  <pic:spPr>
                    <a:xfrm>
                      <a:off x="0" y="0"/>
                      <a:ext cx="5606415" cy="4206240"/>
                    </a:xfrm>
                    <a:prstGeom prst="rect">
                      <a:avLst/>
                    </a:prstGeom>
                  </pic:spPr>
                </pic:pic>
              </a:graphicData>
            </a:graphic>
          </wp:inline>
        </w:drawing>
      </w:r>
    </w:p>
    <w:p>
      <w:pPr>
        <w:keepNext w:val="0"/>
        <w:keepLines w:val="0"/>
        <w:widowControl/>
        <w:suppressLineNumbers w:val="0"/>
        <w:ind w:firstLine="640" w:firstLineChars="200"/>
        <w:jc w:val="left"/>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会上，刘均同志对电商巡察整改、区域公共品牌项目建设、县域商业行动示范县建设等推进情况提出了下一步具体的工作措施和建议。</w:t>
      </w:r>
    </w:p>
    <w:p>
      <w:pPr>
        <w:keepNext w:val="0"/>
        <w:keepLines w:val="0"/>
        <w:widowControl/>
        <w:suppressLineNumbers w:val="0"/>
        <w:ind w:firstLine="640" w:firstLineChars="200"/>
        <w:jc w:val="left"/>
        <w:rPr>
          <w:rFonts w:hint="eastAsia" w:ascii="仿宋_GB2312" w:hAnsi="宋体" w:eastAsia="仿宋_GB2312" w:cs="仿宋_GB2312"/>
          <w:color w:val="000000"/>
          <w:kern w:val="0"/>
          <w:sz w:val="31"/>
          <w:szCs w:val="31"/>
          <w:lang w:val="en-US" w:eastAsia="zh-CN" w:bidi="ar"/>
        </w:rPr>
      </w:pPr>
      <w:r>
        <w:rPr>
          <w:rFonts w:hint="eastAsia" w:ascii="仿宋_GB2312" w:hAnsi="仿宋_GB2312" w:eastAsia="仿宋_GB2312" w:cs="仿宋_GB2312"/>
          <w:b w:val="0"/>
          <w:bCs w:val="0"/>
          <w:kern w:val="2"/>
          <w:sz w:val="32"/>
          <w:szCs w:val="32"/>
          <w:lang w:val="en-US" w:eastAsia="zh-CN" w:bidi="ar-SA"/>
        </w:rPr>
        <w:t>会议要求，一要主动作为、积极谋划，对于跟进的项目多加思考，做好统筹、指导和监督工作；二要加强监管、防范风险，电商中心要主动担当、认真跟进、审核把关，做好项目日常监管和风险把控，让资金使用发挥效益；三要坚守纪律、强化规矩，要坚守廉洁从政意识，守住底线原则，断绝利益往来，</w:t>
      </w:r>
      <w:r>
        <w:rPr>
          <w:rFonts w:hint="eastAsia" w:ascii="仿宋_GB2312" w:hAnsi="仿宋_GB2312" w:eastAsia="仿宋_GB2312" w:cs="仿宋_GB2312"/>
          <w:b w:val="0"/>
          <w:kern w:val="2"/>
          <w:sz w:val="32"/>
          <w:szCs w:val="32"/>
          <w:lang w:val="en-US" w:eastAsia="zh-CN" w:bidi="ar-SA"/>
        </w:rPr>
        <w:t>防范廉政风险，切实推动好各项工作平稳、高效地开展。</w:t>
      </w:r>
    </w:p>
    <w:p>
      <w:pPr>
        <w:keepNext w:val="0"/>
        <w:keepLines w:val="0"/>
        <w:pageBreakBefore w:val="0"/>
        <w:widowControl w:val="0"/>
        <w:kinsoku/>
        <w:wordWrap/>
        <w:overflowPunct w:val="0"/>
        <w:topLinePunct w:val="0"/>
        <w:autoSpaceDE w:val="0"/>
        <w:autoSpaceDN w:val="0"/>
        <w:bidi w:val="0"/>
        <w:adjustRightInd/>
        <w:snapToGrid/>
        <w:spacing w:line="560" w:lineRule="exact"/>
        <w:ind w:firstLine="643" w:firstLineChars="200"/>
        <w:jc w:val="left"/>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二、我市举办广府珠玑抖音直播大赛</w:t>
      </w:r>
    </w:p>
    <w:p>
      <w:pPr>
        <w:keepNext w:val="0"/>
        <w:keepLines w:val="0"/>
        <w:widowControl/>
        <w:suppressLineNumbers w:val="0"/>
        <w:ind w:firstLine="640" w:firstLineChars="200"/>
        <w:jc w:val="left"/>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8月25日上午，我市举办广府珠玑抖音直播大赛，来自我市各行各业的10位选手，通过抖音直播与短视频，为家乡代言，助力乡村振兴。</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606415" cy="3155950"/>
            <wp:effectExtent l="0" t="0" r="13335" b="6350"/>
            <wp:docPr id="3" name="图片 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
                    <pic:cNvPicPr>
                      <a:picLocks noChangeAspect="1"/>
                    </pic:cNvPicPr>
                  </pic:nvPicPr>
                  <pic:blipFill>
                    <a:blip r:embed="rId7"/>
                    <a:stretch>
                      <a:fillRect/>
                    </a:stretch>
                  </pic:blipFill>
                  <pic:spPr>
                    <a:xfrm>
                      <a:off x="0" y="0"/>
                      <a:ext cx="5606415" cy="3155950"/>
                    </a:xfrm>
                    <a:prstGeom prst="rect">
                      <a:avLst/>
                    </a:prstGeom>
                  </pic:spPr>
                </pic:pic>
              </a:graphicData>
            </a:graphic>
          </wp:inline>
        </w:drawing>
      </w:r>
    </w:p>
    <w:p>
      <w:pPr>
        <w:pStyle w:val="7"/>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比赛现场，选手们通过“广府珠玑抖音直播大赛”主题短视频及直播带货录播视频，向评委们展示了自己与家乡的故事以及培训成果。据悉，此次直播大赛前，主办方开展了为期三个月的培训，对选手们进行了直播间策划与脚本设计、选品组品与定价策略、高转化直播间场景打造以及直播实操等培训，培训超500人次，共进行了100多场直播活动，已发布“南雄三农直播” 话题短视频100多个，播放量超340W+。  </w:t>
      </w:r>
    </w:p>
    <w:p>
      <w:pPr>
        <w:pStyle w:val="7"/>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电商发展关键靠人才。本次广府珠玑抖音直播大赛，旨在通过抖音直播带货的方式，让更多的人了解南雄的农土特产及自然风光，同时，为参赛者提供了一个学习的平台、一个展示自己才华和个性的机会，打造更多的本土乡村网红，进一步传播直播助农理念，为南雄当地的农土特产品进行宣传和推销，帮助农民增收致富。</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南雄市区域公共品牌项目工作推进情况</w:t>
      </w:r>
    </w:p>
    <w:p>
      <w:pPr>
        <w:pStyle w:val="2"/>
        <w:numPr>
          <w:ilvl w:val="0"/>
          <w:numId w:val="0"/>
        </w:numPr>
        <w:ind w:firstLine="640" w:firstLineChars="200"/>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结合我市产品各具特色、标准程度不一、资源力量分散，产品的整体知名度有待提升等因素，需要一个多品类区域公共品牌来统领南雄品牌的发展，我市组建了由市长任组长的区域公共品牌建设工作领导小组，制定印发了《南雄市区域公共品牌建设工作方案》。通过招投标形式确定“广东南方乡投产业发展有限公司”作为区域公共品牌创建项目承办主体，项目分三个阶段进行，目前已完成品牌调研分析、品牌定位规划、品牌管理办法、品牌征集、品牌发布会、品牌商标注册等内容。通过向单位和社会广泛征集品牌名称活动，“广府珠玑”区域公共品牌应运而生。为加强品牌规范管理，制定印发了《南雄市区域公共品牌管理办法》及农产品、林产品、文旅产品、预制菜板块的管理细则，进一步规范我市品牌认定和监管</w:t>
      </w:r>
      <w:r>
        <w:rPr>
          <w:rFonts w:hint="eastAsia" w:ascii="仿宋_GB2312" w:hAnsi="仿宋_GB2312" w:eastAsia="仿宋_GB2312" w:cs="仿宋_GB2312"/>
          <w:b w:val="0"/>
          <w:bCs w:val="0"/>
          <w:color w:val="auto"/>
          <w:kern w:val="2"/>
          <w:sz w:val="32"/>
          <w:szCs w:val="32"/>
          <w:lang w:val="en-US" w:eastAsia="zh-CN" w:bidi="ar-SA"/>
        </w:rPr>
        <w:t>机制</w:t>
      </w:r>
      <w:r>
        <w:rPr>
          <w:rFonts w:hint="default" w:ascii="仿宋_GB2312" w:hAnsi="仿宋_GB2312" w:eastAsia="仿宋_GB2312" w:cs="仿宋_GB2312"/>
          <w:b w:val="0"/>
          <w:bCs w:val="0"/>
          <w:color w:val="auto"/>
          <w:kern w:val="2"/>
          <w:sz w:val="32"/>
          <w:szCs w:val="32"/>
          <w:lang w:val="en-US" w:eastAsia="zh-CN" w:bidi="ar-SA"/>
        </w:rPr>
        <w:t>。</w:t>
      </w:r>
      <w:r>
        <w:rPr>
          <w:rFonts w:hint="eastAsia" w:ascii="仿宋_GB2312" w:hAnsi="仿宋_GB2312" w:eastAsia="仿宋_GB2312" w:cs="仿宋_GB2312"/>
          <w:b w:val="0"/>
          <w:bCs w:val="0"/>
          <w:color w:val="auto"/>
          <w:kern w:val="2"/>
          <w:sz w:val="32"/>
          <w:szCs w:val="32"/>
          <w:lang w:val="en-US" w:eastAsia="zh-CN" w:bidi="ar-SA"/>
        </w:rPr>
        <w:t>市商务局</w:t>
      </w:r>
      <w:r>
        <w:rPr>
          <w:rFonts w:hint="default" w:ascii="仿宋_GB2312" w:hAnsi="仿宋_GB2312" w:eastAsia="仿宋_GB2312" w:cs="仿宋_GB2312"/>
          <w:b w:val="0"/>
          <w:bCs w:val="0"/>
          <w:color w:val="auto"/>
          <w:kern w:val="2"/>
          <w:sz w:val="32"/>
          <w:szCs w:val="32"/>
          <w:lang w:val="en-US" w:eastAsia="zh-CN" w:bidi="ar-SA"/>
        </w:rPr>
        <w:t>积</w:t>
      </w:r>
      <w:r>
        <w:rPr>
          <w:rFonts w:hint="default" w:ascii="仿宋_GB2312" w:hAnsi="仿宋_GB2312" w:eastAsia="仿宋_GB2312" w:cs="仿宋_GB2312"/>
          <w:b w:val="0"/>
          <w:bCs w:val="0"/>
          <w:kern w:val="2"/>
          <w:sz w:val="32"/>
          <w:szCs w:val="32"/>
          <w:lang w:val="en-US" w:eastAsia="zh-CN" w:bidi="ar-SA"/>
        </w:rPr>
        <w:t>极引导企业结合当地饮食文化，研发具有地域特色的预制菜系，开发了杏运鹅、南得鸭、蒸腊鸭、梅菜扣肉等4个品种，打造具有“南雄味道”的区域品牌形象。目前，“广府珠玑”品牌预制菜在淘宝、抖音、拼多多、东莞电视台、云闪付等线上平台</w:t>
      </w:r>
      <w:bookmarkStart w:id="0" w:name="_GoBack"/>
      <w:bookmarkEnd w:id="0"/>
      <w:r>
        <w:rPr>
          <w:rFonts w:hint="default" w:ascii="仿宋_GB2312" w:hAnsi="仿宋_GB2312" w:eastAsia="仿宋_GB2312" w:cs="仿宋_GB2312"/>
          <w:b w:val="0"/>
          <w:bCs w:val="0"/>
          <w:kern w:val="2"/>
          <w:sz w:val="32"/>
          <w:szCs w:val="32"/>
          <w:lang w:val="en-US" w:eastAsia="zh-CN" w:bidi="ar-SA"/>
        </w:rPr>
        <w:t>推广，线下已上架至南方菜篮子授牌店和广州24家商超售卖，并在我市铺货覆盖各大商超、酒店和电商服务站。同时，</w:t>
      </w:r>
      <w:r>
        <w:rPr>
          <w:rFonts w:hint="eastAsia" w:ascii="仿宋_GB2312" w:hAnsi="仿宋_GB2312" w:eastAsia="仿宋_GB2312" w:cs="仿宋_GB2312"/>
          <w:b w:val="0"/>
          <w:bCs w:val="0"/>
          <w:kern w:val="2"/>
          <w:sz w:val="32"/>
          <w:szCs w:val="32"/>
          <w:lang w:val="en-US" w:eastAsia="zh-CN" w:bidi="ar-SA"/>
        </w:rPr>
        <w:t>市商务局</w:t>
      </w:r>
      <w:r>
        <w:rPr>
          <w:rFonts w:hint="default" w:ascii="仿宋_GB2312" w:hAnsi="仿宋_GB2312" w:eastAsia="仿宋_GB2312" w:cs="仿宋_GB2312"/>
          <w:b w:val="0"/>
          <w:bCs w:val="0"/>
          <w:kern w:val="2"/>
          <w:sz w:val="32"/>
          <w:szCs w:val="32"/>
          <w:lang w:val="en-US" w:eastAsia="zh-CN" w:bidi="ar-SA"/>
        </w:rPr>
        <w:t>积极组织企业参加首届中国国际（佛山）预制菜产业大会和第十二届广东现代农业博览会，宣传推广南雄优势农产品品牌。</w:t>
      </w:r>
    </w:p>
    <w:p>
      <w:pPr>
        <w:pStyle w:val="2"/>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目前，承办方已完成18个镇（街）报送的主打农产品包装设计和品牌视觉应用设计初稿，正在根据</w:t>
      </w:r>
      <w:r>
        <w:rPr>
          <w:rFonts w:hint="eastAsia" w:ascii="仿宋_GB2312" w:hAnsi="仿宋_GB2312" w:eastAsia="仿宋_GB2312" w:cs="仿宋_GB2312"/>
          <w:b w:val="0"/>
          <w:bCs w:val="0"/>
          <w:color w:val="auto"/>
          <w:kern w:val="2"/>
          <w:sz w:val="32"/>
          <w:szCs w:val="32"/>
          <w:lang w:val="en-US" w:eastAsia="zh-CN" w:bidi="ar-SA"/>
        </w:rPr>
        <w:t>镇（街）</w:t>
      </w:r>
      <w:r>
        <w:rPr>
          <w:rFonts w:hint="default" w:ascii="仿宋_GB2312" w:hAnsi="仿宋_GB2312" w:eastAsia="仿宋_GB2312" w:cs="仿宋_GB2312"/>
          <w:b w:val="0"/>
          <w:bCs w:val="0"/>
          <w:color w:val="auto"/>
          <w:kern w:val="2"/>
          <w:sz w:val="32"/>
          <w:szCs w:val="32"/>
          <w:lang w:val="en-US" w:eastAsia="zh-CN" w:bidi="ar-SA"/>
        </w:rPr>
        <w:t>意见进行修改完善，</w:t>
      </w:r>
      <w:r>
        <w:rPr>
          <w:rFonts w:hint="eastAsia" w:ascii="仿宋_GB2312" w:hAnsi="仿宋_GB2312" w:eastAsia="仿宋_GB2312" w:cs="仿宋_GB2312"/>
          <w:b w:val="0"/>
          <w:bCs w:val="0"/>
          <w:color w:val="auto"/>
          <w:kern w:val="2"/>
          <w:sz w:val="32"/>
          <w:szCs w:val="32"/>
          <w:lang w:val="en-US" w:eastAsia="zh-CN" w:bidi="ar-SA"/>
        </w:rPr>
        <w:t>并同步进行产品包装运输工作</w:t>
      </w:r>
      <w:r>
        <w:rPr>
          <w:rFonts w:hint="eastAsia" w:ascii="仿宋_GB2312" w:hAnsi="仿宋_GB2312" w:eastAsia="仿宋_GB2312" w:cs="仿宋_GB2312"/>
          <w:b w:val="0"/>
          <w:bCs w:val="0"/>
          <w:kern w:val="2"/>
          <w:sz w:val="32"/>
          <w:szCs w:val="32"/>
          <w:lang w:val="en-US" w:eastAsia="zh-CN" w:bidi="ar-SA"/>
        </w:rPr>
        <w:t>，预计9月中旬完成。</w:t>
      </w:r>
    </w:p>
    <w:p>
      <w:pPr>
        <w:pStyle w:val="2"/>
        <w:numPr>
          <w:ilvl w:val="0"/>
          <w:numId w:val="0"/>
        </w:numPr>
        <w:ind w:firstLine="640" w:firstLineChars="200"/>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下一步，市商务局将组织</w:t>
      </w:r>
      <w:r>
        <w:rPr>
          <w:rFonts w:hint="eastAsia" w:ascii="仿宋_GB2312" w:hAnsi="仿宋_GB2312" w:eastAsia="仿宋_GB2312" w:cs="仿宋_GB2312"/>
          <w:sz w:val="32"/>
          <w:szCs w:val="32"/>
          <w:lang w:val="en-US" w:eastAsia="zh-CN"/>
        </w:rPr>
        <w:t>开展“广府珠玑”区域公共品牌申报工作</w:t>
      </w:r>
      <w:r>
        <w:rPr>
          <w:rFonts w:hint="eastAsia"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color w:val="auto"/>
          <w:sz w:val="32"/>
          <w:szCs w:val="32"/>
          <w:lang w:val="en-US" w:eastAsia="zh-CN"/>
        </w:rPr>
        <w:t>综合利用线上线下等多种渠道，多平台、多形式、多层面开展宣传推广，提高“广府珠玑”区域公共品牌的知晓率和认可度。</w:t>
      </w:r>
      <w:r>
        <w:rPr>
          <w:rFonts w:hint="eastAsia" w:ascii="仿宋_GB2312" w:hAnsi="仿宋_GB2312" w:eastAsia="仿宋_GB2312" w:cs="仿宋_GB2312"/>
          <w:sz w:val="32"/>
          <w:szCs w:val="32"/>
          <w:lang w:val="en-US" w:eastAsia="zh-CN"/>
        </w:rPr>
        <w:t>将南雄市区域公共品牌产品入驻南方菜篮子平台，实行代销提高产品宣传面，在抖音、淘宝等各大平台进行直播带货，促进农户增收。</w:t>
      </w:r>
    </w:p>
    <w:p>
      <w:pPr>
        <w:pStyle w:val="14"/>
        <w:rPr>
          <w:rFonts w:hint="eastAsia"/>
          <w:lang w:val="en-US" w:eastAsia="zh-CN"/>
        </w:rPr>
      </w:pPr>
    </w:p>
    <w:p>
      <w:pPr>
        <w:pStyle w:val="7"/>
        <w:ind w:firstLine="643" w:firstLineChars="200"/>
        <w:jc w:val="left"/>
        <w:rPr>
          <w:rFonts w:hint="eastAsia" w:ascii="仿宋_GB2312" w:hAnsi="宋体" w:eastAsia="仿宋_GB2312"/>
          <w:b/>
          <w:bCs/>
          <w:sz w:val="32"/>
          <w:lang w:val="en-US" w:eastAsia="zh-CN"/>
        </w:rPr>
      </w:pPr>
      <w:r>
        <w:rPr>
          <w:rFonts w:hint="eastAsia" w:ascii="仿宋_GB2312" w:hAnsi="宋体" w:eastAsia="仿宋_GB2312"/>
          <w:b/>
          <w:bCs/>
          <w:sz w:val="32"/>
          <w:lang w:val="en-US" w:eastAsia="zh-CN"/>
        </w:rPr>
        <w:t>四、南雄：实现农村寄递物流全覆盖 构建城乡高效配送体系</w:t>
      </w:r>
    </w:p>
    <w:p>
      <w:pPr>
        <w:pStyle w:val="7"/>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农村寄递物流是农产品出村进城、消费品下乡进村的重要渠道之一，是连接城乡供需两端的重要桥梁，对满足农民群众生产生活需要、释放农村消费潜力、促进城乡统筹发展和推动乡村振兴具有关键作用。目前，我市邮政物流新增市、镇、村三级3条专线，实现了市、镇、村物流网络全覆盖，完成了“快递进村”工程，进一步构建城乡高效配送体系。</w:t>
      </w:r>
    </w:p>
    <w:p>
      <w:pPr>
        <w:pStyle w:val="7"/>
        <w:ind w:firstLine="640" w:firstLineChars="200"/>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这几年，网购成为村里乡亲重要的采买方式。曾经，为了收发快递，部分村民只能前往圩镇，收包裹、寄包裹多有不便，在村里设立快递服务站点是村民们的迫切需求。位于乌迳镇长龙村村口的小卖铺，是今年4月邮政快递新设立的一个下乡揽投服务点，负责人钟小芳正在分拣快递员配送过来的快递，不时有村民前来领取。“我们这里交通方面比较方便。搞成一个自提点，别人来我们这里拿快递就比较方便。不管是他们去镇上赶集还是不赶集，都可以随时来我这里拿，能减少很多时间。”钟小芳说。</w:t>
      </w:r>
    </w:p>
    <w:p>
      <w:pPr>
        <w:pStyle w:val="7"/>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drawing>
          <wp:inline distT="0" distB="0" distL="114300" distR="114300">
            <wp:extent cx="5612130" cy="3152140"/>
            <wp:effectExtent l="0" t="0" r="7620" b="10160"/>
            <wp:docPr id="6" name="图片 6" descr="250327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503277 (1)"/>
                    <pic:cNvPicPr>
                      <a:picLocks noChangeAspect="1"/>
                    </pic:cNvPicPr>
                  </pic:nvPicPr>
                  <pic:blipFill>
                    <a:blip r:embed="rId8"/>
                    <a:stretch>
                      <a:fillRect/>
                    </a:stretch>
                  </pic:blipFill>
                  <pic:spPr>
                    <a:xfrm>
                      <a:off x="0" y="0"/>
                      <a:ext cx="5612130" cy="3152140"/>
                    </a:xfrm>
                    <a:prstGeom prst="rect">
                      <a:avLst/>
                    </a:prstGeom>
                  </pic:spPr>
                </pic:pic>
              </a:graphicData>
            </a:graphic>
          </wp:inline>
        </w:drawing>
      </w:r>
    </w:p>
    <w:p>
      <w:pPr>
        <w:pStyle w:val="7"/>
        <w:ind w:firstLine="640" w:firstLineChars="200"/>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除了建设村级快递下乡揽投服务点，完善服务功能外，我市还努力补齐农村物流发展短板，依托农村寄递物流体系建设，整合各类资源、打通农村末端，盘活原有的电商服务站点，以联营物流、超市商店、小卖铺等方式助力快递进村。</w:t>
      </w:r>
    </w:p>
    <w:p>
      <w:pPr>
        <w:pStyle w:val="7"/>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drawing>
          <wp:inline distT="0" distB="0" distL="114300" distR="114300">
            <wp:extent cx="5612130" cy="3152140"/>
            <wp:effectExtent l="0" t="0" r="7620" b="10160"/>
            <wp:docPr id="4" name="图片 4" descr="250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503277"/>
                    <pic:cNvPicPr>
                      <a:picLocks noChangeAspect="1"/>
                    </pic:cNvPicPr>
                  </pic:nvPicPr>
                  <pic:blipFill>
                    <a:blip r:embed="rId9"/>
                    <a:stretch>
                      <a:fillRect/>
                    </a:stretch>
                  </pic:blipFill>
                  <pic:spPr>
                    <a:xfrm>
                      <a:off x="0" y="0"/>
                      <a:ext cx="5612130" cy="3152140"/>
                    </a:xfrm>
                    <a:prstGeom prst="rect">
                      <a:avLst/>
                    </a:prstGeom>
                  </pic:spPr>
                </pic:pic>
              </a:graphicData>
            </a:graphic>
          </wp:inline>
        </w:drawing>
      </w:r>
    </w:p>
    <w:p>
      <w:pPr>
        <w:pStyle w:val="7"/>
        <w:ind w:firstLine="640" w:firstLineChars="200"/>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为加快推动市、镇、村三级物流共同配送体系建设，促进快递物流产业发展，将我市打造成为高效快速的中央苏区快递物流集散地。今年南雄谋划了统仓共配物流中心项目，吸引社会资本投资1.2亿元建设集快递仓储、分拣派送、冷链物流、包装加工、货物卸载和电商中心大楼等功能一体的物流中心。</w:t>
      </w:r>
      <w:r>
        <w:rPr>
          <w:rFonts w:hint="eastAsia" w:ascii="仿宋_GB2312" w:hAnsi="仿宋_GB2312" w:eastAsia="仿宋_GB2312" w:cs="仿宋_GB2312"/>
          <w:b w:val="0"/>
          <w:bCs w:val="0"/>
          <w:sz w:val="32"/>
          <w:szCs w:val="32"/>
          <w:lang w:val="en-US" w:eastAsia="zh-CN"/>
        </w:rPr>
        <w:t>据</w:t>
      </w:r>
      <w:r>
        <w:rPr>
          <w:rFonts w:hint="default" w:ascii="仿宋_GB2312" w:hAnsi="仿宋_GB2312" w:eastAsia="仿宋_GB2312" w:cs="仿宋_GB2312"/>
          <w:b w:val="0"/>
          <w:bCs w:val="0"/>
          <w:sz w:val="32"/>
          <w:szCs w:val="32"/>
          <w:lang w:val="en-US" w:eastAsia="zh-CN"/>
        </w:rPr>
        <w:t>南雄市电子商务公共服务中心</w:t>
      </w:r>
      <w:r>
        <w:rPr>
          <w:rFonts w:hint="eastAsia" w:ascii="仿宋_GB2312" w:hAnsi="仿宋_GB2312" w:eastAsia="仿宋_GB2312" w:cs="仿宋_GB2312"/>
          <w:b w:val="0"/>
          <w:bCs w:val="0"/>
          <w:sz w:val="32"/>
          <w:szCs w:val="32"/>
          <w:lang w:val="en-US" w:eastAsia="zh-CN"/>
        </w:rPr>
        <w:t>负责人</w:t>
      </w:r>
      <w:r>
        <w:rPr>
          <w:rFonts w:hint="default" w:ascii="仿宋_GB2312" w:hAnsi="仿宋_GB2312" w:eastAsia="仿宋_GB2312" w:cs="仿宋_GB2312"/>
          <w:b w:val="0"/>
          <w:bCs w:val="0"/>
          <w:sz w:val="32"/>
          <w:szCs w:val="32"/>
          <w:lang w:val="en-US" w:eastAsia="zh-CN"/>
        </w:rPr>
        <w:t>介绍，</w:t>
      </w:r>
      <w:r>
        <w:rPr>
          <w:rFonts w:hint="eastAsia" w:ascii="仿宋_GB2312" w:hAnsi="仿宋_GB2312" w:eastAsia="仿宋_GB2312" w:cs="仿宋_GB2312"/>
          <w:b w:val="0"/>
          <w:bCs w:val="0"/>
          <w:sz w:val="32"/>
          <w:szCs w:val="32"/>
          <w:lang w:val="en-US" w:eastAsia="zh-CN"/>
        </w:rPr>
        <w:t>该</w:t>
      </w:r>
      <w:r>
        <w:rPr>
          <w:rFonts w:hint="default" w:ascii="仿宋_GB2312" w:hAnsi="仿宋_GB2312" w:eastAsia="仿宋_GB2312" w:cs="仿宋_GB2312"/>
          <w:b w:val="0"/>
          <w:bCs w:val="0"/>
          <w:sz w:val="32"/>
          <w:szCs w:val="32"/>
          <w:lang w:val="en-US" w:eastAsia="zh-CN"/>
        </w:rPr>
        <w:t>项目于7月底开工建设，预计9月底可以建成分拣平台，今年年底建设完工。项目建设完成后，可以有效提高配送的效率，降低物流成本，切实达到提速降费的目的。</w:t>
      </w:r>
    </w:p>
    <w:p>
      <w:pPr>
        <w:pStyle w:val="7"/>
        <w:keepNext w:val="0"/>
        <w:keepLines w:val="0"/>
        <w:pageBreakBefore w:val="0"/>
        <w:widowControl w:val="0"/>
        <w:kinsoku/>
        <w:wordWrap/>
        <w:overflowPunct/>
        <w:topLinePunct w:val="0"/>
        <w:autoSpaceDE/>
        <w:autoSpaceDN/>
        <w:bidi w:val="0"/>
        <w:adjustRightInd/>
        <w:spacing w:line="240" w:lineRule="auto"/>
        <w:ind w:firstLine="640" w:firstLineChars="200"/>
        <w:jc w:val="left"/>
        <w:textAlignment w:val="auto"/>
        <w:rPr>
          <w:rFonts w:hint="eastAsia" w:ascii="仿宋_GB2312" w:hAnsi="宋体" w:eastAsia="仿宋_GB2312"/>
          <w:sz w:val="32"/>
          <w:lang w:val="en-US" w:eastAsia="zh-CN"/>
        </w:rPr>
      </w:pPr>
    </w:p>
    <w:p>
      <w:pPr>
        <w:pStyle w:val="14"/>
        <w:ind w:firstLine="641"/>
        <w:rPr>
          <w:rFonts w:hint="default" w:ascii="仿宋_GB2312" w:hAnsi="宋体" w:eastAsia="仿宋_GB2312" w:cstheme="minorBidi"/>
          <w:kern w:val="2"/>
          <w:sz w:val="32"/>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黑体" w:hAnsi="黑体" w:eastAsia="黑体" w:cs="黑体"/>
          <w:b/>
          <w:bCs/>
          <w:kern w:val="0"/>
          <w:sz w:val="32"/>
          <w:szCs w:val="32"/>
          <w:lang w:val="en-US" w:eastAsia="zh-CN" w:bidi="zh-CN"/>
        </w:rPr>
        <w:t>【</w:t>
      </w:r>
      <w:r>
        <w:rPr>
          <w:rFonts w:hint="eastAsia" w:ascii="Times New Roman" w:hAnsi="Times New Roman" w:eastAsia="黑体" w:cs="黑体"/>
          <w:b/>
          <w:bCs/>
          <w:color w:val="000000" w:themeColor="text1"/>
          <w:kern w:val="0"/>
          <w:sz w:val="32"/>
          <w:szCs w:val="32"/>
          <w:lang w:val="en-US" w:bidi="zh-CN"/>
          <w14:textFill>
            <w14:solidFill>
              <w14:schemeClr w14:val="tx1"/>
            </w14:solidFill>
          </w14:textFill>
        </w:rPr>
        <w:t>农产品上行销售数据</w:t>
      </w:r>
      <w:r>
        <w:rPr>
          <w:rFonts w:hint="eastAsia" w:ascii="黑体" w:hAnsi="黑体" w:eastAsia="黑体" w:cs="黑体"/>
          <w:b/>
          <w:bCs/>
          <w:kern w:val="0"/>
          <w:sz w:val="32"/>
          <w:szCs w:val="32"/>
          <w:lang w:val="en-US" w:eastAsia="zh-CN" w:bidi="zh-CN"/>
        </w:rPr>
        <w:t>】</w:t>
      </w:r>
    </w:p>
    <w:p>
      <w:pPr>
        <w:pStyle w:val="7"/>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8月，涉农电商企业的农产品线上销售数据达到716万元，我市各电商服务站点农产品线上销售额为343万元。</w:t>
      </w:r>
    </w:p>
    <w:tbl>
      <w:tblPr>
        <w:tblStyle w:val="16"/>
        <w:tblpPr w:leftFromText="180" w:rightFromText="180" w:vertAnchor="text" w:horzAnchor="page" w:tblpX="1429" w:tblpY="1929"/>
        <w:tblOverlap w:val="never"/>
        <w:tblW w:w="9300"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30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300" w:type="dxa"/>
            <w:noWrap/>
          </w:tcPr>
          <w:p>
            <w:pPr>
              <w:spacing w:line="520" w:lineRule="exact"/>
              <w:ind w:left="444" w:leftChars="-17" w:hanging="480" w:hangingChars="200"/>
              <w:rPr>
                <w:rFonts w:ascii="等线" w:hAnsi="等线"/>
                <w:sz w:val="24"/>
                <w:szCs w:val="24"/>
              </w:rPr>
            </w:pPr>
            <w:r>
              <w:rPr>
                <w:rFonts w:hint="eastAsia" w:ascii="黑体" w:hAnsi="黑体" w:eastAsia="黑体" w:cs="黑体"/>
                <w:sz w:val="24"/>
                <w:szCs w:val="24"/>
              </w:rPr>
              <w:t>报：</w:t>
            </w:r>
            <w:r>
              <w:rPr>
                <w:rFonts w:hint="eastAsia" w:ascii="等线" w:hAnsi="等线"/>
                <w:sz w:val="24"/>
                <w:szCs w:val="24"/>
              </w:rPr>
              <w:t>广东省商务厅，韶关市商务局，市委副书记、市长柯建忠，</w:t>
            </w:r>
            <w:r>
              <w:rPr>
                <w:rFonts w:hint="eastAsia" w:ascii="等线" w:hAnsi="等线"/>
                <w:sz w:val="24"/>
                <w:szCs w:val="24"/>
                <w:lang w:val="en-US" w:eastAsia="zh-CN"/>
              </w:rPr>
              <w:t>市政府党组成员翟普尧</w:t>
            </w:r>
            <w:r>
              <w:rPr>
                <w:rFonts w:hint="eastAsia" w:ascii="等线" w:hAnsi="等线"/>
                <w:sz w:val="24"/>
                <w:szCs w:val="24"/>
              </w:rPr>
              <w:t>。</w:t>
            </w:r>
          </w:p>
          <w:p>
            <w:pPr>
              <w:spacing w:line="520" w:lineRule="exact"/>
              <w:ind w:left="444" w:leftChars="-17" w:hanging="480" w:hangingChars="200"/>
              <w:rPr>
                <w:rFonts w:hint="eastAsia" w:eastAsia="宋体"/>
                <w:b/>
                <w:sz w:val="34"/>
                <w:szCs w:val="34"/>
                <w:lang w:eastAsia="zh-CN"/>
              </w:rPr>
            </w:pPr>
            <w:r>
              <w:rPr>
                <w:rFonts w:hint="eastAsia" w:ascii="黑体" w:hAnsi="黑体" w:eastAsia="黑体" w:cs="黑体"/>
                <w:sz w:val="24"/>
                <w:szCs w:val="24"/>
              </w:rPr>
              <w:t>发</w:t>
            </w:r>
            <w:r>
              <w:rPr>
                <w:rFonts w:hint="eastAsia" w:ascii="黑体" w:hAnsi="黑体" w:eastAsia="黑体" w:cs="黑体"/>
                <w:color w:val="auto"/>
                <w:sz w:val="24"/>
                <w:szCs w:val="24"/>
              </w:rPr>
              <w:t>：</w:t>
            </w:r>
            <w:r>
              <w:rPr>
                <w:rFonts w:hint="eastAsia" w:ascii="等线" w:hAnsi="等线"/>
                <w:color w:val="auto"/>
                <w:sz w:val="24"/>
                <w:szCs w:val="24"/>
              </w:rPr>
              <w:t>各镇（街道）</w:t>
            </w:r>
            <w:r>
              <w:rPr>
                <w:rFonts w:hint="eastAsia" w:ascii="等线" w:hAnsi="等线"/>
                <w:color w:val="auto"/>
                <w:sz w:val="24"/>
                <w:szCs w:val="24"/>
                <w:lang w:eastAsia="zh-CN"/>
              </w:rPr>
              <w:t>、</w:t>
            </w:r>
            <w:r>
              <w:rPr>
                <w:rFonts w:hint="eastAsia" w:ascii="等线" w:hAnsi="等线"/>
                <w:color w:val="auto"/>
                <w:sz w:val="24"/>
                <w:szCs w:val="24"/>
                <w:lang w:val="en-US" w:eastAsia="zh-CN"/>
              </w:rPr>
              <w:t>南雄市电子商务进农村工作领导小组成员单位</w:t>
            </w:r>
            <w:r>
              <w:rPr>
                <w:rFonts w:hint="eastAsia" w:ascii="等线" w:hAnsi="等线"/>
                <w:color w:val="auto"/>
                <w:sz w:val="24"/>
                <w:szCs w:val="24"/>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1" w:hRule="atLeast"/>
        </w:trPr>
        <w:tc>
          <w:tcPr>
            <w:tcW w:w="9300" w:type="dxa"/>
            <w:noWrap/>
          </w:tcPr>
          <w:p>
            <w:pPr>
              <w:spacing w:beforeLines="50" w:afterLines="50" w:line="440" w:lineRule="exact"/>
              <w:ind w:firstLine="340" w:firstLineChars="100"/>
              <w:rPr>
                <w:rFonts w:eastAsia="仿宋_GB2312"/>
                <w:sz w:val="34"/>
                <w:szCs w:val="34"/>
              </w:rPr>
            </w:pPr>
            <w:r>
              <w:rPr>
                <w:rFonts w:hint="eastAsia" w:ascii="Times New Roman" w:hAnsi="Times New Roman" w:eastAsia="仿宋_GB2312" w:cs="Times New Roman"/>
                <w:sz w:val="34"/>
                <w:szCs w:val="34"/>
                <w:lang w:val="en-US" w:eastAsia="zh-CN"/>
              </w:rPr>
              <w:t xml:space="preserve">南雄市商务局                    </w:t>
            </w: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9</w:t>
            </w:r>
            <w:r>
              <w:rPr>
                <w:rFonts w:eastAsia="仿宋_GB2312"/>
                <w:sz w:val="34"/>
                <w:szCs w:val="34"/>
              </w:rPr>
              <w:t>月</w:t>
            </w:r>
            <w:r>
              <w:rPr>
                <w:rFonts w:hint="eastAsia" w:ascii="仿宋_GB2312" w:hAnsi="仿宋_GB2312" w:eastAsia="仿宋_GB2312" w:cs="仿宋_GB2312"/>
                <w:color w:val="auto"/>
                <w:sz w:val="32"/>
                <w:szCs w:val="32"/>
                <w:lang w:val="en-US" w:eastAsia="zh-CN"/>
              </w:rPr>
              <w:t>8</w:t>
            </w:r>
            <w:r>
              <w:rPr>
                <w:rFonts w:eastAsia="仿宋_GB2312"/>
                <w:sz w:val="34"/>
                <w:szCs w:val="34"/>
              </w:rPr>
              <w:t>日印</w:t>
            </w:r>
          </w:p>
        </w:tc>
      </w:tr>
    </w:tbl>
    <w:p>
      <w:pPr>
        <w:pStyle w:val="7"/>
        <w:rPr>
          <w:rFonts w:hint="default" w:ascii="仿宋_GB2312" w:hAnsi="宋体" w:eastAsia="仿宋_GB2312" w:cs="仿宋_GB2312"/>
          <w:i w:val="0"/>
          <w:caps w:val="0"/>
          <w:color w:val="333333"/>
          <w:spacing w:val="0"/>
          <w:kern w:val="0"/>
          <w:sz w:val="32"/>
          <w:szCs w:val="32"/>
          <w:shd w:val="clear" w:fill="FFFFFF"/>
          <w:lang w:val="en-US" w:eastAsia="zh-CN" w:bidi="ar-SA"/>
        </w:rPr>
      </w:pPr>
    </w:p>
    <w:sectPr>
      <w:footerReference r:id="rId4" w:type="first"/>
      <w:footerReference r:id="rId3" w:type="default"/>
      <w:pgSz w:w="11906" w:h="16838"/>
      <w:pgMar w:top="2041" w:right="1531" w:bottom="2041" w:left="1531"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ascii="仿宋_GB2312" w:hAnsi="仿宋_GB2312" w:eastAsia="仿宋_GB2312" w:cs="仿宋_GB2312"/>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p>
    <w:pPr>
      <w:pStyle w:val="10"/>
      <w:rPr>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40FC60"/>
    <w:multiLevelType w:val="singleLevel"/>
    <w:tmpl w:val="C740FC60"/>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3YWU0ZTU2Y2U1MDBiNTM4OTU3MjYyMDYwNTQwMGYifQ=="/>
  </w:docVars>
  <w:rsids>
    <w:rsidRoot w:val="00000000"/>
    <w:rsid w:val="006547DA"/>
    <w:rsid w:val="023D5C0A"/>
    <w:rsid w:val="036A13EC"/>
    <w:rsid w:val="039754BC"/>
    <w:rsid w:val="03FA781A"/>
    <w:rsid w:val="04393367"/>
    <w:rsid w:val="045B79F9"/>
    <w:rsid w:val="05806316"/>
    <w:rsid w:val="064B66AB"/>
    <w:rsid w:val="07962F8B"/>
    <w:rsid w:val="079E6994"/>
    <w:rsid w:val="07A8357E"/>
    <w:rsid w:val="084075B6"/>
    <w:rsid w:val="0A0E09F2"/>
    <w:rsid w:val="0B613872"/>
    <w:rsid w:val="0C0C116A"/>
    <w:rsid w:val="0C375C18"/>
    <w:rsid w:val="0C9C23DC"/>
    <w:rsid w:val="0D0F6158"/>
    <w:rsid w:val="0D9F6D00"/>
    <w:rsid w:val="0F4C3295"/>
    <w:rsid w:val="0FDE3274"/>
    <w:rsid w:val="0FF31825"/>
    <w:rsid w:val="10685029"/>
    <w:rsid w:val="12292167"/>
    <w:rsid w:val="123D0C18"/>
    <w:rsid w:val="12EE0A5B"/>
    <w:rsid w:val="135A4C62"/>
    <w:rsid w:val="13884638"/>
    <w:rsid w:val="138D47C3"/>
    <w:rsid w:val="14512948"/>
    <w:rsid w:val="148E05C1"/>
    <w:rsid w:val="14F51514"/>
    <w:rsid w:val="14F52C04"/>
    <w:rsid w:val="15C9201F"/>
    <w:rsid w:val="160440BB"/>
    <w:rsid w:val="167343FA"/>
    <w:rsid w:val="169E4A2C"/>
    <w:rsid w:val="16AE1592"/>
    <w:rsid w:val="16B77B90"/>
    <w:rsid w:val="178A6DF0"/>
    <w:rsid w:val="17B34761"/>
    <w:rsid w:val="184E3ABB"/>
    <w:rsid w:val="184E50F6"/>
    <w:rsid w:val="18EC4416"/>
    <w:rsid w:val="196A7CCD"/>
    <w:rsid w:val="1987389E"/>
    <w:rsid w:val="19EA7416"/>
    <w:rsid w:val="19EF66D1"/>
    <w:rsid w:val="1A85381E"/>
    <w:rsid w:val="1BE366F5"/>
    <w:rsid w:val="1C223D48"/>
    <w:rsid w:val="1C7344EE"/>
    <w:rsid w:val="1CD833D1"/>
    <w:rsid w:val="1E70007E"/>
    <w:rsid w:val="1F637ADE"/>
    <w:rsid w:val="1F7F5A2A"/>
    <w:rsid w:val="209800B6"/>
    <w:rsid w:val="21305748"/>
    <w:rsid w:val="237553E0"/>
    <w:rsid w:val="2389781D"/>
    <w:rsid w:val="23D81D37"/>
    <w:rsid w:val="249B5E79"/>
    <w:rsid w:val="24DE3EC9"/>
    <w:rsid w:val="25476B1B"/>
    <w:rsid w:val="26BE68F9"/>
    <w:rsid w:val="28B37D5C"/>
    <w:rsid w:val="290A6BD3"/>
    <w:rsid w:val="291A2B9D"/>
    <w:rsid w:val="29CE37DB"/>
    <w:rsid w:val="2A71363C"/>
    <w:rsid w:val="2A927A2F"/>
    <w:rsid w:val="2B3A613B"/>
    <w:rsid w:val="304302B1"/>
    <w:rsid w:val="30836C6D"/>
    <w:rsid w:val="3155797A"/>
    <w:rsid w:val="31612D6A"/>
    <w:rsid w:val="32897DC5"/>
    <w:rsid w:val="33894B7D"/>
    <w:rsid w:val="33D75136"/>
    <w:rsid w:val="33DD6348"/>
    <w:rsid w:val="349647EC"/>
    <w:rsid w:val="362B6E1F"/>
    <w:rsid w:val="36887A88"/>
    <w:rsid w:val="369022A0"/>
    <w:rsid w:val="36EE36EF"/>
    <w:rsid w:val="370E7CB0"/>
    <w:rsid w:val="37BC3F03"/>
    <w:rsid w:val="37E02895"/>
    <w:rsid w:val="37E410BB"/>
    <w:rsid w:val="38AA4085"/>
    <w:rsid w:val="38B65D18"/>
    <w:rsid w:val="39247A65"/>
    <w:rsid w:val="39AA3CBF"/>
    <w:rsid w:val="39D6768B"/>
    <w:rsid w:val="3A223D1A"/>
    <w:rsid w:val="3A5E1E4B"/>
    <w:rsid w:val="3B004829"/>
    <w:rsid w:val="3D587158"/>
    <w:rsid w:val="3EE47E76"/>
    <w:rsid w:val="3F894175"/>
    <w:rsid w:val="409475F1"/>
    <w:rsid w:val="42433267"/>
    <w:rsid w:val="42D03901"/>
    <w:rsid w:val="431818BF"/>
    <w:rsid w:val="448C30CA"/>
    <w:rsid w:val="459754ED"/>
    <w:rsid w:val="45D66A16"/>
    <w:rsid w:val="45EA4C16"/>
    <w:rsid w:val="46190316"/>
    <w:rsid w:val="462C5BD6"/>
    <w:rsid w:val="46854795"/>
    <w:rsid w:val="46B142EF"/>
    <w:rsid w:val="46E8248C"/>
    <w:rsid w:val="475F3C8D"/>
    <w:rsid w:val="478C71D0"/>
    <w:rsid w:val="47D37F43"/>
    <w:rsid w:val="484B2C32"/>
    <w:rsid w:val="485C16AB"/>
    <w:rsid w:val="487220C7"/>
    <w:rsid w:val="488D6B13"/>
    <w:rsid w:val="489F10D3"/>
    <w:rsid w:val="490B76C2"/>
    <w:rsid w:val="49AA6DDC"/>
    <w:rsid w:val="4AB504B1"/>
    <w:rsid w:val="4B265CB4"/>
    <w:rsid w:val="4B493CD4"/>
    <w:rsid w:val="4B9163E4"/>
    <w:rsid w:val="4C3B68E8"/>
    <w:rsid w:val="4CBD2D83"/>
    <w:rsid w:val="4D195DBF"/>
    <w:rsid w:val="4D3D190D"/>
    <w:rsid w:val="4DD354B2"/>
    <w:rsid w:val="4ED10584"/>
    <w:rsid w:val="4EEA0DCC"/>
    <w:rsid w:val="4F183B4E"/>
    <w:rsid w:val="50214E65"/>
    <w:rsid w:val="50857A57"/>
    <w:rsid w:val="52BD1013"/>
    <w:rsid w:val="53C72728"/>
    <w:rsid w:val="544168BF"/>
    <w:rsid w:val="558F1CDD"/>
    <w:rsid w:val="56C2458F"/>
    <w:rsid w:val="57923F2D"/>
    <w:rsid w:val="57F04CFA"/>
    <w:rsid w:val="58B83D02"/>
    <w:rsid w:val="597C0301"/>
    <w:rsid w:val="5A48477F"/>
    <w:rsid w:val="5ACC7FDF"/>
    <w:rsid w:val="5B2A09AE"/>
    <w:rsid w:val="5B61411C"/>
    <w:rsid w:val="5BB44596"/>
    <w:rsid w:val="5CC87E0A"/>
    <w:rsid w:val="5D3714A8"/>
    <w:rsid w:val="5EAE2228"/>
    <w:rsid w:val="5F97637E"/>
    <w:rsid w:val="5FD17C1A"/>
    <w:rsid w:val="608633CC"/>
    <w:rsid w:val="60A60B46"/>
    <w:rsid w:val="60E4111C"/>
    <w:rsid w:val="626235A3"/>
    <w:rsid w:val="626E4680"/>
    <w:rsid w:val="62DB5603"/>
    <w:rsid w:val="63953D64"/>
    <w:rsid w:val="63A151D7"/>
    <w:rsid w:val="63AA7984"/>
    <w:rsid w:val="642200AE"/>
    <w:rsid w:val="64CC60FB"/>
    <w:rsid w:val="64FE0FE2"/>
    <w:rsid w:val="65377CCF"/>
    <w:rsid w:val="653A06CA"/>
    <w:rsid w:val="6552211E"/>
    <w:rsid w:val="65C4632D"/>
    <w:rsid w:val="671D280A"/>
    <w:rsid w:val="67FB3202"/>
    <w:rsid w:val="68F550C7"/>
    <w:rsid w:val="68FD6CF1"/>
    <w:rsid w:val="69F15969"/>
    <w:rsid w:val="6A0B5EC0"/>
    <w:rsid w:val="6A6B60BF"/>
    <w:rsid w:val="6BEB7DDB"/>
    <w:rsid w:val="6BF72E28"/>
    <w:rsid w:val="6C1C53F8"/>
    <w:rsid w:val="6CE87633"/>
    <w:rsid w:val="6DF02645"/>
    <w:rsid w:val="6EF05259"/>
    <w:rsid w:val="6F131012"/>
    <w:rsid w:val="71D73E24"/>
    <w:rsid w:val="737329FB"/>
    <w:rsid w:val="73EB241B"/>
    <w:rsid w:val="74300C7F"/>
    <w:rsid w:val="75961089"/>
    <w:rsid w:val="75A7579D"/>
    <w:rsid w:val="75B55AA7"/>
    <w:rsid w:val="75C4198C"/>
    <w:rsid w:val="763C472D"/>
    <w:rsid w:val="789F02C5"/>
    <w:rsid w:val="797A667D"/>
    <w:rsid w:val="79895387"/>
    <w:rsid w:val="79B02586"/>
    <w:rsid w:val="79C375A2"/>
    <w:rsid w:val="79F53D78"/>
    <w:rsid w:val="7A9D1FE6"/>
    <w:rsid w:val="7B9A7D3D"/>
    <w:rsid w:val="7E9A5711"/>
    <w:rsid w:val="7EC66B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5">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7">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0"/>
    </w:rPr>
  </w:style>
  <w:style w:type="paragraph" w:styleId="6">
    <w:name w:val="Body Text"/>
    <w:basedOn w:val="1"/>
    <w:next w:val="7"/>
    <w:qFormat/>
    <w:uiPriority w:val="0"/>
    <w:pPr>
      <w:widowControl w:val="0"/>
      <w:autoSpaceDE w:val="0"/>
      <w:autoSpaceDN w:val="0"/>
      <w:ind w:left="120"/>
    </w:pPr>
    <w:rPr>
      <w:rFonts w:ascii="仿宋" w:hAnsi="仿宋" w:eastAsia="仿宋" w:cs="仿宋"/>
      <w:sz w:val="32"/>
      <w:szCs w:val="32"/>
      <w:lang w:val="zh-CN" w:eastAsia="zh-CN" w:bidi="zh-CN"/>
    </w:rPr>
  </w:style>
  <w:style w:type="paragraph" w:styleId="7">
    <w:name w:val="Body Text 2"/>
    <w:basedOn w:val="1"/>
    <w:qFormat/>
    <w:uiPriority w:val="0"/>
    <w:pPr>
      <w:spacing w:after="120" w:line="480" w:lineRule="auto"/>
    </w:pPr>
  </w:style>
  <w:style w:type="paragraph" w:styleId="8">
    <w:name w:val="Date"/>
    <w:basedOn w:val="1"/>
    <w:next w:val="1"/>
    <w:link w:val="28"/>
    <w:unhideWhenUsed/>
    <w:qFormat/>
    <w:uiPriority w:val="99"/>
    <w:pPr>
      <w:ind w:left="100" w:leftChars="2500"/>
    </w:pPr>
  </w:style>
  <w:style w:type="paragraph" w:styleId="9">
    <w:name w:val="Balloon Text"/>
    <w:basedOn w:val="1"/>
    <w:link w:val="29"/>
    <w:unhideWhenUsed/>
    <w:qFormat/>
    <w:uiPriority w:val="99"/>
    <w:rPr>
      <w:sz w:val="18"/>
      <w:szCs w:val="18"/>
    </w:rPr>
  </w:style>
  <w:style w:type="paragraph" w:styleId="10">
    <w:name w:val="footer"/>
    <w:basedOn w:val="1"/>
    <w:link w:val="27"/>
    <w:unhideWhenUsed/>
    <w:qFormat/>
    <w:uiPriority w:val="99"/>
    <w:pPr>
      <w:tabs>
        <w:tab w:val="center" w:pos="4153"/>
        <w:tab w:val="right" w:pos="8306"/>
      </w:tabs>
      <w:snapToGrid w:val="0"/>
      <w:jc w:val="left"/>
    </w:pPr>
    <w:rPr>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index heading"/>
    <w:basedOn w:val="1"/>
    <w:next w:val="13"/>
    <w:qFormat/>
    <w:uiPriority w:val="0"/>
    <w:pPr>
      <w:spacing w:line="500" w:lineRule="exact"/>
    </w:pPr>
    <w:rPr>
      <w:rFonts w:ascii="仿宋_GB2312" w:eastAsia="仿宋_GB2312" w:cs="仿宋_GB2312"/>
      <w:sz w:val="28"/>
      <w:szCs w:val="28"/>
    </w:rPr>
  </w:style>
  <w:style w:type="paragraph" w:styleId="13">
    <w:name w:val="index 1"/>
    <w:basedOn w:val="1"/>
    <w:next w:val="1"/>
    <w:qFormat/>
    <w:uiPriority w:val="0"/>
    <w:pPr>
      <w:suppressLineNumbers/>
      <w:suppressAutoHyphens/>
      <w:adjustRightInd w:val="0"/>
      <w:spacing w:line="288" w:lineRule="auto"/>
    </w:pPr>
    <w:rPr>
      <w:sz w:val="24"/>
      <w:szCs w:val="24"/>
    </w:rPr>
  </w:style>
  <w:style w:type="paragraph" w:styleId="14">
    <w:name w:val="footnote text"/>
    <w:basedOn w:val="1"/>
    <w:qFormat/>
    <w:uiPriority w:val="0"/>
    <w:pPr>
      <w:snapToGrid w:val="0"/>
      <w:jc w:val="left"/>
    </w:pPr>
    <w:rPr>
      <w:sz w:val="18"/>
      <w:szCs w:val="1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Strong"/>
    <w:basedOn w:val="17"/>
    <w:qFormat/>
    <w:uiPriority w:val="22"/>
    <w:rPr>
      <w:b/>
      <w:bCs/>
    </w:rPr>
  </w:style>
  <w:style w:type="character" w:styleId="19">
    <w:name w:val="page number"/>
    <w:basedOn w:val="17"/>
    <w:qFormat/>
    <w:uiPriority w:val="0"/>
  </w:style>
  <w:style w:type="character" w:styleId="20">
    <w:name w:val="Hyperlink"/>
    <w:basedOn w:val="17"/>
    <w:semiHidden/>
    <w:unhideWhenUsed/>
    <w:qFormat/>
    <w:uiPriority w:val="99"/>
    <w:rPr>
      <w:color w:val="0000FF"/>
      <w:u w:val="single"/>
    </w:rPr>
  </w:style>
  <w:style w:type="paragraph" w:customStyle="1" w:styleId="21">
    <w:name w:val="Body Text First Indent 2"/>
    <w:basedOn w:val="22"/>
    <w:qFormat/>
    <w:uiPriority w:val="0"/>
    <w:pPr>
      <w:spacing w:before="100" w:beforeLines="0" w:beforeAutospacing="1" w:after="0" w:afterLines="0"/>
      <w:ind w:left="0" w:firstLine="420" w:firstLineChars="200"/>
    </w:pPr>
    <w:rPr>
      <w:rFonts w:ascii="Calibri" w:hAnsi="Calibri" w:eastAsia="宋体" w:cs="Times New Roman"/>
    </w:rPr>
  </w:style>
  <w:style w:type="paragraph" w:customStyle="1" w:styleId="22">
    <w:name w:val="Body Text Indent"/>
    <w:basedOn w:val="1"/>
    <w:qFormat/>
    <w:uiPriority w:val="0"/>
    <w:pPr>
      <w:spacing w:after="120" w:afterLines="0"/>
      <w:ind w:left="420" w:leftChars="200"/>
    </w:pPr>
    <w:rPr>
      <w:rFonts w:ascii="Times New Roman" w:hAnsi="Times New Roman" w:eastAsia="宋体" w:cs="Times New Roman"/>
    </w:rPr>
  </w:style>
  <w:style w:type="paragraph" w:customStyle="1" w:styleId="23">
    <w:name w:val="正文缩进1"/>
    <w:basedOn w:val="24"/>
    <w:next w:val="1"/>
    <w:qFormat/>
    <w:uiPriority w:val="0"/>
    <w:pPr>
      <w:widowControl/>
      <w:ind w:firstLine="420"/>
      <w:jc w:val="left"/>
    </w:pPr>
    <w:rPr>
      <w:kern w:val="0"/>
    </w:rPr>
  </w:style>
  <w:style w:type="paragraph" w:customStyle="1" w:styleId="24">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Body Text Indent1"/>
    <w:basedOn w:val="1"/>
    <w:qFormat/>
    <w:uiPriority w:val="0"/>
    <w:pPr>
      <w:spacing w:after="120" w:afterLines="0"/>
      <w:ind w:left="420" w:leftChars="200"/>
    </w:pPr>
    <w:rPr>
      <w:rFonts w:ascii="Times New Roman" w:hAnsi="Times New Roman" w:eastAsia="宋体" w:cs="Times New Roman"/>
    </w:rPr>
  </w:style>
  <w:style w:type="character" w:customStyle="1" w:styleId="26">
    <w:name w:val="页眉 Char"/>
    <w:basedOn w:val="17"/>
    <w:link w:val="11"/>
    <w:qFormat/>
    <w:uiPriority w:val="99"/>
    <w:rPr>
      <w:sz w:val="18"/>
      <w:szCs w:val="18"/>
    </w:rPr>
  </w:style>
  <w:style w:type="character" w:customStyle="1" w:styleId="27">
    <w:name w:val="页脚 Char"/>
    <w:basedOn w:val="17"/>
    <w:link w:val="10"/>
    <w:qFormat/>
    <w:uiPriority w:val="99"/>
    <w:rPr>
      <w:sz w:val="18"/>
      <w:szCs w:val="18"/>
    </w:rPr>
  </w:style>
  <w:style w:type="character" w:customStyle="1" w:styleId="28">
    <w:name w:val="日期 Char"/>
    <w:basedOn w:val="17"/>
    <w:link w:val="8"/>
    <w:semiHidden/>
    <w:qFormat/>
    <w:uiPriority w:val="99"/>
  </w:style>
  <w:style w:type="character" w:customStyle="1" w:styleId="29">
    <w:name w:val="批注框文本 Char"/>
    <w:basedOn w:val="17"/>
    <w:link w:val="9"/>
    <w:semiHidden/>
    <w:qFormat/>
    <w:uiPriority w:val="99"/>
    <w:rPr>
      <w:sz w:val="18"/>
      <w:szCs w:val="18"/>
    </w:rPr>
  </w:style>
  <w:style w:type="paragraph" w:customStyle="1" w:styleId="30">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1">
    <w:name w:val="List Paragraph"/>
    <w:basedOn w:val="1"/>
    <w:qFormat/>
    <w:uiPriority w:val="34"/>
    <w:pPr>
      <w:ind w:firstLine="420" w:firstLineChars="200"/>
    </w:pPr>
  </w:style>
  <w:style w:type="paragraph" w:customStyle="1" w:styleId="32">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33">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4">
    <w:name w:val="apple-converted-space"/>
    <w:basedOn w:val="17"/>
    <w:qFormat/>
    <w:uiPriority w:val="0"/>
  </w:style>
  <w:style w:type="paragraph" w:customStyle="1" w:styleId="35">
    <w:name w:val="Body Text First Indent 21"/>
    <w:basedOn w:val="36"/>
    <w:qFormat/>
    <w:uiPriority w:val="0"/>
    <w:rPr>
      <w:rFonts w:ascii="Calibri" w:hAnsi="Calibri" w:eastAsia="宋体" w:cs="Times New Roman"/>
      <w:szCs w:val="24"/>
    </w:rPr>
  </w:style>
  <w:style w:type="paragraph" w:customStyle="1" w:styleId="36">
    <w:name w:val="Normal Indent1"/>
    <w:basedOn w:val="1"/>
    <w:qFormat/>
    <w:uiPriority w:val="0"/>
    <w:pPr>
      <w:spacing w:line="360" w:lineRule="auto"/>
      <w:ind w:firstLine="200" w:firstLineChars="200"/>
    </w:pPr>
    <w:rPr>
      <w:rFonts w:ascii="Times New Roman" w:hAnsi="Times New Roman" w:eastAsia="宋体" w:cs="宋体"/>
      <w:sz w:val="24"/>
    </w:rPr>
  </w:style>
  <w:style w:type="paragraph" w:customStyle="1" w:styleId="37">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2364</Words>
  <Characters>2392</Characters>
  <Lines>35</Lines>
  <Paragraphs>9</Paragraphs>
  <TotalTime>44</TotalTime>
  <ScaleCrop>false</ScaleCrop>
  <LinksUpToDate>false</LinksUpToDate>
  <CharactersWithSpaces>2443</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2019-11-08T16:19:00Z</dcterms:created>
  <dc:creator>Administrator-pc</dc:creator>
  <cp:lastModifiedBy>Administrator</cp:lastModifiedBy>
  <cp:lastPrinted>2023-09-08T03:09:03Z</cp:lastPrinted>
  <dcterms:modified xsi:type="dcterms:W3CDTF">2023-09-08T03:09:13Z</dcterms:modified>
  <cp:revision>736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B35C01A29EC24CBFB9C4FB0E75020AFE_13</vt:lpwstr>
  </property>
  <property fmtid="{D5CDD505-2E9C-101B-9397-08002B2CF9AE}" pid="4" name="commondata">
    <vt:lpwstr>eyJoZGlkIjoiYzg3YWU0ZTU2Y2U1MDBiNTM4OTU3MjYyMDYwNTQwMGYifQ==</vt:lpwstr>
  </property>
</Properties>
</file>