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微软雅黑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微软雅黑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微软雅黑"/>
          <w:b/>
          <w:bCs/>
          <w:color w:val="000000" w:themeColor="text1"/>
          <w:spacing w:val="28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00000" w:themeColor="text1"/>
          <w:spacing w:val="28"/>
          <w:sz w:val="48"/>
          <w:szCs w:val="48"/>
          <w14:textFill>
            <w14:solidFill>
              <w14:schemeClr w14:val="tx1"/>
            </w14:solidFill>
          </w14:textFill>
        </w:rPr>
        <w:t>南雄市城镇燃气发展规划（2021-2035年）</w:t>
      </w:r>
    </w:p>
    <w:p>
      <w:pPr>
        <w:jc w:val="center"/>
        <w:rPr>
          <w:rFonts w:ascii="黑体" w:hAnsi="黑体" w:eastAsia="黑体" w:cs="微软雅黑"/>
          <w:b/>
          <w:bCs/>
          <w:color w:val="000000" w:themeColor="text1"/>
          <w:spacing w:val="28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微软雅黑"/>
          <w:b/>
          <w:bCs/>
          <w:color w:val="000000" w:themeColor="text1"/>
          <w:spacing w:val="28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微软雅黑"/>
          <w:b/>
          <w:bCs/>
          <w:color w:val="000000" w:themeColor="text1"/>
          <w:spacing w:val="28"/>
          <w:sz w:val="52"/>
          <w:szCs w:val="5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微软雅黑"/>
          <w:b/>
          <w:bCs/>
          <w:color w:val="000000" w:themeColor="text1"/>
          <w:spacing w:val="28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微软雅黑"/>
          <w:b/>
          <w:bCs/>
          <w:color w:val="000000" w:themeColor="text1"/>
          <w:spacing w:val="28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黑体" w:hAnsi="黑体" w:eastAsia="黑体" w:cs="微软雅黑"/>
          <w:b/>
          <w:bCs/>
          <w:color w:val="000000" w:themeColor="text1"/>
          <w:spacing w:val="28"/>
          <w:sz w:val="52"/>
          <w:szCs w:val="5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简本</w:t>
      </w:r>
    </w:p>
    <w:p>
      <w:pPr>
        <w:rPr>
          <w:rFonts w:ascii="黑体" w:hAnsi="黑体" w:eastAsia="黑体" w:cs="微软雅黑"/>
          <w:b/>
          <w:bCs/>
          <w:color w:val="000000" w:themeColor="text1"/>
          <w:spacing w:val="28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微软雅黑"/>
          <w:b/>
          <w:bCs/>
          <w:color w:val="000000" w:themeColor="text1"/>
          <w:spacing w:val="28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微软雅黑"/>
          <w:b/>
          <w:bCs/>
          <w:color w:val="000000" w:themeColor="text1"/>
          <w:spacing w:val="28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微软雅黑"/>
          <w:b/>
          <w:bCs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  <w:t>南雄市住房和城乡建设局</w:t>
      </w:r>
    </w:p>
    <w:p>
      <w:pPr>
        <w:jc w:val="center"/>
        <w:rPr>
          <w:rFonts w:ascii="黑体" w:hAnsi="黑体" w:eastAsia="黑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广东省城乡规划设计研究院有限责任公司</w:t>
      </w:r>
    </w:p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850" w:h="16783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黑体" w:eastAsia="黑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5286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0"/>
          <w:szCs w:val="20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黑体" w:hAnsi="黑体" w:eastAsia="黑体" w:cs="黑体"/>
              <w:sz w:val="28"/>
              <w:szCs w:val="28"/>
            </w:rPr>
          </w:pPr>
          <w:bookmarkStart w:id="0" w:name="_Toc16668_WPSOffice_Type1"/>
          <w:r>
            <w:rPr>
              <w:rFonts w:hint="eastAsia" w:ascii="黑体" w:hAnsi="黑体" w:eastAsia="黑体" w:cs="黑体"/>
              <w:sz w:val="28"/>
              <w:szCs w:val="28"/>
            </w:rPr>
            <w:t>目录</w:t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_Toc31840_WPSOffice_Level1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sdt>
            <w:sdt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  <w:id w:val="147465286"/>
              <w:placeholder>
                <w:docPart w:val="{abedc21d-6541-4ddc-a06c-7b87990f1bd2}"/>
              </w:placeholder>
            </w:sdtPr>
            <w:sdtEnd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sz w:val="28"/>
                  <w:szCs w:val="28"/>
                </w:rPr>
                <w:t>第一章 总  则</w:t>
              </w:r>
            </w:sdtContent>
          </w:sdt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bookmarkStart w:id="1" w:name="_Toc31840_WPSOffice_Level1Page"/>
          <w:r>
            <w:rPr>
              <w:rFonts w:hint="eastAsia" w:ascii="黑体" w:hAnsi="黑体" w:eastAsia="黑体" w:cs="黑体"/>
              <w:sz w:val="28"/>
              <w:szCs w:val="28"/>
            </w:rPr>
            <w:t>1</w:t>
          </w:r>
          <w:bookmarkEnd w:id="1"/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_Toc16668_WPSOffice_Level1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sdt>
            <w:sdt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  <w:id w:val="147465286"/>
              <w:placeholder>
                <w:docPart w:val="{6cf3f82f-0d59-4af8-ad2c-27edea3603f8}"/>
              </w:placeholder>
            </w:sdtPr>
            <w:sdtEnd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sz w:val="28"/>
                  <w:szCs w:val="28"/>
                </w:rPr>
                <w:t>第二章 发展规模</w:t>
              </w:r>
            </w:sdtContent>
          </w:sdt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bookmarkStart w:id="2" w:name="_Toc16668_WPSOffice_Level1Page"/>
          <w:r>
            <w:rPr>
              <w:rFonts w:hint="eastAsia" w:ascii="黑体" w:hAnsi="黑体" w:eastAsia="黑体" w:cs="黑体"/>
              <w:sz w:val="28"/>
              <w:szCs w:val="28"/>
            </w:rPr>
            <w:t>3</w:t>
          </w:r>
          <w:bookmarkEnd w:id="2"/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_Toc4865_WPSOffice_Level1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sdt>
            <w:sdt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  <w:id w:val="147465286"/>
              <w:placeholder>
                <w:docPart w:val="{4d7bad50-8eba-4f22-a6a4-b3a10a876152}"/>
              </w:placeholder>
            </w:sdtPr>
            <w:sdtEnd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sz w:val="28"/>
                  <w:szCs w:val="28"/>
                </w:rPr>
                <w:t>第三章 用气指标</w:t>
              </w:r>
            </w:sdtContent>
          </w:sdt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bookmarkStart w:id="3" w:name="_Toc4865_WPSOffice_Level1Page"/>
          <w:r>
            <w:rPr>
              <w:rFonts w:hint="eastAsia" w:ascii="黑体" w:hAnsi="黑体" w:eastAsia="黑体" w:cs="黑体"/>
              <w:sz w:val="28"/>
              <w:szCs w:val="28"/>
            </w:rPr>
            <w:t>4</w:t>
          </w:r>
          <w:bookmarkEnd w:id="3"/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_Toc19668_WPSOffice_Level1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sdt>
            <w:sdt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  <w:id w:val="147465286"/>
              <w:placeholder>
                <w:docPart w:val="{fcfedc78-f7f5-46ae-b41c-0078223f6822}"/>
              </w:placeholder>
            </w:sdtPr>
            <w:sdtEnd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sz w:val="28"/>
                  <w:szCs w:val="28"/>
                </w:rPr>
                <w:t>第四章 气源规划</w:t>
              </w:r>
            </w:sdtContent>
          </w:sdt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bookmarkStart w:id="4" w:name="_Toc19668_WPSOffice_Level1Page"/>
          <w:r>
            <w:rPr>
              <w:rFonts w:hint="eastAsia" w:ascii="黑体" w:hAnsi="黑体" w:eastAsia="黑体" w:cs="黑体"/>
              <w:sz w:val="28"/>
              <w:szCs w:val="28"/>
            </w:rPr>
            <w:t>7</w:t>
          </w:r>
          <w:bookmarkEnd w:id="4"/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_Toc5056_WPSOffice_Level1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sdt>
            <w:sdt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  <w:id w:val="147465286"/>
              <w:placeholder>
                <w:docPart w:val="{4fd22459-4954-4147-bc2a-d0eba7000ca2}"/>
              </w:placeholder>
            </w:sdtPr>
            <w:sdtEnd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sz w:val="28"/>
                  <w:szCs w:val="28"/>
                </w:rPr>
                <w:t>第五章 天然气输配系统规划</w:t>
              </w:r>
            </w:sdtContent>
          </w:sdt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bookmarkStart w:id="5" w:name="_Toc5056_WPSOffice_Level1Page"/>
          <w:r>
            <w:rPr>
              <w:rFonts w:hint="eastAsia" w:ascii="黑体" w:hAnsi="黑体" w:eastAsia="黑体" w:cs="黑体"/>
              <w:sz w:val="28"/>
              <w:szCs w:val="28"/>
            </w:rPr>
            <w:t>8</w:t>
          </w:r>
          <w:bookmarkEnd w:id="5"/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</w:pPr>
          <w:r>
            <w:rPr>
              <w:rFonts w:hint="eastAsia" w:ascii="黑体" w:hAnsi="黑体" w:eastAsia="黑体" w:cs="黑体"/>
              <w:sz w:val="28"/>
              <w:szCs w:val="28"/>
            </w:rPr>
            <w:fldChar w:fldCharType="begin"/>
          </w:r>
          <w:r>
            <w:rPr>
              <w:rFonts w:hint="eastAsia" w:ascii="黑体" w:hAnsi="黑体" w:eastAsia="黑体" w:cs="黑体"/>
              <w:sz w:val="28"/>
              <w:szCs w:val="28"/>
            </w:rPr>
            <w:instrText xml:space="preserve"> HYPERLINK \l _Toc6401_WPSOffice_Level1 </w:instrText>
          </w:r>
          <w:r>
            <w:rPr>
              <w:rFonts w:hint="eastAsia" w:ascii="黑体" w:hAnsi="黑体" w:eastAsia="黑体" w:cs="黑体"/>
              <w:sz w:val="28"/>
              <w:szCs w:val="28"/>
            </w:rPr>
            <w:fldChar w:fldCharType="separate"/>
          </w:r>
          <w:sdt>
            <w:sdt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  <w:id w:val="147465286"/>
              <w:placeholder>
                <w:docPart w:val="{d84e0291-2d85-4749-96a6-e3c8df5f903b}"/>
              </w:placeholder>
            </w:sdtPr>
            <w:sdtEndPr>
              <w:rPr>
                <w:rFonts w:hint="eastAsia" w:ascii="黑体" w:hAnsi="黑体" w:eastAsia="黑体" w:cs="黑体"/>
                <w:b/>
                <w:kern w:val="44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黑体" w:hAnsi="黑体" w:eastAsia="黑体" w:cs="黑体"/>
                  <w:sz w:val="28"/>
                  <w:szCs w:val="28"/>
                </w:rPr>
                <w:t>第六章 液化石油气规划</w:t>
              </w:r>
            </w:sdtContent>
          </w:sdt>
          <w:r>
            <w:rPr>
              <w:rFonts w:hint="eastAsia" w:ascii="黑体" w:hAnsi="黑体" w:eastAsia="黑体" w:cs="黑体"/>
              <w:sz w:val="28"/>
              <w:szCs w:val="28"/>
            </w:rPr>
            <w:tab/>
          </w:r>
          <w:bookmarkStart w:id="6" w:name="_Toc6401_WPSOffice_Level1Page"/>
          <w:r>
            <w:rPr>
              <w:rFonts w:hint="eastAsia" w:ascii="黑体" w:hAnsi="黑体" w:eastAsia="黑体" w:cs="黑体"/>
              <w:sz w:val="28"/>
              <w:szCs w:val="28"/>
            </w:rPr>
            <w:t>11</w:t>
          </w:r>
          <w:bookmarkEnd w:id="6"/>
          <w:r>
            <w:rPr>
              <w:rFonts w:hint="eastAsia" w:ascii="黑体" w:hAnsi="黑体" w:eastAsia="黑体" w:cs="黑体"/>
              <w:sz w:val="28"/>
              <w:szCs w:val="28"/>
            </w:rPr>
            <w:fldChar w:fldCharType="end"/>
          </w:r>
          <w:bookmarkEnd w:id="0"/>
        </w:p>
      </w:sdtContent>
    </w:sdt>
    <w:p>
      <w:pPr>
        <w:pStyle w:val="2"/>
        <w:spacing w:before="0" w:after="0" w:line="240" w:lineRule="auto"/>
        <w:ind w:left="0" w:firstLine="0"/>
        <w:jc w:val="center"/>
        <w:rPr>
          <w:rFonts w:ascii="黑体" w:hAnsi="黑体" w:eastAsia="黑体" w:cs="微软雅黑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bookmarkStart w:id="7" w:name="_Toc3828_WPSOffice_Level1"/>
      <w:bookmarkStart w:id="8" w:name="_Toc21256_WPSOffice_Level1"/>
    </w:p>
    <w:p>
      <w:pPr>
        <w:pStyle w:val="2"/>
        <w:numPr>
          <w:ilvl w:val="0"/>
          <w:numId w:val="2"/>
        </w:numPr>
        <w:ind w:left="0" w:leftChars="0" w:firstLine="402" w:firstLineChars="0"/>
        <w:jc w:val="center"/>
        <w:rPr>
          <w:rFonts w:ascii="黑体" w:hAnsi="黑体" w:eastAsia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31840_WPSOffice_Level1"/>
      <w:bookmarkStart w:id="10" w:name="_Toc7883_WPSOffice_Level1"/>
      <w:r>
        <w:rPr>
          <w:rFonts w:hint="eastAsia" w:ascii="黑体" w:hAnsi="黑体" w:eastAsia="黑体" w:cs="微软雅黑"/>
          <w:color w:val="000000" w:themeColor="text1"/>
          <w14:textFill>
            <w14:solidFill>
              <w14:schemeClr w14:val="tx1"/>
            </w14:solidFill>
          </w14:textFill>
        </w:rPr>
        <w:t>总  则</w:t>
      </w:r>
      <w:bookmarkEnd w:id="7"/>
      <w:bookmarkEnd w:id="8"/>
      <w:bookmarkEnd w:id="9"/>
      <w:bookmarkEnd w:id="10"/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3783"/>
      <w:r>
        <w:rPr>
          <w:rFonts w:hint="eastAsia"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  <w:t>规划范围</w:t>
      </w:r>
      <w:bookmarkEnd w:id="11"/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本次规划范围分为市域范围和中心城区范围：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（一）市域范围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南雄市行政管辖范围，包括雄州街道和17个建制镇的行政辖区，总面积约2361.4平方公里。规划内容包含气源规划、天然气输配系统规划、燃气场站规划及其它相关规划。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（二）中心城区范围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南雄市中心城区范围东至湖口镇承平村、西至古市镇修仁村、南至主田镇城门村、北至全安镇陂头村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总面积52.26平方公里。规划内容包含气源规划、天然气输配系统规划、燃气场站规划、城市中压燃气管网规划及其它相关规划。</w:t>
      </w:r>
    </w:p>
    <w:p>
      <w:pPr>
        <w:pStyle w:val="3"/>
        <w:rPr>
          <w:rFonts w:ascii="黑体" w:hAnsi="黑体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2" w:name="_Toc5689"/>
      <w:r>
        <w:rPr>
          <w:rFonts w:hint="eastAsia"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  <w:t>规划期限</w:t>
      </w:r>
      <w:bookmarkEnd w:id="12"/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本规划规划期限为2021—2035年，其中近期为2021—2025年，远期为2026—2035年。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16002358"/>
      <w:bookmarkStart w:id="14" w:name="_Toc18745"/>
      <w:bookmarkStart w:id="15" w:name="_Toc259799369"/>
      <w:r>
        <w:rPr>
          <w:rFonts w:hint="eastAsia"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  <w:t>规划目标</w:t>
      </w:r>
      <w:bookmarkEnd w:id="13"/>
      <w:bookmarkEnd w:id="14"/>
      <w:bookmarkEnd w:id="15"/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规划近期：至2025年，至2025年，南雄市域城镇燃气普及率达到99%以上，管道天然气普及率达到70%以上；整合区域天然气企业，实现“一县一企”；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新建LNG气化站1座，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完善场站设施建设，市域天然气管网系统初步形成，并逐步联网；落实城镇燃气安全监管机制与企业安全生产主体责任制度。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规划远期：至2035年规划末期，南雄市域城镇管道天然气燃气普及率达到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以上。新建南雄门站与华电南雄热电厂供气专线，新建LNG气化站2座，满足市域天然气调峰需求和偏远地区用气需求；逐步建设各乡镇天然气管网，全市域天然气管网完成系统构建，形成安全可靠、供需平衡、统一完善的天然气输配系统“一张网”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夯实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燃气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安全管理基础，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城镇燃气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安全管理水平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jc w:val="center"/>
        <w:rPr>
          <w:rFonts w:ascii="黑体" w:hAnsi="黑体" w:eastAsia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24677_WPSOffice_Level1"/>
      <w:bookmarkStart w:id="17" w:name="_Toc5011_WPSOffice_Level1"/>
      <w:bookmarkStart w:id="18" w:name="_Toc16668_WPSOffice_Level1"/>
      <w:bookmarkStart w:id="19" w:name="_Toc15836"/>
      <w:bookmarkStart w:id="20" w:name="_Toc9648_WPSOffice_Level1"/>
      <w:r>
        <w:rPr>
          <w:rFonts w:hint="eastAsia" w:ascii="黑体" w:hAnsi="黑体" w:eastAsia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发展规模</w:t>
      </w:r>
      <w:bookmarkEnd w:id="16"/>
      <w:bookmarkEnd w:id="17"/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经衔接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《南雄市城市总体规划（2015-2035年）》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《南雄产业转移工业园总体规划（修编）（2019-2035年）》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市国土空间总体规划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-2035年）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》，确定本规划相关发展规模如下。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人口规模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38万人，其中中心城区16.5万人；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035年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47万人，其中中心城区24万人。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工业用地规模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南雄市主要工业园区发展规模如下。</w:t>
      </w:r>
    </w:p>
    <w:p>
      <w:pPr>
        <w:spacing w:line="360" w:lineRule="auto"/>
        <w:jc w:val="center"/>
        <w:rPr>
          <w:rFonts w:ascii="仿宋" w:hAnsi="仿宋" w:eastAsia="仿宋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工业</w:t>
      </w:r>
      <w:r>
        <w:rPr>
          <w:rFonts w:hint="eastAsia" w:ascii="仿宋" w:hAnsi="仿宋" w:eastAsia="仿宋" w:cs="仿宋_GB2312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园区用地统计</w:t>
      </w:r>
      <w:r>
        <w:rPr>
          <w:rFonts w:ascii="仿宋" w:hAnsi="仿宋" w:eastAsia="仿宋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表</w:t>
      </w:r>
    </w:p>
    <w:tbl>
      <w:tblPr>
        <w:tblStyle w:val="7"/>
        <w:tblW w:w="546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487"/>
        <w:gridCol w:w="2275"/>
        <w:gridCol w:w="24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工业园区名称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用地类别</w:t>
            </w:r>
          </w:p>
        </w:tc>
        <w:tc>
          <w:tcPr>
            <w:tcW w:w="12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近期用地面积（公顷）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远期用地面积（公顷）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南雄精细化工基地一期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三类工业用地</w:t>
            </w:r>
          </w:p>
        </w:tc>
        <w:tc>
          <w:tcPr>
            <w:tcW w:w="1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257.09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310.86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1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南雄市工业园二期园区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二类工业用地</w:t>
            </w:r>
          </w:p>
        </w:tc>
        <w:tc>
          <w:tcPr>
            <w:tcW w:w="1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58.01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659.72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10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三类工业用地</w:t>
            </w:r>
          </w:p>
        </w:tc>
        <w:tc>
          <w:tcPr>
            <w:tcW w:w="1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222.05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231.98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乌迳工业园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二类工业用地</w:t>
            </w:r>
          </w:p>
        </w:tc>
        <w:tc>
          <w:tcPr>
            <w:tcW w:w="1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51.56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127.75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1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588.71</w:t>
            </w:r>
          </w:p>
        </w:tc>
        <w:tc>
          <w:tcPr>
            <w:tcW w:w="13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1330.31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br w:type="page"/>
      </w:r>
    </w:p>
    <w:p>
      <w:pPr>
        <w:pStyle w:val="2"/>
        <w:jc w:val="center"/>
        <w:rPr>
          <w:rFonts w:ascii="黑体" w:hAnsi="黑体" w:eastAsia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21" w:name="_Toc18953_WPSOffice_Level1"/>
      <w:bookmarkStart w:id="22" w:name="_Toc7982_WPSOffice_Level1"/>
      <w:bookmarkStart w:id="23" w:name="_Toc4865_WPSOffice_Level1"/>
      <w:r>
        <w:rPr>
          <w:rFonts w:hint="eastAsia" w:ascii="黑体" w:hAnsi="黑体" w:eastAsia="黑体" w:cs="微软雅黑"/>
          <w:color w:val="000000" w:themeColor="text1"/>
          <w14:textFill>
            <w14:solidFill>
              <w14:schemeClr w14:val="tx1"/>
            </w14:solidFill>
          </w14:textFill>
        </w:rPr>
        <w:t>用气</w:t>
      </w:r>
      <w:bookmarkEnd w:id="19"/>
      <w:bookmarkEnd w:id="20"/>
      <w:r>
        <w:rPr>
          <w:rFonts w:hint="eastAsia" w:ascii="黑体" w:hAnsi="黑体" w:eastAsia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指标</w:t>
      </w:r>
      <w:bookmarkEnd w:id="21"/>
      <w:bookmarkEnd w:id="22"/>
      <w:bookmarkEnd w:id="23"/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本规划根据《城镇燃气设计规范》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GB50028-2006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年版））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南雄市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实际情况确定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区域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燃气用户为：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居民用户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（2）公共服务及商业用户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工业用户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对其他用户本规划暂不作考虑。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24" w:name="_Toc30894"/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居民用户天然气</w:t>
      </w:r>
      <w:bookmarkEnd w:id="24"/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本次规划的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居民天然气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普及率为：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规划近期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：至2025年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bookmarkStart w:id="35" w:name="_GoBack"/>
      <w:bookmarkEnd w:id="35"/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规划期末，南雄市域城镇天然气普及率达到7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%以上。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规划远期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：至2035年规划末期，南雄市域城镇天然气燃气普及率达到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%以上。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居民用气指标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确定为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）：2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（MJ/人·年）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远期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035年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）：2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（MJ/人·年）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公共服务及商业用户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规划结合南雄市城市发展及天然气供应发展的趋势和需求，测算规划近期南雄市中心城区公共服务及商业用户用气量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居民用气量的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%，市域其余镇区为2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%。规划远期南雄市中心城区公共服务及商业用户用气量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居民用气量的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%，市域其余镇区为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工业用户天然气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本次规划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单位面积工业用地用气量指标取值如下：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二类工业用地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×10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/ha·a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三类工业用地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×10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/ha·a。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液化石油气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液化石油气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供应用户主要包括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居民用户、公服及商业用户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液化石油气居民普及率如下。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液化石油气普及率目标一览表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547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tblHeader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ind w:left="0" w:leftChars="0"/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ind w:left="0" w:leftChars="0"/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城镇液化石油气普及率</w:t>
            </w:r>
          </w:p>
        </w:tc>
        <w:tc>
          <w:tcPr>
            <w:tcW w:w="0" w:type="auto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农村液化石油气普及率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城镇液化石油气普及率</w:t>
            </w:r>
          </w:p>
        </w:tc>
        <w:tc>
          <w:tcPr>
            <w:tcW w:w="0" w:type="auto"/>
            <w:vAlign w:val="center"/>
          </w:tcPr>
          <w:p>
            <w:pPr>
              <w:ind w:left="0" w:leftChars="0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农村液化石油气普及率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中心城区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20%以下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10%以下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10%以下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5%以下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乌迳镇、珠玑镇、全安镇、古市镇、主田镇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/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液化石油气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用气指标具体如下：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025年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）：2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/人·年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远期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035年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）：2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2kg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/人·年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液化石油气公建与商业用户用气量按居民用户一定比例测算，具体如下。</w:t>
      </w:r>
    </w:p>
    <w:p>
      <w:pPr>
        <w:spacing w:line="360" w:lineRule="auto"/>
        <w:jc w:val="center"/>
        <w:rPr>
          <w:rFonts w:hint="eastAsia" w:ascii="仿宋" w:hAnsi="仿宋" w:eastAsia="仿宋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液化石油气公建商业用户用气占比预测一览表（以居民用气为基准）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2822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雄州街道（中心城区）</w:t>
            </w:r>
          </w:p>
        </w:tc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其余乡镇</w:t>
            </w:r>
          </w:p>
        </w:tc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25%</w:t>
            </w:r>
          </w:p>
        </w:tc>
        <w:tc>
          <w:tcPr>
            <w:tcW w:w="282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35%</w:t>
            </w:r>
          </w:p>
        </w:tc>
      </w:tr>
    </w:tbl>
    <w:p>
      <w:pP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jc w:val="center"/>
        <w:rPr>
          <w:rFonts w:ascii="黑体" w:hAnsi="黑体" w:eastAsia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25" w:name="_Toc7947_WPSOffice_Level1"/>
      <w:bookmarkStart w:id="26" w:name="_Toc24949_WPSOffice_Level1"/>
      <w:bookmarkStart w:id="27" w:name="_Toc19668_WPSOffice_Level1"/>
      <w:r>
        <w:rPr>
          <w:rFonts w:hint="eastAsia" w:ascii="黑体" w:hAnsi="黑体" w:eastAsia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气源规划</w:t>
      </w:r>
      <w:bookmarkEnd w:id="25"/>
      <w:bookmarkEnd w:id="26"/>
      <w:bookmarkEnd w:id="27"/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本次规划确定南雄市的天然气气源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来自西气东输二线项目的管输天然气。补充气源和应急气源采用珠三角的L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NG接收站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的液化天然气。对于缺乏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天然气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供气条件和较偏远区域以瓶装液化石油气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为主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jc w:val="center"/>
        <w:rPr>
          <w:rFonts w:ascii="黑体" w:hAnsi="黑体" w:eastAsia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28" w:name="_Toc5056_WPSOffice_Level1"/>
      <w:bookmarkStart w:id="29" w:name="_Toc16277_WPSOffice_Level1"/>
      <w:bookmarkStart w:id="30" w:name="_Toc29851_WPSOffice_Level1"/>
      <w:r>
        <w:rPr>
          <w:rFonts w:hint="eastAsia" w:ascii="黑体" w:hAnsi="黑体" w:eastAsia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天然气输配系统规划</w:t>
      </w:r>
      <w:bookmarkEnd w:id="28"/>
      <w:bookmarkEnd w:id="29"/>
      <w:bookmarkEnd w:id="30"/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31" w:name="_Toc8449"/>
      <w:r>
        <w:rPr>
          <w:rFonts w:hint="eastAsia"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  <w:t>天然气输配系统</w:t>
      </w:r>
      <w:bookmarkEnd w:id="31"/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规划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本次规划天然气气源主要采用管输天然气供应，液化天然气作为补充气源供应。规划近期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天然气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输配系统由以下几部分组成：天然气门站、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LNG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气化站、L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NG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加气站、L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NG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瓶组气化站、中压输配管网、中低压调压设施等组成。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划近期南雄市管输天然气主要供气范围为中心城区雄州街道、珠玑镇、全安镇、古市镇、主田镇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同时在乌迳镇建设一座L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NG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气化站，采用液化天然气对乌迳镇进行供气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达到南雄市域城镇天然气普及率达7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%以上的目标要求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远期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天然气输配系统由以下几部分组成：天然气门站、LNG气化站、L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NG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加气站、高压输配管网、中压输配管网、中低压调压设施等组成。管输天然气主要供气范围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覆盖市域主要镇区；新建南雄门站和华电热电厂供气专线，在澜河镇、水口镇分别新建一座LNG气化站，保障供气系统安全稳定供气。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  <w:t>天然气输配系统</w:t>
      </w:r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压力级制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规划高压供气专线采用高压A压力级制，设计压力为4Mpa;规划中压管网用中压A压力级制，设计压力为0.4Mpa。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  <w:t>天然气</w:t>
      </w:r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管网规划</w:t>
      </w:r>
    </w:p>
    <w:p>
      <w:pPr>
        <w:numPr>
          <w:ilvl w:val="0"/>
          <w:numId w:val="3"/>
        </w:num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高压管线规划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规划远期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新建华电南雄热电厂供气专线，高压管道供气压力为4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MPa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，管径为DN500，总长度约9.4km。</w:t>
      </w:r>
    </w:p>
    <w:p>
      <w:pPr>
        <w:numPr>
          <w:ilvl w:val="0"/>
          <w:numId w:val="3"/>
        </w:num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中压管网规划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规划近期：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城区层面，新建一路De315管道经珠玑镇国道G323线联通中心城区，沿中心城区国道G323线建设De250主管，沿雄东路、雄北路、北城大道、迎宾大道、洋汾水路、站前路敷设敷设De200主管，构成城区主环网，支管依靠主环网布局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域层面，珠玑镇内新建一路De200主管，与国道G323线De315管道共同构成镇内燃气主环网，逐步完善镇区管道；乌迳镇以新建LNG气化站为中心建设镇区燃气管网；自中心城市沿国道G323线和县道X33线建设De200干管接通古市镇和主田镇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规划远期：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中心城区层面，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完善中心城区燃气干管环网，使中心城区与工业园一二园区联通成环，远期规划市政道路原则上均敷设中压燃气管道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市域层面，新建De200燃气主管联通管输天然气未覆盖城镇，实现南雄市域天然气“镇镇通”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rPr>
          <w:rFonts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cs="微软雅黑"/>
          <w:color w:val="000000" w:themeColor="text1"/>
          <w14:textFill>
            <w14:solidFill>
              <w14:schemeClr w14:val="tx1"/>
            </w14:solidFill>
          </w14:textFill>
        </w:rPr>
        <w:t>天然气</w:t>
      </w:r>
      <w:r>
        <w:rPr>
          <w:rFonts w:hint="eastAsia" w:ascii="黑体" w:hAnsi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场站规划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南雄门站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规划远期新建南雄门站，位于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二期工业园以南。占地面积约9900m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²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，最大可供应规模为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80000万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N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</w:t>
      </w:r>
      <w:r>
        <w:rPr>
          <w:rFonts w:ascii="仿宋" w:hAnsi="仿宋" w:eastAsia="仿宋" w:cs="仿宋_GB2312"/>
          <w:color w:val="000000" w:themeColor="text1"/>
          <w:sz w:val="32"/>
          <w:szCs w:val="32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/年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LNG气化站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规划近期新建乌迳镇LNG气化站，规划远期新建澜河镇、水口镇LNG气化站。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jc w:val="center"/>
        <w:rPr>
          <w:rFonts w:ascii="黑体" w:hAnsi="黑体" w:eastAsia="黑体" w:cs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32" w:name="_Toc31972_WPSOffice_Level1"/>
      <w:bookmarkStart w:id="33" w:name="_Toc6401_WPSOffice_Level1"/>
      <w:bookmarkStart w:id="34" w:name="_Toc5050_WPSOffice_Level1"/>
      <w:r>
        <w:rPr>
          <w:rFonts w:hint="eastAsia" w:ascii="黑体" w:hAnsi="黑体" w:eastAsia="黑体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液化石油气规划</w:t>
      </w:r>
      <w:bookmarkEnd w:id="32"/>
      <w:bookmarkEnd w:id="33"/>
      <w:bookmarkEnd w:id="34"/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依据液化石油气场站“标准提高、只减不增，共建共享”的原则，规划合并宏日、雄兴、安信三家液化石油气企业，改建于现状湖口镇安信液化气站站址，规划储气量为400m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³</w:t>
      </w:r>
      <w:r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，储气罐可利用现有气罐；广源液化气站保持现状，不进行改扩建。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划远期市域内液化石油气储配站总储量为500m</w:t>
      </w:r>
      <w:r>
        <w:rPr>
          <w:rFonts w:ascii="Calibri" w:hAnsi="Calibri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³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，各储配站如下表所示。</w:t>
      </w:r>
    </w:p>
    <w:p>
      <w:pPr>
        <w:spacing w:line="360" w:lineRule="auto"/>
        <w:jc w:val="center"/>
        <w:rPr>
          <w:rFonts w:ascii="仿宋" w:hAnsi="仿宋" w:eastAsia="仿宋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表  规划远期液化石油气储配站一览表</w:t>
      </w:r>
    </w:p>
    <w:tbl>
      <w:tblPr>
        <w:tblStyle w:val="8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3725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0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液化石油气储配站</w:t>
            </w:r>
          </w:p>
        </w:tc>
        <w:tc>
          <w:tcPr>
            <w:tcW w:w="37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场站位置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储气量（m</w:t>
            </w:r>
            <w:r>
              <w:rPr>
                <w:rFonts w:ascii="Calibri" w:hAnsi="Calibri" w:eastAsia="仿宋" w:cs="Calibri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³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安信液化气有限公司气站</w:t>
            </w:r>
          </w:p>
        </w:tc>
        <w:tc>
          <w:tcPr>
            <w:tcW w:w="37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南雄市湖口镇342省道南侧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广源液化气有限公司气站</w:t>
            </w:r>
          </w:p>
        </w:tc>
        <w:tc>
          <w:tcPr>
            <w:tcW w:w="37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南雄市乌迳镇342省道北侧，浈江东侧</w:t>
            </w:r>
          </w:p>
        </w:tc>
        <w:tc>
          <w:tcPr>
            <w:tcW w:w="168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/>
    <w:p>
      <w:pPr>
        <w:spacing w:line="360" w:lineRule="auto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D7DA63"/>
    <w:multiLevelType w:val="singleLevel"/>
    <w:tmpl w:val="B1D7DA6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48B20E4"/>
    <w:multiLevelType w:val="multilevel"/>
    <w:tmpl w:val="F48B20E4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4831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1CE081CA"/>
    <w:multiLevelType w:val="multilevel"/>
    <w:tmpl w:val="1CE081C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3">
    <w:nsid w:val="2B7CB4A4"/>
    <w:multiLevelType w:val="singleLevel"/>
    <w:tmpl w:val="2B7CB4A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747E1"/>
    <w:rsid w:val="00E81368"/>
    <w:rsid w:val="0210681F"/>
    <w:rsid w:val="07584E54"/>
    <w:rsid w:val="137747E1"/>
    <w:rsid w:val="14596E74"/>
    <w:rsid w:val="195A7B50"/>
    <w:rsid w:val="29474066"/>
    <w:rsid w:val="2AEA40F9"/>
    <w:rsid w:val="34B771B0"/>
    <w:rsid w:val="3841754B"/>
    <w:rsid w:val="533717D8"/>
    <w:rsid w:val="5D48378A"/>
    <w:rsid w:val="671245CC"/>
    <w:rsid w:val="6F78499F"/>
    <w:rsid w:val="77B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left="400" w:leftChars="400" w:right="200" w:rightChars="200" w:firstLine="42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bedc21d-6541-4ddc-a06c-7b87990f1b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edc21d-6541-4ddc-a06c-7b87990f1bd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cf3f82f-0d59-4af8-ad2c-27edea3603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f3f82f-0d59-4af8-ad2c-27edea3603f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d7bad50-8eba-4f22-a6a4-b3a10a8761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7bad50-8eba-4f22-a6a4-b3a10a87615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cfedc78-f7f5-46ae-b41c-0078223f682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fedc78-f7f5-46ae-b41c-0078223f682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fd22459-4954-4147-bc2a-d0eba7000ca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d22459-4954-4147-bc2a-d0eba7000ca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84e0291-2d85-4749-96a6-e3c8df5f90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4e0291-2d85-4749-96a6-e3c8df5f903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2021-07-07T03:49:00Z</dcterms:created>
  <dc:creator>东方小叶</dc:creator>
  <cp:lastModifiedBy>Administrator</cp:lastModifiedBy>
  <dcterms:modified xsi:type="dcterms:W3CDTF">2023-06-29T01:39:03Z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60A506E6551148E98565EE3AA8086058</vt:lpwstr>
  </property>
</Properties>
</file>