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南雄市电子商务进农村综合示范</w:t>
      </w:r>
    </w:p>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工 作 简 报</w:t>
      </w:r>
    </w:p>
    <w:p>
      <w:pPr>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ascii="Times New Roman" w:hAnsi="Times New Roman" w:eastAsia="楷体_GB2312" w:cs="楷体_GB2312"/>
          <w:color w:val="000000"/>
          <w:kern w:val="0"/>
          <w:sz w:val="31"/>
          <w:szCs w:val="31"/>
          <w:lang w:bidi="zh-CN"/>
        </w:rPr>
      </w:pPr>
    </w:p>
    <w:p>
      <w:pPr>
        <w:keepNext w:val="0"/>
        <w:keepLines w:val="0"/>
        <w:pageBreakBefore w:val="0"/>
        <w:widowControl w:val="0"/>
        <w:kinsoku/>
        <w:wordWrap/>
        <w:overflowPunct w:val="0"/>
        <w:topLinePunct w:val="0"/>
        <w:autoSpaceDE w:val="0"/>
        <w:autoSpaceDN w:val="0"/>
        <w:bidi w:val="0"/>
        <w:adjustRightInd/>
        <w:snapToGrid/>
        <w:spacing w:after="0" w:line="360" w:lineRule="auto"/>
        <w:jc w:val="center"/>
        <w:textAlignment w:val="auto"/>
        <w:rPr>
          <w:rFonts w:ascii="Times New Roman" w:hAnsi="Times New Roman"/>
        </w:rPr>
      </w:pPr>
      <w:r>
        <w:rPr>
          <w:rFonts w:hint="eastAsia" w:ascii="Times New Roman" w:hAnsi="Times New Roman" w:eastAsia="楷体_GB2312" w:cs="楷体_GB2312"/>
          <w:color w:val="000000"/>
          <w:kern w:val="0"/>
          <w:sz w:val="31"/>
          <w:szCs w:val="31"/>
          <w:lang w:bidi="zh-CN"/>
        </w:rPr>
        <w:t>（第</w:t>
      </w:r>
      <w:r>
        <w:rPr>
          <w:rFonts w:hint="eastAsia" w:ascii="Times New Roman" w:hAnsi="Times New Roman" w:eastAsia="楷体_GB2312" w:cs="楷体_GB2312"/>
          <w:color w:val="000000"/>
          <w:kern w:val="0"/>
          <w:sz w:val="31"/>
          <w:szCs w:val="31"/>
          <w:lang w:val="en-US" w:bidi="zh-CN"/>
        </w:rPr>
        <w:t xml:space="preserve"> 22 </w:t>
      </w:r>
      <w:r>
        <w:rPr>
          <w:rFonts w:hint="eastAsia" w:ascii="Times New Roman" w:hAnsi="Times New Roman" w:eastAsia="楷体_GB2312" w:cs="楷体_GB2312"/>
          <w:color w:val="000000"/>
          <w:kern w:val="0"/>
          <w:sz w:val="31"/>
          <w:szCs w:val="31"/>
          <w:lang w:bidi="zh-CN"/>
        </w:rPr>
        <w:t>期）</w:t>
      </w:r>
    </w:p>
    <w:p>
      <w:pPr>
        <w:keepNext w:val="0"/>
        <w:keepLines w:val="0"/>
        <w:pageBreakBefore w:val="0"/>
        <w:widowControl w:val="0"/>
        <w:kinsoku/>
        <w:wordWrap/>
        <w:overflowPunct w:val="0"/>
        <w:topLinePunct w:val="0"/>
        <w:autoSpaceDE w:val="0"/>
        <w:autoSpaceDN w:val="0"/>
        <w:bidi w:val="0"/>
        <w:adjustRightInd/>
        <w:snapToGrid/>
        <w:spacing w:after="0" w:line="360" w:lineRule="auto"/>
        <w:textAlignment w:val="auto"/>
        <w:rPr>
          <w:rFonts w:ascii="Times New Roman" w:hAnsi="Times New Roman"/>
        </w:rPr>
      </w:pPr>
    </w:p>
    <w:p>
      <w:pPr>
        <w:pStyle w:val="34"/>
        <w:keepNext w:val="0"/>
        <w:keepLines w:val="0"/>
        <w:pageBreakBefore w:val="0"/>
        <w:widowControl w:val="0"/>
        <w:kinsoku/>
        <w:wordWrap/>
        <w:overflowPunct w:val="0"/>
        <w:topLinePunct w:val="0"/>
        <w:autoSpaceDE w:val="0"/>
        <w:autoSpaceDN w:val="0"/>
        <w:bidi w:val="0"/>
        <w:adjustRightInd/>
        <w:snapToGrid/>
        <w:spacing w:line="360" w:lineRule="auto"/>
        <w:textAlignment w:val="auto"/>
        <w:rPr>
          <w:rFonts w:hint="default" w:eastAsia="仿宋_GB2312" w:cs="仿宋_GB2312"/>
          <w:color w:val="000000"/>
          <w:spacing w:val="20"/>
          <w:sz w:val="32"/>
          <w:szCs w:val="32"/>
          <w:lang w:val="en-US" w:eastAsia="zh-CN"/>
        </w:rPr>
      </w:pPr>
      <w:r>
        <w:rPr>
          <w:rFonts w:hint="eastAsia" w:eastAsia="仿宋_GB2312" w:cs="仿宋_GB2312"/>
          <w:color w:val="000000"/>
          <w:spacing w:val="20"/>
          <w:sz w:val="32"/>
          <w:szCs w:val="32"/>
          <w:lang w:eastAsia="zh-CN"/>
        </w:rPr>
        <w:t>南雄市商务局</w:t>
      </w:r>
      <w:r>
        <w:rPr>
          <w:rFonts w:hint="eastAsia" w:eastAsia="仿宋_GB2312" w:cs="仿宋_GB2312"/>
          <w:color w:val="000000"/>
          <w:spacing w:val="20"/>
          <w:sz w:val="32"/>
          <w:szCs w:val="32"/>
          <w:lang w:val="en-US" w:eastAsia="zh-CN"/>
        </w:rPr>
        <w:t xml:space="preserve">              </w:t>
      </w:r>
      <w:r>
        <w:rPr>
          <w:rFonts w:hint="eastAsia" w:eastAsia="仿宋_GB2312" w:cs="仿宋_GB2312"/>
          <w:color w:val="000000"/>
          <w:spacing w:val="20"/>
          <w:sz w:val="32"/>
          <w:szCs w:val="32"/>
        </w:rPr>
        <w:t xml:space="preserve">      202</w:t>
      </w:r>
      <w:r>
        <w:rPr>
          <w:rFonts w:hint="eastAsia" w:eastAsia="仿宋_GB2312" w:cs="仿宋_GB2312"/>
          <w:color w:val="000000"/>
          <w:spacing w:val="20"/>
          <w:sz w:val="32"/>
          <w:szCs w:val="32"/>
          <w:lang w:val="en-US" w:eastAsia="zh-CN"/>
        </w:rPr>
        <w:t>3</w:t>
      </w:r>
      <w:r>
        <w:rPr>
          <w:rFonts w:hint="eastAsia" w:eastAsia="仿宋_GB2312" w:cs="仿宋_GB2312"/>
          <w:color w:val="000000"/>
          <w:spacing w:val="20"/>
          <w:sz w:val="32"/>
          <w:szCs w:val="32"/>
        </w:rPr>
        <w:t>年</w:t>
      </w:r>
      <w:r>
        <w:rPr>
          <w:rFonts w:hint="eastAsia" w:eastAsia="仿宋_GB2312" w:cs="仿宋_GB2312"/>
          <w:color w:val="000000"/>
          <w:spacing w:val="20"/>
          <w:sz w:val="32"/>
          <w:szCs w:val="32"/>
          <w:lang w:val="en-US" w:eastAsia="zh-CN"/>
        </w:rPr>
        <w:t>5</w:t>
      </w:r>
      <w:r>
        <w:rPr>
          <w:rFonts w:hint="eastAsia" w:eastAsia="仿宋_GB2312" w:cs="仿宋_GB2312"/>
          <w:color w:val="000000"/>
          <w:spacing w:val="20"/>
          <w:sz w:val="32"/>
          <w:szCs w:val="32"/>
        </w:rPr>
        <w:t>月</w:t>
      </w:r>
      <w:r>
        <w:rPr>
          <w:rFonts w:hint="eastAsia" w:eastAsia="仿宋_GB2312" w:cs="仿宋_GB2312"/>
          <w:color w:val="000000"/>
          <w:spacing w:val="20"/>
          <w:sz w:val="32"/>
          <w:szCs w:val="32"/>
          <w:lang w:val="en-US" w:eastAsia="zh-CN"/>
        </w:rPr>
        <w:t>12日</w:t>
      </w:r>
    </w:p>
    <w:p>
      <w:pPr>
        <w:pStyle w:val="2"/>
        <w:keepNext w:val="0"/>
        <w:keepLines w:val="0"/>
        <w:pageBreakBefore w:val="0"/>
        <w:widowControl w:val="0"/>
        <w:kinsoku/>
        <w:wordWrap/>
        <w:overflowPunct w:val="0"/>
        <w:topLinePunct w:val="0"/>
        <w:autoSpaceDE w:val="0"/>
        <w:autoSpaceDN w:val="0"/>
        <w:bidi w:val="0"/>
        <w:adjustRightInd/>
        <w:snapToGrid/>
        <w:spacing w:before="313" w:beforeLines="100" w:after="313" w:afterLines="100" w:line="360" w:lineRule="auto"/>
        <w:ind w:left="0"/>
        <w:jc w:val="center"/>
        <w:textAlignment w:val="auto"/>
        <w:rPr>
          <w:rFonts w:hint="eastAsia" w:ascii="黑体" w:hAnsi="黑体" w:eastAsia="黑体" w:cs="黑体"/>
        </w:rPr>
      </w:pPr>
      <w:r>
        <w:rPr>
          <w:rFonts w:hint="eastAsia" w:ascii="黑体" w:hAnsi="黑体" w:eastAsia="黑体" w:cs="黑体"/>
          <w:b/>
          <w:bCs/>
          <w:sz w:val="42"/>
          <w:szCs w:val="42"/>
          <w:lang w:val="en-US"/>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29845</wp:posOffset>
                </wp:positionV>
                <wp:extent cx="5676900" cy="0"/>
                <wp:effectExtent l="0" t="28575" r="0" b="28575"/>
                <wp:wrapNone/>
                <wp:docPr id="9" name="直线 2"/>
                <wp:cNvGraphicFramePr/>
                <a:graphic xmlns:a="http://schemas.openxmlformats.org/drawingml/2006/main">
                  <a:graphicData uri="http://schemas.microsoft.com/office/word/2010/wordprocessingShape">
                    <wps:wsp>
                      <wps:cNvCnPr/>
                      <wps:spPr>
                        <a:xfrm>
                          <a:off x="0" y="0"/>
                          <a:ext cx="5676900" cy="0"/>
                        </a:xfrm>
                        <a:prstGeom prst="line">
                          <a:avLst/>
                        </a:prstGeom>
                        <a:ln w="57150" cap="flat" cmpd="thickThin">
                          <a:solidFill>
                            <a:srgbClr val="FF0000"/>
                          </a:solidFill>
                          <a:prstDash val="solid"/>
                          <a:headEnd type="none" w="med" len="med"/>
                          <a:tailEnd type="none" w="med" len="med"/>
                        </a:ln>
                        <a:effectLst/>
                      </wps:spPr>
                      <wps:bodyPr/>
                    </wps:wsp>
                  </a:graphicData>
                </a:graphic>
              </wp:anchor>
            </w:drawing>
          </mc:Choice>
          <mc:Fallback>
            <w:pict>
              <v:line id="直线 2" o:spid="_x0000_s1026" o:spt="20" style="position:absolute;left:0pt;margin-left:-3.05pt;margin-top:2.35pt;height:0pt;width:447pt;z-index:251660288;mso-width-relative:page;mso-height-relative:page;" filled="f" stroked="t" coordsize="21600,21600" o:gfxdata="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L+Xf7SAAAA&#10;BgEAAA8AAAAAAAAAAQAgAAAAIgAAAGRycy9kb3ducmV2LnhtbFBLAQIUABQAAAAIAIdO4kC5+PUd&#10;6gEAAOQDAAAOAAAAAAAAAAEAIAAAACEBAABkcnMvZTJvRG9jLnhtbFBLBQYAAAAABgAGAFkBAAB9&#10;BQAAAAA=&#10;">
                <v:fill on="f" focussize="0,0"/>
                <v:stroke weight="4.5pt" color="#FF0000" linestyle="thickThin" joinstyle="round"/>
                <v:imagedata o:title=""/>
                <o:lock v:ext="edit" aspectratio="f"/>
              </v:line>
            </w:pict>
          </mc:Fallback>
        </mc:AlternateContent>
      </w:r>
      <w:r>
        <w:rPr>
          <w:rFonts w:hint="eastAsia" w:ascii="黑体" w:hAnsi="黑体" w:eastAsia="黑体" w:cs="黑体"/>
        </w:rPr>
        <w:t>本期要目</w:t>
      </w: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kern w:val="0"/>
          <w:sz w:val="32"/>
          <w:szCs w:val="32"/>
          <w:lang w:bidi="zh-CN"/>
        </w:rPr>
      </w:pPr>
      <w:r>
        <w:rPr>
          <w:rFonts w:hint="eastAsia" w:ascii="Times New Roman" w:hAnsi="Times New Roman" w:eastAsia="黑体" w:cs="黑体"/>
          <w:bCs/>
          <w:kern w:val="0"/>
          <w:sz w:val="32"/>
          <w:szCs w:val="32"/>
          <w:lang w:bidi="zh-CN"/>
        </w:rPr>
        <w:t>◆ 电子商务工作动态</w:t>
      </w:r>
    </w:p>
    <w:p>
      <w:pPr>
        <w:pStyle w:val="2"/>
        <w:numPr>
          <w:ilvl w:val="0"/>
          <w:numId w:val="1"/>
        </w:numPr>
        <w:ind w:left="-10" w:leftChars="0" w:firstLine="64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南雄市电子商务进农村示范镇宣传推广活动终点站（湖口镇）圆满收官</w:t>
      </w:r>
    </w:p>
    <w:p>
      <w:pPr>
        <w:pStyle w:val="3"/>
        <w:numPr>
          <w:ilvl w:val="0"/>
          <w:numId w:val="1"/>
        </w:numPr>
        <w:ind w:left="-10" w:leftChars="0" w:firstLine="64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南雄2023第十一期自驾游之电商活动圆满完成    </w:t>
      </w:r>
    </w:p>
    <w:p>
      <w:pPr>
        <w:pStyle w:val="3"/>
        <w:ind w:firstLine="640" w:firstLineChars="200"/>
        <w:rPr>
          <w:rFonts w:hint="default" w:ascii="仿宋_GB2312" w:hAnsi="宋体" w:eastAsia="仿宋_GB2312" w:cstheme="minorBidi"/>
          <w:b w:val="0"/>
          <w:bCs w:val="0"/>
          <w:kern w:val="2"/>
          <w:sz w:val="32"/>
          <w:szCs w:val="22"/>
          <w:lang w:val="en-US" w:eastAsia="zh-CN" w:bidi="ar-SA"/>
        </w:rPr>
      </w:pPr>
      <w:r>
        <w:rPr>
          <w:rFonts w:hint="eastAsia" w:ascii="仿宋_GB2312" w:hAnsi="仿宋_GB2312" w:eastAsia="仿宋_GB2312" w:cs="仿宋_GB2312"/>
          <w:b w:val="0"/>
          <w:bCs w:val="0"/>
          <w:kern w:val="2"/>
          <w:sz w:val="32"/>
          <w:szCs w:val="32"/>
          <w:lang w:val="en-US" w:eastAsia="zh-CN" w:bidi="ar-SA"/>
        </w:rPr>
        <w:t>三、</w:t>
      </w:r>
      <w:r>
        <w:rPr>
          <w:rFonts w:hint="eastAsia" w:ascii="仿宋_GB2312" w:hAnsi="宋体" w:eastAsia="仿宋_GB2312" w:cstheme="minorBidi"/>
          <w:b w:val="0"/>
          <w:bCs w:val="0"/>
          <w:kern w:val="2"/>
          <w:sz w:val="32"/>
          <w:szCs w:val="22"/>
          <w:lang w:val="en-US" w:eastAsia="zh-CN" w:bidi="ar-SA"/>
        </w:rPr>
        <w:t>举办2023年韶关市跨境电商业务专题（南雄）培训班</w:t>
      </w:r>
    </w:p>
    <w:p>
      <w:pPr>
        <w:pStyle w:val="3"/>
        <w:numPr>
          <w:ilvl w:val="0"/>
          <w:numId w:val="0"/>
        </w:numPr>
        <w:ind w:firstLine="420" w:firstLineChars="200"/>
        <w:rPr>
          <w:rFonts w:hint="eastAsia"/>
          <w:lang w:val="en-US"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default" w:ascii="仿宋_GB2312" w:hAnsi="仿宋_GB2312" w:eastAsia="仿宋_GB2312" w:cs="仿宋_GB2312"/>
          <w:b w:val="0"/>
          <w:bCs w:val="0"/>
          <w:kern w:val="2"/>
          <w:sz w:val="32"/>
          <w:szCs w:val="32"/>
          <w:lang w:val="en-US" w:eastAsia="zh-CN" w:bidi="ar-SA"/>
        </w:rPr>
      </w:pPr>
    </w:p>
    <w:p>
      <w:pPr>
        <w:pStyle w:val="22"/>
        <w:ind w:left="0" w:leftChars="0" w:firstLine="0" w:firstLineChars="0"/>
        <w:rPr>
          <w:rFonts w:hint="default"/>
          <w:lang w:val="en-US"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Times New Roman" w:hAnsi="Times New Roman" w:eastAsia="黑体" w:cs="黑体"/>
          <w:bCs/>
          <w:color w:val="000000" w:themeColor="text1"/>
          <w:kern w:val="0"/>
          <w:sz w:val="32"/>
          <w:szCs w:val="32"/>
          <w:lang w:bidi="zh-CN"/>
          <w14:textFill>
            <w14:solidFill>
              <w14:schemeClr w14:val="tx1"/>
            </w14:solidFill>
          </w14:textFill>
        </w:rPr>
        <w:t>◆ 农产品上行销售数据</w:t>
      </w:r>
    </w:p>
    <w:p>
      <w:pPr>
        <w:pStyle w:val="9"/>
        <w:keepNext w:val="0"/>
        <w:keepLines w:val="0"/>
        <w:pageBreakBefore w:val="0"/>
        <w:numPr>
          <w:ilvl w:val="0"/>
          <w:numId w:val="0"/>
        </w:numPr>
        <w:kinsoku/>
        <w:wordWrap/>
        <w:topLinePunct w:val="0"/>
        <w:bidi w:val="0"/>
        <w:adjustRightInd/>
        <w:snapToGrid/>
        <w:spacing w:line="560" w:lineRule="exact"/>
        <w:ind w:firstLine="640" w:firstLineChars="200"/>
        <w:textAlignment w:val="auto"/>
        <w:rPr>
          <w:rFonts w:hint="eastAsia" w:ascii="黑体" w:hAnsi="黑体" w:eastAsia="黑体" w:cs="黑体"/>
          <w:b/>
          <w:bCs/>
          <w:kern w:val="0"/>
          <w:sz w:val="32"/>
          <w:szCs w:val="32"/>
          <w:lang w:val="en-US" w:eastAsia="zh-CN" w:bidi="zh-CN"/>
        </w:rPr>
      </w:pPr>
      <w:r>
        <w:rPr>
          <w:rFonts w:hint="eastAsia" w:ascii="仿宋_GB2312" w:hAnsi="宋体" w:eastAsia="仿宋_GB2312" w:cs="仿宋_GB2312"/>
          <w:b w:val="0"/>
          <w:color w:val="000000" w:themeColor="text1"/>
          <w:kern w:val="0"/>
          <w:sz w:val="32"/>
          <w:szCs w:val="32"/>
          <w:lang w:val="en-US" w:eastAsia="zh-CN" w:bidi="ar-SA"/>
          <w14:textFill>
            <w14:solidFill>
              <w14:schemeClr w14:val="tx1"/>
            </w14:solidFill>
          </w14:textFill>
        </w:rPr>
        <w:t>各电商服务站点销售情况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kern w:val="0"/>
          <w:sz w:val="32"/>
          <w:szCs w:val="32"/>
          <w:lang w:val="en-US" w:eastAsia="zh-CN" w:bidi="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kern w:val="0"/>
          <w:sz w:val="32"/>
          <w:szCs w:val="32"/>
          <w:lang w:val="en-US" w:eastAsia="zh-CN" w:bidi="zh-CN"/>
        </w:rPr>
      </w:pPr>
      <w:r>
        <w:rPr>
          <w:rFonts w:hint="eastAsia" w:ascii="黑体" w:hAnsi="黑体" w:eastAsia="黑体" w:cs="黑体"/>
          <w:b/>
          <w:bCs/>
          <w:kern w:val="0"/>
          <w:sz w:val="32"/>
          <w:szCs w:val="32"/>
          <w:lang w:val="en-US" w:eastAsia="zh-CN" w:bidi="zh-CN"/>
        </w:rPr>
        <w:t>【电子商务工作动态】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宋体" w:eastAsia="仿宋_GB2312" w:cstheme="minorBidi"/>
          <w:b/>
          <w:bCs/>
          <w:kern w:val="2"/>
          <w:sz w:val="32"/>
          <w:szCs w:val="22"/>
          <w:lang w:val="en-US" w:eastAsia="zh-CN" w:bidi="ar-SA"/>
        </w:rPr>
      </w:pPr>
      <w:r>
        <w:rPr>
          <w:rFonts w:hint="eastAsia" w:ascii="仿宋_GB2312" w:hAnsi="宋体" w:eastAsia="仿宋_GB2312" w:cstheme="minorBidi"/>
          <w:b/>
          <w:bCs/>
          <w:kern w:val="2"/>
          <w:sz w:val="32"/>
          <w:szCs w:val="22"/>
          <w:lang w:val="en-US" w:eastAsia="zh-CN" w:bidi="ar-SA"/>
        </w:rPr>
        <w:t>一、南雄市电子商务进农村示范镇宣传推广活动终点站（湖口镇）圆满收官</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4月9日上午，南雄市电子商务进农村示范镇宣传农产品展销会活动（第五站）在南雄市湖口镇文体广场举办。展销会活动旨在开展产销精准对接，不断拓宽销售渠道，激发广大群众参与消费帮扶的积极性，促进线上线下消费，助力乡村振兴。</w:t>
      </w:r>
    </w:p>
    <w:p>
      <w:pPr>
        <w:pStyle w:val="7"/>
        <w:ind w:left="0" w:leftChars="0" w:firstLine="0" w:firstLineChars="0"/>
        <w:rPr>
          <w:rFonts w:hint="eastAsia"/>
          <w:lang w:val="en-US" w:eastAsia="zh-CN"/>
        </w:rPr>
      </w:pPr>
      <w:r>
        <w:rPr>
          <w:rFonts w:hint="eastAsia"/>
          <w:lang w:val="en-US" w:eastAsia="zh-CN"/>
        </w:rPr>
        <w:drawing>
          <wp:inline distT="0" distB="0" distL="114300" distR="114300">
            <wp:extent cx="5610860" cy="3514090"/>
            <wp:effectExtent l="0" t="0" r="8890" b="10160"/>
            <wp:docPr id="7" name="图片 7" descr="微信图片_2023050515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505150244"/>
                    <pic:cNvPicPr>
                      <a:picLocks noChangeAspect="1"/>
                    </pic:cNvPicPr>
                  </pic:nvPicPr>
                  <pic:blipFill>
                    <a:blip r:embed="rId6"/>
                    <a:stretch>
                      <a:fillRect/>
                    </a:stretch>
                  </pic:blipFill>
                  <pic:spPr>
                    <a:xfrm>
                      <a:off x="0" y="0"/>
                      <a:ext cx="5610860" cy="351409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次展销会呈现几个特点，一是设置了特色农产品展销区，共有20家企业和商户主体参展，参展商品53种，有湖口镇特色农产品中华蜂蜜、丝苗米、中华蜂巢、香菇、冬笋、酸荞头，还有南雄特色产品如酸木瓜条、预制菜南得鸭、杏运鹅、电商工业品等，并结合直播平台，现场展示展销了当地特色农产品，有效拉动特色农产品线上线下消费；二是通过组织群众喜闻乐见的文艺表演和设置生动有趣的现场游戏，积极调动群众的参与热情，营造了良好的现场氛围；三是在活动现场设立了招聘区，通过宣传湖口镇辖区企业招工信息，帮助在家待业人员解决就业问题；四是通过知识问答、宣传国家政策等方式普及电子商务知识，让人民群众体会到了电子商务进农村的重要意义。</w:t>
      </w:r>
    </w:p>
    <w:p>
      <w:pPr>
        <w:pStyle w:val="7"/>
        <w:keepNext w:val="0"/>
        <w:keepLines w:val="0"/>
        <w:pageBreakBefore w:val="0"/>
        <w:widowControl w:val="0"/>
        <w:kinsoku/>
        <w:wordWrap/>
        <w:overflowPunct/>
        <w:topLinePunct w:val="0"/>
        <w:autoSpaceDE/>
        <w:autoSpaceDN/>
        <w:bidi w:val="0"/>
        <w:adjustRightInd/>
        <w:ind w:left="0" w:leftChars="0" w:firstLine="0" w:firstLineChars="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613400" cy="3469005"/>
            <wp:effectExtent l="0" t="0" r="6350" b="17145"/>
            <wp:docPr id="8" name="图片 8" descr="微信图片_2023050515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505150409"/>
                    <pic:cNvPicPr>
                      <a:picLocks noChangeAspect="1"/>
                    </pic:cNvPicPr>
                  </pic:nvPicPr>
                  <pic:blipFill>
                    <a:blip r:embed="rId7"/>
                    <a:stretch>
                      <a:fillRect/>
                    </a:stretch>
                  </pic:blipFill>
                  <pic:spPr>
                    <a:xfrm>
                      <a:off x="0" y="0"/>
                      <a:ext cx="5613400" cy="3469005"/>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活动在南雄优选平台开设产品销售专栏，共上架32种电商特色农产品，线上宣传活动曝光浏览量为49.0594万次，线上参与人次共计3.2513万人次，线上农特产品秒杀活动销量为250件，现场展销农产品销售量为810件，线下参与人数960人，群众参与度高，现场氛围良好。</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仿宋_GB2312" w:hAnsi="宋体" w:eastAsia="仿宋_GB2312"/>
          <w:b/>
          <w:bCs/>
          <w:sz w:val="32"/>
          <w:lang w:val="en-US" w:eastAsia="zh-CN"/>
        </w:rPr>
      </w:pPr>
      <w:r>
        <w:rPr>
          <w:rFonts w:hint="eastAsia" w:ascii="仿宋_GB2312" w:hAnsi="宋体" w:eastAsia="仿宋_GB2312"/>
          <w:b/>
          <w:bCs/>
          <w:sz w:val="32"/>
          <w:lang w:val="en-US" w:eastAsia="zh-CN"/>
        </w:rPr>
        <w:t>二、南雄2023第十一期自驾游之电商活动圆满完成</w:t>
      </w:r>
    </w:p>
    <w:p>
      <w:pPr>
        <w:pStyle w:val="14"/>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4月8日，由南雄市商务局</w:t>
      </w:r>
      <w:r>
        <w:rPr>
          <w:rFonts w:hint="eastAsia" w:ascii="仿宋_GB2312" w:hAnsi="仿宋_GB2312" w:eastAsia="仿宋_GB2312" w:cs="仿宋_GB2312"/>
          <w:color w:val="auto"/>
          <w:kern w:val="2"/>
          <w:sz w:val="32"/>
          <w:szCs w:val="32"/>
          <w:lang w:val="en-US" w:eastAsia="zh-CN" w:bidi="ar-SA"/>
        </w:rPr>
        <w:t>主办</w:t>
      </w:r>
      <w:r>
        <w:rPr>
          <w:rFonts w:hint="eastAsia" w:ascii="仿宋_GB2312" w:hAnsi="仿宋_GB2312" w:eastAsia="仿宋_GB2312" w:cs="仿宋_GB2312"/>
          <w:kern w:val="2"/>
          <w:sz w:val="32"/>
          <w:szCs w:val="32"/>
          <w:lang w:val="en-US" w:eastAsia="zh-CN" w:bidi="ar-SA"/>
        </w:rPr>
        <w:t>的第十一期自驾游之电商活动成功</w:t>
      </w:r>
      <w:r>
        <w:rPr>
          <w:rFonts w:hint="eastAsia" w:ascii="仿宋_GB2312" w:hAnsi="仿宋_GB2312" w:eastAsia="仿宋_GB2312" w:cs="仿宋_GB2312"/>
          <w:color w:val="auto"/>
          <w:kern w:val="2"/>
          <w:sz w:val="32"/>
          <w:szCs w:val="32"/>
          <w:lang w:val="en-US" w:eastAsia="zh-CN" w:bidi="ar-SA"/>
        </w:rPr>
        <w:t>举办</w:t>
      </w:r>
      <w:r>
        <w:rPr>
          <w:rFonts w:hint="eastAsia" w:ascii="仿宋_GB2312" w:hAnsi="仿宋_GB2312" w:eastAsia="仿宋_GB2312" w:cs="仿宋_GB2312"/>
          <w:kern w:val="2"/>
          <w:sz w:val="32"/>
          <w:szCs w:val="32"/>
          <w:lang w:val="en-US" w:eastAsia="zh-CN" w:bidi="ar-SA"/>
        </w:rPr>
        <w:t>，此次自驾游活动共有52台车辆，其中外地车辆42台，本地车辆10台，共计220人。</w:t>
      </w:r>
    </w:p>
    <w:p>
      <w:pPr>
        <w:pStyle w:val="1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543550" cy="3590925"/>
            <wp:effectExtent l="0" t="0" r="0" b="9525"/>
            <wp:docPr id="10" name="图片 10" descr="微信图片_2023050517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505171139"/>
                    <pic:cNvPicPr>
                      <a:picLocks noChangeAspect="1"/>
                    </pic:cNvPicPr>
                  </pic:nvPicPr>
                  <pic:blipFill>
                    <a:blip r:embed="rId8"/>
                    <a:stretch>
                      <a:fillRect/>
                    </a:stretch>
                  </pic:blipFill>
                  <pic:spPr>
                    <a:xfrm>
                      <a:off x="0" y="0"/>
                      <a:ext cx="5543550" cy="3590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活动路线充分体现南雄特色，从南雄市电子商务公共服务中心出发，途径长市村人才驿站、香溢米业、长龙知青农场、乌迳电商服务站、新田古村落、最后到达界址电商服务站。车友们到长市村人才驿站</w:t>
      </w:r>
      <w:r>
        <w:rPr>
          <w:rFonts w:hint="eastAsia" w:ascii="仿宋_GB2312" w:hAnsi="仿宋_GB2312" w:eastAsia="仿宋_GB2312" w:cs="仿宋_GB2312"/>
          <w:color w:val="auto"/>
          <w:kern w:val="2"/>
          <w:sz w:val="32"/>
          <w:szCs w:val="32"/>
          <w:lang w:val="en-US" w:eastAsia="zh-CN" w:bidi="ar-SA"/>
        </w:rPr>
        <w:t>参观乡村振兴服务中心</w:t>
      </w:r>
      <w:r>
        <w:rPr>
          <w:rFonts w:hint="eastAsia" w:ascii="仿宋_GB2312" w:hAnsi="仿宋_GB2312" w:eastAsia="仿宋_GB2312" w:cs="仿宋_GB2312"/>
          <w:kern w:val="2"/>
          <w:sz w:val="32"/>
          <w:szCs w:val="32"/>
          <w:lang w:val="en-US" w:eastAsia="zh-CN" w:bidi="ar-SA"/>
        </w:rPr>
        <w:t>，到香溢米业参观公司厂房，到电商服务站点参观选购特产和品尝南雄特色美食，全程体验全新生态旅游。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通过自驾游活动，让更多的游客了解南雄旅游资源，进一步推动电子商务发展与乡村旅游深度融合，催生“旅游业+电商”等新业态不断走深走远。</w:t>
      </w:r>
    </w:p>
    <w:p>
      <w:pPr>
        <w:pStyle w:val="3"/>
        <w:ind w:firstLine="643" w:firstLineChars="200"/>
        <w:rPr>
          <w:rFonts w:hint="default" w:ascii="仿宋_GB2312" w:hAnsi="宋体" w:eastAsia="仿宋_GB2312" w:cstheme="minorBidi"/>
          <w:b/>
          <w:bCs/>
          <w:kern w:val="2"/>
          <w:sz w:val="32"/>
          <w:szCs w:val="22"/>
          <w:lang w:val="en-US" w:eastAsia="zh-CN" w:bidi="ar-SA"/>
        </w:rPr>
      </w:pPr>
      <w:r>
        <w:rPr>
          <w:rFonts w:hint="eastAsia" w:ascii="仿宋_GB2312" w:hAnsi="宋体" w:eastAsia="仿宋_GB2312" w:cstheme="minorBidi"/>
          <w:b/>
          <w:bCs/>
          <w:kern w:val="2"/>
          <w:sz w:val="32"/>
          <w:szCs w:val="22"/>
          <w:lang w:val="en-US" w:eastAsia="zh-CN" w:bidi="ar-SA"/>
        </w:rPr>
        <w:t>三、举办2023年韶关市跨境电商业务专题（南雄）培训班</w:t>
      </w:r>
    </w:p>
    <w:p>
      <w:pPr>
        <w:numPr>
          <w:ilvl w:val="0"/>
          <w:numId w:val="0"/>
        </w:numPr>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推动全市跨境电商行业发展，营造电商氛围，发挥网络销售优势，有力有序有效地推进韶关跨境电子商务综试区建设，推动韶关跨境电子商务行业健康发展，4月27日，在韶关市商务局的指导下，韶关市乐村淘电子商务有限公司在南雄市电子商务公共服务中心成功举办韶关市跨境电商业务专题培训班。</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608320" cy="3034030"/>
            <wp:effectExtent l="0" t="0" r="11430" b="13970"/>
            <wp:docPr id="1" name="图片 1" descr="5K9B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K9B2937"/>
                    <pic:cNvPicPr>
                      <a:picLocks noChangeAspect="1"/>
                    </pic:cNvPicPr>
                  </pic:nvPicPr>
                  <pic:blipFill>
                    <a:blip r:embed="rId9"/>
                    <a:stretch>
                      <a:fillRect/>
                    </a:stretch>
                  </pic:blipFill>
                  <pic:spPr>
                    <a:xfrm>
                      <a:off x="0" y="0"/>
                      <a:ext cx="5608320" cy="3034030"/>
                    </a:xfrm>
                    <a:prstGeom prst="rect">
                      <a:avLst/>
                    </a:prstGeom>
                  </pic:spPr>
                </pic:pic>
              </a:graphicData>
            </a:graphic>
          </wp:inline>
        </w:drawing>
      </w:r>
    </w:p>
    <w:p>
      <w:pPr>
        <w:pStyle w:val="7"/>
        <w:ind w:left="0" w:leftChars="0" w:firstLine="640" w:firstLineChars="200"/>
        <w:rPr>
          <w:rFonts w:hint="eastAsia" w:ascii="仿宋_GB2312" w:hAnsi="仿宋_GB2312" w:eastAsia="仿宋_GB2312" w:cs="仿宋_GB2312"/>
          <w:i w:val="0"/>
          <w:iCs w:val="0"/>
          <w:caps w:val="0"/>
          <w:spacing w:val="0"/>
          <w:sz w:val="32"/>
          <w:szCs w:val="32"/>
          <w:shd w:val="clear"/>
          <w:lang w:val="en-US" w:eastAsia="zh-CN" w:bidi="ar-SA"/>
        </w:rPr>
      </w:pPr>
      <w:r>
        <w:rPr>
          <w:rFonts w:hint="eastAsia" w:ascii="仿宋_GB2312" w:hAnsi="仿宋_GB2312" w:eastAsia="仿宋_GB2312" w:cs="仿宋_GB2312"/>
          <w:kern w:val="2"/>
          <w:sz w:val="32"/>
          <w:szCs w:val="32"/>
          <w:lang w:val="en-US" w:eastAsia="zh-CN" w:bidi="ar-SA"/>
        </w:rPr>
        <w:t>培训班上，授课老师们围绕“中国跨境电商发展历程、中国跨境电商政策解读、跨境电商出口模式、跨境电商出口主要平台、跨境电商出口物流、跨境电商出口收款”等方面内容，向南雄跨境电商从业人员、电商企业代表以及返乡创业者们进行了详细的阐述和讲解，</w:t>
      </w:r>
      <w:r>
        <w:rPr>
          <w:rFonts w:hint="eastAsia" w:ascii="仿宋_GB2312" w:hAnsi="仿宋_GB2312" w:eastAsia="仿宋_GB2312" w:cs="仿宋_GB2312"/>
          <w:kern w:val="2"/>
          <w:sz w:val="32"/>
          <w:szCs w:val="40"/>
          <w:lang w:val="en-US" w:eastAsia="zh-CN" w:bidi="zh-CN"/>
        </w:rPr>
        <w:t>让大家对跨境电商有了更加深入的了解和认识。</w:t>
      </w:r>
      <w:r>
        <w:rPr>
          <w:rFonts w:hint="eastAsia" w:ascii="仿宋_GB2312" w:hAnsi="仿宋_GB2312" w:eastAsia="仿宋_GB2312" w:cs="仿宋_GB2312"/>
          <w:i w:val="0"/>
          <w:iCs w:val="0"/>
          <w:caps w:val="0"/>
          <w:spacing w:val="0"/>
          <w:sz w:val="32"/>
          <w:szCs w:val="32"/>
          <w:shd w:val="clear"/>
          <w:lang w:val="en-US" w:eastAsia="zh-CN"/>
        </w:rPr>
        <w:t>此次</w:t>
      </w:r>
      <w:r>
        <w:rPr>
          <w:rFonts w:hint="eastAsia" w:ascii="仿宋_GB2312" w:hAnsi="仿宋_GB2312" w:eastAsia="仿宋_GB2312" w:cs="仿宋_GB2312"/>
          <w:i w:val="0"/>
          <w:iCs w:val="0"/>
          <w:caps w:val="0"/>
          <w:spacing w:val="0"/>
          <w:sz w:val="32"/>
          <w:szCs w:val="32"/>
          <w:shd w:val="clear"/>
        </w:rPr>
        <w:t>培训内容丰富</w:t>
      </w:r>
      <w:r>
        <w:rPr>
          <w:rFonts w:hint="eastAsia" w:ascii="仿宋_GB2312" w:hAnsi="仿宋_GB2312" w:eastAsia="仿宋_GB2312" w:cs="仿宋_GB2312"/>
          <w:i w:val="0"/>
          <w:iCs w:val="0"/>
          <w:caps w:val="0"/>
          <w:spacing w:val="0"/>
          <w:sz w:val="32"/>
          <w:szCs w:val="32"/>
          <w:shd w:val="clear"/>
          <w:lang w:eastAsia="zh-CN"/>
        </w:rPr>
        <w:t>、</w:t>
      </w:r>
      <w:r>
        <w:rPr>
          <w:rFonts w:hint="eastAsia" w:ascii="仿宋_GB2312" w:hAnsi="仿宋_GB2312" w:eastAsia="仿宋_GB2312" w:cs="仿宋_GB2312"/>
          <w:i w:val="0"/>
          <w:iCs w:val="0"/>
          <w:caps w:val="0"/>
          <w:spacing w:val="0"/>
          <w:sz w:val="32"/>
          <w:szCs w:val="32"/>
          <w:shd w:val="clear"/>
        </w:rPr>
        <w:t>主题突出</w:t>
      </w:r>
      <w:r>
        <w:rPr>
          <w:rFonts w:hint="eastAsia" w:ascii="仿宋_GB2312" w:hAnsi="仿宋_GB2312" w:eastAsia="仿宋_GB2312" w:cs="仿宋_GB2312"/>
          <w:i w:val="0"/>
          <w:iCs w:val="0"/>
          <w:caps w:val="0"/>
          <w:spacing w:val="0"/>
          <w:sz w:val="32"/>
          <w:szCs w:val="32"/>
          <w:shd w:val="clear"/>
          <w:lang w:eastAsia="zh-CN"/>
        </w:rPr>
        <w:t>、</w:t>
      </w:r>
      <w:r>
        <w:rPr>
          <w:rFonts w:hint="eastAsia" w:ascii="仿宋_GB2312" w:hAnsi="仿宋_GB2312" w:eastAsia="仿宋_GB2312" w:cs="仿宋_GB2312"/>
          <w:i w:val="0"/>
          <w:iCs w:val="0"/>
          <w:caps w:val="0"/>
          <w:spacing w:val="0"/>
          <w:sz w:val="32"/>
          <w:szCs w:val="32"/>
          <w:shd w:val="clear"/>
          <w:lang w:val="en-US" w:eastAsia="zh-CN"/>
        </w:rPr>
        <w:t>具有一定的操作性</w:t>
      </w:r>
      <w:r>
        <w:rPr>
          <w:rFonts w:hint="eastAsia" w:ascii="仿宋_GB2312" w:hAnsi="仿宋_GB2312" w:eastAsia="仿宋_GB2312" w:cs="仿宋_GB2312"/>
          <w:i w:val="0"/>
          <w:iCs w:val="0"/>
          <w:caps w:val="0"/>
          <w:spacing w:val="0"/>
          <w:sz w:val="32"/>
          <w:szCs w:val="32"/>
          <w:shd w:val="clear"/>
        </w:rPr>
        <w:t>，</w:t>
      </w:r>
      <w:r>
        <w:rPr>
          <w:rFonts w:hint="eastAsia" w:ascii="仿宋_GB2312" w:hAnsi="仿宋_GB2312" w:eastAsia="仿宋_GB2312" w:cs="仿宋_GB2312"/>
          <w:i w:val="0"/>
          <w:iCs w:val="0"/>
          <w:caps w:val="0"/>
          <w:spacing w:val="0"/>
          <w:sz w:val="32"/>
          <w:szCs w:val="32"/>
          <w:shd w:val="clear"/>
          <w:lang w:val="en-US" w:eastAsia="zh-CN"/>
        </w:rPr>
        <w:t>激发了大家的兴趣和热情，</w:t>
      </w:r>
      <w:r>
        <w:rPr>
          <w:rFonts w:hint="eastAsia" w:ascii="仿宋_GB2312" w:hAnsi="仿宋_GB2312" w:eastAsia="仿宋_GB2312" w:cs="仿宋_GB2312"/>
          <w:sz w:val="32"/>
          <w:szCs w:val="32"/>
          <w:lang w:bidi="ar-SA"/>
        </w:rPr>
        <w:t>现场</w:t>
      </w:r>
      <w:r>
        <w:rPr>
          <w:rFonts w:hint="eastAsia" w:ascii="仿宋_GB2312" w:hAnsi="仿宋_GB2312" w:eastAsia="仿宋_GB2312" w:cs="仿宋_GB2312"/>
          <w:i w:val="0"/>
          <w:iCs w:val="0"/>
          <w:caps w:val="0"/>
          <w:spacing w:val="0"/>
          <w:sz w:val="32"/>
          <w:szCs w:val="32"/>
          <w:shd w:val="clear"/>
        </w:rPr>
        <w:t>互动</w:t>
      </w:r>
      <w:r>
        <w:rPr>
          <w:rFonts w:hint="eastAsia" w:ascii="仿宋_GB2312" w:hAnsi="仿宋_GB2312" w:eastAsia="仿宋_GB2312" w:cs="仿宋_GB2312"/>
          <w:i w:val="0"/>
          <w:iCs w:val="0"/>
          <w:caps w:val="0"/>
          <w:spacing w:val="0"/>
          <w:sz w:val="32"/>
          <w:szCs w:val="32"/>
          <w:shd w:val="clear"/>
          <w:lang w:val="en-US" w:eastAsia="zh-CN"/>
        </w:rPr>
        <w:t>气氛</w:t>
      </w:r>
      <w:r>
        <w:rPr>
          <w:rFonts w:hint="eastAsia" w:ascii="仿宋_GB2312" w:hAnsi="仿宋_GB2312" w:eastAsia="仿宋_GB2312" w:cs="仿宋_GB2312"/>
          <w:i w:val="0"/>
          <w:iCs w:val="0"/>
          <w:caps w:val="0"/>
          <w:spacing w:val="0"/>
          <w:sz w:val="32"/>
          <w:szCs w:val="32"/>
          <w:shd w:val="clear"/>
        </w:rPr>
        <w:t>热烈</w:t>
      </w:r>
      <w:r>
        <w:rPr>
          <w:rFonts w:hint="eastAsia" w:ascii="仿宋_GB2312" w:hAnsi="仿宋_GB2312" w:eastAsia="仿宋_GB2312" w:cs="仿宋_GB2312"/>
          <w:i w:val="0"/>
          <w:iCs w:val="0"/>
          <w:caps w:val="0"/>
          <w:spacing w:val="0"/>
          <w:sz w:val="32"/>
          <w:szCs w:val="32"/>
          <w:shd w:val="clear"/>
          <w:lang w:eastAsia="zh-CN"/>
        </w:rPr>
        <w:t>。</w:t>
      </w:r>
    </w:p>
    <w:p>
      <w:pPr>
        <w:pStyle w:val="7"/>
        <w:rPr>
          <w:rFonts w:hint="eastAsia" w:ascii="仿宋_GB2312" w:hAnsi="仿宋_GB2312" w:eastAsia="仿宋_GB2312" w:cs="仿宋_GB2312"/>
          <w:kern w:val="2"/>
          <w:sz w:val="32"/>
          <w:szCs w:val="40"/>
          <w:lang w:val="en-US" w:eastAsia="zh-CN" w:bidi="zh-CN"/>
        </w:rPr>
      </w:pPr>
    </w:p>
    <w:p>
      <w:pPr>
        <w:pStyle w:val="7"/>
        <w:ind w:firstLine="0" w:firstLineChars="0"/>
        <w:rPr>
          <w:rFonts w:hint="eastAsia" w:ascii="黑体" w:hAnsi="黑体" w:eastAsia="黑体" w:cs="黑体"/>
          <w:b/>
          <w:bCs/>
          <w:kern w:val="0"/>
          <w:sz w:val="32"/>
          <w:szCs w:val="32"/>
          <w:lang w:val="en-US" w:eastAsia="zh-CN" w:bidi="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黑体" w:hAnsi="黑体" w:eastAsia="黑体" w:cs="黑体"/>
          <w:b/>
          <w:bCs/>
          <w:kern w:val="0"/>
          <w:sz w:val="32"/>
          <w:szCs w:val="32"/>
          <w:lang w:val="en-US" w:eastAsia="zh-CN" w:bidi="zh-CN"/>
        </w:rPr>
        <w:t>【</w:t>
      </w:r>
      <w:r>
        <w:rPr>
          <w:rFonts w:hint="eastAsia" w:ascii="Times New Roman" w:hAnsi="Times New Roman" w:eastAsia="黑体" w:cs="黑体"/>
          <w:b/>
          <w:bCs/>
          <w:color w:val="000000" w:themeColor="text1"/>
          <w:kern w:val="0"/>
          <w:sz w:val="32"/>
          <w:szCs w:val="32"/>
          <w:lang w:val="en-US" w:bidi="zh-CN"/>
          <w14:textFill>
            <w14:solidFill>
              <w14:schemeClr w14:val="tx1"/>
            </w14:solidFill>
          </w14:textFill>
        </w:rPr>
        <w:t>农产品上行销售数据</w:t>
      </w:r>
      <w:r>
        <w:rPr>
          <w:rFonts w:hint="eastAsia" w:ascii="黑体" w:hAnsi="黑体" w:eastAsia="黑体" w:cs="黑体"/>
          <w:b/>
          <w:bCs/>
          <w:kern w:val="0"/>
          <w:sz w:val="32"/>
          <w:szCs w:val="32"/>
          <w:lang w:val="en-US" w:eastAsia="zh-CN" w:bidi="zh-CN"/>
        </w:rPr>
        <w:t>】</w:t>
      </w:r>
    </w:p>
    <w:p>
      <w:pPr>
        <w:pStyle w:val="3"/>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4月，涉农电商企业的农产品线上销售数据达到647万元，我市各电商服务站点农产品线上销售额为242万元。</w:t>
      </w:r>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bookmarkStart w:id="0" w:name="_GoBack"/>
      <w:bookmarkEnd w:id="0"/>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p>
    <w:p>
      <w:pPr>
        <w:pStyle w:val="3"/>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color w:val="auto"/>
          <w:sz w:val="32"/>
          <w:szCs w:val="32"/>
          <w:lang w:val="en-US" w:eastAsia="zh-CN"/>
        </w:rPr>
      </w:pPr>
    </w:p>
    <w:tbl>
      <w:tblPr>
        <w:tblStyle w:val="16"/>
        <w:tblpPr w:leftFromText="180" w:rightFromText="180" w:vertAnchor="text" w:horzAnchor="page" w:tblpX="1456" w:tblpY="726"/>
        <w:tblOverlap w:val="never"/>
        <w:tblW w:w="930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30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90" w:hRule="atLeast"/>
        </w:trPr>
        <w:tc>
          <w:tcPr>
            <w:tcW w:w="9300" w:type="dxa"/>
            <w:noWrap/>
          </w:tcPr>
          <w:p>
            <w:pPr>
              <w:spacing w:line="520" w:lineRule="exact"/>
              <w:ind w:left="444" w:leftChars="-17" w:hanging="480" w:hangingChars="200"/>
              <w:rPr>
                <w:rFonts w:ascii="等线" w:hAnsi="等线"/>
                <w:sz w:val="24"/>
                <w:szCs w:val="24"/>
              </w:rPr>
            </w:pPr>
            <w:r>
              <w:rPr>
                <w:rFonts w:hint="eastAsia" w:ascii="黑体" w:hAnsi="黑体" w:eastAsia="黑体" w:cs="黑体"/>
                <w:sz w:val="24"/>
                <w:szCs w:val="24"/>
              </w:rPr>
              <w:t>报：</w:t>
            </w:r>
            <w:r>
              <w:rPr>
                <w:rFonts w:hint="eastAsia" w:ascii="等线" w:hAnsi="等线"/>
                <w:sz w:val="24"/>
                <w:szCs w:val="24"/>
              </w:rPr>
              <w:t>广东省商务厅，韶关市商务局，市委书记林小龙，市委副书记、市长柯建忠，市委常委</w:t>
            </w:r>
            <w:r>
              <w:rPr>
                <w:rFonts w:hint="eastAsia" w:ascii="等线" w:hAnsi="等线"/>
                <w:sz w:val="24"/>
                <w:szCs w:val="24"/>
                <w:lang w:eastAsia="zh-CN"/>
              </w:rPr>
              <w:t>、</w:t>
            </w:r>
            <w:r>
              <w:rPr>
                <w:rFonts w:hint="eastAsia" w:ascii="等线" w:hAnsi="等线"/>
                <w:sz w:val="24"/>
                <w:szCs w:val="24"/>
                <w:lang w:val="en-US" w:eastAsia="zh-CN"/>
              </w:rPr>
              <w:t>副市长</w:t>
            </w:r>
            <w:r>
              <w:rPr>
                <w:rFonts w:hint="eastAsia" w:ascii="等线" w:hAnsi="等线"/>
                <w:sz w:val="24"/>
                <w:szCs w:val="24"/>
              </w:rPr>
              <w:t>李福全。</w:t>
            </w:r>
          </w:p>
          <w:p>
            <w:pPr>
              <w:spacing w:line="520" w:lineRule="exact"/>
              <w:ind w:left="444" w:leftChars="-17" w:hanging="480" w:hangingChars="200"/>
              <w:rPr>
                <w:rFonts w:hint="eastAsia" w:eastAsia="宋体"/>
                <w:b/>
                <w:sz w:val="34"/>
                <w:szCs w:val="34"/>
                <w:lang w:eastAsia="zh-CN"/>
              </w:rPr>
            </w:pPr>
            <w:r>
              <w:rPr>
                <w:rFonts w:hint="eastAsia" w:ascii="黑体" w:hAnsi="黑体" w:eastAsia="黑体" w:cs="黑体"/>
                <w:sz w:val="24"/>
                <w:szCs w:val="24"/>
              </w:rPr>
              <w:t>发</w:t>
            </w:r>
            <w:r>
              <w:rPr>
                <w:rFonts w:hint="eastAsia" w:ascii="黑体" w:hAnsi="黑体" w:eastAsia="黑体" w:cs="黑体"/>
                <w:color w:val="auto"/>
                <w:sz w:val="24"/>
                <w:szCs w:val="24"/>
              </w:rPr>
              <w:t>：</w:t>
            </w:r>
            <w:r>
              <w:rPr>
                <w:rFonts w:hint="eastAsia" w:ascii="等线" w:hAnsi="等线"/>
                <w:color w:val="auto"/>
                <w:sz w:val="24"/>
                <w:szCs w:val="24"/>
              </w:rPr>
              <w:t>各镇（街道）</w:t>
            </w:r>
            <w:r>
              <w:rPr>
                <w:rFonts w:hint="eastAsia" w:ascii="等线" w:hAnsi="等线"/>
                <w:color w:val="auto"/>
                <w:sz w:val="24"/>
                <w:szCs w:val="24"/>
                <w:lang w:eastAsia="zh-CN"/>
              </w:rPr>
              <w:t>、</w:t>
            </w:r>
            <w:r>
              <w:rPr>
                <w:rFonts w:hint="eastAsia" w:ascii="等线" w:hAnsi="等线"/>
                <w:color w:val="auto"/>
                <w:sz w:val="24"/>
                <w:szCs w:val="24"/>
                <w:lang w:val="en-US" w:eastAsia="zh-CN"/>
              </w:rPr>
              <w:t>南雄市电子商务进农村工作领导小组成员单位</w:t>
            </w:r>
            <w:r>
              <w:rPr>
                <w:rFonts w:hint="eastAsia" w:ascii="等线" w:hAnsi="等线"/>
                <w:color w:val="auto"/>
                <w:sz w:val="24"/>
                <w:szCs w:val="24"/>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9300" w:type="dxa"/>
            <w:noWrap/>
          </w:tcPr>
          <w:p>
            <w:pPr>
              <w:spacing w:beforeLines="50" w:afterLines="50" w:line="440" w:lineRule="exact"/>
              <w:ind w:firstLine="340" w:firstLineChars="100"/>
              <w:rPr>
                <w:rFonts w:eastAsia="仿宋_GB2312"/>
                <w:sz w:val="34"/>
                <w:szCs w:val="34"/>
              </w:rPr>
            </w:pPr>
            <w:r>
              <w:rPr>
                <w:rFonts w:hint="eastAsia" w:ascii="Times New Roman" w:hAnsi="Times New Roman" w:eastAsia="仿宋_GB2312" w:cs="Times New Roman"/>
                <w:sz w:val="34"/>
                <w:szCs w:val="34"/>
                <w:lang w:val="en-US" w:eastAsia="zh-CN"/>
              </w:rPr>
              <w:t xml:space="preserve">南雄市商务局                    </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5</w:t>
            </w:r>
            <w:r>
              <w:rPr>
                <w:rFonts w:eastAsia="仿宋_GB2312"/>
                <w:sz w:val="34"/>
                <w:szCs w:val="34"/>
              </w:rPr>
              <w:t>月</w:t>
            </w:r>
            <w:r>
              <w:rPr>
                <w:rFonts w:hint="eastAsia" w:ascii="仿宋_GB2312" w:hAnsi="仿宋_GB2312" w:eastAsia="仿宋_GB2312" w:cs="仿宋_GB2312"/>
                <w:color w:val="auto"/>
                <w:sz w:val="32"/>
                <w:szCs w:val="32"/>
                <w:lang w:val="en-US" w:eastAsia="zh-CN"/>
              </w:rPr>
              <w:t>12</w:t>
            </w:r>
            <w:r>
              <w:rPr>
                <w:rFonts w:eastAsia="仿宋_GB2312"/>
                <w:sz w:val="34"/>
                <w:szCs w:val="34"/>
              </w:rPr>
              <w:t>日印</w:t>
            </w:r>
          </w:p>
        </w:tc>
      </w:tr>
    </w:tbl>
    <w:p>
      <w:pPr>
        <w:pStyle w:val="3"/>
        <w:rPr>
          <w:rFonts w:hint="default" w:ascii="仿宋_GB2312" w:hAnsi="宋体" w:eastAsia="仿宋_GB2312" w:cs="仿宋_GB2312"/>
          <w:i w:val="0"/>
          <w:caps w:val="0"/>
          <w:color w:val="333333"/>
          <w:spacing w:val="0"/>
          <w:kern w:val="0"/>
          <w:sz w:val="32"/>
          <w:szCs w:val="32"/>
          <w:shd w:val="clear" w:fill="FFFFFF"/>
          <w:lang w:val="en-US" w:eastAsia="zh-CN" w:bidi="ar-SA"/>
        </w:rPr>
      </w:pPr>
    </w:p>
    <w:sectPr>
      <w:footerReference r:id="rId4" w:type="first"/>
      <w:footerReference r:id="rId3" w:type="default"/>
      <w:pgSz w:w="11906" w:h="16838"/>
      <w:pgMar w:top="2041" w:right="1531" w:bottom="2041" w:left="1531"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ascii="仿宋_GB2312" w:hAnsi="仿宋_GB2312" w:eastAsia="仿宋_GB2312" w:cs="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p>
    <w:pPr>
      <w:pStyle w:val="10"/>
      <w:rPr>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452ADD"/>
    <w:multiLevelType w:val="singleLevel"/>
    <w:tmpl w:val="32452ADD"/>
    <w:lvl w:ilvl="0" w:tentative="0">
      <w:start w:val="1"/>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3YWU0ZTU2Y2U1MDBiNTM4OTU3MjYyMDYwNTQwMGYifQ=="/>
  </w:docVars>
  <w:rsids>
    <w:rsidRoot w:val="00000000"/>
    <w:rsid w:val="003F2EE3"/>
    <w:rsid w:val="00F81266"/>
    <w:rsid w:val="01566902"/>
    <w:rsid w:val="023D5C0A"/>
    <w:rsid w:val="036A13EC"/>
    <w:rsid w:val="039754BC"/>
    <w:rsid w:val="03FA781A"/>
    <w:rsid w:val="04393367"/>
    <w:rsid w:val="045B79F9"/>
    <w:rsid w:val="04BF6344"/>
    <w:rsid w:val="05806316"/>
    <w:rsid w:val="064B66AB"/>
    <w:rsid w:val="066D18B4"/>
    <w:rsid w:val="073162F8"/>
    <w:rsid w:val="07962F8B"/>
    <w:rsid w:val="079E6994"/>
    <w:rsid w:val="07A8357E"/>
    <w:rsid w:val="07BB1471"/>
    <w:rsid w:val="084075B6"/>
    <w:rsid w:val="0856627E"/>
    <w:rsid w:val="0A0E09F2"/>
    <w:rsid w:val="0B290771"/>
    <w:rsid w:val="0B613872"/>
    <w:rsid w:val="0C0C116A"/>
    <w:rsid w:val="0C375C18"/>
    <w:rsid w:val="0C9C23DC"/>
    <w:rsid w:val="0D0F6158"/>
    <w:rsid w:val="0D9F6D00"/>
    <w:rsid w:val="0E1E3285"/>
    <w:rsid w:val="0EE73A71"/>
    <w:rsid w:val="0F4C3295"/>
    <w:rsid w:val="0FB568C1"/>
    <w:rsid w:val="0FDE3274"/>
    <w:rsid w:val="0FF31825"/>
    <w:rsid w:val="10685029"/>
    <w:rsid w:val="11A05F3C"/>
    <w:rsid w:val="12292167"/>
    <w:rsid w:val="123D0C18"/>
    <w:rsid w:val="12EE0A5B"/>
    <w:rsid w:val="13212490"/>
    <w:rsid w:val="135A4C62"/>
    <w:rsid w:val="13884638"/>
    <w:rsid w:val="138D47C3"/>
    <w:rsid w:val="148E05C1"/>
    <w:rsid w:val="14F51514"/>
    <w:rsid w:val="14F52C04"/>
    <w:rsid w:val="15C9201F"/>
    <w:rsid w:val="160440BB"/>
    <w:rsid w:val="167343FA"/>
    <w:rsid w:val="169E4A2C"/>
    <w:rsid w:val="16AE1592"/>
    <w:rsid w:val="16B77B90"/>
    <w:rsid w:val="16F21BEB"/>
    <w:rsid w:val="178A6DF0"/>
    <w:rsid w:val="17B34761"/>
    <w:rsid w:val="183720C1"/>
    <w:rsid w:val="184E50F6"/>
    <w:rsid w:val="18EC4416"/>
    <w:rsid w:val="196A7CCD"/>
    <w:rsid w:val="1987389E"/>
    <w:rsid w:val="19EA7416"/>
    <w:rsid w:val="19EF66D1"/>
    <w:rsid w:val="1A85381E"/>
    <w:rsid w:val="1AF515EE"/>
    <w:rsid w:val="1BE366F5"/>
    <w:rsid w:val="1C223D48"/>
    <w:rsid w:val="1C7344EE"/>
    <w:rsid w:val="1CD833D1"/>
    <w:rsid w:val="1D1C1D0A"/>
    <w:rsid w:val="1E70007E"/>
    <w:rsid w:val="1F1E7B29"/>
    <w:rsid w:val="1F1F4319"/>
    <w:rsid w:val="1F361A6C"/>
    <w:rsid w:val="1F637ADE"/>
    <w:rsid w:val="1F7F5A2A"/>
    <w:rsid w:val="209800B6"/>
    <w:rsid w:val="22452DF5"/>
    <w:rsid w:val="228356AB"/>
    <w:rsid w:val="23663A58"/>
    <w:rsid w:val="237553E0"/>
    <w:rsid w:val="2389781D"/>
    <w:rsid w:val="23D81D37"/>
    <w:rsid w:val="249B5E79"/>
    <w:rsid w:val="24BF27D8"/>
    <w:rsid w:val="24DE3EC9"/>
    <w:rsid w:val="25476B1B"/>
    <w:rsid w:val="25E2191A"/>
    <w:rsid w:val="26BE68F9"/>
    <w:rsid w:val="26FC7E22"/>
    <w:rsid w:val="271D2E0A"/>
    <w:rsid w:val="289B2473"/>
    <w:rsid w:val="290A6BD3"/>
    <w:rsid w:val="291A2B9D"/>
    <w:rsid w:val="295A5152"/>
    <w:rsid w:val="29672BE2"/>
    <w:rsid w:val="29CE37DB"/>
    <w:rsid w:val="2A927A2F"/>
    <w:rsid w:val="2AA71ED4"/>
    <w:rsid w:val="2B3A613B"/>
    <w:rsid w:val="2B3D1F22"/>
    <w:rsid w:val="2D161D01"/>
    <w:rsid w:val="2EC738B1"/>
    <w:rsid w:val="2F5A5872"/>
    <w:rsid w:val="2FB56BA0"/>
    <w:rsid w:val="304302B1"/>
    <w:rsid w:val="30836C6D"/>
    <w:rsid w:val="30BF5209"/>
    <w:rsid w:val="3155797A"/>
    <w:rsid w:val="31612D6A"/>
    <w:rsid w:val="31BD2BA8"/>
    <w:rsid w:val="32897DC5"/>
    <w:rsid w:val="331718DC"/>
    <w:rsid w:val="331D3CCB"/>
    <w:rsid w:val="33894B7D"/>
    <w:rsid w:val="33D75136"/>
    <w:rsid w:val="33DD6348"/>
    <w:rsid w:val="349647EC"/>
    <w:rsid w:val="35330629"/>
    <w:rsid w:val="362B6E1F"/>
    <w:rsid w:val="36887A88"/>
    <w:rsid w:val="369022A0"/>
    <w:rsid w:val="36A618DC"/>
    <w:rsid w:val="36EE36EF"/>
    <w:rsid w:val="370E7CB0"/>
    <w:rsid w:val="37BC3F03"/>
    <w:rsid w:val="37E02895"/>
    <w:rsid w:val="37E410BB"/>
    <w:rsid w:val="38AA4085"/>
    <w:rsid w:val="38B65D18"/>
    <w:rsid w:val="39247A65"/>
    <w:rsid w:val="39AA3CBF"/>
    <w:rsid w:val="39D6768B"/>
    <w:rsid w:val="39E45BA8"/>
    <w:rsid w:val="3A223D1A"/>
    <w:rsid w:val="3A5E1E4B"/>
    <w:rsid w:val="3A7D4825"/>
    <w:rsid w:val="3ADB5BCC"/>
    <w:rsid w:val="3B004829"/>
    <w:rsid w:val="3B682749"/>
    <w:rsid w:val="3C7F70D3"/>
    <w:rsid w:val="3ECF758A"/>
    <w:rsid w:val="3EE47E76"/>
    <w:rsid w:val="3F894175"/>
    <w:rsid w:val="409475F1"/>
    <w:rsid w:val="42433267"/>
    <w:rsid w:val="42834998"/>
    <w:rsid w:val="42CA1C87"/>
    <w:rsid w:val="42D03901"/>
    <w:rsid w:val="431818BF"/>
    <w:rsid w:val="44436AFE"/>
    <w:rsid w:val="448C30CA"/>
    <w:rsid w:val="459754ED"/>
    <w:rsid w:val="45D66A16"/>
    <w:rsid w:val="45EA4C16"/>
    <w:rsid w:val="461D235E"/>
    <w:rsid w:val="462C5BD6"/>
    <w:rsid w:val="46854795"/>
    <w:rsid w:val="46B142EF"/>
    <w:rsid w:val="46E8248C"/>
    <w:rsid w:val="472F43B0"/>
    <w:rsid w:val="475C1748"/>
    <w:rsid w:val="475F3C8D"/>
    <w:rsid w:val="478C71D0"/>
    <w:rsid w:val="47D37F43"/>
    <w:rsid w:val="48074156"/>
    <w:rsid w:val="484B2C32"/>
    <w:rsid w:val="485C16AB"/>
    <w:rsid w:val="487220C7"/>
    <w:rsid w:val="488D6B13"/>
    <w:rsid w:val="489F10D3"/>
    <w:rsid w:val="490B76C2"/>
    <w:rsid w:val="49AA6DDC"/>
    <w:rsid w:val="4AB504B1"/>
    <w:rsid w:val="4B100E76"/>
    <w:rsid w:val="4B265CB4"/>
    <w:rsid w:val="4B493CD4"/>
    <w:rsid w:val="4B887D52"/>
    <w:rsid w:val="4B9163E4"/>
    <w:rsid w:val="4C3B68E8"/>
    <w:rsid w:val="4C861C93"/>
    <w:rsid w:val="4CBD2D83"/>
    <w:rsid w:val="4D195DBF"/>
    <w:rsid w:val="4D3D190D"/>
    <w:rsid w:val="4DD354B2"/>
    <w:rsid w:val="4DDA5826"/>
    <w:rsid w:val="4ED10584"/>
    <w:rsid w:val="4EEA0DCC"/>
    <w:rsid w:val="4F183B4E"/>
    <w:rsid w:val="501B53E9"/>
    <w:rsid w:val="501F0D0D"/>
    <w:rsid w:val="50214E65"/>
    <w:rsid w:val="50857A57"/>
    <w:rsid w:val="511F7AD5"/>
    <w:rsid w:val="514E232A"/>
    <w:rsid w:val="52BD1013"/>
    <w:rsid w:val="544168BF"/>
    <w:rsid w:val="552F5351"/>
    <w:rsid w:val="558F1CDD"/>
    <w:rsid w:val="56C2458F"/>
    <w:rsid w:val="57923F2D"/>
    <w:rsid w:val="57F04CFA"/>
    <w:rsid w:val="58B83D02"/>
    <w:rsid w:val="58E176D3"/>
    <w:rsid w:val="597C0301"/>
    <w:rsid w:val="5A48477F"/>
    <w:rsid w:val="5ACC7FDF"/>
    <w:rsid w:val="5B2A09AE"/>
    <w:rsid w:val="5B4928E7"/>
    <w:rsid w:val="5B61411C"/>
    <w:rsid w:val="5BA42C55"/>
    <w:rsid w:val="5BB44596"/>
    <w:rsid w:val="5CC87E0A"/>
    <w:rsid w:val="5D3714A8"/>
    <w:rsid w:val="5EAE2228"/>
    <w:rsid w:val="5F97637E"/>
    <w:rsid w:val="5FD17C1A"/>
    <w:rsid w:val="608633CC"/>
    <w:rsid w:val="60A60B46"/>
    <w:rsid w:val="60E4111C"/>
    <w:rsid w:val="626235A3"/>
    <w:rsid w:val="62630C16"/>
    <w:rsid w:val="626E4680"/>
    <w:rsid w:val="62CF2F71"/>
    <w:rsid w:val="62DB5603"/>
    <w:rsid w:val="63953D64"/>
    <w:rsid w:val="63A151D7"/>
    <w:rsid w:val="63AA7984"/>
    <w:rsid w:val="642200AE"/>
    <w:rsid w:val="64CC60FB"/>
    <w:rsid w:val="64FE0FE2"/>
    <w:rsid w:val="65377CCF"/>
    <w:rsid w:val="653A06CA"/>
    <w:rsid w:val="6552211E"/>
    <w:rsid w:val="65C4632D"/>
    <w:rsid w:val="671D280A"/>
    <w:rsid w:val="67FB3202"/>
    <w:rsid w:val="68F550C7"/>
    <w:rsid w:val="68FD6CF1"/>
    <w:rsid w:val="69F15969"/>
    <w:rsid w:val="6A0B5EC0"/>
    <w:rsid w:val="6A6B60BF"/>
    <w:rsid w:val="6B5C1B8C"/>
    <w:rsid w:val="6BEB7DDB"/>
    <w:rsid w:val="6BF72E28"/>
    <w:rsid w:val="6C1C53F8"/>
    <w:rsid w:val="6CE87633"/>
    <w:rsid w:val="6DF02645"/>
    <w:rsid w:val="6EF05259"/>
    <w:rsid w:val="6F131012"/>
    <w:rsid w:val="70001331"/>
    <w:rsid w:val="71D73E24"/>
    <w:rsid w:val="737329FB"/>
    <w:rsid w:val="73787423"/>
    <w:rsid w:val="73EB241B"/>
    <w:rsid w:val="74092D09"/>
    <w:rsid w:val="74300C7F"/>
    <w:rsid w:val="748A7B9A"/>
    <w:rsid w:val="75961089"/>
    <w:rsid w:val="75A7579D"/>
    <w:rsid w:val="75B55AA7"/>
    <w:rsid w:val="75C4198C"/>
    <w:rsid w:val="75D97A96"/>
    <w:rsid w:val="763C472D"/>
    <w:rsid w:val="789314F6"/>
    <w:rsid w:val="789F02C5"/>
    <w:rsid w:val="797A667D"/>
    <w:rsid w:val="79895387"/>
    <w:rsid w:val="79B02586"/>
    <w:rsid w:val="79C375A2"/>
    <w:rsid w:val="79F53D78"/>
    <w:rsid w:val="7A09376B"/>
    <w:rsid w:val="7A213CEC"/>
    <w:rsid w:val="7B9A7D3D"/>
    <w:rsid w:val="7C01715B"/>
    <w:rsid w:val="7E9A5711"/>
    <w:rsid w:val="7EC66B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6">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val="0"/>
      <w:autoSpaceDE w:val="0"/>
      <w:autoSpaceDN w:val="0"/>
      <w:ind w:left="120"/>
    </w:pPr>
    <w:rPr>
      <w:rFonts w:ascii="仿宋" w:hAnsi="仿宋" w:eastAsia="仿宋" w:cs="仿宋"/>
      <w:sz w:val="32"/>
      <w:szCs w:val="32"/>
      <w:lang w:val="zh-CN" w:eastAsia="zh-CN" w:bidi="zh-CN"/>
    </w:rPr>
  </w:style>
  <w:style w:type="paragraph" w:styleId="3">
    <w:name w:val="Body Text 2"/>
    <w:basedOn w:val="1"/>
    <w:qFormat/>
    <w:uiPriority w:val="0"/>
    <w:pPr>
      <w:spacing w:after="120" w:line="480" w:lineRule="auto"/>
    </w:pPr>
  </w:style>
  <w:style w:type="paragraph" w:styleId="7">
    <w:name w:val="Normal Indent"/>
    <w:basedOn w:val="1"/>
    <w:qFormat/>
    <w:uiPriority w:val="0"/>
    <w:pPr>
      <w:ind w:firstLine="420" w:firstLineChars="200"/>
    </w:pPr>
    <w:rPr>
      <w:sz w:val="20"/>
    </w:rPr>
  </w:style>
  <w:style w:type="paragraph" w:styleId="8">
    <w:name w:val="Date"/>
    <w:basedOn w:val="1"/>
    <w:next w:val="1"/>
    <w:link w:val="29"/>
    <w:unhideWhenUsed/>
    <w:qFormat/>
    <w:uiPriority w:val="99"/>
    <w:pPr>
      <w:ind w:left="100" w:leftChars="2500"/>
    </w:pPr>
  </w:style>
  <w:style w:type="paragraph" w:styleId="9">
    <w:name w:val="Balloon Text"/>
    <w:basedOn w:val="1"/>
    <w:link w:val="30"/>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index heading"/>
    <w:basedOn w:val="1"/>
    <w:next w:val="13"/>
    <w:qFormat/>
    <w:uiPriority w:val="0"/>
    <w:pPr>
      <w:spacing w:line="500" w:lineRule="exact"/>
    </w:pPr>
    <w:rPr>
      <w:rFonts w:ascii="仿宋_GB2312" w:eastAsia="仿宋_GB2312" w:cs="仿宋_GB2312"/>
      <w:sz w:val="28"/>
      <w:szCs w:val="28"/>
    </w:rPr>
  </w:style>
  <w:style w:type="paragraph" w:styleId="13">
    <w:name w:val="index 1"/>
    <w:basedOn w:val="1"/>
    <w:next w:val="1"/>
    <w:qFormat/>
    <w:uiPriority w:val="0"/>
    <w:pPr>
      <w:suppressLineNumbers/>
      <w:suppressAutoHyphens/>
      <w:adjustRightInd w:val="0"/>
      <w:spacing w:line="288" w:lineRule="auto"/>
    </w:pPr>
    <w:rPr>
      <w:sz w:val="24"/>
      <w:szCs w:val="24"/>
    </w:rPr>
  </w:style>
  <w:style w:type="paragraph" w:styleId="14">
    <w:name w:val="footnote text"/>
    <w:basedOn w:val="1"/>
    <w:qFormat/>
    <w:uiPriority w:val="0"/>
    <w:pPr>
      <w:snapToGrid w:val="0"/>
      <w:jc w:val="left"/>
    </w:pPr>
    <w:rPr>
      <w:sz w:val="18"/>
      <w:szCs w:val="1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Strong"/>
    <w:basedOn w:val="17"/>
    <w:qFormat/>
    <w:uiPriority w:val="22"/>
    <w:rPr>
      <w:b/>
      <w:bCs/>
    </w:rPr>
  </w:style>
  <w:style w:type="character" w:styleId="19">
    <w:name w:val="page number"/>
    <w:basedOn w:val="17"/>
    <w:qFormat/>
    <w:uiPriority w:val="0"/>
  </w:style>
  <w:style w:type="character" w:styleId="20">
    <w:name w:val="Emphasis"/>
    <w:basedOn w:val="17"/>
    <w:qFormat/>
    <w:uiPriority w:val="20"/>
    <w:rPr>
      <w:i/>
    </w:rPr>
  </w:style>
  <w:style w:type="character" w:styleId="21">
    <w:name w:val="Hyperlink"/>
    <w:basedOn w:val="17"/>
    <w:semiHidden/>
    <w:unhideWhenUsed/>
    <w:qFormat/>
    <w:uiPriority w:val="99"/>
    <w:rPr>
      <w:color w:val="0000FF"/>
      <w:u w:val="single"/>
    </w:rPr>
  </w:style>
  <w:style w:type="paragraph" w:customStyle="1" w:styleId="22">
    <w:name w:val="Body Text First Indent 2"/>
    <w:basedOn w:val="23"/>
    <w:qFormat/>
    <w:uiPriority w:val="0"/>
    <w:pPr>
      <w:spacing w:before="100" w:beforeLines="0" w:beforeAutospacing="1" w:after="0" w:afterLines="0"/>
      <w:ind w:left="0" w:firstLine="420" w:firstLineChars="200"/>
    </w:pPr>
    <w:rPr>
      <w:rFonts w:ascii="Calibri" w:hAnsi="Calibri" w:eastAsia="宋体" w:cs="Times New Roman"/>
    </w:rPr>
  </w:style>
  <w:style w:type="paragraph" w:customStyle="1" w:styleId="23">
    <w:name w:val="Body Text Indent1"/>
    <w:basedOn w:val="1"/>
    <w:qFormat/>
    <w:uiPriority w:val="0"/>
    <w:pPr>
      <w:spacing w:after="120" w:afterLines="0"/>
      <w:ind w:left="420" w:leftChars="200"/>
    </w:pPr>
    <w:rPr>
      <w:rFonts w:ascii="Times New Roman" w:hAnsi="Times New Roman" w:eastAsia="宋体" w:cs="Times New Roman"/>
    </w:rPr>
  </w:style>
  <w:style w:type="paragraph" w:customStyle="1" w:styleId="24">
    <w:name w:val="Body Text Indent"/>
    <w:basedOn w:val="1"/>
    <w:qFormat/>
    <w:uiPriority w:val="0"/>
    <w:pPr>
      <w:spacing w:after="120" w:afterLines="0"/>
      <w:ind w:left="420" w:leftChars="200"/>
    </w:pPr>
    <w:rPr>
      <w:rFonts w:ascii="Times New Roman" w:hAnsi="Times New Roman" w:eastAsia="宋体" w:cs="Times New Roman"/>
    </w:rPr>
  </w:style>
  <w:style w:type="paragraph" w:customStyle="1" w:styleId="25">
    <w:name w:val="正文缩进1"/>
    <w:basedOn w:val="26"/>
    <w:next w:val="1"/>
    <w:qFormat/>
    <w:uiPriority w:val="0"/>
    <w:pPr>
      <w:widowControl/>
      <w:ind w:firstLine="420"/>
      <w:jc w:val="left"/>
    </w:pPr>
    <w:rPr>
      <w:kern w:val="0"/>
    </w:rPr>
  </w:style>
  <w:style w:type="paragraph" w:customStyle="1" w:styleId="2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7">
    <w:name w:val="页眉 Char"/>
    <w:basedOn w:val="17"/>
    <w:link w:val="11"/>
    <w:qFormat/>
    <w:uiPriority w:val="99"/>
    <w:rPr>
      <w:sz w:val="18"/>
      <w:szCs w:val="18"/>
    </w:rPr>
  </w:style>
  <w:style w:type="character" w:customStyle="1" w:styleId="28">
    <w:name w:val="页脚 Char"/>
    <w:basedOn w:val="17"/>
    <w:link w:val="10"/>
    <w:qFormat/>
    <w:uiPriority w:val="99"/>
    <w:rPr>
      <w:sz w:val="18"/>
      <w:szCs w:val="18"/>
    </w:rPr>
  </w:style>
  <w:style w:type="character" w:customStyle="1" w:styleId="29">
    <w:name w:val="日期 Char"/>
    <w:basedOn w:val="17"/>
    <w:link w:val="8"/>
    <w:semiHidden/>
    <w:qFormat/>
    <w:uiPriority w:val="99"/>
  </w:style>
  <w:style w:type="character" w:customStyle="1" w:styleId="30">
    <w:name w:val="批注框文本 Char"/>
    <w:basedOn w:val="17"/>
    <w:link w:val="9"/>
    <w:semiHidden/>
    <w:qFormat/>
    <w:uiPriority w:val="99"/>
    <w:rPr>
      <w:sz w:val="18"/>
      <w:szCs w:val="18"/>
    </w:rPr>
  </w:style>
  <w:style w:type="paragraph" w:customStyle="1" w:styleId="31">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2">
    <w:name w:val="List Paragraph"/>
    <w:basedOn w:val="1"/>
    <w:qFormat/>
    <w:uiPriority w:val="34"/>
    <w:pPr>
      <w:ind w:firstLine="420" w:firstLineChars="200"/>
    </w:pPr>
  </w:style>
  <w:style w:type="paragraph" w:customStyle="1" w:styleId="33">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apple-converted-space"/>
    <w:basedOn w:val="17"/>
    <w:qFormat/>
    <w:uiPriority w:val="0"/>
  </w:style>
  <w:style w:type="paragraph" w:customStyle="1" w:styleId="36">
    <w:name w:val="Body Text First Indent 21"/>
    <w:basedOn w:val="37"/>
    <w:qFormat/>
    <w:uiPriority w:val="0"/>
    <w:rPr>
      <w:rFonts w:ascii="Calibri" w:hAnsi="Calibri" w:eastAsia="宋体" w:cs="Times New Roman"/>
      <w:szCs w:val="24"/>
    </w:rPr>
  </w:style>
  <w:style w:type="paragraph" w:customStyle="1" w:styleId="37">
    <w:name w:val="Normal Indent1"/>
    <w:basedOn w:val="1"/>
    <w:qFormat/>
    <w:uiPriority w:val="0"/>
    <w:pPr>
      <w:spacing w:line="360" w:lineRule="auto"/>
      <w:ind w:firstLine="200" w:firstLineChars="200"/>
    </w:pPr>
    <w:rPr>
      <w:rFonts w:ascii="Times New Roman" w:hAnsi="Times New Roman" w:eastAsia="宋体" w:cs="宋体"/>
      <w:sz w:val="24"/>
    </w:rPr>
  </w:style>
  <w:style w:type="paragraph" w:customStyle="1" w:styleId="38">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1494</Words>
  <Characters>1545</Characters>
  <Lines>35</Lines>
  <Paragraphs>9</Paragraphs>
  <TotalTime>31</TotalTime>
  <ScaleCrop>false</ScaleCrop>
  <LinksUpToDate>false</LinksUpToDate>
  <CharactersWithSpaces>1596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2019-11-08T16:19:00Z</dcterms:created>
  <dc:creator>Administrator-pc</dc:creator>
  <cp:lastModifiedBy>Administrator</cp:lastModifiedBy>
  <cp:lastPrinted>2023-02-13T01:54:00Z</cp:lastPrinted>
  <dcterms:modified xsi:type="dcterms:W3CDTF">2023-05-11T08:19:43Z</dcterms:modified>
  <cp:revision>736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BCEDEA5B14994BAE9A170DF4EDE79290_13</vt:lpwstr>
  </property>
  <property fmtid="{D5CDD505-2E9C-101B-9397-08002B2CF9AE}" pid="4" name="commondata">
    <vt:lpwstr>eyJoZGlkIjoiYzg3YWU0ZTU2Y2U1MDBiNTM4OTU3MjYyMDYwNTQwMGYifQ==</vt:lpwstr>
  </property>
</Properties>
</file>