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olor w:val="auto"/>
        </w:rPr>
      </w:pPr>
      <w:r>
        <w:rPr>
          <w:rFonts w:hint="eastAsia" w:ascii="Times New Roman" w:hAnsi="Times New Roman"/>
          <w:color w:val="auto"/>
        </w:rPr>
        <w:t>附件2</w:t>
      </w:r>
    </w:p>
    <w:p>
      <w:pPr>
        <w:pStyle w:val="2"/>
        <w:spacing w:before="0" w:after="0" w:line="360" w:lineRule="exact"/>
        <w:jc w:val="center"/>
        <w:rPr>
          <w:rFonts w:ascii="Times New Roman" w:hAnsi="Times New Roman"/>
          <w:color w:val="auto"/>
        </w:rPr>
      </w:pPr>
      <w:r>
        <w:rPr>
          <w:rFonts w:hint="eastAsia" w:ascii="Times New Roman" w:hAnsi="Times New Roman" w:eastAsia="方正小标宋简体" w:cs="方正小标宋简体"/>
          <w:b w:val="0"/>
          <w:bCs w:val="0"/>
          <w:color w:val="auto"/>
          <w:sz w:val="28"/>
          <w:szCs w:val="28"/>
        </w:rPr>
        <w:t>2022年南雄市畜禽粪污资源化利用整县推进项目评选意见表</w:t>
      </w:r>
    </w:p>
    <w:p>
      <w:pPr>
        <w:jc w:val="center"/>
        <w:rPr>
          <w:rFonts w:ascii="Times New Roman" w:hAnsi="Times New Roman" w:eastAsia="楷体" w:cs="楷体"/>
          <w:color w:val="auto"/>
          <w:sz w:val="24"/>
        </w:rPr>
      </w:pPr>
      <w:r>
        <w:rPr>
          <w:rFonts w:hint="eastAsia" w:ascii="Times New Roman" w:hAnsi="Times New Roman" w:eastAsia="楷体" w:cs="楷体"/>
          <w:color w:val="auto"/>
          <w:sz w:val="24"/>
        </w:rPr>
        <w:t>（粪肥还田利用示范基地）</w:t>
      </w:r>
    </w:p>
    <w:p>
      <w:pPr>
        <w:rPr>
          <w:rFonts w:ascii="Times New Roman" w:hAnsi="Times New Roman"/>
          <w:color w:val="auto"/>
        </w:rPr>
      </w:pPr>
      <w:r>
        <w:rPr>
          <w:rFonts w:hint="eastAsia" w:ascii="Times New Roman" w:hAnsi="Times New Roman"/>
          <w:color w:val="auto"/>
        </w:rPr>
        <w:t>申报单位：</w:t>
      </w:r>
    </w:p>
    <w:tbl>
      <w:tblPr>
        <w:tblStyle w:val="3"/>
        <w:tblW w:w="13896" w:type="dxa"/>
        <w:tblInd w:w="0" w:type="dxa"/>
        <w:tblLayout w:type="fixed"/>
        <w:tblCellMar>
          <w:top w:w="0" w:type="dxa"/>
          <w:left w:w="0" w:type="dxa"/>
          <w:bottom w:w="0" w:type="dxa"/>
          <w:right w:w="0" w:type="dxa"/>
        </w:tblCellMar>
      </w:tblPr>
      <w:tblGrid>
        <w:gridCol w:w="973"/>
        <w:gridCol w:w="1188"/>
        <w:gridCol w:w="1522"/>
        <w:gridCol w:w="7862"/>
        <w:gridCol w:w="833"/>
        <w:gridCol w:w="784"/>
        <w:gridCol w:w="734"/>
      </w:tblGrid>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序号</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评审内容</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评价指标</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评价细则</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分值</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得分</w:t>
            </w: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color w:val="auto"/>
                <w:szCs w:val="21"/>
              </w:rPr>
            </w:pPr>
            <w:r>
              <w:rPr>
                <w:rFonts w:hint="eastAsia" w:ascii="Times New Roman" w:hAnsi="Times New Roman" w:cs="宋体"/>
                <w:b/>
                <w:color w:val="auto"/>
                <w:kern w:val="0"/>
                <w:szCs w:val="21"/>
              </w:rPr>
              <w:t>备注</w:t>
            </w: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1</w:t>
            </w:r>
          </w:p>
        </w:tc>
        <w:tc>
          <w:tcPr>
            <w:tcW w:w="118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基地基本情况（48）</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szCs w:val="21"/>
              </w:rPr>
              <w:t>★</w:t>
            </w:r>
            <w:r>
              <w:rPr>
                <w:rFonts w:hint="eastAsia" w:ascii="Times New Roman" w:hAnsi="Times New Roman" w:cs="宋体"/>
                <w:color w:val="auto"/>
                <w:kern w:val="0"/>
                <w:szCs w:val="21"/>
              </w:rPr>
              <w:t>经营主体资质</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szCs w:val="21"/>
              </w:rPr>
            </w:pPr>
            <w:r>
              <w:rPr>
                <w:rFonts w:hint="eastAsia" w:ascii="Times New Roman" w:hAnsi="Times New Roman" w:cs="宋体"/>
                <w:color w:val="auto"/>
                <w:kern w:val="0"/>
                <w:szCs w:val="21"/>
              </w:rPr>
              <w:t>基地创建单位有明确的经营主体，包括家庭农场、农民合作社、农业企业等；</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能够提供经营许可证或营业执照，得10分；不提供得0分且一票否决。</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2</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szCs w:val="21"/>
              </w:rPr>
              <w:t>★</w:t>
            </w:r>
            <w:r>
              <w:rPr>
                <w:rFonts w:hint="eastAsia" w:ascii="Times New Roman" w:hAnsi="Times New Roman" w:cs="宋体"/>
                <w:color w:val="auto"/>
                <w:kern w:val="0"/>
                <w:szCs w:val="21"/>
              </w:rPr>
              <w:t>基地用地权属情况</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szCs w:val="21"/>
              </w:rPr>
            </w:pPr>
            <w:r>
              <w:rPr>
                <w:rFonts w:hint="eastAsia" w:ascii="Times New Roman" w:hAnsi="Times New Roman" w:cs="宋体"/>
                <w:color w:val="auto"/>
                <w:kern w:val="0"/>
                <w:szCs w:val="21"/>
              </w:rPr>
              <w:t>基地规模连片并有明确的土地使用权，能够提供合法规范的土地流转合同或合法用地手续等相关佐证的，得10分；不能提供相关佐证得0分且一票否决。</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3</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szCs w:val="21"/>
              </w:rPr>
              <w:t>★</w:t>
            </w:r>
            <w:r>
              <w:rPr>
                <w:rFonts w:hint="eastAsia" w:ascii="Times New Roman" w:hAnsi="Times New Roman" w:cs="宋体"/>
                <w:color w:val="auto"/>
                <w:kern w:val="0"/>
                <w:szCs w:val="21"/>
              </w:rPr>
              <w:t>基地现存有效使用年限</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kern w:val="0"/>
                <w:szCs w:val="21"/>
              </w:rPr>
            </w:pPr>
            <w:r>
              <w:rPr>
                <w:rFonts w:hint="eastAsia" w:ascii="Times New Roman" w:hAnsi="Times New Roman" w:cs="宋体"/>
                <w:color w:val="auto"/>
                <w:kern w:val="0"/>
                <w:szCs w:val="21"/>
              </w:rPr>
              <w:t>基地有效使用年限从2022年1月起计算：</w:t>
            </w:r>
          </w:p>
          <w:p>
            <w:pPr>
              <w:widowControl/>
              <w:jc w:val="left"/>
              <w:textAlignment w:val="center"/>
              <w:rPr>
                <w:rFonts w:ascii="Times New Roman" w:hAnsi="Times New Roman" w:cs="宋体"/>
                <w:color w:val="auto"/>
                <w:kern w:val="0"/>
                <w:szCs w:val="21"/>
              </w:rPr>
            </w:pPr>
            <w:r>
              <w:rPr>
                <w:rFonts w:hint="eastAsia" w:ascii="Times New Roman" w:hAnsi="Times New Roman" w:cs="宋体"/>
                <w:color w:val="auto"/>
                <w:kern w:val="0"/>
                <w:szCs w:val="21"/>
              </w:rPr>
              <w:t>1、基地现存有效使用年限大于等于5年，得5分；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2、基地现存有效使用年限低于5年，得0分且一票否决。</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kern w:val="0"/>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4</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kern w:val="0"/>
                <w:szCs w:val="21"/>
              </w:rPr>
            </w:pPr>
            <w:r>
              <w:rPr>
                <w:rFonts w:hint="eastAsia" w:ascii="Times New Roman" w:hAnsi="Times New Roman" w:cs="宋体"/>
                <w:color w:val="auto"/>
                <w:kern w:val="0"/>
                <w:szCs w:val="21"/>
              </w:rPr>
              <w:t>示范基地安全生产、信用安全等</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kern w:val="0"/>
                <w:sz w:val="20"/>
                <w:szCs w:val="20"/>
              </w:rPr>
            </w:pPr>
            <w:r>
              <w:rPr>
                <w:rFonts w:hint="eastAsia" w:ascii="Times New Roman" w:hAnsi="Times New Roman" w:cs="宋体"/>
                <w:color w:val="auto"/>
                <w:kern w:val="0"/>
                <w:sz w:val="20"/>
                <w:szCs w:val="20"/>
              </w:rPr>
              <w:t>基地依托的经营主体近两年内没有发生生产（质量）安全事故、环境污染等严重事件，没有行业通报批评等不良记录，未造成不良社会影响。近三年内在生产经营活动中无重大违法记录、不良信用记录，未发生安全生产事件。</w:t>
            </w:r>
          </w:p>
          <w:p>
            <w:pPr>
              <w:widowControl/>
              <w:jc w:val="left"/>
              <w:textAlignment w:val="center"/>
              <w:rPr>
                <w:rFonts w:ascii="Times New Roman" w:hAnsi="Times New Roman" w:cs="宋体"/>
                <w:color w:val="auto"/>
                <w:kern w:val="0"/>
                <w:szCs w:val="21"/>
              </w:rPr>
            </w:pPr>
            <w:r>
              <w:rPr>
                <w:rFonts w:hint="eastAsia" w:ascii="Times New Roman" w:hAnsi="Times New Roman" w:cs="宋体"/>
                <w:color w:val="auto"/>
                <w:kern w:val="0"/>
                <w:szCs w:val="21"/>
              </w:rPr>
              <w:t>没有以上情况得</w:t>
            </w:r>
            <w:r>
              <w:rPr>
                <w:rFonts w:hint="eastAsia" w:ascii="Times New Roman" w:hAnsi="Times New Roman" w:cs="宋体"/>
                <w:color w:val="auto"/>
                <w:kern w:val="0"/>
                <w:szCs w:val="21"/>
                <w:lang w:val="en-US" w:eastAsia="zh-CN"/>
              </w:rPr>
              <w:t>5</w:t>
            </w:r>
            <w:r>
              <w:rPr>
                <w:rFonts w:hint="eastAsia" w:ascii="Times New Roman" w:hAnsi="Times New Roman" w:cs="宋体"/>
                <w:color w:val="auto"/>
                <w:kern w:val="0"/>
                <w:szCs w:val="21"/>
              </w:rPr>
              <w:t>分，以上情况有其中一项得0分。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注：由市农业农村局提供相关违法违规记录，如没有记录则视为没有以上情况。</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Cs w:val="21"/>
                <w:lang w:eastAsia="zh-CN"/>
              </w:rPr>
            </w:pPr>
            <w:r>
              <w:rPr>
                <w:rFonts w:hint="eastAsia" w:ascii="Times New Roman" w:hAnsi="Times New Roman" w:cs="宋体"/>
                <w:color w:val="auto"/>
                <w:szCs w:val="21"/>
                <w:lang w:val="en-US" w:eastAsia="zh-CN"/>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kern w:val="0"/>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5</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示范基地种植规模</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szCs w:val="21"/>
              </w:rPr>
            </w:pPr>
            <w:r>
              <w:rPr>
                <w:rFonts w:hint="eastAsia" w:ascii="Times New Roman" w:hAnsi="Times New Roman" w:cs="宋体"/>
                <w:color w:val="auto"/>
                <w:kern w:val="0"/>
                <w:szCs w:val="21"/>
              </w:rPr>
              <w:t>连片规模种植一种或一类农产品为主的，按种植规模进行评分：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1、大于等于5000亩，得1</w:t>
            </w:r>
            <w:r>
              <w:rPr>
                <w:rFonts w:hint="eastAsia" w:ascii="Times New Roman" w:hAnsi="Times New Roman" w:cs="宋体"/>
                <w:color w:val="auto"/>
                <w:kern w:val="0"/>
                <w:szCs w:val="21"/>
                <w:lang w:val="en-US" w:eastAsia="zh-CN"/>
              </w:rPr>
              <w:t>0</w:t>
            </w:r>
            <w:r>
              <w:rPr>
                <w:rFonts w:hint="eastAsia" w:ascii="Times New Roman" w:hAnsi="Times New Roman" w:cs="宋体"/>
                <w:color w:val="auto"/>
                <w:kern w:val="0"/>
                <w:szCs w:val="21"/>
              </w:rPr>
              <w:t>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2、</w:t>
            </w:r>
            <w:r>
              <w:rPr>
                <w:rFonts w:hint="eastAsia" w:ascii="Times New Roman" w:hAnsi="Times New Roman" w:cs="宋体"/>
                <w:color w:val="auto"/>
                <w:kern w:val="0"/>
                <w:szCs w:val="21"/>
                <w:lang w:val="en-US" w:eastAsia="zh-CN"/>
              </w:rPr>
              <w:t>2</w:t>
            </w:r>
            <w:r>
              <w:rPr>
                <w:rFonts w:hint="eastAsia" w:ascii="Times New Roman" w:hAnsi="Times New Roman" w:cs="宋体"/>
                <w:color w:val="auto"/>
                <w:kern w:val="0"/>
                <w:szCs w:val="21"/>
              </w:rPr>
              <w:t>000-4999亩，得</w:t>
            </w:r>
            <w:r>
              <w:rPr>
                <w:rFonts w:hint="eastAsia" w:ascii="Times New Roman" w:hAnsi="Times New Roman" w:cs="宋体"/>
                <w:color w:val="auto"/>
                <w:kern w:val="0"/>
                <w:szCs w:val="21"/>
                <w:lang w:val="en-US" w:eastAsia="zh-CN"/>
              </w:rPr>
              <w:t>8</w:t>
            </w:r>
            <w:r>
              <w:rPr>
                <w:rFonts w:hint="eastAsia" w:ascii="Times New Roman" w:hAnsi="Times New Roman" w:cs="宋体"/>
                <w:color w:val="auto"/>
                <w:kern w:val="0"/>
                <w:szCs w:val="21"/>
              </w:rPr>
              <w:t>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3、</w:t>
            </w:r>
            <w:r>
              <w:rPr>
                <w:rFonts w:hint="eastAsia" w:ascii="Times New Roman" w:hAnsi="Times New Roman" w:cs="宋体"/>
                <w:color w:val="auto"/>
                <w:kern w:val="0"/>
                <w:szCs w:val="21"/>
                <w:lang w:val="en-US" w:eastAsia="zh-CN"/>
              </w:rPr>
              <w:t>1</w:t>
            </w:r>
            <w:r>
              <w:rPr>
                <w:rFonts w:hint="eastAsia" w:ascii="Times New Roman" w:hAnsi="Times New Roman" w:cs="宋体"/>
                <w:color w:val="auto"/>
                <w:kern w:val="0"/>
                <w:szCs w:val="21"/>
              </w:rPr>
              <w:t>000-</w:t>
            </w:r>
            <w:r>
              <w:rPr>
                <w:rFonts w:hint="eastAsia" w:ascii="Times New Roman" w:hAnsi="Times New Roman" w:cs="宋体"/>
                <w:color w:val="auto"/>
                <w:kern w:val="0"/>
                <w:szCs w:val="21"/>
                <w:lang w:val="en-US" w:eastAsia="zh-CN"/>
              </w:rPr>
              <w:t>1</w:t>
            </w:r>
            <w:r>
              <w:rPr>
                <w:rFonts w:hint="eastAsia" w:ascii="Times New Roman" w:hAnsi="Times New Roman" w:cs="宋体"/>
                <w:color w:val="auto"/>
                <w:kern w:val="0"/>
                <w:szCs w:val="21"/>
              </w:rPr>
              <w:t>999亩，得</w:t>
            </w:r>
            <w:r>
              <w:rPr>
                <w:rFonts w:hint="eastAsia" w:ascii="Times New Roman" w:hAnsi="Times New Roman" w:cs="宋体"/>
                <w:color w:val="auto"/>
                <w:kern w:val="0"/>
                <w:szCs w:val="21"/>
                <w:lang w:val="en-US" w:eastAsia="zh-CN"/>
              </w:rPr>
              <w:t>7</w:t>
            </w:r>
            <w:r>
              <w:rPr>
                <w:rFonts w:hint="eastAsia" w:ascii="Times New Roman" w:hAnsi="Times New Roman" w:cs="宋体"/>
                <w:color w:val="auto"/>
                <w:kern w:val="0"/>
                <w:szCs w:val="21"/>
              </w:rPr>
              <w:t>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4、200-999亩，得</w:t>
            </w:r>
            <w:r>
              <w:rPr>
                <w:rFonts w:hint="eastAsia" w:ascii="Times New Roman" w:hAnsi="Times New Roman" w:cs="宋体"/>
                <w:color w:val="auto"/>
                <w:kern w:val="0"/>
                <w:szCs w:val="21"/>
                <w:lang w:val="en-US" w:eastAsia="zh-CN"/>
              </w:rPr>
              <w:t>6</w:t>
            </w:r>
            <w:r>
              <w:rPr>
                <w:rFonts w:hint="eastAsia" w:ascii="Times New Roman" w:hAnsi="Times New Roman" w:cs="宋体"/>
                <w:color w:val="auto"/>
                <w:kern w:val="0"/>
                <w:szCs w:val="21"/>
              </w:rPr>
              <w:t>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lang w:val="en-US" w:eastAsia="zh-CN"/>
              </w:rPr>
              <w:t>5</w:t>
            </w:r>
            <w:r>
              <w:rPr>
                <w:rFonts w:hint="eastAsia" w:ascii="Times New Roman" w:hAnsi="Times New Roman" w:cs="宋体"/>
                <w:color w:val="auto"/>
                <w:kern w:val="0"/>
                <w:szCs w:val="21"/>
              </w:rPr>
              <w:t>、低于200亩，得0分。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color w:val="auto"/>
                <w:szCs w:val="21"/>
                <w:lang w:eastAsia="zh-CN"/>
              </w:rPr>
            </w:pPr>
            <w:r>
              <w:rPr>
                <w:rFonts w:hint="eastAsia" w:ascii="Times New Roman" w:hAnsi="Times New Roman" w:cs="宋体"/>
                <w:color w:val="auto"/>
                <w:kern w:val="0"/>
                <w:szCs w:val="21"/>
              </w:rPr>
              <w:t>1</w:t>
            </w:r>
            <w:r>
              <w:rPr>
                <w:rFonts w:hint="eastAsia" w:ascii="Times New Roman" w:hAnsi="Times New Roman" w:cs="宋体"/>
                <w:color w:val="auto"/>
                <w:kern w:val="0"/>
                <w:szCs w:val="21"/>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6</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基地作物种植稳定情况</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szCs w:val="21"/>
              </w:rPr>
            </w:pPr>
            <w:r>
              <w:rPr>
                <w:rFonts w:hint="eastAsia" w:ascii="Times New Roman" w:hAnsi="Times New Roman" w:cs="宋体"/>
                <w:color w:val="auto"/>
                <w:kern w:val="0"/>
                <w:szCs w:val="21"/>
              </w:rPr>
              <w:t>1、历史连续种植同类农产品5年以上的，得5分；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2、历史连续种植同类农产品3-4年以上的，得4分；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3、历史连续种植同类农产品1-2年的，得3分；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4、历史连续种植同类农产品不到1年，得1分。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注：提供种子（苗）购买凭证或产品销售证明。</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7</w:t>
            </w:r>
          </w:p>
        </w:tc>
        <w:tc>
          <w:tcPr>
            <w:tcW w:w="11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基础配套情况</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kern w:val="0"/>
                <w:szCs w:val="21"/>
              </w:rPr>
            </w:pPr>
            <w:r>
              <w:rPr>
                <w:rFonts w:hint="eastAsia" w:ascii="Times New Roman" w:hAnsi="Times New Roman" w:cs="宋体"/>
                <w:color w:val="auto"/>
                <w:kern w:val="0"/>
                <w:szCs w:val="21"/>
              </w:rPr>
              <w:t xml:space="preserve">1、基地有380V供电； </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2、有清洁水源；</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3、有网络通信条件；</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提供基地现场照片作为评分参考依据，每满足一项得1分；或提供书面承诺，承诺在项目验收前完成水、电、网络通信基础设施建设的，得3分；</w:t>
            </w:r>
          </w:p>
          <w:p>
            <w:pPr>
              <w:widowControl/>
              <w:jc w:val="left"/>
              <w:textAlignment w:val="center"/>
              <w:rPr>
                <w:rFonts w:ascii="Times New Roman" w:hAnsi="Times New Roman" w:cs="宋体"/>
                <w:color w:val="auto"/>
                <w:szCs w:val="21"/>
              </w:rPr>
            </w:pPr>
            <w:r>
              <w:rPr>
                <w:rFonts w:hint="eastAsia" w:ascii="Times New Roman" w:hAnsi="Times New Roman" w:cs="宋体"/>
                <w:color w:val="auto"/>
                <w:kern w:val="0"/>
                <w:szCs w:val="21"/>
              </w:rPr>
              <w:t>不提供的基地现场照片或书面承诺，得0分。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8</w:t>
            </w:r>
          </w:p>
        </w:tc>
        <w:tc>
          <w:tcPr>
            <w:tcW w:w="118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建设内容</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（52分）</w:t>
            </w: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kern w:val="0"/>
                <w:szCs w:val="21"/>
              </w:rPr>
            </w:pPr>
            <w:r>
              <w:rPr>
                <w:rFonts w:hint="eastAsia" w:ascii="Times New Roman" w:hAnsi="Times New Roman" w:cs="宋体"/>
                <w:color w:val="auto"/>
                <w:szCs w:val="21"/>
              </w:rPr>
              <w:t>实施内容与申报通知相符性</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numPr>
                <w:ilvl w:val="0"/>
                <w:numId w:val="1"/>
              </w:numPr>
              <w:jc w:val="left"/>
              <w:textAlignment w:val="center"/>
              <w:rPr>
                <w:rFonts w:ascii="Times New Roman" w:hAnsi="Times New Roman" w:cs="宋体"/>
                <w:color w:val="auto"/>
                <w:szCs w:val="21"/>
              </w:rPr>
            </w:pPr>
            <w:r>
              <w:rPr>
                <w:rFonts w:hint="eastAsia" w:ascii="Times New Roman" w:hAnsi="Times New Roman" w:cs="宋体"/>
                <w:color w:val="auto"/>
                <w:szCs w:val="21"/>
              </w:rPr>
              <w:t xml:space="preserve">项目实施内容符合申报通知要求，得5分；                       </w:t>
            </w:r>
          </w:p>
          <w:p>
            <w:pPr>
              <w:widowControl/>
              <w:numPr>
                <w:ilvl w:val="0"/>
                <w:numId w:val="1"/>
              </w:numPr>
              <w:jc w:val="left"/>
              <w:textAlignment w:val="center"/>
              <w:rPr>
                <w:rFonts w:ascii="Times New Roman" w:hAnsi="Times New Roman" w:cs="宋体"/>
                <w:color w:val="auto"/>
                <w:kern w:val="0"/>
                <w:szCs w:val="21"/>
              </w:rPr>
            </w:pPr>
            <w:r>
              <w:rPr>
                <w:rFonts w:hint="eastAsia" w:ascii="Times New Roman" w:hAnsi="Times New Roman" w:cs="宋体"/>
                <w:color w:val="auto"/>
                <w:szCs w:val="21"/>
              </w:rPr>
              <w:t xml:space="preserve">项目实施内容基本符合申报通知要求，得3分；                             </w:t>
            </w:r>
            <w:r>
              <w:rPr>
                <w:rFonts w:hint="eastAsia" w:ascii="Times New Roman" w:hAnsi="Times New Roman" w:cs="宋体"/>
                <w:color w:val="auto"/>
                <w:szCs w:val="21"/>
                <w:lang w:val="en-US" w:eastAsia="zh-CN"/>
              </w:rPr>
              <w:t xml:space="preserve">  </w:t>
            </w:r>
            <w:r>
              <w:rPr>
                <w:rFonts w:hint="eastAsia" w:ascii="Times New Roman" w:hAnsi="Times New Roman" w:cs="宋体"/>
                <w:color w:val="auto"/>
                <w:szCs w:val="21"/>
              </w:rPr>
              <w:t>3、项目实施内容与申报通知要求相符性低，得0分。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9</w:t>
            </w:r>
          </w:p>
        </w:tc>
        <w:tc>
          <w:tcPr>
            <w:tcW w:w="11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选用技术模式是否科学合理，能满足基地实际需求</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szCs w:val="21"/>
              </w:rPr>
            </w:pPr>
            <w:r>
              <w:rPr>
                <w:rFonts w:hint="eastAsia" w:ascii="Times New Roman" w:hAnsi="Times New Roman" w:cs="宋体"/>
                <w:color w:val="auto"/>
                <w:szCs w:val="21"/>
              </w:rPr>
              <w:t>1、采用机械化固态粪肥施肥技术实现有机粪肥的大规模施用，并采用液态粪肥水肥一体化精准施肥技术实现部分农作物高质量高标准种植，综合采用两种模式满足基地实际农作物种植需求，得10分；</w:t>
            </w:r>
          </w:p>
          <w:p>
            <w:pPr>
              <w:widowControl/>
              <w:jc w:val="left"/>
              <w:textAlignment w:val="center"/>
              <w:rPr>
                <w:rFonts w:ascii="Times New Roman" w:hAnsi="Times New Roman" w:cs="宋体"/>
                <w:color w:val="auto"/>
                <w:szCs w:val="21"/>
              </w:rPr>
            </w:pPr>
            <w:r>
              <w:rPr>
                <w:rFonts w:ascii="Times New Roman" w:hAnsi="Times New Roman" w:cs="宋体"/>
                <w:color w:val="auto"/>
                <w:szCs w:val="21"/>
              </w:rPr>
              <w:t>2</w:t>
            </w:r>
            <w:r>
              <w:rPr>
                <w:rFonts w:hint="eastAsia" w:ascii="Times New Roman" w:hAnsi="Times New Roman" w:cs="宋体"/>
                <w:color w:val="auto"/>
                <w:szCs w:val="21"/>
              </w:rPr>
              <w:t>、仅采用机械化固态粪肥施肥技术实现有机粪肥的大规模施用</w:t>
            </w:r>
            <w:r>
              <w:rPr>
                <w:rFonts w:hint="eastAsia" w:ascii="Times New Roman" w:hAnsi="Times New Roman" w:cs="宋体"/>
                <w:color w:val="auto"/>
                <w:szCs w:val="21"/>
                <w:lang w:val="en-US" w:eastAsia="zh-CN"/>
              </w:rPr>
              <w:t>或</w:t>
            </w:r>
            <w:r>
              <w:rPr>
                <w:rFonts w:hint="eastAsia" w:ascii="Times New Roman" w:hAnsi="Times New Roman" w:cs="宋体"/>
                <w:color w:val="auto"/>
                <w:szCs w:val="21"/>
              </w:rPr>
              <w:t>仅采用液态粪肥水肥一体化精准施肥技术实现部分农作物高质量高标准种植，得</w:t>
            </w:r>
            <w:r>
              <w:rPr>
                <w:rFonts w:ascii="Times New Roman" w:hAnsi="Times New Roman" w:cs="宋体"/>
                <w:color w:val="auto"/>
                <w:szCs w:val="21"/>
              </w:rPr>
              <w:t>8</w:t>
            </w:r>
            <w:r>
              <w:rPr>
                <w:rFonts w:hint="eastAsia" w:ascii="Times New Roman" w:hAnsi="Times New Roman" w:cs="宋体"/>
                <w:color w:val="auto"/>
                <w:szCs w:val="21"/>
              </w:rPr>
              <w:t>分；</w:t>
            </w:r>
          </w:p>
          <w:p>
            <w:pPr>
              <w:widowControl/>
              <w:jc w:val="left"/>
              <w:textAlignment w:val="center"/>
              <w:rPr>
                <w:color w:val="auto"/>
              </w:rPr>
            </w:pPr>
            <w:r>
              <w:rPr>
                <w:rFonts w:hint="eastAsia" w:ascii="Times New Roman" w:hAnsi="Times New Roman" w:cs="宋体"/>
                <w:color w:val="auto"/>
                <w:szCs w:val="21"/>
                <w:lang w:val="en-US" w:eastAsia="zh-CN"/>
              </w:rPr>
              <w:t>3</w:t>
            </w:r>
            <w:r>
              <w:rPr>
                <w:rFonts w:hint="eastAsia" w:ascii="Times New Roman" w:hAnsi="Times New Roman" w:cs="宋体"/>
                <w:color w:val="auto"/>
                <w:szCs w:val="21"/>
              </w:rPr>
              <w:t>、采用其他技术模式，得</w:t>
            </w:r>
            <w:r>
              <w:rPr>
                <w:rFonts w:hint="eastAsia" w:ascii="Times New Roman" w:hAnsi="Times New Roman" w:cs="宋体"/>
                <w:color w:val="auto"/>
                <w:szCs w:val="21"/>
                <w:lang w:val="en-US" w:eastAsia="zh-CN"/>
              </w:rPr>
              <w:t>5</w:t>
            </w:r>
            <w:r>
              <w:rPr>
                <w:rFonts w:hint="eastAsia" w:ascii="Times New Roman" w:hAnsi="Times New Roman" w:cs="宋体"/>
                <w:color w:val="auto"/>
                <w:szCs w:val="21"/>
              </w:rPr>
              <w:t>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10</w:t>
            </w:r>
          </w:p>
        </w:tc>
        <w:tc>
          <w:tcPr>
            <w:tcW w:w="11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建设内容是否符合相关技术要求</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b/>
                <w:bCs/>
                <w:color w:val="auto"/>
                <w:szCs w:val="21"/>
              </w:rPr>
            </w:pPr>
            <w:r>
              <w:rPr>
                <w:rFonts w:hint="eastAsia" w:ascii="Times New Roman" w:hAnsi="Times New Roman" w:cs="宋体"/>
                <w:b/>
                <w:bCs/>
                <w:color w:val="auto"/>
                <w:szCs w:val="21"/>
              </w:rPr>
              <w:t>固态粪肥利用建设内容技术要求（1</w:t>
            </w:r>
            <w:r>
              <w:rPr>
                <w:rFonts w:ascii="Times New Roman" w:hAnsi="Times New Roman" w:cs="宋体"/>
                <w:b/>
                <w:bCs/>
                <w:color w:val="auto"/>
                <w:szCs w:val="21"/>
              </w:rPr>
              <w:t>0</w:t>
            </w:r>
            <w:r>
              <w:rPr>
                <w:rFonts w:hint="eastAsia" w:ascii="Times New Roman" w:hAnsi="Times New Roman" w:cs="宋体"/>
                <w:b/>
                <w:bCs/>
                <w:color w:val="auto"/>
                <w:szCs w:val="21"/>
              </w:rPr>
              <w:t>分）：</w:t>
            </w:r>
          </w:p>
          <w:p>
            <w:pPr>
              <w:rPr>
                <w:rFonts w:ascii="Times New Roman" w:hAnsi="Times New Roman" w:cs="宋体"/>
                <w:color w:val="auto"/>
                <w:szCs w:val="21"/>
              </w:rPr>
            </w:pPr>
            <w:r>
              <w:rPr>
                <w:rFonts w:hint="eastAsia" w:ascii="Times New Roman" w:hAnsi="Times New Roman" w:cs="宋体"/>
                <w:color w:val="auto"/>
                <w:szCs w:val="21"/>
              </w:rPr>
              <w:t>根据作物种植情况，包括山地种植和平地种植；可以采购农用运输车、开沟施肥机等相关农机装备，山地果树种植的可以建设单轨运输车用于运输肥料。</w:t>
            </w:r>
          </w:p>
          <w:p>
            <w:pPr>
              <w:numPr>
                <w:ilvl w:val="0"/>
                <w:numId w:val="2"/>
              </w:numPr>
              <w:rPr>
                <w:rFonts w:ascii="Times New Roman" w:hAnsi="Times New Roman" w:cs="宋体"/>
                <w:color w:val="auto"/>
                <w:szCs w:val="21"/>
              </w:rPr>
            </w:pPr>
            <w:r>
              <w:rPr>
                <w:rFonts w:hint="eastAsia" w:ascii="Times New Roman" w:hAnsi="Times New Roman" w:cs="宋体"/>
                <w:color w:val="auto"/>
                <w:szCs w:val="21"/>
              </w:rPr>
              <w:t>农机装备选购完全符合固态粪肥施用的，得1</w:t>
            </w:r>
            <w:r>
              <w:rPr>
                <w:rFonts w:ascii="Times New Roman" w:hAnsi="Times New Roman" w:cs="宋体"/>
                <w:color w:val="auto"/>
                <w:szCs w:val="21"/>
              </w:rPr>
              <w:t>0</w:t>
            </w:r>
            <w:r>
              <w:rPr>
                <w:rFonts w:hint="eastAsia" w:ascii="Times New Roman" w:hAnsi="Times New Roman" w:cs="宋体"/>
                <w:color w:val="auto"/>
                <w:szCs w:val="21"/>
              </w:rPr>
              <w:t>分；</w:t>
            </w:r>
          </w:p>
          <w:p>
            <w:pPr>
              <w:numPr>
                <w:ilvl w:val="0"/>
                <w:numId w:val="2"/>
              </w:numPr>
              <w:rPr>
                <w:rFonts w:ascii="Times New Roman" w:hAnsi="Times New Roman" w:cs="宋体"/>
                <w:color w:val="auto"/>
                <w:szCs w:val="21"/>
              </w:rPr>
            </w:pPr>
            <w:r>
              <w:rPr>
                <w:rFonts w:hint="eastAsia" w:ascii="Times New Roman" w:hAnsi="Times New Roman" w:cs="宋体"/>
                <w:color w:val="auto"/>
                <w:szCs w:val="21"/>
              </w:rPr>
              <w:t>农机装备选购大部分符合固态粪肥施用的，得</w:t>
            </w:r>
            <w:r>
              <w:rPr>
                <w:rFonts w:ascii="Times New Roman" w:hAnsi="Times New Roman" w:cs="宋体"/>
                <w:color w:val="auto"/>
                <w:szCs w:val="21"/>
              </w:rPr>
              <w:t>8</w:t>
            </w:r>
            <w:r>
              <w:rPr>
                <w:rFonts w:hint="eastAsia" w:ascii="Times New Roman" w:hAnsi="Times New Roman" w:cs="宋体"/>
                <w:color w:val="auto"/>
                <w:szCs w:val="21"/>
              </w:rPr>
              <w:t>分；</w:t>
            </w:r>
          </w:p>
          <w:p>
            <w:pPr>
              <w:numPr>
                <w:ilvl w:val="0"/>
                <w:numId w:val="2"/>
              </w:numPr>
              <w:rPr>
                <w:rFonts w:ascii="Times New Roman" w:hAnsi="Times New Roman" w:cs="宋体"/>
                <w:color w:val="auto"/>
                <w:szCs w:val="21"/>
              </w:rPr>
            </w:pPr>
            <w:r>
              <w:rPr>
                <w:rFonts w:hint="eastAsia" w:ascii="Times New Roman" w:hAnsi="Times New Roman" w:cs="宋体"/>
                <w:color w:val="auto"/>
                <w:szCs w:val="21"/>
              </w:rPr>
              <w:t>农机装备选购部分符合固态粪肥施肥的，得</w:t>
            </w:r>
            <w:r>
              <w:rPr>
                <w:rFonts w:ascii="Times New Roman" w:hAnsi="Times New Roman" w:cs="宋体"/>
                <w:color w:val="auto"/>
                <w:szCs w:val="21"/>
              </w:rPr>
              <w:t>5</w:t>
            </w:r>
            <w:r>
              <w:rPr>
                <w:rFonts w:hint="eastAsia" w:ascii="Times New Roman" w:hAnsi="Times New Roman" w:cs="宋体"/>
                <w:color w:val="auto"/>
                <w:szCs w:val="21"/>
              </w:rPr>
              <w:t>分；</w:t>
            </w:r>
          </w:p>
          <w:p>
            <w:pPr>
              <w:numPr>
                <w:ilvl w:val="0"/>
                <w:numId w:val="2"/>
              </w:numPr>
              <w:rPr>
                <w:rFonts w:ascii="Times New Roman" w:hAnsi="Times New Roman" w:cs="宋体"/>
                <w:color w:val="auto"/>
                <w:szCs w:val="21"/>
              </w:rPr>
            </w:pPr>
            <w:r>
              <w:rPr>
                <w:rFonts w:hint="eastAsia" w:ascii="Times New Roman" w:hAnsi="Times New Roman" w:cs="宋体"/>
                <w:color w:val="auto"/>
                <w:szCs w:val="21"/>
              </w:rPr>
              <w:t>农机装备选购全部不符合固态粪肥施用的，得</w:t>
            </w:r>
            <w:r>
              <w:rPr>
                <w:rFonts w:ascii="Times New Roman" w:hAnsi="Times New Roman" w:cs="宋体"/>
                <w:color w:val="auto"/>
                <w:szCs w:val="21"/>
              </w:rPr>
              <w:t>0</w:t>
            </w:r>
            <w:r>
              <w:rPr>
                <w:rFonts w:hint="eastAsia" w:ascii="Times New Roman" w:hAnsi="Times New Roman" w:cs="宋体"/>
                <w:color w:val="auto"/>
                <w:szCs w:val="21"/>
              </w:rPr>
              <w:t>分。</w:t>
            </w:r>
          </w:p>
          <w:p>
            <w:pPr>
              <w:rPr>
                <w:rFonts w:ascii="Times New Roman" w:hAnsi="Times New Roman" w:cs="宋体"/>
                <w:b/>
                <w:bCs/>
                <w:color w:val="auto"/>
                <w:szCs w:val="21"/>
              </w:rPr>
            </w:pPr>
          </w:p>
          <w:p>
            <w:pPr>
              <w:rPr>
                <w:rFonts w:ascii="Times New Roman" w:hAnsi="Times New Roman" w:cs="宋体"/>
                <w:b/>
                <w:bCs/>
                <w:color w:val="auto"/>
                <w:szCs w:val="21"/>
              </w:rPr>
            </w:pPr>
            <w:r>
              <w:rPr>
                <w:rFonts w:hint="eastAsia" w:ascii="Times New Roman" w:hAnsi="Times New Roman" w:cs="宋体"/>
                <w:b/>
                <w:bCs/>
                <w:color w:val="auto"/>
                <w:szCs w:val="21"/>
              </w:rPr>
              <w:t>液态粪肥水肥一体化建设内容技术要求（</w:t>
            </w:r>
            <w:r>
              <w:rPr>
                <w:rFonts w:hint="eastAsia" w:ascii="Times New Roman" w:hAnsi="Times New Roman" w:cs="宋体"/>
                <w:b/>
                <w:bCs/>
                <w:color w:val="auto"/>
                <w:szCs w:val="21"/>
                <w:lang w:val="en-US" w:eastAsia="zh-CN"/>
              </w:rPr>
              <w:t>10</w:t>
            </w:r>
            <w:r>
              <w:rPr>
                <w:rFonts w:hint="eastAsia" w:ascii="Times New Roman" w:hAnsi="Times New Roman" w:cs="宋体"/>
                <w:b/>
                <w:bCs/>
                <w:color w:val="auto"/>
                <w:szCs w:val="21"/>
              </w:rPr>
              <w:t>分）：</w:t>
            </w:r>
          </w:p>
          <w:p>
            <w:pPr>
              <w:rPr>
                <w:rFonts w:ascii="Times New Roman" w:hAnsi="Times New Roman" w:cs="宋体"/>
                <w:color w:val="auto"/>
                <w:szCs w:val="21"/>
              </w:rPr>
            </w:pPr>
            <w:r>
              <w:rPr>
                <w:rFonts w:ascii="Times New Roman" w:hAnsi="Times New Roman" w:cs="宋体"/>
                <w:color w:val="auto"/>
                <w:szCs w:val="21"/>
              </w:rPr>
              <w:t>1</w:t>
            </w:r>
            <w:r>
              <w:rPr>
                <w:rFonts w:hint="eastAsia" w:ascii="Times New Roman" w:hAnsi="Times New Roman" w:cs="宋体"/>
                <w:color w:val="auto"/>
                <w:szCs w:val="21"/>
              </w:rPr>
              <w:t>、水源工程、蓄水系统与灌溉首部建设，并符合相关规范及实际种植应用；</w:t>
            </w:r>
          </w:p>
          <w:p>
            <w:pPr>
              <w:rPr>
                <w:rFonts w:ascii="Times New Roman" w:hAnsi="Times New Roman" w:cs="宋体"/>
                <w:color w:val="auto"/>
                <w:szCs w:val="21"/>
              </w:rPr>
            </w:pPr>
            <w:r>
              <w:rPr>
                <w:rFonts w:hint="eastAsia" w:ascii="Times New Roman" w:hAnsi="Times New Roman" w:cs="宋体"/>
                <w:color w:val="auto"/>
                <w:szCs w:val="21"/>
              </w:rPr>
              <w:t>2、给水管网建设内容，布置采用主给水管和分支给水管结合布置，实现轮片区灌溉，给水管网布置符合相关规范及实际种植应用；</w:t>
            </w:r>
          </w:p>
          <w:p>
            <w:pPr>
              <w:rPr>
                <w:rFonts w:ascii="Times New Roman" w:hAnsi="Times New Roman" w:cs="宋体"/>
                <w:color w:val="auto"/>
                <w:szCs w:val="21"/>
              </w:rPr>
            </w:pPr>
            <w:r>
              <w:rPr>
                <w:rFonts w:ascii="Times New Roman" w:hAnsi="Times New Roman" w:cs="宋体"/>
                <w:color w:val="auto"/>
                <w:szCs w:val="21"/>
              </w:rPr>
              <w:t>3</w:t>
            </w:r>
            <w:r>
              <w:rPr>
                <w:rFonts w:hint="eastAsia" w:ascii="Times New Roman" w:hAnsi="Times New Roman" w:cs="宋体"/>
                <w:color w:val="auto"/>
                <w:szCs w:val="21"/>
              </w:rPr>
              <w:t>、</w:t>
            </w:r>
            <w:r>
              <w:rPr>
                <w:rFonts w:ascii="Times New Roman" w:hAnsi="Times New Roman" w:cs="宋体"/>
                <w:color w:val="auto"/>
                <w:szCs w:val="21"/>
              </w:rPr>
              <w:t>滴灌</w:t>
            </w:r>
            <w:r>
              <w:rPr>
                <w:rFonts w:hint="eastAsia" w:ascii="Times New Roman" w:hAnsi="Times New Roman" w:cs="宋体"/>
                <w:color w:val="auto"/>
                <w:szCs w:val="21"/>
              </w:rPr>
              <w:t>（微喷）</w:t>
            </w:r>
            <w:r>
              <w:rPr>
                <w:rFonts w:ascii="Times New Roman" w:hAnsi="Times New Roman" w:cs="宋体"/>
                <w:color w:val="auto"/>
                <w:szCs w:val="21"/>
              </w:rPr>
              <w:t>系统</w:t>
            </w:r>
            <w:r>
              <w:rPr>
                <w:rFonts w:hint="eastAsia" w:ascii="Times New Roman" w:hAnsi="Times New Roman" w:cs="宋体"/>
                <w:color w:val="auto"/>
                <w:szCs w:val="21"/>
              </w:rPr>
              <w:t>建设，肥水施用方式要求：应采用滴灌、微喷等节水灌溉方式，严禁采用传统喷灌或打水浸灌方式；选用地埋滴灌时，灌溉系统应配置冲洗支管，降低滴头堵塞可能性。</w:t>
            </w:r>
          </w:p>
          <w:p>
            <w:pPr>
              <w:rPr>
                <w:rFonts w:ascii="Times New Roman" w:hAnsi="Times New Roman" w:cs="宋体"/>
                <w:color w:val="auto"/>
                <w:szCs w:val="21"/>
              </w:rPr>
            </w:pPr>
            <w:r>
              <w:rPr>
                <w:rFonts w:hint="eastAsia" w:ascii="Times New Roman" w:hAnsi="Times New Roman" w:cs="宋体"/>
                <w:color w:val="auto"/>
                <w:szCs w:val="21"/>
              </w:rPr>
              <w:t>4、自动控制：应安全可靠、抗干扰能力强，与灌溉环境相适应，维护方便经济使用，满足系统维护、兼容、升级换代的要求，应配备防雷击保护措施；</w:t>
            </w:r>
          </w:p>
          <w:p>
            <w:pPr>
              <w:rPr>
                <w:rFonts w:ascii="Times New Roman" w:hAnsi="Times New Roman" w:cs="宋体"/>
                <w:color w:val="auto"/>
                <w:szCs w:val="21"/>
              </w:rPr>
            </w:pPr>
            <w:r>
              <w:rPr>
                <w:rFonts w:hint="eastAsia" w:ascii="Times New Roman" w:hAnsi="Times New Roman" w:cs="宋体"/>
                <w:color w:val="auto"/>
                <w:szCs w:val="21"/>
              </w:rPr>
              <w:t>5、水肥浓度EC和pH监测要求及信息采集：实时监测水肥EC和pH，超出范围，提出警示，并要求暂停灌溉；并安装相应物联网设备，采集气象、墒情等数据，为灌溉提供参考。</w:t>
            </w:r>
          </w:p>
          <w:p>
            <w:pPr>
              <w:rPr>
                <w:rFonts w:ascii="Times New Roman" w:hAnsi="Times New Roman" w:cs="宋体"/>
                <w:color w:val="auto"/>
                <w:szCs w:val="21"/>
              </w:rPr>
            </w:pPr>
            <w:r>
              <w:rPr>
                <w:rFonts w:hint="eastAsia" w:ascii="Times New Roman" w:hAnsi="Times New Roman" w:cs="宋体"/>
                <w:color w:val="auto"/>
                <w:szCs w:val="21"/>
              </w:rPr>
              <w:t>液态粪肥水肥一体化建设内容每符合一项，得</w:t>
            </w:r>
            <w:r>
              <w:rPr>
                <w:rFonts w:hint="eastAsia" w:ascii="Times New Roman" w:hAnsi="Times New Roman" w:cs="宋体"/>
                <w:color w:val="auto"/>
                <w:szCs w:val="21"/>
                <w:lang w:val="en-US" w:eastAsia="zh-CN"/>
              </w:rPr>
              <w:t>2</w:t>
            </w:r>
            <w:r>
              <w:rPr>
                <w:rFonts w:hint="eastAsia" w:ascii="Times New Roman" w:hAnsi="Times New Roman" w:cs="宋体"/>
                <w:color w:val="auto"/>
                <w:szCs w:val="21"/>
              </w:rPr>
              <w:t>分。</w:t>
            </w:r>
          </w:p>
          <w:p>
            <w:pPr>
              <w:rPr>
                <w:b/>
                <w:bCs/>
                <w:color w:val="auto"/>
              </w:rPr>
            </w:pPr>
            <w:r>
              <w:rPr>
                <w:rFonts w:hint="eastAsia" w:ascii="Times New Roman" w:hAnsi="Times New Roman" w:cs="宋体"/>
                <w:b/>
                <w:bCs/>
                <w:color w:val="auto"/>
                <w:szCs w:val="21"/>
              </w:rPr>
              <w:t>本项</w:t>
            </w:r>
            <w:r>
              <w:rPr>
                <w:rFonts w:hint="eastAsia" w:ascii="Times New Roman" w:hAnsi="Times New Roman" w:cs="宋体"/>
                <w:b/>
                <w:bCs/>
                <w:color w:val="auto"/>
                <w:szCs w:val="21"/>
                <w:lang w:val="en-US" w:eastAsia="zh-CN"/>
              </w:rPr>
              <w:t>根据选用技术模式所对应的建设内容进行评分，两种模式都采用的按照得分高的进行评选</w:t>
            </w:r>
            <w:r>
              <w:rPr>
                <w:rFonts w:hint="eastAsia" w:ascii="Times New Roman" w:hAnsi="Times New Roman" w:cs="宋体"/>
                <w:b/>
                <w:bCs/>
                <w:color w:val="auto"/>
                <w:szCs w:val="21"/>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imes New Roman" w:hAnsi="Times New Roman" w:eastAsia="宋体" w:cs="宋体"/>
                <w:color w:val="auto"/>
                <w:kern w:val="0"/>
                <w:szCs w:val="21"/>
                <w:lang w:eastAsia="zh-CN"/>
              </w:rPr>
            </w:pPr>
            <w:r>
              <w:rPr>
                <w:rFonts w:hint="eastAsia" w:ascii="Times New Roman" w:hAnsi="Times New Roman" w:cs="宋体"/>
                <w:color w:val="auto"/>
                <w:kern w:val="0"/>
                <w:szCs w:val="21"/>
              </w:rPr>
              <w:t>1</w:t>
            </w:r>
            <w:r>
              <w:rPr>
                <w:rFonts w:hint="eastAsia" w:ascii="Times New Roman" w:hAnsi="Times New Roman" w:cs="宋体"/>
                <w:color w:val="auto"/>
                <w:kern w:val="0"/>
                <w:szCs w:val="21"/>
                <w:lang w:val="en-US" w:eastAsia="zh-CN"/>
              </w:rPr>
              <w:t>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11</w:t>
            </w:r>
          </w:p>
        </w:tc>
        <w:tc>
          <w:tcPr>
            <w:tcW w:w="11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szCs w:val="21"/>
              </w:rPr>
              <w:t>项目进度安排、工作计划合理可行</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r>
              <w:rPr>
                <w:rFonts w:hint="eastAsia" w:ascii="Times New Roman" w:hAnsi="Times New Roman" w:cs="宋体"/>
                <w:color w:val="auto"/>
                <w:szCs w:val="21"/>
              </w:rPr>
              <w:t>1、项目有详细的工作计划和时间表，总体进度符合申报通知要求，合理可行，得5分；</w:t>
            </w:r>
          </w:p>
          <w:p>
            <w:pPr>
              <w:rPr>
                <w:rFonts w:ascii="Times New Roman" w:hAnsi="Times New Roman" w:cs="宋体"/>
                <w:color w:val="auto"/>
                <w:szCs w:val="21"/>
              </w:rPr>
            </w:pPr>
            <w:r>
              <w:rPr>
                <w:rFonts w:hint="eastAsia" w:ascii="Times New Roman" w:hAnsi="Times New Roman" w:cs="宋体"/>
                <w:color w:val="auto"/>
                <w:szCs w:val="21"/>
              </w:rPr>
              <w:t>2、项目工作计划时间表不清晰，得</w:t>
            </w:r>
            <w:r>
              <w:rPr>
                <w:rFonts w:hint="eastAsia" w:ascii="Times New Roman" w:hAnsi="Times New Roman" w:cs="宋体"/>
                <w:color w:val="auto"/>
                <w:szCs w:val="21"/>
                <w:lang w:val="en-US" w:eastAsia="zh-CN"/>
              </w:rPr>
              <w:t>3</w:t>
            </w:r>
            <w:r>
              <w:rPr>
                <w:rFonts w:hint="eastAsia" w:ascii="Times New Roman" w:hAnsi="Times New Roman" w:cs="宋体"/>
                <w:color w:val="auto"/>
                <w:szCs w:val="21"/>
              </w:rPr>
              <w:t>分；</w:t>
            </w:r>
          </w:p>
          <w:p>
            <w:pPr>
              <w:rPr>
                <w:rFonts w:ascii="Times New Roman" w:hAnsi="Times New Roman" w:cs="宋体"/>
                <w:color w:val="auto"/>
                <w:kern w:val="0"/>
                <w:szCs w:val="21"/>
              </w:rPr>
            </w:pPr>
            <w:r>
              <w:rPr>
                <w:rFonts w:hint="eastAsia" w:ascii="Times New Roman" w:hAnsi="Times New Roman" w:cs="宋体"/>
                <w:color w:val="auto"/>
                <w:szCs w:val="21"/>
              </w:rPr>
              <w:t>3、项目缺少工作计划和时间表，0分。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kern w:val="0"/>
                <w:szCs w:val="21"/>
              </w:rPr>
              <w:t>5</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12</w:t>
            </w:r>
          </w:p>
        </w:tc>
        <w:tc>
          <w:tcPr>
            <w:tcW w:w="11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szCs w:val="21"/>
              </w:rPr>
            </w:pPr>
            <w:r>
              <w:rPr>
                <w:rFonts w:hint="eastAsia" w:ascii="Times New Roman" w:hAnsi="Times New Roman" w:cs="宋体"/>
                <w:color w:val="auto"/>
                <w:kern w:val="0"/>
                <w:szCs w:val="21"/>
              </w:rPr>
              <w:t>经费预算合理性</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r>
              <w:rPr>
                <w:rFonts w:hint="eastAsia" w:ascii="Times New Roman" w:hAnsi="Times New Roman" w:cs="宋体"/>
                <w:color w:val="auto"/>
                <w:szCs w:val="21"/>
              </w:rPr>
              <w:t>1、项目造价</w:t>
            </w:r>
            <w:r>
              <w:rPr>
                <w:rFonts w:hint="eastAsia" w:ascii="Times New Roman" w:hAnsi="Times New Roman" w:cs="宋体"/>
                <w:color w:val="auto"/>
                <w:kern w:val="0"/>
                <w:szCs w:val="21"/>
              </w:rPr>
              <w:t>预算</w:t>
            </w:r>
            <w:r>
              <w:rPr>
                <w:rFonts w:hint="eastAsia" w:ascii="Times New Roman" w:hAnsi="Times New Roman" w:cs="宋体"/>
                <w:color w:val="auto"/>
                <w:szCs w:val="21"/>
              </w:rPr>
              <w:t>与建设内容适配，固态粪肥利用农机装备采购经费预算合理及水肥一体化工程单位造价不高于</w:t>
            </w:r>
            <w:r>
              <w:rPr>
                <w:rFonts w:hint="eastAsia" w:ascii="Times New Roman" w:hAnsi="Times New Roman" w:cs="宋体"/>
                <w:color w:val="auto"/>
                <w:szCs w:val="21"/>
                <w:lang w:val="en-US" w:eastAsia="zh-CN"/>
              </w:rPr>
              <w:t>30</w:t>
            </w:r>
            <w:r>
              <w:rPr>
                <w:rFonts w:hint="eastAsia" w:ascii="Times New Roman" w:hAnsi="Times New Roman" w:cs="宋体"/>
                <w:color w:val="auto"/>
                <w:szCs w:val="21"/>
              </w:rPr>
              <w:t>00元/亩，得</w:t>
            </w:r>
            <w:r>
              <w:rPr>
                <w:rFonts w:hint="eastAsia" w:ascii="Times New Roman" w:hAnsi="Times New Roman" w:cs="宋体"/>
                <w:color w:val="auto"/>
                <w:szCs w:val="21"/>
                <w:lang w:val="en-US" w:eastAsia="zh-CN"/>
              </w:rPr>
              <w:t>10</w:t>
            </w:r>
            <w:r>
              <w:rPr>
                <w:rFonts w:hint="eastAsia" w:ascii="Times New Roman" w:hAnsi="Times New Roman" w:cs="宋体"/>
                <w:color w:val="auto"/>
                <w:szCs w:val="21"/>
              </w:rPr>
              <w:t>分；</w:t>
            </w:r>
          </w:p>
          <w:p>
            <w:pPr>
              <w:rPr>
                <w:rFonts w:ascii="Times New Roman" w:hAnsi="Times New Roman" w:cs="宋体"/>
                <w:color w:val="auto"/>
                <w:szCs w:val="21"/>
              </w:rPr>
            </w:pPr>
            <w:r>
              <w:rPr>
                <w:rFonts w:ascii="Times New Roman" w:hAnsi="Times New Roman" w:cs="宋体"/>
                <w:color w:val="auto"/>
                <w:szCs w:val="21"/>
              </w:rPr>
              <w:t>2</w:t>
            </w:r>
            <w:r>
              <w:rPr>
                <w:rFonts w:hint="eastAsia" w:ascii="Times New Roman" w:hAnsi="Times New Roman" w:cs="宋体"/>
                <w:color w:val="auto"/>
                <w:szCs w:val="21"/>
              </w:rPr>
              <w:t>、项目造价</w:t>
            </w:r>
            <w:r>
              <w:rPr>
                <w:rFonts w:hint="eastAsia" w:ascii="Times New Roman" w:hAnsi="Times New Roman" w:cs="宋体"/>
                <w:color w:val="auto"/>
                <w:kern w:val="0"/>
                <w:szCs w:val="21"/>
              </w:rPr>
              <w:t>预算</w:t>
            </w:r>
            <w:r>
              <w:rPr>
                <w:rFonts w:hint="eastAsia" w:ascii="Times New Roman" w:hAnsi="Times New Roman" w:cs="宋体"/>
                <w:color w:val="auto"/>
                <w:szCs w:val="21"/>
              </w:rPr>
              <w:t>与建设内容适配，经费预算偏高，得</w:t>
            </w:r>
            <w:r>
              <w:rPr>
                <w:rFonts w:hint="eastAsia" w:ascii="Times New Roman" w:hAnsi="Times New Roman" w:cs="宋体"/>
                <w:color w:val="auto"/>
                <w:szCs w:val="21"/>
                <w:lang w:val="en-US" w:eastAsia="zh-CN"/>
              </w:rPr>
              <w:t>7</w:t>
            </w:r>
            <w:r>
              <w:rPr>
                <w:rFonts w:hint="eastAsia" w:ascii="Times New Roman" w:hAnsi="Times New Roman" w:cs="宋体"/>
                <w:color w:val="auto"/>
                <w:szCs w:val="21"/>
              </w:rPr>
              <w:t>分；</w:t>
            </w:r>
          </w:p>
          <w:p>
            <w:pPr>
              <w:rPr>
                <w:rFonts w:ascii="Times New Roman" w:hAnsi="Times New Roman" w:cs="宋体"/>
                <w:b/>
                <w:bCs/>
                <w:color w:val="auto"/>
                <w:szCs w:val="21"/>
              </w:rPr>
            </w:pPr>
            <w:r>
              <w:rPr>
                <w:rFonts w:ascii="Times New Roman" w:hAnsi="Times New Roman" w:cs="宋体"/>
                <w:color w:val="auto"/>
                <w:szCs w:val="21"/>
              </w:rPr>
              <w:t>3</w:t>
            </w:r>
            <w:r>
              <w:rPr>
                <w:rFonts w:hint="eastAsia" w:ascii="Times New Roman" w:hAnsi="Times New Roman" w:cs="宋体"/>
                <w:color w:val="auto"/>
                <w:szCs w:val="21"/>
              </w:rPr>
              <w:t>、项目造价</w:t>
            </w:r>
            <w:r>
              <w:rPr>
                <w:rFonts w:hint="eastAsia" w:ascii="Times New Roman" w:hAnsi="Times New Roman" w:cs="宋体"/>
                <w:color w:val="auto"/>
                <w:kern w:val="0"/>
                <w:szCs w:val="21"/>
              </w:rPr>
              <w:t>预算</w:t>
            </w:r>
            <w:r>
              <w:rPr>
                <w:rFonts w:hint="eastAsia" w:ascii="Times New Roman" w:hAnsi="Times New Roman" w:cs="宋体"/>
                <w:color w:val="auto"/>
                <w:szCs w:val="21"/>
              </w:rPr>
              <w:t>与建设内容不适配得</w:t>
            </w:r>
            <w:r>
              <w:rPr>
                <w:rFonts w:ascii="Times New Roman" w:hAnsi="Times New Roman" w:cs="宋体"/>
                <w:color w:val="auto"/>
                <w:szCs w:val="21"/>
              </w:rPr>
              <w:t>0</w:t>
            </w:r>
            <w:r>
              <w:rPr>
                <w:rFonts w:hint="eastAsia" w:ascii="Times New Roman" w:hAnsi="Times New Roman" w:cs="宋体"/>
                <w:color w:val="auto"/>
                <w:szCs w:val="21"/>
              </w:rPr>
              <w:t>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Times New Roman" w:hAnsi="Times New Roman" w:eastAsia="宋体" w:cs="宋体"/>
                <w:color w:val="auto"/>
                <w:szCs w:val="21"/>
                <w:lang w:val="en-US" w:eastAsia="zh-CN"/>
              </w:rPr>
            </w:pPr>
            <w:r>
              <w:rPr>
                <w:rFonts w:hint="eastAsia" w:ascii="Times New Roman" w:hAnsi="Times New Roman" w:cs="宋体"/>
                <w:color w:val="auto"/>
                <w:kern w:val="0"/>
                <w:szCs w:val="21"/>
                <w:lang w:val="en-US" w:eastAsia="zh-CN"/>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13</w:t>
            </w:r>
          </w:p>
        </w:tc>
        <w:tc>
          <w:tcPr>
            <w:tcW w:w="118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kern w:val="0"/>
                <w:szCs w:val="21"/>
              </w:rPr>
            </w:pPr>
            <w:r>
              <w:rPr>
                <w:rFonts w:hint="eastAsia"/>
                <w:color w:val="auto"/>
              </w:rPr>
              <w:t>承诺</w:t>
            </w:r>
            <w:r>
              <w:rPr>
                <w:rFonts w:hint="eastAsia" w:ascii="Times New Roman" w:hAnsi="Times New Roman" w:cs="宋体"/>
                <w:color w:val="auto"/>
                <w:kern w:val="0"/>
                <w:szCs w:val="21"/>
              </w:rPr>
              <w:t>粪肥利用情况</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color w:val="auto"/>
              </w:rPr>
            </w:pPr>
            <w:r>
              <w:rPr>
                <w:rFonts w:hint="eastAsia"/>
                <w:color w:val="auto"/>
              </w:rPr>
              <w:t>要求基地提供书面承诺函：</w:t>
            </w:r>
          </w:p>
          <w:p>
            <w:pPr>
              <w:numPr>
                <w:ilvl w:val="0"/>
                <w:numId w:val="3"/>
              </w:numPr>
              <w:rPr>
                <w:color w:val="auto"/>
              </w:rPr>
            </w:pPr>
            <w:r>
              <w:rPr>
                <w:rFonts w:hint="eastAsia"/>
                <w:color w:val="auto"/>
              </w:rPr>
              <w:t>基地承诺固态粪肥年消纳量超过1500kg/亩，液态粪肥按照基地水肥一体化建设面积，年消纳量超过1</w:t>
            </w:r>
            <w:r>
              <w:rPr>
                <w:rFonts w:hint="eastAsia"/>
                <w:color w:val="auto"/>
                <w:lang w:val="en-US" w:eastAsia="zh-CN"/>
              </w:rPr>
              <w:t>000</w:t>
            </w:r>
            <w:r>
              <w:rPr>
                <w:rFonts w:hint="eastAsia"/>
                <w:color w:val="auto"/>
              </w:rPr>
              <w:t>0kg/亩，得10分；</w:t>
            </w:r>
          </w:p>
          <w:p>
            <w:pPr>
              <w:numPr>
                <w:ilvl w:val="0"/>
                <w:numId w:val="3"/>
              </w:numPr>
              <w:rPr>
                <w:color w:val="auto"/>
              </w:rPr>
            </w:pPr>
            <w:r>
              <w:rPr>
                <w:rFonts w:hint="eastAsia"/>
                <w:color w:val="auto"/>
              </w:rPr>
              <w:t>基地承诺固态粪肥年消纳量在1000kg/亩-1500kg/亩，液态粪肥按照基地水肥一体化建设面积，年消纳量在</w:t>
            </w:r>
            <w:r>
              <w:rPr>
                <w:rFonts w:hint="eastAsia"/>
                <w:color w:val="auto"/>
                <w:lang w:val="en-US" w:eastAsia="zh-CN"/>
              </w:rPr>
              <w:t>50</w:t>
            </w:r>
            <w:r>
              <w:rPr>
                <w:rFonts w:hint="eastAsia"/>
                <w:color w:val="auto"/>
              </w:rPr>
              <w:t>00kg/亩-1</w:t>
            </w:r>
            <w:r>
              <w:rPr>
                <w:rFonts w:hint="eastAsia"/>
                <w:color w:val="auto"/>
                <w:lang w:val="en-US" w:eastAsia="zh-CN"/>
              </w:rPr>
              <w:t>000</w:t>
            </w:r>
            <w:r>
              <w:rPr>
                <w:rFonts w:hint="eastAsia"/>
                <w:color w:val="auto"/>
              </w:rPr>
              <w:t>0kg/亩，得7分；</w:t>
            </w:r>
          </w:p>
          <w:p>
            <w:pPr>
              <w:numPr>
                <w:ilvl w:val="0"/>
                <w:numId w:val="3"/>
              </w:numPr>
              <w:rPr>
                <w:color w:val="auto"/>
              </w:rPr>
            </w:pPr>
            <w:r>
              <w:rPr>
                <w:rFonts w:hint="eastAsia"/>
                <w:color w:val="auto"/>
              </w:rPr>
              <w:t>基地承诺固态粪肥年消纳量在500kg/亩-1000kg/亩，液态粪肥按照基地水肥一体化建设面积，年消纳量在</w:t>
            </w:r>
            <w:r>
              <w:rPr>
                <w:rFonts w:hint="eastAsia"/>
                <w:color w:val="auto"/>
                <w:lang w:val="en-US" w:eastAsia="zh-CN"/>
              </w:rPr>
              <w:t>200</w:t>
            </w:r>
            <w:r>
              <w:rPr>
                <w:rFonts w:hint="eastAsia"/>
                <w:color w:val="auto"/>
              </w:rPr>
              <w:t>0kg/亩-</w:t>
            </w:r>
            <w:r>
              <w:rPr>
                <w:rFonts w:hint="eastAsia"/>
                <w:color w:val="auto"/>
                <w:lang w:val="en-US" w:eastAsia="zh-CN"/>
              </w:rPr>
              <w:t>50</w:t>
            </w:r>
            <w:r>
              <w:rPr>
                <w:rFonts w:hint="eastAsia"/>
                <w:color w:val="auto"/>
              </w:rPr>
              <w:t>00kg/亩，得4分；</w:t>
            </w:r>
          </w:p>
          <w:p>
            <w:pPr>
              <w:numPr>
                <w:ilvl w:val="0"/>
                <w:numId w:val="3"/>
              </w:numPr>
              <w:ind w:left="0" w:leftChars="0" w:firstLine="0" w:firstLineChars="0"/>
              <w:rPr>
                <w:rFonts w:hint="eastAsia" w:eastAsia="宋体"/>
                <w:color w:val="auto"/>
                <w:lang w:eastAsia="zh-CN"/>
              </w:rPr>
            </w:pPr>
            <w:r>
              <w:rPr>
                <w:rFonts w:hint="eastAsia"/>
                <w:color w:val="auto"/>
              </w:rPr>
              <w:t>基地承诺固态粪肥年消纳量低于500kg/亩，液态粪肥按照基地水肥一体化建设面积，年消纳量低于</w:t>
            </w:r>
            <w:r>
              <w:rPr>
                <w:rFonts w:hint="eastAsia"/>
                <w:color w:val="auto"/>
                <w:lang w:val="en-US" w:eastAsia="zh-CN"/>
              </w:rPr>
              <w:t>200</w:t>
            </w:r>
            <w:r>
              <w:rPr>
                <w:rFonts w:hint="eastAsia"/>
                <w:color w:val="auto"/>
              </w:rPr>
              <w:t>0kg/亩，得1分</w:t>
            </w:r>
            <w:r>
              <w:rPr>
                <w:rFonts w:hint="eastAsia"/>
                <w:color w:val="auto"/>
                <w:lang w:eastAsia="zh-CN"/>
              </w:rPr>
              <w:t>。</w:t>
            </w:r>
          </w:p>
          <w:p>
            <w:pPr>
              <w:rPr>
                <w:rFonts w:hint="eastAsia" w:eastAsia="宋体"/>
                <w:color w:val="auto"/>
                <w:lang w:eastAsia="zh-CN"/>
              </w:rPr>
            </w:pPr>
            <w:r>
              <w:rPr>
                <w:rFonts w:hint="eastAsia"/>
                <w:color w:val="auto"/>
              </w:rPr>
              <w:t>注：有机肥施用量参照《NY/T1868-2021肥料合理使用准则有机肥料》</w:t>
            </w:r>
            <w:r>
              <w:rPr>
                <w:rFonts w:hint="eastAsia"/>
                <w:color w:val="auto"/>
                <w:lang w:eastAsia="zh-CN"/>
              </w:rPr>
              <w:t>。</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10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szCs w:val="21"/>
              </w:rPr>
            </w:pPr>
            <w:r>
              <w:rPr>
                <w:rFonts w:hint="eastAsia" w:ascii="Times New Roman" w:hAnsi="Times New Roman" w:cs="宋体"/>
                <w:color w:val="auto"/>
                <w:szCs w:val="21"/>
              </w:rPr>
              <w:t>14</w:t>
            </w:r>
          </w:p>
        </w:tc>
        <w:tc>
          <w:tcPr>
            <w:tcW w:w="118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color w:val="auto"/>
                <w:szCs w:val="21"/>
              </w:rPr>
            </w:pPr>
          </w:p>
        </w:tc>
        <w:tc>
          <w:tcPr>
            <w:tcW w:w="15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ascii="Times New Roman" w:hAnsi="Times New Roman" w:cs="宋体"/>
                <w:color w:val="auto"/>
                <w:kern w:val="0"/>
                <w:szCs w:val="21"/>
              </w:rPr>
            </w:pPr>
            <w:r>
              <w:rPr>
                <w:rFonts w:hint="eastAsia" w:ascii="Times New Roman" w:hAnsi="Times New Roman" w:cs="宋体"/>
                <w:color w:val="auto"/>
                <w:kern w:val="0"/>
                <w:szCs w:val="21"/>
              </w:rPr>
              <w:t>自筹资金是否落实到位</w:t>
            </w:r>
          </w:p>
        </w:tc>
        <w:tc>
          <w:tcPr>
            <w:tcW w:w="78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color w:val="auto"/>
                <w:kern w:val="0"/>
                <w:szCs w:val="21"/>
              </w:rPr>
            </w:pPr>
            <w:r>
              <w:rPr>
                <w:rFonts w:hint="eastAsia" w:ascii="Times New Roman" w:hAnsi="Times New Roman" w:cs="宋体"/>
                <w:color w:val="auto"/>
                <w:kern w:val="0"/>
                <w:szCs w:val="21"/>
              </w:rPr>
              <w:t>1、提供自筹资金书面承诺函，得2分；</w:t>
            </w:r>
            <w:r>
              <w:rPr>
                <w:rFonts w:hint="eastAsia" w:ascii="Times New Roman" w:hAnsi="Times New Roman" w:cs="宋体"/>
                <w:color w:val="auto"/>
                <w:kern w:val="0"/>
                <w:szCs w:val="21"/>
              </w:rPr>
              <w:br w:type="textWrapping"/>
            </w:r>
            <w:r>
              <w:rPr>
                <w:rFonts w:hint="eastAsia" w:ascii="Times New Roman" w:hAnsi="Times New Roman" w:cs="宋体"/>
                <w:color w:val="auto"/>
                <w:kern w:val="0"/>
                <w:szCs w:val="21"/>
              </w:rPr>
              <w:t>2、不提供，得0分。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color w:val="auto"/>
                <w:kern w:val="0"/>
                <w:szCs w:val="21"/>
              </w:rPr>
            </w:pPr>
            <w:r>
              <w:rPr>
                <w:rFonts w:hint="eastAsia" w:ascii="Times New Roman" w:hAnsi="Times New Roman" w:cs="宋体"/>
                <w:color w:val="auto"/>
                <w:kern w:val="0"/>
                <w:szCs w:val="21"/>
              </w:rPr>
              <w:t>2</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color w:val="auto"/>
                <w:szCs w:val="21"/>
              </w:rPr>
            </w:pPr>
          </w:p>
        </w:tc>
      </w:tr>
      <w:tr>
        <w:tblPrEx>
          <w:tblCellMar>
            <w:top w:w="0" w:type="dxa"/>
            <w:left w:w="0" w:type="dxa"/>
            <w:bottom w:w="0" w:type="dxa"/>
            <w:right w:w="0" w:type="dxa"/>
          </w:tblCellMar>
        </w:tblPrEx>
        <w:trPr>
          <w:trHeight w:val="90" w:hRule="atLeast"/>
        </w:trPr>
        <w:tc>
          <w:tcPr>
            <w:tcW w:w="11545"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bCs/>
                <w:kern w:val="0"/>
                <w:szCs w:val="21"/>
              </w:rPr>
            </w:pPr>
            <w:r>
              <w:rPr>
                <w:rFonts w:hint="eastAsia" w:ascii="Times New Roman" w:hAnsi="Times New Roman" w:cs="宋体"/>
                <w:b/>
                <w:bCs/>
                <w:szCs w:val="21"/>
              </w:rPr>
              <w:t>总分</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cs="宋体"/>
                <w:b/>
                <w:bCs/>
                <w:kern w:val="0"/>
                <w:szCs w:val="21"/>
              </w:rPr>
            </w:pPr>
            <w:r>
              <w:rPr>
                <w:rFonts w:hint="eastAsia" w:ascii="Times New Roman" w:hAnsi="Times New Roman" w:cs="宋体"/>
                <w:b/>
                <w:bCs/>
                <w:kern w:val="0"/>
                <w:szCs w:val="21"/>
              </w:rPr>
              <w:t>100</w:t>
            </w:r>
          </w:p>
        </w:tc>
        <w:tc>
          <w:tcPr>
            <w:tcW w:w="7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szCs w:val="21"/>
              </w:rPr>
            </w:pPr>
          </w:p>
        </w:tc>
        <w:tc>
          <w:tcPr>
            <w:tcW w:w="7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ascii="Times New Roman" w:hAnsi="Times New Roman" w:cs="宋体"/>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b/>
                <w:szCs w:val="21"/>
              </w:rPr>
            </w:pPr>
            <w:r>
              <w:rPr>
                <w:rFonts w:hint="eastAsia" w:ascii="Times New Roman" w:hAnsi="Times New Roman" w:cs="宋体"/>
                <w:b/>
                <w:kern w:val="0"/>
                <w:szCs w:val="21"/>
              </w:rPr>
              <w:t>评审意见</w:t>
            </w:r>
          </w:p>
        </w:tc>
        <w:tc>
          <w:tcPr>
            <w:tcW w:w="129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b/>
                <w:szCs w:val="21"/>
              </w:rPr>
            </w:pPr>
          </w:p>
        </w:tc>
      </w:tr>
      <w:tr>
        <w:tblPrEx>
          <w:tblCellMar>
            <w:top w:w="0" w:type="dxa"/>
            <w:left w:w="0" w:type="dxa"/>
            <w:bottom w:w="0" w:type="dxa"/>
            <w:right w:w="0" w:type="dxa"/>
          </w:tblCellMar>
        </w:tblPrEx>
        <w:trPr>
          <w:trHeight w:val="90" w:hRule="atLeast"/>
        </w:trPr>
        <w:tc>
          <w:tcPr>
            <w:tcW w:w="9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Times New Roman" w:hAnsi="Times New Roman" w:cs="宋体"/>
                <w:b/>
                <w:szCs w:val="21"/>
              </w:rPr>
            </w:pPr>
            <w:r>
              <w:rPr>
                <w:rFonts w:hint="eastAsia" w:ascii="Times New Roman" w:hAnsi="Times New Roman" w:cs="宋体"/>
                <w:b/>
                <w:kern w:val="0"/>
                <w:szCs w:val="21"/>
              </w:rPr>
              <w:t>专家签名</w:t>
            </w:r>
          </w:p>
        </w:tc>
        <w:tc>
          <w:tcPr>
            <w:tcW w:w="12923"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cs="宋体"/>
                <w:b/>
                <w:szCs w:val="21"/>
              </w:rPr>
            </w:pPr>
          </w:p>
        </w:tc>
      </w:tr>
      <w:tr>
        <w:tblPrEx>
          <w:tblCellMar>
            <w:top w:w="0" w:type="dxa"/>
            <w:left w:w="0" w:type="dxa"/>
            <w:bottom w:w="0" w:type="dxa"/>
            <w:right w:w="0" w:type="dxa"/>
          </w:tblCellMar>
        </w:tblPrEx>
        <w:trPr>
          <w:trHeight w:val="90" w:hRule="atLeast"/>
        </w:trPr>
        <w:tc>
          <w:tcPr>
            <w:tcW w:w="13896"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right"/>
              <w:textAlignment w:val="center"/>
              <w:rPr>
                <w:rFonts w:ascii="Times New Roman" w:hAnsi="Times New Roman" w:cs="宋体"/>
                <w:b/>
                <w:szCs w:val="21"/>
              </w:rPr>
            </w:pPr>
            <w:r>
              <w:rPr>
                <w:rFonts w:hint="eastAsia" w:ascii="Times New Roman" w:hAnsi="Times New Roman" w:cs="宋体"/>
                <w:b/>
                <w:kern w:val="0"/>
                <w:szCs w:val="21"/>
              </w:rPr>
              <w:t>日期：   年    月    日</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C60687"/>
    <w:multiLevelType w:val="singleLevel"/>
    <w:tmpl w:val="95C60687"/>
    <w:lvl w:ilvl="0" w:tentative="0">
      <w:start w:val="1"/>
      <w:numFmt w:val="decimal"/>
      <w:suff w:val="nothing"/>
      <w:lvlText w:val="%1、"/>
      <w:lvlJc w:val="left"/>
    </w:lvl>
  </w:abstractNum>
  <w:abstractNum w:abstractNumId="1">
    <w:nsid w:val="D892036C"/>
    <w:multiLevelType w:val="singleLevel"/>
    <w:tmpl w:val="D892036C"/>
    <w:lvl w:ilvl="0" w:tentative="0">
      <w:start w:val="1"/>
      <w:numFmt w:val="decimal"/>
      <w:suff w:val="nothing"/>
      <w:lvlText w:val="%1、"/>
      <w:lvlJc w:val="left"/>
    </w:lvl>
  </w:abstractNum>
  <w:abstractNum w:abstractNumId="2">
    <w:nsid w:val="E3F4F100"/>
    <w:multiLevelType w:val="singleLevel"/>
    <w:tmpl w:val="E3F4F100"/>
    <w:lvl w:ilvl="0" w:tentative="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iMTE1MjRlOGM4ZjBlNzI3YWU3MTRhNWQ0MDMyNGMifQ=="/>
  </w:docVars>
  <w:rsids>
    <w:rsidRoot w:val="7DD9492A"/>
    <w:rsid w:val="7DD94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2022-11-22T02:24:00Z</dcterms:created>
  <dc:creator>Administrator</dc:creator>
  <cp:lastModifiedBy>Administrator</cp:lastModifiedBy>
  <dcterms:modified xsi:type="dcterms:W3CDTF">2022-11-22T02:25:09Z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D881D7ED18244E5E84A1BBEEFB888D91</vt:lpwstr>
  </property>
</Properties>
</file>