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南雄市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国投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招聘管理人员的薪酬和有关要求的特别说明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楷体_GB2312" w:hAnsi="楷体_GB2312" w:eastAsia="楷体_GB2312" w:cs="楷体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default" w:ascii="仿宋_GB2312" w:hAnsi="黑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一、薪酬标准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textAlignment w:val="baseline"/>
        <w:rPr>
          <w:rFonts w:ascii="仿宋_GB2312" w:hAnsi="黑体" w:eastAsia="仿宋_GB2312" w:cs="仿宋"/>
          <w:color w:val="000000"/>
          <w:sz w:val="32"/>
          <w:szCs w:val="32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南雄市国投公司财务总监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职务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税前年收入（含五险二金）上限为28.5万元，采用基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本年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薪+绩效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年薪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+任期激励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的方式发放，其中基本年薪14.25万元、绩效年薪上限为8.55万元、任期激励收入上限为5.7万元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发放的具体事宜在合同中体现。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ascii="仿宋_GB2312" w:hAnsi="黑体" w:eastAsia="仿宋_GB2312" w:cs="仿宋"/>
          <w:color w:val="000000"/>
          <w:sz w:val="32"/>
          <w:szCs w:val="32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南雄市兴雄公司和南雄市农业发展公司总经理职务税前年收入（含五险二金）上限为45万元，采用基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本年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薪+绩效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年薪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+任期激励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的方式发放，其中基本年薪15万元，绩效年薪上限为18万元，任期激励收入上限为12万元。发放的具体事宜在合同中体现。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南雄市南雄迎宾馆总经理职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务年薪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采用基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本年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薪+绩效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年薪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+任期激励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的方式发放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三年聘期内薪酬：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1）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第一年（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2023年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黑体" w:cs="仿宋"/>
          <w:color w:val="000000"/>
          <w:sz w:val="32"/>
          <w:szCs w:val="32"/>
          <w:lang w:eastAsia="zh-CN"/>
        </w:rPr>
        <w:t>南雄迎宾馆年度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净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利润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达到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400万元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，第二年（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2024年）、第三年（2025年）</w:t>
      </w:r>
      <w:r>
        <w:rPr>
          <w:rFonts w:hint="eastAsia" w:ascii="仿宋_GB2312" w:hAnsi="黑体" w:cs="仿宋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净利润逐年递增5%，即2024年</w:t>
      </w:r>
      <w:r>
        <w:rPr>
          <w:rFonts w:hint="eastAsia" w:ascii="仿宋_GB2312" w:hAnsi="黑体" w:cs="仿宋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净利润达到420万元，2025年</w:t>
      </w:r>
      <w:r>
        <w:rPr>
          <w:rFonts w:hint="eastAsia" w:ascii="仿宋_GB2312" w:hAnsi="黑体" w:cs="仿宋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净利润达到441万元，总经理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税前年收入（含五险二金）可达45万元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其中基本年薪15万元，绩效年薪上限为18万元，任期激励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收入上限为12万元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ascii="仿宋_GB2312" w:hAnsi="黑体" w:eastAsia="仿宋_GB2312" w:cs="仿宋"/>
          <w:color w:val="000000"/>
          <w:sz w:val="32"/>
          <w:szCs w:val="32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（2）若</w:t>
      </w:r>
      <w:r>
        <w:rPr>
          <w:rFonts w:hint="eastAsia" w:ascii="仿宋_GB2312" w:hAnsi="黑体" w:cs="仿宋"/>
          <w:color w:val="000000"/>
          <w:sz w:val="32"/>
          <w:szCs w:val="32"/>
          <w:lang w:val="en-US" w:eastAsia="zh-CN"/>
        </w:rPr>
        <w:t>南雄迎宾馆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黑体" w:cs="仿宋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净利润超过400万元，2024年</w:t>
      </w:r>
      <w:r>
        <w:rPr>
          <w:rFonts w:hint="eastAsia" w:ascii="仿宋_GB2312" w:hAnsi="黑体" w:cs="仿宋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净利润超过420万元，2025年</w:t>
      </w:r>
      <w:r>
        <w:rPr>
          <w:rFonts w:hint="eastAsia" w:ascii="仿宋_GB2312" w:hAnsi="黑体" w:cs="仿宋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净利润超过441万元，每年</w:t>
      </w:r>
      <w:r>
        <w:rPr>
          <w:rFonts w:hint="eastAsia" w:ascii="仿宋_GB2312" w:hAnsi="仿宋_GB2312" w:eastAsia="仿宋_GB2312" w:cs="仿宋_GB2312"/>
          <w:sz w:val="32"/>
          <w:szCs w:val="32"/>
        </w:rPr>
        <w:t>可提取超额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净</w:t>
      </w:r>
      <w:r>
        <w:rPr>
          <w:rFonts w:hint="eastAsia" w:ascii="仿宋_GB2312" w:hAnsi="仿宋_GB2312" w:eastAsia="仿宋_GB2312" w:cs="仿宋_GB2312"/>
          <w:sz w:val="32"/>
          <w:szCs w:val="32"/>
        </w:rPr>
        <w:t>利润的50%作为公司全体干部职工绩效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，其中总经理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税前年收入（含五险二金）上限为100万元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仿宋"/>
          <w:color w:val="000000"/>
          <w:sz w:val="32"/>
          <w:szCs w:val="32"/>
        </w:rPr>
        <w:t>发放的具体事宜在合同中体现。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17" w:firstLineChars="25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薪酬支付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基本年薪按月支付；绩效年薪根据各公司完成年度考核指标情况，按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年度工作考核综合得分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一次性兑现发放；任期激励收入在任期满三年后,根据该三年任期内的年度考核平均分一次性支付。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17" w:firstLineChars="25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考核指标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年度工作考核总分为 100 分。年度工作考核内容包括党建工作和经济指标。其中：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党建工作 30 分。主要考核各公司党的基层组织建设工作、党风廉政建设和反腐败工作、意识形态工作和政府指令性工作完成情况。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2、经济指标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val="en-US" w:eastAsia="zh-CN"/>
        </w:rPr>
        <w:t>70分</w:t>
      </w: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。考核各公司各项经济任务完成情况。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（1）企业经营情况（25 分）。考核企业经营能力，主要是考核企业负债率的控制、国有资本的做优做强、盈利能力；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（2）企业投融资及防范化解风险情况（20 分）。考核企业项目选择决策能力、投融资能力。制定防范化解风险措施，严格执行能力；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>（3）企业统筹能力（25 分）。企业按计划完成上缴国有资本预算收益情况。</w:t>
      </w:r>
    </w:p>
    <w:p>
      <w:pPr>
        <w:numPr>
          <w:ilvl w:val="0"/>
          <w:numId w:val="0"/>
        </w:numPr>
        <w:ind w:firstLine="654" w:firstLineChars="200"/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474" w:gutter="0"/>
      <w:pgNumType w:fmt="decimal" w:start="1"/>
      <w:cols w:space="0" w:num="1"/>
      <w:rtlGutter w:val="0"/>
      <w:docGrid w:type="linesAndChars" w:linePitch="607" w:charSpace="1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169035" cy="2501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jc w:val="right"/>
                            <w:textAlignment w:val="auto"/>
                            <w:outlineLvl w:val="9"/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t>—　</w:t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t>　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9.7pt;width:92.05pt;mso-position-horizontal:outside;mso-position-horizontal-relative:margin;z-index:251659264;mso-width-relative:page;mso-height-relative:page;" filled="f" stroked="f" coordsize="21600,21600" o:gfxdata="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Rah+n1wAAAAcBAAAPAAAAAAAAAAEAIAAAACIAAABkcnMvZG93bnJldi54bWxQSwEC&#10;FAAUAAAACACHTuJAwYaUC7wBAABy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jc w:val="right"/>
                      <w:textAlignment w:val="auto"/>
                      <w:outlineLvl w:val="9"/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t>—　</w:t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DC9B17"/>
    <w:multiLevelType w:val="singleLevel"/>
    <w:tmpl w:val="A5DC9B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73173F02"/>
    <w:rsid w:val="731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2022-07-13T08:44:00Z</dcterms:created>
  <dc:creator>Administrator</dc:creator>
  <cp:lastModifiedBy>Administrator</cp:lastModifiedBy>
  <dcterms:modified xsi:type="dcterms:W3CDTF">2022-07-13T08:44:58Z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DE98FE33BA884A6497C23D3CBD7D3DB9</vt:lpwstr>
  </property>
</Properties>
</file>