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sz w:val="20"/>
        </w:rPr>
      </w:pPr>
    </w:p>
    <w:p>
      <w:pPr>
        <w:jc w:val="center"/>
        <w:rPr>
          <w:rFonts w:ascii="Times New Roman"/>
          <w:sz w:val="20"/>
        </w:rPr>
      </w:pPr>
    </w:p>
    <w:p>
      <w:pPr>
        <w:jc w:val="center"/>
        <w:rPr>
          <w:rFonts w:ascii="Times New Roman"/>
          <w:sz w:val="20"/>
        </w:rPr>
      </w:pPr>
    </w:p>
    <w:p>
      <w:pPr>
        <w:jc w:val="center"/>
      </w:pPr>
      <w:r>
        <w:rPr>
          <w:rFonts w:ascii="Times New Roman"/>
          <w:sz w:val="20"/>
        </w:rPr>
        <w:drawing>
          <wp:inline distT="0" distB="0" distL="0" distR="0">
            <wp:extent cx="1868170" cy="1974850"/>
            <wp:effectExtent l="0" t="0" r="635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68586" cy="1975103"/>
                    </a:xfrm>
                    <a:prstGeom prst="rect">
                      <a:avLst/>
                    </a:prstGeom>
                  </pic:spPr>
                </pic:pic>
              </a:graphicData>
            </a:graphic>
          </wp:inline>
        </w:drawing>
      </w:r>
    </w:p>
    <w:p>
      <w:pPr>
        <w:jc w:val="center"/>
      </w:pPr>
    </w:p>
    <w:p>
      <w:pPr>
        <w:jc w:val="center"/>
      </w:pPr>
    </w:p>
    <w:p>
      <w:pPr>
        <w:jc w:val="center"/>
      </w:pPr>
    </w:p>
    <w:p>
      <w:pPr>
        <w:jc w:val="center"/>
      </w:pPr>
    </w:p>
    <w:p>
      <w:pPr>
        <w:jc w:val="center"/>
        <w:rPr>
          <w:rFonts w:hint="eastAsia" w:ascii="方正小标宋简体" w:hAnsi="方正小标宋简体" w:eastAsia="方正小标宋简体" w:cs="方正小标宋简体"/>
          <w:spacing w:val="20"/>
          <w:sz w:val="84"/>
          <w:szCs w:val="84"/>
          <w:lang w:val="en-US" w:eastAsia="zh-CN"/>
        </w:rPr>
      </w:pPr>
      <w:r>
        <w:rPr>
          <w:rFonts w:hint="eastAsia" w:ascii="方正小标宋简体" w:hAnsi="方正小标宋简体" w:eastAsia="方正小标宋简体" w:cs="方正小标宋简体"/>
          <w:spacing w:val="20"/>
          <w:sz w:val="84"/>
          <w:szCs w:val="84"/>
          <w:lang w:val="en-US" w:eastAsia="zh-CN"/>
        </w:rPr>
        <w:t>南雄市人民政府公报</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黑体"/>
          <w:sz w:val="52"/>
          <w:szCs w:val="52"/>
          <w:lang w:val="en-US" w:eastAsia="zh-CN"/>
        </w:rPr>
      </w:pPr>
      <w:r>
        <mc:AlternateContent>
          <mc:Choice Requires="wps">
            <w:drawing>
              <wp:anchor distT="0" distB="0" distL="114300" distR="114300" simplePos="0" relativeHeight="251665408" behindDoc="0" locked="0" layoutInCell="1" allowOverlap="1">
                <wp:simplePos x="0" y="0"/>
                <wp:positionH relativeFrom="page">
                  <wp:posOffset>3044825</wp:posOffset>
                </wp:positionH>
                <wp:positionV relativeFrom="paragraph">
                  <wp:posOffset>146050</wp:posOffset>
                </wp:positionV>
                <wp:extent cx="760730" cy="316865"/>
                <wp:effectExtent l="0" t="0" r="1270" b="3175"/>
                <wp:wrapTopAndBottom/>
                <wp:docPr id="5" name="任意多边形 5"/>
                <wp:cNvGraphicFramePr/>
                <a:graphic xmlns:a="http://schemas.openxmlformats.org/drawingml/2006/main">
                  <a:graphicData uri="http://schemas.microsoft.com/office/word/2010/wordprocessingShape">
                    <wps:wsp>
                      <wps:cNvSpPr/>
                      <wps:spPr>
                        <a:xfrm>
                          <a:off x="0" y="0"/>
                          <a:ext cx="760730" cy="316865"/>
                        </a:xfrm>
                        <a:custGeom>
                          <a:avLst/>
                          <a:gdLst/>
                          <a:ahLst/>
                          <a:cxnLst/>
                          <a:pathLst>
                            <a:path w="1198" h="499">
                              <a:moveTo>
                                <a:pt x="485" y="82"/>
                              </a:moveTo>
                              <a:lnTo>
                                <a:pt x="194" y="82"/>
                              </a:lnTo>
                              <a:lnTo>
                                <a:pt x="252" y="89"/>
                              </a:lnTo>
                              <a:lnTo>
                                <a:pt x="295" y="107"/>
                              </a:lnTo>
                              <a:lnTo>
                                <a:pt x="324" y="135"/>
                              </a:lnTo>
                              <a:lnTo>
                                <a:pt x="338" y="175"/>
                              </a:lnTo>
                              <a:lnTo>
                                <a:pt x="334" y="208"/>
                              </a:lnTo>
                              <a:lnTo>
                                <a:pt x="309" y="248"/>
                              </a:lnTo>
                              <a:lnTo>
                                <a:pt x="263" y="295"/>
                              </a:lnTo>
                              <a:lnTo>
                                <a:pt x="196" y="349"/>
                              </a:lnTo>
                              <a:lnTo>
                                <a:pt x="108" y="411"/>
                              </a:lnTo>
                              <a:lnTo>
                                <a:pt x="0" y="479"/>
                              </a:lnTo>
                              <a:lnTo>
                                <a:pt x="0" y="496"/>
                              </a:lnTo>
                              <a:lnTo>
                                <a:pt x="495" y="496"/>
                              </a:lnTo>
                              <a:lnTo>
                                <a:pt x="527" y="400"/>
                              </a:lnTo>
                              <a:lnTo>
                                <a:pt x="171" y="400"/>
                              </a:lnTo>
                              <a:lnTo>
                                <a:pt x="361" y="291"/>
                              </a:lnTo>
                              <a:lnTo>
                                <a:pt x="423" y="250"/>
                              </a:lnTo>
                              <a:lnTo>
                                <a:pt x="467" y="211"/>
                              </a:lnTo>
                              <a:lnTo>
                                <a:pt x="493" y="173"/>
                              </a:lnTo>
                              <a:lnTo>
                                <a:pt x="500" y="136"/>
                              </a:lnTo>
                              <a:lnTo>
                                <a:pt x="485" y="82"/>
                              </a:lnTo>
                              <a:close/>
                              <a:moveTo>
                                <a:pt x="546" y="344"/>
                              </a:moveTo>
                              <a:lnTo>
                                <a:pt x="518" y="344"/>
                              </a:lnTo>
                              <a:lnTo>
                                <a:pt x="501" y="372"/>
                              </a:lnTo>
                              <a:lnTo>
                                <a:pt x="467" y="391"/>
                              </a:lnTo>
                              <a:lnTo>
                                <a:pt x="418" y="400"/>
                              </a:lnTo>
                              <a:lnTo>
                                <a:pt x="352" y="400"/>
                              </a:lnTo>
                              <a:lnTo>
                                <a:pt x="527" y="400"/>
                              </a:lnTo>
                              <a:lnTo>
                                <a:pt x="546" y="344"/>
                              </a:lnTo>
                              <a:close/>
                              <a:moveTo>
                                <a:pt x="278" y="0"/>
                              </a:moveTo>
                              <a:lnTo>
                                <a:pt x="197" y="10"/>
                              </a:lnTo>
                              <a:lnTo>
                                <a:pt x="127" y="37"/>
                              </a:lnTo>
                              <a:lnTo>
                                <a:pt x="68" y="83"/>
                              </a:lnTo>
                              <a:lnTo>
                                <a:pt x="19" y="147"/>
                              </a:lnTo>
                              <a:lnTo>
                                <a:pt x="51" y="147"/>
                              </a:lnTo>
                              <a:lnTo>
                                <a:pt x="79" y="120"/>
                              </a:lnTo>
                              <a:lnTo>
                                <a:pt x="112" y="100"/>
                              </a:lnTo>
                              <a:lnTo>
                                <a:pt x="151" y="87"/>
                              </a:lnTo>
                              <a:lnTo>
                                <a:pt x="194" y="82"/>
                              </a:lnTo>
                              <a:lnTo>
                                <a:pt x="485" y="82"/>
                              </a:lnTo>
                              <a:lnTo>
                                <a:pt x="484" y="81"/>
                              </a:lnTo>
                              <a:lnTo>
                                <a:pt x="442" y="40"/>
                              </a:lnTo>
                              <a:lnTo>
                                <a:pt x="373" y="13"/>
                              </a:lnTo>
                              <a:lnTo>
                                <a:pt x="278" y="0"/>
                              </a:lnTo>
                              <a:close/>
                              <a:moveTo>
                                <a:pt x="929" y="0"/>
                              </a:moveTo>
                              <a:lnTo>
                                <a:pt x="850" y="13"/>
                              </a:lnTo>
                              <a:lnTo>
                                <a:pt x="784" y="38"/>
                              </a:lnTo>
                              <a:lnTo>
                                <a:pt x="733" y="74"/>
                              </a:lnTo>
                              <a:lnTo>
                                <a:pt x="695" y="123"/>
                              </a:lnTo>
                              <a:lnTo>
                                <a:pt x="671" y="184"/>
                              </a:lnTo>
                              <a:lnTo>
                                <a:pt x="661" y="257"/>
                              </a:lnTo>
                              <a:lnTo>
                                <a:pt x="678" y="339"/>
                              </a:lnTo>
                              <a:lnTo>
                                <a:pt x="713" y="405"/>
                              </a:lnTo>
                              <a:lnTo>
                                <a:pt x="766" y="453"/>
                              </a:lnTo>
                              <a:lnTo>
                                <a:pt x="838" y="485"/>
                              </a:lnTo>
                              <a:lnTo>
                                <a:pt x="929" y="499"/>
                              </a:lnTo>
                              <a:lnTo>
                                <a:pt x="1006" y="489"/>
                              </a:lnTo>
                              <a:lnTo>
                                <a:pt x="1018" y="485"/>
                              </a:lnTo>
                              <a:lnTo>
                                <a:pt x="929" y="485"/>
                              </a:lnTo>
                              <a:lnTo>
                                <a:pt x="893" y="478"/>
                              </a:lnTo>
                              <a:lnTo>
                                <a:pt x="868" y="450"/>
                              </a:lnTo>
                              <a:lnTo>
                                <a:pt x="854" y="403"/>
                              </a:lnTo>
                              <a:lnTo>
                                <a:pt x="851" y="339"/>
                              </a:lnTo>
                              <a:lnTo>
                                <a:pt x="851" y="172"/>
                              </a:lnTo>
                              <a:lnTo>
                                <a:pt x="854" y="105"/>
                              </a:lnTo>
                              <a:lnTo>
                                <a:pt x="868" y="57"/>
                              </a:lnTo>
                              <a:lnTo>
                                <a:pt x="893" y="29"/>
                              </a:lnTo>
                              <a:lnTo>
                                <a:pt x="929" y="20"/>
                              </a:lnTo>
                              <a:lnTo>
                                <a:pt x="1024" y="20"/>
                              </a:lnTo>
                              <a:lnTo>
                                <a:pt x="1007" y="14"/>
                              </a:lnTo>
                              <a:lnTo>
                                <a:pt x="929" y="0"/>
                              </a:lnTo>
                              <a:close/>
                              <a:moveTo>
                                <a:pt x="1024" y="20"/>
                              </a:moveTo>
                              <a:lnTo>
                                <a:pt x="929" y="20"/>
                              </a:lnTo>
                              <a:lnTo>
                                <a:pt x="965" y="27"/>
                              </a:lnTo>
                              <a:lnTo>
                                <a:pt x="990" y="55"/>
                              </a:lnTo>
                              <a:lnTo>
                                <a:pt x="1005" y="104"/>
                              </a:lnTo>
                              <a:lnTo>
                                <a:pt x="1008" y="172"/>
                              </a:lnTo>
                              <a:lnTo>
                                <a:pt x="1008" y="339"/>
                              </a:lnTo>
                              <a:lnTo>
                                <a:pt x="1007" y="364"/>
                              </a:lnTo>
                              <a:lnTo>
                                <a:pt x="1004" y="391"/>
                              </a:lnTo>
                              <a:lnTo>
                                <a:pt x="1000" y="419"/>
                              </a:lnTo>
                              <a:lnTo>
                                <a:pt x="994" y="445"/>
                              </a:lnTo>
                              <a:lnTo>
                                <a:pt x="985" y="463"/>
                              </a:lnTo>
                              <a:lnTo>
                                <a:pt x="971" y="475"/>
                              </a:lnTo>
                              <a:lnTo>
                                <a:pt x="952" y="482"/>
                              </a:lnTo>
                              <a:lnTo>
                                <a:pt x="929" y="485"/>
                              </a:lnTo>
                              <a:lnTo>
                                <a:pt x="1018" y="485"/>
                              </a:lnTo>
                              <a:lnTo>
                                <a:pt x="1070" y="467"/>
                              </a:lnTo>
                              <a:lnTo>
                                <a:pt x="1121" y="433"/>
                              </a:lnTo>
                              <a:lnTo>
                                <a:pt x="1160" y="386"/>
                              </a:lnTo>
                              <a:lnTo>
                                <a:pt x="1185" y="328"/>
                              </a:lnTo>
                              <a:lnTo>
                                <a:pt x="1197" y="257"/>
                              </a:lnTo>
                              <a:lnTo>
                                <a:pt x="1186" y="185"/>
                              </a:lnTo>
                              <a:lnTo>
                                <a:pt x="1162" y="124"/>
                              </a:lnTo>
                              <a:lnTo>
                                <a:pt x="1124" y="76"/>
                              </a:lnTo>
                              <a:lnTo>
                                <a:pt x="1072" y="39"/>
                              </a:lnTo>
                              <a:lnTo>
                                <a:pt x="1024" y="20"/>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239.75pt;margin-top:11.5pt;height:24.95pt;width:59.9pt;mso-position-horizontal-relative:page;mso-wrap-distance-bottom:0pt;mso-wrap-distance-top:0pt;z-index:251665408;mso-width-relative:page;mso-height-relative:page;" fillcolor="#231F20" filled="t" stroked="f" coordsize="1198,499" o:gfxdata="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hagSKNgAAAAJAQAADwAAAAAAAAABACAAAAAiAAAAZHJzL2Rvd25yZXYu&#10;eG1sUEsBAhQAFAAAAAgAh07iQONi8ZqnBAAAMxMAAA4AAAAAAAAAAQAgAAAAJwEAAGRycy9lMm9E&#10;b2MueG1sUEsFBgAAAAAGAAYAWQEAAEAIAAAAAA==&#10;" path="m485,82l194,82,252,89,295,107,324,135,338,175,334,208,309,248,263,295,196,349,108,411,0,479,0,496,495,496,527,400,171,400,361,291,423,250,467,211,493,173,500,136,485,82xm546,344l518,344,501,372,467,391,418,400,352,400,527,400,546,344xm278,0l197,10,127,37,68,83,19,147,51,147,79,120,112,100,151,87,194,82,485,82,484,81,442,40,373,13,278,0xm929,0l850,13,784,38,733,74,695,123,671,184,661,257,678,339,713,405,766,453,838,485,929,499,1006,489,1018,485,929,485,893,478,868,450,854,403,851,339,851,172,854,105,868,57,893,29,929,20,1024,20,1007,14,929,0xm1024,20l929,20,965,27,990,55,1005,104,1008,172,1008,339,1007,364,1004,391,1000,419,994,445,985,463,971,475,952,482,929,485,1018,485,1070,467,1121,433,1160,386,1185,328,1197,257,1186,185,1162,124,1124,76,1072,39,1024,20xe">
                <v:fill on="t" focussize="0,0"/>
                <v:stroke on="f"/>
                <v:imagedata o:title=""/>
                <o:lock v:ext="edit" aspectratio="f"/>
                <w10:wrap type="topAndBottom"/>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ragraph">
                  <wp:posOffset>138430</wp:posOffset>
                </wp:positionV>
                <wp:extent cx="760730" cy="316865"/>
                <wp:effectExtent l="0" t="0" r="1270" b="3175"/>
                <wp:wrapTopAndBottom/>
                <wp:docPr id="6" name="任意多边形 6"/>
                <wp:cNvGraphicFramePr/>
                <a:graphic xmlns:a="http://schemas.openxmlformats.org/drawingml/2006/main">
                  <a:graphicData uri="http://schemas.microsoft.com/office/word/2010/wordprocessingShape">
                    <wps:wsp>
                      <wps:cNvSpPr/>
                      <wps:spPr>
                        <a:xfrm>
                          <a:off x="0" y="0"/>
                          <a:ext cx="760730" cy="316865"/>
                        </a:xfrm>
                        <a:custGeom>
                          <a:avLst/>
                          <a:gdLst/>
                          <a:ahLst/>
                          <a:cxnLst/>
                          <a:pathLst>
                            <a:path w="1198" h="499">
                              <a:moveTo>
                                <a:pt x="485" y="82"/>
                              </a:moveTo>
                              <a:lnTo>
                                <a:pt x="194" y="82"/>
                              </a:lnTo>
                              <a:lnTo>
                                <a:pt x="252" y="89"/>
                              </a:lnTo>
                              <a:lnTo>
                                <a:pt x="295" y="107"/>
                              </a:lnTo>
                              <a:lnTo>
                                <a:pt x="324" y="135"/>
                              </a:lnTo>
                              <a:lnTo>
                                <a:pt x="338" y="175"/>
                              </a:lnTo>
                              <a:lnTo>
                                <a:pt x="334" y="208"/>
                              </a:lnTo>
                              <a:lnTo>
                                <a:pt x="309" y="248"/>
                              </a:lnTo>
                              <a:lnTo>
                                <a:pt x="263" y="295"/>
                              </a:lnTo>
                              <a:lnTo>
                                <a:pt x="196" y="349"/>
                              </a:lnTo>
                              <a:lnTo>
                                <a:pt x="108" y="411"/>
                              </a:lnTo>
                              <a:lnTo>
                                <a:pt x="0" y="479"/>
                              </a:lnTo>
                              <a:lnTo>
                                <a:pt x="0" y="496"/>
                              </a:lnTo>
                              <a:lnTo>
                                <a:pt x="495" y="496"/>
                              </a:lnTo>
                              <a:lnTo>
                                <a:pt x="527" y="400"/>
                              </a:lnTo>
                              <a:lnTo>
                                <a:pt x="171" y="400"/>
                              </a:lnTo>
                              <a:lnTo>
                                <a:pt x="361" y="291"/>
                              </a:lnTo>
                              <a:lnTo>
                                <a:pt x="423" y="250"/>
                              </a:lnTo>
                              <a:lnTo>
                                <a:pt x="467" y="211"/>
                              </a:lnTo>
                              <a:lnTo>
                                <a:pt x="493" y="173"/>
                              </a:lnTo>
                              <a:lnTo>
                                <a:pt x="500" y="136"/>
                              </a:lnTo>
                              <a:lnTo>
                                <a:pt x="485" y="82"/>
                              </a:lnTo>
                              <a:close/>
                              <a:moveTo>
                                <a:pt x="546" y="344"/>
                              </a:moveTo>
                              <a:lnTo>
                                <a:pt x="518" y="344"/>
                              </a:lnTo>
                              <a:lnTo>
                                <a:pt x="501" y="372"/>
                              </a:lnTo>
                              <a:lnTo>
                                <a:pt x="467" y="391"/>
                              </a:lnTo>
                              <a:lnTo>
                                <a:pt x="418" y="400"/>
                              </a:lnTo>
                              <a:lnTo>
                                <a:pt x="352" y="400"/>
                              </a:lnTo>
                              <a:lnTo>
                                <a:pt x="527" y="400"/>
                              </a:lnTo>
                              <a:lnTo>
                                <a:pt x="546" y="344"/>
                              </a:lnTo>
                              <a:close/>
                              <a:moveTo>
                                <a:pt x="278" y="0"/>
                              </a:moveTo>
                              <a:lnTo>
                                <a:pt x="197" y="10"/>
                              </a:lnTo>
                              <a:lnTo>
                                <a:pt x="127" y="37"/>
                              </a:lnTo>
                              <a:lnTo>
                                <a:pt x="68" y="83"/>
                              </a:lnTo>
                              <a:lnTo>
                                <a:pt x="19" y="147"/>
                              </a:lnTo>
                              <a:lnTo>
                                <a:pt x="51" y="147"/>
                              </a:lnTo>
                              <a:lnTo>
                                <a:pt x="79" y="120"/>
                              </a:lnTo>
                              <a:lnTo>
                                <a:pt x="112" y="100"/>
                              </a:lnTo>
                              <a:lnTo>
                                <a:pt x="151" y="87"/>
                              </a:lnTo>
                              <a:lnTo>
                                <a:pt x="194" y="82"/>
                              </a:lnTo>
                              <a:lnTo>
                                <a:pt x="485" y="82"/>
                              </a:lnTo>
                              <a:lnTo>
                                <a:pt x="484" y="81"/>
                              </a:lnTo>
                              <a:lnTo>
                                <a:pt x="442" y="40"/>
                              </a:lnTo>
                              <a:lnTo>
                                <a:pt x="373" y="13"/>
                              </a:lnTo>
                              <a:lnTo>
                                <a:pt x="278" y="0"/>
                              </a:lnTo>
                              <a:close/>
                              <a:moveTo>
                                <a:pt x="929" y="0"/>
                              </a:moveTo>
                              <a:lnTo>
                                <a:pt x="850" y="13"/>
                              </a:lnTo>
                              <a:lnTo>
                                <a:pt x="784" y="38"/>
                              </a:lnTo>
                              <a:lnTo>
                                <a:pt x="733" y="74"/>
                              </a:lnTo>
                              <a:lnTo>
                                <a:pt x="695" y="123"/>
                              </a:lnTo>
                              <a:lnTo>
                                <a:pt x="671" y="184"/>
                              </a:lnTo>
                              <a:lnTo>
                                <a:pt x="661" y="257"/>
                              </a:lnTo>
                              <a:lnTo>
                                <a:pt x="678" y="339"/>
                              </a:lnTo>
                              <a:lnTo>
                                <a:pt x="713" y="405"/>
                              </a:lnTo>
                              <a:lnTo>
                                <a:pt x="766" y="453"/>
                              </a:lnTo>
                              <a:lnTo>
                                <a:pt x="838" y="485"/>
                              </a:lnTo>
                              <a:lnTo>
                                <a:pt x="929" y="499"/>
                              </a:lnTo>
                              <a:lnTo>
                                <a:pt x="1006" y="489"/>
                              </a:lnTo>
                              <a:lnTo>
                                <a:pt x="1018" y="485"/>
                              </a:lnTo>
                              <a:lnTo>
                                <a:pt x="929" y="485"/>
                              </a:lnTo>
                              <a:lnTo>
                                <a:pt x="893" y="478"/>
                              </a:lnTo>
                              <a:lnTo>
                                <a:pt x="868" y="450"/>
                              </a:lnTo>
                              <a:lnTo>
                                <a:pt x="854" y="403"/>
                              </a:lnTo>
                              <a:lnTo>
                                <a:pt x="851" y="339"/>
                              </a:lnTo>
                              <a:lnTo>
                                <a:pt x="851" y="172"/>
                              </a:lnTo>
                              <a:lnTo>
                                <a:pt x="854" y="105"/>
                              </a:lnTo>
                              <a:lnTo>
                                <a:pt x="868" y="57"/>
                              </a:lnTo>
                              <a:lnTo>
                                <a:pt x="893" y="29"/>
                              </a:lnTo>
                              <a:lnTo>
                                <a:pt x="929" y="20"/>
                              </a:lnTo>
                              <a:lnTo>
                                <a:pt x="1024" y="20"/>
                              </a:lnTo>
                              <a:lnTo>
                                <a:pt x="1007" y="14"/>
                              </a:lnTo>
                              <a:lnTo>
                                <a:pt x="929" y="0"/>
                              </a:lnTo>
                              <a:close/>
                              <a:moveTo>
                                <a:pt x="1024" y="20"/>
                              </a:moveTo>
                              <a:lnTo>
                                <a:pt x="929" y="20"/>
                              </a:lnTo>
                              <a:lnTo>
                                <a:pt x="965" y="27"/>
                              </a:lnTo>
                              <a:lnTo>
                                <a:pt x="990" y="55"/>
                              </a:lnTo>
                              <a:lnTo>
                                <a:pt x="1005" y="104"/>
                              </a:lnTo>
                              <a:lnTo>
                                <a:pt x="1008" y="172"/>
                              </a:lnTo>
                              <a:lnTo>
                                <a:pt x="1008" y="339"/>
                              </a:lnTo>
                              <a:lnTo>
                                <a:pt x="1007" y="364"/>
                              </a:lnTo>
                              <a:lnTo>
                                <a:pt x="1004" y="391"/>
                              </a:lnTo>
                              <a:lnTo>
                                <a:pt x="1000" y="419"/>
                              </a:lnTo>
                              <a:lnTo>
                                <a:pt x="994" y="445"/>
                              </a:lnTo>
                              <a:lnTo>
                                <a:pt x="985" y="463"/>
                              </a:lnTo>
                              <a:lnTo>
                                <a:pt x="971" y="475"/>
                              </a:lnTo>
                              <a:lnTo>
                                <a:pt x="952" y="482"/>
                              </a:lnTo>
                              <a:lnTo>
                                <a:pt x="929" y="485"/>
                              </a:lnTo>
                              <a:lnTo>
                                <a:pt x="1018" y="485"/>
                              </a:lnTo>
                              <a:lnTo>
                                <a:pt x="1070" y="467"/>
                              </a:lnTo>
                              <a:lnTo>
                                <a:pt x="1121" y="433"/>
                              </a:lnTo>
                              <a:lnTo>
                                <a:pt x="1160" y="386"/>
                              </a:lnTo>
                              <a:lnTo>
                                <a:pt x="1185" y="328"/>
                              </a:lnTo>
                              <a:lnTo>
                                <a:pt x="1197" y="257"/>
                              </a:lnTo>
                              <a:lnTo>
                                <a:pt x="1186" y="185"/>
                              </a:lnTo>
                              <a:lnTo>
                                <a:pt x="1162" y="124"/>
                              </a:lnTo>
                              <a:lnTo>
                                <a:pt x="1124" y="76"/>
                              </a:lnTo>
                              <a:lnTo>
                                <a:pt x="1072" y="39"/>
                              </a:lnTo>
                              <a:lnTo>
                                <a:pt x="1024" y="20"/>
                              </a:lnTo>
                              <a:close/>
                            </a:path>
                          </a:pathLst>
                        </a:custGeom>
                        <a:solidFill>
                          <a:srgbClr val="231F20"/>
                        </a:solidFill>
                        <a:ln>
                          <a:noFill/>
                        </a:ln>
                      </wps:spPr>
                      <wps:bodyPr upright="1"/>
                    </wps:wsp>
                  </a:graphicData>
                </a:graphic>
              </wp:anchor>
            </w:drawing>
          </mc:Choice>
          <mc:Fallback>
            <w:pict>
              <v:shape id="_x0000_s1026" o:spid="_x0000_s1026" o:spt="100" style="position:absolute;left:0pt;margin-left:306.95pt;margin-top:10.9pt;height:24.95pt;width:59.9pt;mso-position-horizontal-relative:page;mso-wrap-distance-bottom:0pt;mso-wrap-distance-top:0pt;z-index:-251650048;mso-width-relative:page;mso-height-relative:page;" fillcolor="#231F20" filled="t" stroked="f" coordsize="1198,499" o:gfxdata="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o8h9bdgAAAAJAQAADwAAAAAAAAABACAAAAAiAAAAZHJzL2Rvd25y&#10;ZXYueG1sUEsBAhQAFAAAAAgAh07iQJoFvSqqBAAAMxMAAA4AAAAAAAAAAQAgAAAAJwEAAGRycy9l&#10;Mm9Eb2MueG1sUEsFBgAAAAAGAAYAWQEAAEMIAAAAAA==&#10;" path="m485,82l194,82,252,89,295,107,324,135,338,175,334,208,309,248,263,295,196,349,108,411,0,479,0,496,495,496,527,400,171,400,361,291,423,250,467,211,493,173,500,136,485,82xm546,344l518,344,501,372,467,391,418,400,352,400,527,400,546,344xm278,0l197,10,127,37,68,83,19,147,51,147,79,120,112,100,151,87,194,82,485,82,484,81,442,40,373,13,278,0xm929,0l850,13,784,38,733,74,695,123,671,184,661,257,678,339,713,405,766,453,838,485,929,499,1006,489,1018,485,929,485,893,478,868,450,854,403,851,339,851,172,854,105,868,57,893,29,929,20,1024,20,1007,14,929,0xm1024,20l929,20,965,27,990,55,1005,104,1008,172,1008,339,1007,364,1004,391,1000,419,994,445,985,463,971,475,952,482,929,485,1018,485,1070,467,1121,433,1160,386,1185,328,1197,257,1186,185,1162,124,1124,76,1072,39,1024,20xe">
                <v:fill on="t" focussize="0,0"/>
                <v:stroke on="f"/>
                <v:imagedata o:title=""/>
                <o:lock v:ext="edit" aspectratio="f"/>
                <w10:wrap type="topAndBottom"/>
              </v:shape>
            </w:pict>
          </mc:Fallback>
        </mc:AlternateContent>
      </w:r>
      <w:r>
        <w:rPr>
          <w:rFonts w:hint="eastAsia" w:ascii="黑体" w:hAnsi="黑体" w:eastAsia="黑体" w:cs="黑体"/>
          <w:spacing w:val="-34"/>
          <w:sz w:val="52"/>
          <w:szCs w:val="52"/>
          <w:lang w:val="en-US" w:eastAsia="zh-CN"/>
        </w:rPr>
        <w:t>第1期</w:t>
      </w:r>
    </w:p>
    <w:p>
      <w:pPr>
        <w:jc w:val="both"/>
        <w:rPr>
          <w:rFonts w:hint="default" w:ascii="黑体" w:hAnsi="黑体" w:eastAsia="黑体" w:cs="黑体"/>
          <w:sz w:val="52"/>
          <w:szCs w:val="52"/>
          <w:lang w:val="en-US" w:eastAsia="zh-CN"/>
        </w:rPr>
      </w:pPr>
    </w:p>
    <w:p>
      <w:pPr>
        <w:pStyle w:val="6"/>
        <w:rPr>
          <w:sz w:val="20"/>
        </w:rPr>
      </w:pPr>
    </w:p>
    <w:p>
      <w:pPr>
        <w:pStyle w:val="6"/>
        <w:rPr>
          <w:sz w:val="20"/>
        </w:rPr>
      </w:pPr>
    </w:p>
    <w:p>
      <w:pPr>
        <w:spacing w:after="0"/>
        <w:rPr>
          <w:sz w:val="29"/>
        </w:rPr>
      </w:pPr>
    </w:p>
    <w:p>
      <w:pPr>
        <w:spacing w:after="0"/>
        <w:rPr>
          <w:sz w:val="29"/>
        </w:rPr>
        <w:sectPr>
          <w:headerReference r:id="rId3" w:type="default"/>
          <w:footerReference r:id="rId4" w:type="default"/>
          <w:footerReference r:id="rId5" w:type="even"/>
          <w:pgSz w:w="11910" w:h="16390"/>
          <w:pgMar w:top="1560" w:right="1260" w:bottom="1240" w:left="1220" w:header="0" w:footer="1058" w:gutter="0"/>
          <w:pgNumType w:fmt="numberInDash" w:start="1"/>
          <w:cols w:space="720" w:num="1"/>
        </w:sectPr>
      </w:pPr>
    </w:p>
    <w:p>
      <w:pPr>
        <w:pStyle w:val="3"/>
        <w:bidi w:val="0"/>
        <w:jc w:val="center"/>
        <w:rPr>
          <w:rFonts w:hint="eastAsia" w:ascii="方正小标宋简体" w:hAnsi="方正小标宋简体" w:eastAsia="方正小标宋简体" w:cs="方正小标宋简体"/>
          <w:spacing w:val="11"/>
          <w:sz w:val="21"/>
          <w:szCs w:val="21"/>
          <w:lang w:val="en-US" w:eastAsia="zh-CN"/>
        </w:rPr>
      </w:pPr>
      <w:bookmarkStart w:id="0" w:name="页 2"/>
      <w:bookmarkEnd w:id="0"/>
      <w:r>
        <w:rPr>
          <w:rFonts w:hint="eastAsia" w:ascii="方正小标宋简体" w:hAnsi="方正小标宋简体" w:eastAsia="方正小标宋简体" w:cs="方正小标宋简体"/>
          <w:spacing w:val="11"/>
          <w:sz w:val="21"/>
          <w:szCs w:val="21"/>
          <w:lang w:val="en-US" w:eastAsia="zh-CN"/>
        </w:rPr>
        <w:t xml:space="preserve"> </w:t>
      </w:r>
    </w:p>
    <w:p>
      <w:pPr>
        <w:pStyle w:val="3"/>
        <w:bidi w:val="0"/>
        <w:jc w:val="center"/>
        <w:rPr>
          <w:rFonts w:hint="eastAsia" w:ascii="方正小标宋简体" w:hAnsi="方正小标宋简体" w:eastAsia="方正小标宋简体" w:cs="方正小标宋简体"/>
          <w:spacing w:val="11"/>
          <w:sz w:val="21"/>
          <w:szCs w:val="21"/>
          <w:lang w:val="en-US" w:eastAsia="zh-CN"/>
        </w:rPr>
      </w:pPr>
      <w:r>
        <w:rPr>
          <w:rFonts w:hint="eastAsia" w:ascii="方正小标宋简体" w:hAnsi="方正小标宋简体" w:eastAsia="方正小标宋简体" w:cs="方正小标宋简体"/>
          <w:spacing w:val="11"/>
          <w:sz w:val="21"/>
          <w:szCs w:val="21"/>
          <w:lang w:val="en-US" w:eastAsia="zh-CN"/>
        </w:rPr>
        <w:t xml:space="preserve">  </w:t>
      </w:r>
    </w:p>
    <w:p>
      <w:pPr>
        <w:pStyle w:val="3"/>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pacing w:val="11"/>
          <w:lang w:val="en-US" w:eastAsia="zh-CN"/>
        </w:rPr>
        <w:t>南雄</w:t>
      </w:r>
      <w:r>
        <w:rPr>
          <w:rFonts w:hint="eastAsia" w:ascii="方正小标宋简体" w:hAnsi="方正小标宋简体" w:eastAsia="方正小标宋简体" w:cs="方正小标宋简体"/>
          <w:spacing w:val="11"/>
        </w:rPr>
        <w:t>市人民政府公报</w:t>
      </w:r>
    </w:p>
    <w:p>
      <w:pPr>
        <w:pStyle w:val="6"/>
        <w:spacing w:before="1"/>
        <w:rPr>
          <w:sz w:val="33"/>
        </w:rPr>
      </w:pPr>
    </w:p>
    <w:p>
      <w:pPr>
        <w:pStyle w:val="6"/>
        <w:ind w:right="126" w:firstLine="2160" w:firstLineChars="900"/>
        <w:jc w:val="both"/>
        <w:rPr>
          <w:rFonts w:hint="eastAsia" w:ascii="方正书宋简体" w:hAnsi="方正书宋简体" w:eastAsia="方正书宋简体" w:cs="方正书宋简体"/>
          <w:sz w:val="24"/>
          <w:szCs w:val="24"/>
        </w:rPr>
      </w:pPr>
    </w:p>
    <w:p>
      <w:pPr>
        <w:spacing w:before="60"/>
        <w:ind w:left="912" w:right="0" w:firstLine="0"/>
        <w:jc w:val="left"/>
        <w:rPr>
          <w:sz w:val="32"/>
          <w:szCs w:val="32"/>
        </w:rPr>
      </w:pPr>
      <w:r>
        <w:br w:type="column"/>
      </w:r>
    </w:p>
    <w:p>
      <w:pPr>
        <w:spacing w:before="60"/>
        <w:ind w:right="0" w:firstLine="834" w:firstLineChars="300"/>
        <w:jc w:val="left"/>
        <w:rPr>
          <w:rFonts w:hint="eastAsia" w:ascii="方正书宋简体" w:hAnsi="方正书宋简体" w:eastAsia="方正书宋简体" w:cs="方正书宋简体"/>
          <w:color w:val="231F20"/>
          <w:spacing w:val="9"/>
          <w:position w:val="1"/>
          <w:sz w:val="26"/>
        </w:rPr>
      </w:pPr>
    </w:p>
    <w:p>
      <w:pPr>
        <w:spacing w:before="60"/>
        <w:ind w:right="0" w:firstLine="834" w:firstLineChars="300"/>
        <w:jc w:val="left"/>
        <w:rPr>
          <w:rFonts w:hint="eastAsia" w:ascii="宋体" w:hAnsi="宋体" w:eastAsia="宋体" w:cs="宋体"/>
          <w:sz w:val="26"/>
        </w:rPr>
      </w:pPr>
      <w:r>
        <w:rPr>
          <w:rFonts w:hint="eastAsia" w:ascii="方正书宋简体" w:hAnsi="方正书宋简体" w:eastAsia="方正书宋简体" w:cs="方正书宋简体"/>
          <w:color w:val="231F20"/>
          <w:spacing w:val="9"/>
          <w:position w:val="1"/>
          <w:sz w:val="26"/>
        </w:rPr>
        <w:t>2020</w:t>
      </w:r>
      <w:r>
        <w:rPr>
          <w:rFonts w:hint="eastAsia" w:ascii="方正书宋简体" w:hAnsi="方正书宋简体" w:eastAsia="方正书宋简体" w:cs="方正书宋简体"/>
          <w:color w:val="231F20"/>
          <w:spacing w:val="-47"/>
          <w:position w:val="1"/>
          <w:sz w:val="26"/>
        </w:rPr>
        <w:t xml:space="preserve"> </w:t>
      </w:r>
      <w:r>
        <w:rPr>
          <w:rFonts w:hint="eastAsia" w:ascii="方正书宋简体" w:hAnsi="方正书宋简体" w:eastAsia="方正书宋简体" w:cs="方正书宋简体"/>
          <w:color w:val="231F20"/>
          <w:spacing w:val="11"/>
          <w:sz w:val="26"/>
        </w:rPr>
        <w:t>年第</w:t>
      </w:r>
      <w:r>
        <w:rPr>
          <w:rFonts w:hint="eastAsia" w:ascii="方正书宋简体" w:hAnsi="方正书宋简体" w:eastAsia="方正书宋简体" w:cs="方正书宋简体"/>
          <w:color w:val="231F20"/>
          <w:sz w:val="26"/>
          <w:lang w:val="en-US" w:eastAsia="zh-CN"/>
        </w:rPr>
        <w:t>1</w:t>
      </w:r>
      <w:r>
        <w:rPr>
          <w:rFonts w:hint="eastAsia" w:ascii="方正书宋简体" w:hAnsi="方正书宋简体" w:eastAsia="方正书宋简体" w:cs="方正书宋简体"/>
          <w:color w:val="231F20"/>
          <w:spacing w:val="-12"/>
          <w:sz w:val="26"/>
        </w:rPr>
        <w:t>期</w:t>
      </w:r>
    </w:p>
    <w:p>
      <w:pPr>
        <w:pStyle w:val="6"/>
        <w:spacing w:before="7"/>
        <w:rPr>
          <w:rFonts w:hint="eastAsia" w:ascii="宋体" w:hAnsi="宋体" w:eastAsia="宋体" w:cs="宋体"/>
          <w:sz w:val="33"/>
        </w:rPr>
      </w:pPr>
    </w:p>
    <w:p>
      <w:pPr>
        <w:spacing w:before="1"/>
        <w:ind w:left="921" w:right="0" w:firstLine="0"/>
        <w:jc w:val="left"/>
        <w:rPr>
          <w:sz w:val="26"/>
        </w:rPr>
      </w:pPr>
      <w:r>
        <w:rPr>
          <w:rFonts w:hint="eastAsia" w:ascii="方正书宋简体" w:hAnsi="方正书宋简体" w:eastAsia="方正书宋简体" w:cs="方正书宋简体"/>
          <w:color w:val="231F20"/>
          <w:spacing w:val="9"/>
          <w:position w:val="1"/>
          <w:sz w:val="26"/>
        </w:rPr>
        <w:t>（总第</w:t>
      </w:r>
      <w:r>
        <w:rPr>
          <w:rFonts w:hint="eastAsia" w:ascii="方正书宋简体" w:hAnsi="方正书宋简体" w:eastAsia="方正书宋简体" w:cs="方正书宋简体"/>
          <w:color w:val="231F20"/>
          <w:spacing w:val="9"/>
          <w:position w:val="1"/>
          <w:sz w:val="26"/>
          <w:lang w:val="en-US" w:eastAsia="zh-CN"/>
        </w:rPr>
        <w:t>1</w:t>
      </w:r>
      <w:r>
        <w:rPr>
          <w:rFonts w:hint="eastAsia" w:ascii="方正书宋简体" w:hAnsi="方正书宋简体" w:eastAsia="方正书宋简体" w:cs="方正书宋简体"/>
          <w:color w:val="231F20"/>
          <w:spacing w:val="9"/>
          <w:position w:val="1"/>
          <w:sz w:val="26"/>
        </w:rPr>
        <w:t>期）</w:t>
      </w:r>
    </w:p>
    <w:p>
      <w:pPr>
        <w:spacing w:after="0"/>
        <w:jc w:val="left"/>
        <w:rPr>
          <w:sz w:val="26"/>
        </w:rPr>
        <w:sectPr>
          <w:footerReference r:id="rId6" w:type="default"/>
          <w:type w:val="continuous"/>
          <w:pgSz w:w="11910" w:h="16390"/>
          <w:pgMar w:top="1560" w:right="1260" w:bottom="280" w:left="1220" w:header="720" w:footer="720" w:gutter="0"/>
          <w:pgNumType w:fmt="numberInDash" w:start="1"/>
          <w:cols w:equalWidth="0" w:num="2">
            <w:col w:w="4765" w:space="769"/>
            <w:col w:w="3896"/>
          </w:cols>
        </w:sectPr>
      </w:pPr>
    </w:p>
    <w:p>
      <w:pPr>
        <w:pStyle w:val="6"/>
        <w:spacing w:before="7"/>
        <w:rPr>
          <w:sz w:val="27"/>
        </w:rPr>
      </w:pPr>
    </w:p>
    <w:p>
      <w:pPr>
        <w:spacing w:after="0"/>
        <w:rPr>
          <w:sz w:val="27"/>
        </w:rPr>
        <w:sectPr>
          <w:footerReference r:id="rId7" w:type="default"/>
          <w:type w:val="continuous"/>
          <w:pgSz w:w="11910" w:h="16390"/>
          <w:pgMar w:top="1560" w:right="1260" w:bottom="280" w:left="1220" w:header="720" w:footer="720" w:gutter="0"/>
          <w:pgNumType w:fmt="numberInDash"/>
          <w:cols w:space="720" w:num="1"/>
        </w:sectPr>
      </w:pPr>
    </w:p>
    <w:p>
      <w:pPr>
        <w:spacing w:before="78"/>
        <w:ind w:right="0" w:firstLine="1128" w:firstLineChars="400"/>
        <w:jc w:val="left"/>
        <w:rPr>
          <w:rFonts w:hint="eastAsia" w:ascii="PMingLiU" w:eastAsia="PMingLiU"/>
          <w:sz w:val="26"/>
        </w:rPr>
      </w:pPr>
      <w:r>
        <w:rPr>
          <w:rFonts w:hint="eastAsia" w:ascii="楷体_GB2312" w:hAnsi="楷体_GB2312" w:eastAsia="楷体_GB2312" w:cs="楷体_GB2312"/>
          <w:color w:val="231F20"/>
          <w:spacing w:val="11"/>
          <w:sz w:val="26"/>
          <w:lang w:val="en-US" w:eastAsia="zh-CN"/>
        </w:rPr>
        <w:t>南雄</w:t>
      </w:r>
      <w:r>
        <w:rPr>
          <w:rFonts w:hint="eastAsia" w:ascii="楷体_GB2312" w:hAnsi="楷体_GB2312" w:eastAsia="楷体_GB2312" w:cs="楷体_GB2312"/>
          <w:color w:val="231F20"/>
          <w:spacing w:val="11"/>
          <w:sz w:val="26"/>
        </w:rPr>
        <w:t>市人民政府主管主办</w:t>
      </w:r>
    </w:p>
    <w:p>
      <w:pPr>
        <w:spacing w:before="62"/>
        <w:ind w:left="1226" w:right="0" w:firstLine="0"/>
        <w:jc w:val="left"/>
        <w:rPr>
          <w:sz w:val="26"/>
          <w:szCs w:val="26"/>
        </w:rPr>
      </w:pPr>
      <w:r>
        <w:br w:type="column"/>
      </w:r>
      <w:r>
        <w:rPr>
          <w:rFonts w:hint="eastAsia"/>
          <w:lang w:val="en-US" w:eastAsia="zh-CN"/>
        </w:rPr>
        <w:t xml:space="preserve"> </w:t>
      </w:r>
      <w:r>
        <w:rPr>
          <w:rFonts w:hint="eastAsia" w:ascii="方正书宋简体" w:hAnsi="方正书宋简体" w:eastAsia="方正书宋简体" w:cs="方正书宋简体"/>
          <w:lang w:val="en-US" w:eastAsia="zh-CN"/>
        </w:rPr>
        <w:t xml:space="preserve"> </w:t>
      </w:r>
      <w:r>
        <w:rPr>
          <w:rFonts w:hint="eastAsia" w:ascii="方正书宋简体" w:hAnsi="方正书宋简体" w:eastAsia="方正书宋简体" w:cs="方正书宋简体"/>
          <w:color w:val="231F20"/>
          <w:spacing w:val="-11"/>
          <w:position w:val="0"/>
          <w:sz w:val="28"/>
          <w:szCs w:val="28"/>
        </w:rPr>
        <w:t>2020 年</w:t>
      </w:r>
      <w:r>
        <w:rPr>
          <w:rFonts w:hint="eastAsia" w:ascii="方正书宋简体" w:hAnsi="方正书宋简体" w:eastAsia="方正书宋简体" w:cs="方正书宋简体"/>
          <w:color w:val="231F20"/>
          <w:spacing w:val="-11"/>
          <w:position w:val="0"/>
          <w:sz w:val="28"/>
          <w:szCs w:val="28"/>
          <w:lang w:val="en-US" w:eastAsia="zh-CN"/>
        </w:rPr>
        <w:t>9月2</w:t>
      </w:r>
      <w:r>
        <w:rPr>
          <w:rFonts w:hint="eastAsia" w:ascii="方正书宋简体" w:hAnsi="方正书宋简体" w:eastAsia="方正书宋简体" w:cs="方正书宋简体"/>
          <w:color w:val="231F20"/>
          <w:spacing w:val="-11"/>
          <w:position w:val="0"/>
          <w:sz w:val="28"/>
          <w:szCs w:val="28"/>
        </w:rPr>
        <w:t>日出版</w:t>
      </w:r>
    </w:p>
    <w:p>
      <w:pPr>
        <w:spacing w:after="0"/>
        <w:jc w:val="left"/>
        <w:rPr>
          <w:sz w:val="28"/>
        </w:rPr>
        <w:sectPr>
          <w:type w:val="continuous"/>
          <w:pgSz w:w="11910" w:h="16390"/>
          <w:pgMar w:top="1560" w:right="1260" w:bottom="280" w:left="1220" w:header="720" w:footer="720" w:gutter="0"/>
          <w:pgNumType w:fmt="numberInDash"/>
          <w:cols w:equalWidth="0" w:num="2">
            <w:col w:w="4375" w:space="389"/>
            <w:col w:w="4666"/>
          </w:cols>
        </w:sectPr>
      </w:pPr>
    </w:p>
    <w:p>
      <w:pPr>
        <w:pStyle w:val="6"/>
        <w:spacing w:line="20" w:lineRule="exact"/>
        <w:ind w:left="193"/>
        <w:rPr>
          <w:sz w:val="2"/>
        </w:rPr>
      </w:pPr>
      <w:r>
        <w:rPr>
          <w:sz w:val="2"/>
        </w:rPr>
        <mc:AlternateContent>
          <mc:Choice Requires="wpg">
            <w:drawing>
              <wp:inline distT="0" distB="0" distL="114300" distR="114300">
                <wp:extent cx="5760085" cy="12700"/>
                <wp:effectExtent l="0" t="0" r="0" b="0"/>
                <wp:docPr id="14" name="组合 14"/>
                <wp:cNvGraphicFramePr/>
                <a:graphic xmlns:a="http://schemas.openxmlformats.org/drawingml/2006/main">
                  <a:graphicData uri="http://schemas.microsoft.com/office/word/2010/wordprocessingGroup">
                    <wpg:wgp>
                      <wpg:cNvGrpSpPr/>
                      <wpg:grpSpPr>
                        <a:xfrm>
                          <a:off x="0" y="0"/>
                          <a:ext cx="5760085" cy="12700"/>
                          <a:chOff x="0" y="0"/>
                          <a:chExt cx="9071" cy="20"/>
                        </a:xfrm>
                      </wpg:grpSpPr>
                      <wps:wsp>
                        <wps:cNvPr id="13" name="直接连接符 13"/>
                        <wps:cNvCnPr/>
                        <wps:spPr>
                          <a:xfrm>
                            <a:off x="0" y="10"/>
                            <a:ext cx="9071" cy="0"/>
                          </a:xfrm>
                          <a:prstGeom prst="line">
                            <a:avLst/>
                          </a:prstGeom>
                          <a:ln w="12600"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1pt;width:453.55pt;" coordsize="9071,20" o:gfxdata="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VbtTVAAAA&#10;AwEAAA8AAAAAAAAAAQAgAAAAIgAAAGRycy9kb3ducmV2LnhtbFBLAQIUABQAAAAIAIdO4kDm/8nO&#10;WQIAAA4FAAAOAAAAAAAAAAEAIAAAACQBAABkcnMvZTJvRG9jLnhtbFBLBQYAAAAABgAGAFkBAADv&#10;BQAAAAA=&#10;">
                <o:lock v:ext="edit" aspectratio="f"/>
                <v:line id="_x0000_s1026" o:spid="_x0000_s1026" o:spt="20" style="position:absolute;left:0;top:10;height:0;width:9071;" filled="f" stroked="t" coordsize="21600,21600" o:gfxdata="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Klu+8AAAA&#10;2wAAAA8AAAAAAAAAAQAgAAAAIgAAAGRycy9kb3ducmV2LnhtbFBLAQIUABQAAAAIAIdO4kAzLwWe&#10;OwAAADkAAAAQAAAAAAAAAAEAIAAAAAsBAABkcnMvc2hhcGV4bWwueG1sUEsFBgAAAAAGAAYAWwEA&#10;ALUDAAAAAA==&#10;">
                  <v:fill on="f" focussize="0,0"/>
                  <v:stroke weight="0.992125984251969pt" color="#231F20" joinstyle="round"/>
                  <v:imagedata o:title=""/>
                  <o:lock v:ext="edit" aspectratio="f"/>
                </v:line>
                <w10:wrap type="none"/>
                <w10:anchorlock/>
              </v:group>
            </w:pict>
          </mc:Fallback>
        </mc:AlternateContent>
      </w:r>
    </w:p>
    <w:p>
      <w:pPr>
        <w:pStyle w:val="6"/>
        <w:rPr>
          <w:sz w:val="20"/>
        </w:rPr>
      </w:pPr>
    </w:p>
    <w:p>
      <w:pPr>
        <w:pStyle w:val="6"/>
        <w:spacing w:before="11"/>
        <w:rPr>
          <w:sz w:val="26"/>
        </w:rPr>
      </w:pPr>
    </w:p>
    <w:p>
      <w:pPr>
        <w:tabs>
          <w:tab w:val="left" w:pos="1275"/>
        </w:tabs>
        <w:spacing w:before="45"/>
        <w:ind w:left="0" w:right="53" w:firstLine="0"/>
        <w:jc w:val="center"/>
        <w:rPr>
          <w:sz w:val="43"/>
        </w:rPr>
      </w:pPr>
      <w:r>
        <w:rPr>
          <w:rFonts w:hint="eastAsia" w:ascii="方正小标宋简体" w:hAnsi="方正小标宋简体" w:eastAsia="方正小标宋简体" w:cs="方正小标宋简体"/>
          <w:color w:val="231F20"/>
          <w:sz w:val="43"/>
        </w:rPr>
        <w:t>目</w:t>
      </w:r>
      <w:r>
        <w:rPr>
          <w:rFonts w:hint="eastAsia" w:ascii="方正小标宋简体" w:hAnsi="方正小标宋简体" w:eastAsia="方正小标宋简体" w:cs="方正小标宋简体"/>
          <w:color w:val="231F20"/>
          <w:sz w:val="43"/>
        </w:rPr>
        <w:tab/>
      </w:r>
      <w:r>
        <w:rPr>
          <w:rFonts w:hint="eastAsia" w:ascii="方正小标宋简体" w:hAnsi="方正小标宋简体" w:eastAsia="方正小标宋简体" w:cs="方正小标宋简体"/>
          <w:color w:val="231F20"/>
          <w:sz w:val="43"/>
        </w:rPr>
        <w:t>录</w:t>
      </w:r>
    </w:p>
    <w:p>
      <w:pPr>
        <w:pStyle w:val="6"/>
        <w:rPr>
          <w:sz w:val="20"/>
        </w:rPr>
      </w:pPr>
    </w:p>
    <w:p>
      <w:pPr>
        <w:keepNext w:val="0"/>
        <w:keepLines w:val="0"/>
        <w:pageBreakBefore w:val="0"/>
        <w:widowControl w:val="0"/>
        <w:kinsoku/>
        <w:wordWrap/>
        <w:overflowPunct/>
        <w:topLinePunct w:val="0"/>
        <w:autoSpaceDE/>
        <w:autoSpaceDN/>
        <w:bidi w:val="0"/>
        <w:adjustRightInd/>
        <w:snapToGrid/>
        <w:spacing w:line="440" w:lineRule="exact"/>
        <w:ind w:right="0" w:firstLine="260" w:firstLineChars="100"/>
        <w:jc w:val="left"/>
        <w:textAlignment w:val="auto"/>
        <w:rPr>
          <w:rFonts w:hint="eastAsia" w:ascii="方正黑体简体" w:hAnsi="方正黑体简体" w:eastAsia="方正黑体简体" w:cs="方正黑体简体"/>
          <w:color w:val="231F20"/>
          <w:sz w:val="26"/>
          <w:lang w:val="en-US" w:eastAsia="zh-CN"/>
        </w:rPr>
      </w:pPr>
      <w:r>
        <w:rPr>
          <w:rFonts w:hint="eastAsia" w:ascii="方正黑体简体" w:hAnsi="方正黑体简体" w:eastAsia="方正黑体简体" w:cs="方正黑体简体"/>
          <w:color w:val="231F20"/>
          <w:sz w:val="26"/>
          <w:lang w:val="en-US" w:eastAsia="zh-CN"/>
        </w:rPr>
        <w:t>政府工作报告</w:t>
      </w:r>
    </w:p>
    <w:sdt>
      <w:sdtPr>
        <w:id w:val="1"/>
        <w:docPartObj>
          <w:docPartGallery w:val="Table of Contents"/>
          <w:docPartUnique/>
        </w:docPartObj>
      </w:sdtPr>
      <w:sdtContent>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default" w:ascii="方正书宋简体" w:hAnsi="方正书宋简体" w:eastAsia="方正书宋简体" w:cs="方正书宋简体"/>
              <w:lang w:val="en-US" w:eastAsia="zh-CN"/>
            </w:rPr>
          </w:pPr>
          <w:r>
            <w:rPr>
              <w:rFonts w:hint="eastAsia"/>
              <w:lang w:val="en-US" w:eastAsia="zh-CN"/>
            </w:rPr>
            <w:t xml:space="preserve">  </w:t>
          </w:r>
          <w:r>
            <w:rPr>
              <w:rFonts w:hint="eastAsia" w:ascii="方正书宋简体" w:hAnsi="方正书宋简体" w:eastAsia="方正书宋简体" w:cs="方正书宋简体"/>
              <w:color w:val="231F20"/>
            </w:rPr>
            <w:t>2020年5月20日在南雄市第十五届人民代表大会第六次会议上</w:t>
          </w:r>
          <w:r>
            <w:rPr>
              <w:rFonts w:hint="eastAsia" w:ascii="方正书宋简体" w:hAnsi="方正书宋简体" w:eastAsia="方正书宋简体" w:cs="方正书宋简体"/>
              <w:color w:val="231F20"/>
              <w:lang w:val="en-US" w:eastAsia="zh-CN"/>
            </w:rPr>
            <w:t xml:space="preserve">  市长  林小龙</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position w:val="4"/>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ind w:right="0" w:firstLine="260" w:firstLineChars="100"/>
            <w:jc w:val="left"/>
            <w:textAlignment w:val="auto"/>
            <w:rPr>
              <w:rFonts w:hint="eastAsia"/>
              <w:lang w:eastAsia="zh-CN"/>
            </w:rPr>
          </w:pPr>
          <w:r>
            <w:rPr>
              <w:rFonts w:hint="eastAsia" w:ascii="方正黑体简体" w:hAnsi="方正黑体简体" w:eastAsia="方正黑体简体" w:cs="方正黑体简体"/>
              <w:color w:val="231F20"/>
              <w:sz w:val="26"/>
            </w:rPr>
            <w:t>市政府文件</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关于印发《南雄市零星用地审批实施细则》的通知</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default" w:ascii="方正书宋简体" w:hAnsi="方正书宋简体" w:eastAsia="方正书宋简体" w:cs="方正书宋简体"/>
              <w:lang w:val="en-US" w:eastAsia="zh-CN"/>
            </w:rPr>
          </w:pPr>
          <w:r>
            <w:rPr>
              <w:rFonts w:hint="eastAsia" w:ascii="方正书宋简体" w:hAnsi="方正书宋简体" w:eastAsia="方正书宋简体" w:cs="方正书宋简体"/>
              <w:color w:val="231F20"/>
            </w:rPr>
            <w:t>（</w:t>
          </w:r>
          <w:r>
            <w:rPr>
              <w:rFonts w:hint="eastAsia" w:ascii="方正书宋简体" w:hAnsi="方正书宋简体" w:eastAsia="方正书宋简体" w:cs="方正书宋简体"/>
              <w:color w:val="231F20"/>
              <w:lang w:val="en-US" w:eastAsia="zh-CN"/>
            </w:rPr>
            <w:t>雄府</w:t>
          </w:r>
          <w:r>
            <w:rPr>
              <w:rFonts w:hint="eastAsia" w:ascii="方正书宋简体" w:hAnsi="方正书宋简体" w:eastAsia="方正书宋简体" w:cs="方正书宋简体"/>
              <w:color w:val="231F20"/>
            </w:rPr>
            <w:t>〔2020〕</w:t>
          </w:r>
          <w:r>
            <w:rPr>
              <w:rFonts w:hint="eastAsia" w:ascii="方正书宋简体" w:hAnsi="方正书宋简体" w:eastAsia="方正书宋简体" w:cs="方正书宋简体"/>
              <w:color w:val="231F20"/>
              <w:lang w:val="en-US" w:eastAsia="zh-CN"/>
            </w:rPr>
            <w:t>30</w:t>
          </w:r>
          <w:r>
            <w:rPr>
              <w:rFonts w:hint="eastAsia" w:ascii="方正书宋简体" w:hAnsi="方正书宋简体" w:eastAsia="方正书宋简体" w:cs="方正书宋简体"/>
              <w:color w:val="231F20"/>
            </w:rPr>
            <w:t>号）</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position w:val="4"/>
              <w:lang w:val="en-US" w:eastAsia="zh-CN"/>
            </w:rPr>
            <w:t>17</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关于印发《南雄市关于扶持医药服务产业奖励实施办法》的通知</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default" w:ascii="方正黑体简体" w:hAnsi="方正黑体简体" w:eastAsia="方正黑体简体" w:cs="方正黑体简体"/>
              <w:color w:val="231F20"/>
              <w:sz w:val="26"/>
              <w:lang w:val="en-US" w:eastAsia="zh-CN"/>
            </w:rPr>
          </w:pPr>
          <w:r>
            <w:rPr>
              <w:rFonts w:hint="eastAsia" w:ascii="方正书宋简体" w:hAnsi="方正书宋简体" w:eastAsia="方正书宋简体" w:cs="方正书宋简体"/>
              <w:color w:val="231F20"/>
            </w:rPr>
            <w:t>（</w:t>
          </w:r>
          <w:r>
            <w:rPr>
              <w:rFonts w:hint="eastAsia" w:ascii="方正书宋简体" w:hAnsi="方正书宋简体" w:eastAsia="方正书宋简体" w:cs="方正书宋简体"/>
              <w:color w:val="231F20"/>
              <w:lang w:val="en-US" w:eastAsia="zh-CN"/>
            </w:rPr>
            <w:t>雄府</w:t>
          </w:r>
          <w:r>
            <w:rPr>
              <w:rFonts w:hint="eastAsia" w:ascii="方正书宋简体" w:hAnsi="方正书宋简体" w:eastAsia="方正书宋简体" w:cs="方正书宋简体"/>
              <w:color w:val="231F20"/>
            </w:rPr>
            <w:t>〔2020〕</w:t>
          </w:r>
          <w:r>
            <w:rPr>
              <w:rFonts w:hint="eastAsia" w:ascii="方正书宋简体" w:hAnsi="方正书宋简体" w:eastAsia="方正书宋简体" w:cs="方正书宋简体"/>
              <w:color w:val="231F20"/>
              <w:lang w:val="en-US" w:eastAsia="zh-CN"/>
            </w:rPr>
            <w:t>34</w:t>
          </w:r>
          <w:r>
            <w:rPr>
              <w:rFonts w:hint="eastAsia" w:ascii="方正书宋简体" w:hAnsi="方正书宋简体" w:eastAsia="方正书宋简体" w:cs="方正书宋简体"/>
              <w:color w:val="231F20"/>
            </w:rPr>
            <w:t>号）</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position w:val="4"/>
              <w:lang w:val="en-US" w:eastAsia="zh-CN"/>
            </w:rPr>
            <w:t>20</w:t>
          </w:r>
        </w:p>
        <w:p>
          <w:pPr>
            <w:keepNext w:val="0"/>
            <w:keepLines w:val="0"/>
            <w:pageBreakBefore w:val="0"/>
            <w:widowControl w:val="0"/>
            <w:kinsoku/>
            <w:wordWrap/>
            <w:overflowPunct/>
            <w:topLinePunct w:val="0"/>
            <w:autoSpaceDE/>
            <w:autoSpaceDN/>
            <w:bidi w:val="0"/>
            <w:adjustRightInd/>
            <w:snapToGrid/>
            <w:spacing w:line="440" w:lineRule="exact"/>
            <w:ind w:firstLine="260" w:firstLineChars="100"/>
            <w:textAlignment w:val="auto"/>
            <w:rPr>
              <w:rFonts w:hint="eastAsia" w:ascii="方正黑体简体" w:hAnsi="方正黑体简体" w:eastAsia="方正黑体简体" w:cs="方正黑体简体"/>
              <w:color w:val="231F20"/>
              <w:sz w:val="26"/>
              <w:lang w:val="en-US" w:eastAsia="zh-CN"/>
            </w:rPr>
          </w:pPr>
          <w:r>
            <w:rPr>
              <w:rFonts w:hint="eastAsia" w:ascii="方正黑体简体" w:hAnsi="方正黑体简体" w:eastAsia="方正黑体简体" w:cs="方正黑体简体"/>
              <w:color w:val="231F20"/>
              <w:sz w:val="26"/>
              <w:lang w:val="en-US" w:eastAsia="zh-CN"/>
            </w:rPr>
            <w:t>市政府规范性文件</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eastAsia" w:ascii="方正书宋简体" w:hAnsi="方正书宋简体" w:eastAsia="方正书宋简体" w:cs="方正书宋简体"/>
              <w:kern w:val="2"/>
              <w:sz w:val="22"/>
              <w:szCs w:val="22"/>
              <w:lang w:val="en-US" w:eastAsia="zh-CN" w:bidi="zh-CN"/>
            </w:rPr>
          </w:pPr>
          <w:r>
            <w:rPr>
              <w:rFonts w:hint="eastAsia" w:ascii="方正书宋简体" w:hAnsi="方正书宋简体" w:eastAsia="方正书宋简体" w:cs="方正书宋简体"/>
              <w:kern w:val="2"/>
              <w:sz w:val="22"/>
              <w:szCs w:val="22"/>
              <w:lang w:val="en-US" w:eastAsia="zh-CN" w:bidi="zh-CN"/>
            </w:rPr>
            <w:t>关于加强南雄市农村宅基地审批规范管理工作的通知</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249"/>
            <w:textAlignment w:val="auto"/>
            <w:rPr>
              <w:rFonts w:hint="default" w:ascii="方正书宋简体" w:hAnsi="方正书宋简体" w:eastAsia="方正书宋简体" w:cs="方正书宋简体"/>
              <w:color w:val="231F20"/>
              <w:position w:val="4"/>
              <w:lang w:val="en-US" w:eastAsia="zh-CN"/>
            </w:rPr>
          </w:pPr>
          <w:r>
            <w:rPr>
              <w:rFonts w:hint="eastAsia" w:ascii="方正书宋简体" w:hAnsi="方正书宋简体" w:eastAsia="方正书宋简体" w:cs="方正书宋简体"/>
              <w:color w:val="231F20"/>
            </w:rPr>
            <w:t>（</w:t>
          </w:r>
          <w:r>
            <w:rPr>
              <w:rFonts w:hint="eastAsia" w:ascii="方正书宋简体" w:hAnsi="方正书宋简体" w:eastAsia="方正书宋简体" w:cs="方正书宋简体"/>
              <w:color w:val="231F20"/>
              <w:lang w:val="en-US" w:eastAsia="zh-CN"/>
            </w:rPr>
            <w:t>雄府</w:t>
          </w:r>
          <w:r>
            <w:rPr>
              <w:rFonts w:hint="eastAsia" w:ascii="方正书宋简体" w:hAnsi="方正书宋简体" w:eastAsia="方正书宋简体" w:cs="方正书宋简体"/>
              <w:color w:val="231F20"/>
            </w:rPr>
            <w:t>〔2020〕</w:t>
          </w:r>
          <w:r>
            <w:rPr>
              <w:rFonts w:hint="eastAsia" w:ascii="方正书宋简体" w:hAnsi="方正书宋简体" w:eastAsia="方正书宋简体" w:cs="方正书宋简体"/>
              <w:color w:val="231F20"/>
              <w:lang w:val="en-US" w:eastAsia="zh-CN"/>
            </w:rPr>
            <w:t>35</w:t>
          </w:r>
          <w:r>
            <w:rPr>
              <w:rFonts w:hint="eastAsia" w:ascii="方正书宋简体" w:hAnsi="方正书宋简体" w:eastAsia="方正书宋简体" w:cs="方正书宋简体"/>
              <w:color w:val="231F20"/>
            </w:rPr>
            <w:t>号）</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position w:val="4"/>
              <w:lang w:val="en-US" w:eastAsia="zh-CN"/>
            </w:rPr>
            <w:t>22</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0" w:leftChars="0" w:firstLine="220" w:firstLineChars="100"/>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关于印发《南雄市直管公房管理办法》的通知</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0" w:leftChars="0" w:firstLine="220" w:firstLineChars="100"/>
            <w:textAlignment w:val="auto"/>
            <w:rPr>
              <w:rFonts w:hint="default" w:ascii="方正书宋简体" w:hAnsi="方正书宋简体" w:eastAsia="方正书宋简体" w:cs="方正书宋简体"/>
              <w:lang w:val="en-US" w:eastAsia="zh-CN"/>
            </w:rPr>
          </w:pPr>
          <w:r>
            <w:rPr>
              <w:rFonts w:hint="eastAsia" w:ascii="方正书宋简体" w:hAnsi="方正书宋简体" w:eastAsia="方正书宋简体" w:cs="方正书宋简体"/>
              <w:color w:val="231F20"/>
            </w:rPr>
            <w:t>（</w:t>
          </w:r>
          <w:r>
            <w:rPr>
              <w:rFonts w:hint="eastAsia" w:ascii="方正书宋简体" w:hAnsi="方正书宋简体" w:eastAsia="方正书宋简体" w:cs="方正书宋简体"/>
              <w:color w:val="231F20"/>
              <w:lang w:val="en-US" w:eastAsia="zh-CN"/>
            </w:rPr>
            <w:t>雄府</w:t>
          </w:r>
          <w:r>
            <w:rPr>
              <w:rFonts w:hint="eastAsia" w:ascii="方正书宋简体" w:hAnsi="方正书宋简体" w:eastAsia="方正书宋简体" w:cs="方正书宋简体"/>
              <w:color w:val="231F20"/>
            </w:rPr>
            <w:t>〔2020〕</w:t>
          </w:r>
          <w:r>
            <w:rPr>
              <w:rFonts w:hint="eastAsia" w:ascii="方正书宋简体" w:hAnsi="方正书宋简体" w:eastAsia="方正书宋简体" w:cs="方正书宋简体"/>
              <w:color w:val="231F20"/>
              <w:lang w:val="en-US" w:eastAsia="zh-CN"/>
            </w:rPr>
            <w:t>40</w:t>
          </w:r>
          <w:r>
            <w:rPr>
              <w:rFonts w:hint="eastAsia" w:ascii="方正书宋简体" w:hAnsi="方正书宋简体" w:eastAsia="方正书宋简体" w:cs="方正书宋简体"/>
              <w:color w:val="231F20"/>
            </w:rPr>
            <w:t>号）</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lang w:val="en-US" w:eastAsia="zh-CN"/>
            </w:rPr>
            <w:t>30</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0" w:leftChars="0" w:firstLine="220" w:firstLineChars="100"/>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关于印发《南雄市城市供水用水管理办法》的通知</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ind w:left="0" w:leftChars="0" w:firstLine="220" w:firstLineChars="100"/>
            <w:textAlignment w:val="auto"/>
            <w:rPr>
              <w:rFonts w:hint="default" w:ascii="方正书宋简体" w:hAnsi="方正书宋简体" w:eastAsia="方正书宋简体" w:cs="方正书宋简体"/>
              <w:color w:val="231F20"/>
              <w:lang w:val="en-US" w:eastAsia="zh-CN"/>
            </w:rPr>
          </w:pPr>
          <w:r>
            <w:rPr>
              <w:rFonts w:hint="eastAsia" w:ascii="方正书宋简体" w:hAnsi="方正书宋简体" w:eastAsia="方正书宋简体" w:cs="方正书宋简体"/>
              <w:color w:val="231F20"/>
            </w:rPr>
            <w:t>（</w:t>
          </w:r>
          <w:r>
            <w:rPr>
              <w:rFonts w:hint="eastAsia" w:ascii="方正书宋简体" w:hAnsi="方正书宋简体" w:eastAsia="方正书宋简体" w:cs="方正书宋简体"/>
              <w:color w:val="231F20"/>
              <w:lang w:val="en-US" w:eastAsia="zh-CN"/>
            </w:rPr>
            <w:t>雄府</w:t>
          </w:r>
          <w:r>
            <w:rPr>
              <w:rFonts w:hint="eastAsia" w:ascii="方正书宋简体" w:hAnsi="方正书宋简体" w:eastAsia="方正书宋简体" w:cs="方正书宋简体"/>
              <w:color w:val="231F20"/>
            </w:rPr>
            <w:t>〔2020〕</w:t>
          </w:r>
          <w:r>
            <w:rPr>
              <w:rFonts w:hint="eastAsia" w:ascii="方正书宋简体" w:hAnsi="方正书宋简体" w:eastAsia="方正书宋简体" w:cs="方正书宋简体"/>
              <w:color w:val="231F20"/>
              <w:lang w:val="en-US" w:eastAsia="zh-CN"/>
            </w:rPr>
            <w:t>43</w:t>
          </w:r>
          <w:r>
            <w:rPr>
              <w:rFonts w:hint="eastAsia" w:ascii="方正书宋简体" w:hAnsi="方正书宋简体" w:eastAsia="方正书宋简体" w:cs="方正书宋简体"/>
              <w:color w:val="231F20"/>
            </w:rPr>
            <w:t>号）</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lang w:val="en-US" w:eastAsia="zh-CN"/>
            </w:rPr>
            <w:t>40</w:t>
          </w:r>
        </w:p>
        <w:p>
          <w:pPr>
            <w:keepNext w:val="0"/>
            <w:keepLines w:val="0"/>
            <w:pageBreakBefore w:val="0"/>
            <w:widowControl w:val="0"/>
            <w:kinsoku/>
            <w:wordWrap/>
            <w:overflowPunct/>
            <w:topLinePunct w:val="0"/>
            <w:autoSpaceDE/>
            <w:autoSpaceDN/>
            <w:bidi w:val="0"/>
            <w:adjustRightInd/>
            <w:snapToGrid/>
            <w:spacing w:line="440" w:lineRule="exact"/>
            <w:ind w:left="251" w:right="0" w:firstLine="0"/>
            <w:jc w:val="left"/>
            <w:textAlignment w:val="auto"/>
            <w:rPr>
              <w:rFonts w:hint="eastAsia" w:ascii="方正黑体简体" w:hAnsi="方正黑体简体" w:eastAsia="方正黑体简体" w:cs="方正黑体简体"/>
              <w:color w:val="231F20"/>
              <w:sz w:val="26"/>
              <w:lang w:val="en-US" w:eastAsia="zh-CN"/>
            </w:rPr>
          </w:pPr>
          <w:r>
            <w:rPr>
              <w:rFonts w:hint="eastAsia" w:ascii="方正黑体简体" w:hAnsi="方正黑体简体" w:eastAsia="方正黑体简体" w:cs="方正黑体简体"/>
              <w:color w:val="231F20"/>
              <w:sz w:val="26"/>
              <w:lang w:val="en-US" w:eastAsia="zh-CN"/>
            </w:rPr>
            <w:t>政策解读</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color w:val="231F20"/>
              <w:position w:val="5"/>
              <w:lang w:val="en-US" w:eastAsia="zh-CN"/>
            </w:rPr>
          </w:pPr>
          <w:r>
            <w:rPr>
              <w:rFonts w:hint="eastAsia" w:ascii="方正书宋简体" w:hAnsi="方正书宋简体" w:eastAsia="方正书宋简体" w:cs="方正书宋简体"/>
            </w:rPr>
            <w:fldChar w:fldCharType="begin"/>
          </w:r>
          <w:r>
            <w:rPr>
              <w:rFonts w:hint="eastAsia" w:ascii="方正书宋简体" w:hAnsi="方正书宋简体" w:eastAsia="方正书宋简体" w:cs="方正书宋简体"/>
            </w:rPr>
            <w:instrText xml:space="preserve"> HYPERLINK \l "_TOC_250001" </w:instrText>
          </w:r>
          <w:r>
            <w:rPr>
              <w:rFonts w:hint="eastAsia" w:ascii="方正书宋简体" w:hAnsi="方正书宋简体" w:eastAsia="方正书宋简体" w:cs="方正书宋简体"/>
            </w:rPr>
            <w:fldChar w:fldCharType="separate"/>
          </w:r>
          <w:r>
            <w:rPr>
              <w:rFonts w:hint="eastAsia" w:ascii="方正书宋简体" w:hAnsi="方正书宋简体" w:eastAsia="方正书宋简体" w:cs="方正书宋简体"/>
              <w:color w:val="231F20"/>
            </w:rPr>
            <w:t>《南雄市农村宅基地审批管理实施细则》政策解读</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position w:val="5"/>
              <w:lang w:val="en-US" w:eastAsia="zh-CN"/>
            </w:rPr>
            <w:t>4</w:t>
          </w:r>
          <w:r>
            <w:rPr>
              <w:rFonts w:hint="eastAsia" w:ascii="方正书宋简体" w:hAnsi="方正书宋简体" w:eastAsia="方正书宋简体" w:cs="方正书宋简体"/>
              <w:color w:val="231F20"/>
              <w:position w:val="5"/>
            </w:rPr>
            <w:fldChar w:fldCharType="end"/>
          </w:r>
          <w:r>
            <w:rPr>
              <w:rFonts w:hint="eastAsia" w:ascii="方正书宋简体" w:hAnsi="方正书宋简体" w:eastAsia="方正书宋简体" w:cs="方正书宋简体"/>
              <w:color w:val="231F20"/>
              <w:position w:val="5"/>
              <w:lang w:val="en-US" w:eastAsia="zh-CN"/>
            </w:rPr>
            <w:t>7</w:t>
          </w:r>
        </w:p>
        <w:p>
          <w:pPr>
            <w:pStyle w:val="9"/>
            <w:keepNext w:val="0"/>
            <w:keepLines w:val="0"/>
            <w:pageBreakBefore w:val="0"/>
            <w:widowControl w:val="0"/>
            <w:kinsoku/>
            <w:wordWrap/>
            <w:overflowPunct/>
            <w:topLinePunct w:val="0"/>
            <w:autoSpaceDE/>
            <w:autoSpaceDN/>
            <w:bidi w:val="0"/>
            <w:adjustRightInd/>
            <w:snapToGrid/>
            <w:spacing w:before="0" w:line="440" w:lineRule="exact"/>
            <w:textAlignment w:val="auto"/>
            <w:rPr>
              <w:rFonts w:hint="eastAsia" w:ascii="方正黑体简体" w:hAnsi="方正黑体简体" w:eastAsia="方正黑体简体" w:cs="方正黑体简体"/>
              <w:color w:val="231F20"/>
              <w:kern w:val="2"/>
              <w:sz w:val="26"/>
              <w:szCs w:val="24"/>
              <w:lang w:val="en-US" w:eastAsia="zh-CN" w:bidi="ar-SA"/>
            </w:rPr>
          </w:pPr>
          <w:r>
            <w:rPr>
              <w:rFonts w:hint="eastAsia" w:ascii="方正黑体简体" w:hAnsi="方正黑体简体" w:eastAsia="方正黑体简体" w:cs="方正黑体简体"/>
              <w:color w:val="231F20"/>
              <w:kern w:val="2"/>
              <w:sz w:val="26"/>
              <w:szCs w:val="24"/>
              <w:lang w:val="en-US" w:eastAsia="zh-CN" w:bidi="ar-SA"/>
            </w:rPr>
            <w:fldChar w:fldCharType="begin"/>
          </w:r>
          <w:r>
            <w:rPr>
              <w:rFonts w:hint="eastAsia" w:ascii="方正黑体简体" w:hAnsi="方正黑体简体" w:eastAsia="方正黑体简体" w:cs="方正黑体简体"/>
              <w:color w:val="231F20"/>
              <w:kern w:val="2"/>
              <w:sz w:val="26"/>
              <w:szCs w:val="24"/>
              <w:lang w:val="en-US" w:eastAsia="zh-CN" w:bidi="ar-SA"/>
            </w:rPr>
            <w:instrText xml:space="preserve"> HYPERLINK \l "_TOC_250000" </w:instrText>
          </w:r>
          <w:r>
            <w:rPr>
              <w:rFonts w:hint="eastAsia" w:ascii="方正黑体简体" w:hAnsi="方正黑体简体" w:eastAsia="方正黑体简体" w:cs="方正黑体简体"/>
              <w:color w:val="231F20"/>
              <w:kern w:val="2"/>
              <w:sz w:val="26"/>
              <w:szCs w:val="24"/>
              <w:lang w:val="en-US" w:eastAsia="zh-CN" w:bidi="ar-SA"/>
            </w:rPr>
            <w:fldChar w:fldCharType="separate"/>
          </w:r>
          <w:r>
            <w:rPr>
              <w:rFonts w:hint="eastAsia" w:ascii="方正黑体简体" w:hAnsi="方正黑体简体" w:eastAsia="方正黑体简体" w:cs="方正黑体简体"/>
              <w:color w:val="231F20"/>
              <w:kern w:val="2"/>
              <w:sz w:val="26"/>
              <w:szCs w:val="24"/>
              <w:lang w:val="en-US" w:eastAsia="zh-CN" w:bidi="ar-SA"/>
            </w:rPr>
            <w:t>人事任免信息</w:t>
          </w:r>
          <w:r>
            <w:rPr>
              <w:rFonts w:hint="eastAsia" w:ascii="方正黑体简体" w:hAnsi="方正黑体简体" w:eastAsia="方正黑体简体" w:cs="方正黑体简体"/>
              <w:color w:val="231F20"/>
              <w:kern w:val="2"/>
              <w:sz w:val="26"/>
              <w:szCs w:val="24"/>
              <w:lang w:val="en-US" w:eastAsia="zh-CN" w:bidi="ar-SA"/>
            </w:rPr>
            <w:fldChar w:fldCharType="end"/>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textAlignment w:val="auto"/>
            <w:rPr>
              <w:rFonts w:hint="default" w:ascii="方正书宋简体" w:hAnsi="方正书宋简体" w:eastAsia="方正书宋简体" w:cs="方正书宋简体"/>
              <w:color w:val="231F20"/>
              <w:lang w:val="en-US" w:eastAsia="zh-CN"/>
            </w:rPr>
          </w:pPr>
          <w:r>
            <w:rPr>
              <w:rFonts w:hint="eastAsia" w:ascii="方正书宋简体" w:hAnsi="方正书宋简体" w:eastAsia="方正书宋简体" w:cs="方正书宋简体"/>
              <w:color w:val="231F20"/>
            </w:rPr>
            <w:t>2020年</w:t>
          </w:r>
          <w:r>
            <w:rPr>
              <w:rFonts w:hint="eastAsia" w:ascii="方正书宋简体" w:hAnsi="方正书宋简体" w:eastAsia="方正书宋简体" w:cs="方正书宋简体"/>
              <w:color w:val="231F20"/>
              <w:lang w:val="en-US" w:eastAsia="zh-CN"/>
            </w:rPr>
            <w:t>5-7月</w:t>
          </w:r>
          <w:r>
            <w:rPr>
              <w:rFonts w:hint="eastAsia" w:ascii="方正书宋简体" w:hAnsi="方正书宋简体" w:eastAsia="方正书宋简体" w:cs="方正书宋简体"/>
              <w:color w:val="231F20"/>
            </w:rPr>
            <w:t>人事任免</w:t>
          </w:r>
          <w:r>
            <w:rPr>
              <w:rFonts w:hint="eastAsia" w:ascii="方正书宋简体" w:hAnsi="方正书宋简体" w:eastAsia="方正书宋简体" w:cs="方正书宋简体"/>
              <w:color w:val="231F20"/>
            </w:rPr>
            <w:tab/>
          </w:r>
          <w:r>
            <w:rPr>
              <w:rFonts w:hint="eastAsia" w:ascii="方正书宋简体" w:hAnsi="方正书宋简体" w:eastAsia="方正书宋简体" w:cs="方正书宋简体"/>
              <w:color w:val="231F20"/>
              <w:lang w:val="en-US" w:eastAsia="zh-CN"/>
            </w:rPr>
            <w:t>49</w:t>
          </w:r>
        </w:p>
        <w:p>
          <w:pPr>
            <w:pStyle w:val="10"/>
            <w:keepNext w:val="0"/>
            <w:keepLines w:val="0"/>
            <w:pageBreakBefore w:val="0"/>
            <w:widowControl w:val="0"/>
            <w:tabs>
              <w:tab w:val="right" w:leader="dot" w:pos="9159"/>
            </w:tabs>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color w:val="231F20"/>
            </w:rPr>
            <w:sectPr>
              <w:type w:val="continuous"/>
              <w:pgSz w:w="11910" w:h="16390"/>
              <w:pgMar w:top="1560" w:right="1260" w:bottom="280" w:left="1220" w:header="720" w:footer="720" w:gutter="0"/>
              <w:pgNumType w:fmt="numberInDash"/>
              <w:cols w:space="720" w:num="1"/>
            </w:sectPr>
          </w:pPr>
        </w:p>
        <w:p>
          <w:pPr>
            <w:rPr>
              <w:rFonts w:hint="eastAsia" w:eastAsiaTheme="minorEastAsia"/>
              <w:lang w:val="en-US" w:eastAsia="zh-CN"/>
            </w:rPr>
          </w:pPr>
        </w:p>
        <w:p>
          <w:pPr>
            <w:spacing w:after="0"/>
            <w:sectPr>
              <w:type w:val="continuous"/>
              <w:pgSz w:w="11910" w:h="16390"/>
              <w:pgMar w:top="1560" w:right="1260" w:bottom="280" w:left="1220" w:header="720" w:footer="720" w:gutter="0"/>
              <w:pgNumType w:fmt="numberInDash"/>
              <w:cols w:space="720" w:num="1"/>
            </w:sectPr>
          </w:pPr>
        </w:p>
      </w:sdtContent>
    </w:sdt>
    <w:p>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sz w:val="24"/>
          <w:szCs w:val="24"/>
        </w:rPr>
      </w:pPr>
    </w:p>
    <w:p>
      <w:pPr>
        <w:keepNext w:val="0"/>
        <w:keepLines w:val="0"/>
        <w:pageBreakBefore w:val="0"/>
        <w:widowControl w:val="0"/>
        <w:kinsoku/>
        <w:wordWrap/>
        <w:overflowPunct/>
        <w:topLinePunct w:val="0"/>
        <w:bidi w:val="0"/>
        <w:snapToGrid/>
        <w:spacing w:line="4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政 府 工 作 报 告</w:t>
      </w:r>
    </w:p>
    <w:p>
      <w:pPr>
        <w:keepNext w:val="0"/>
        <w:keepLines w:val="0"/>
        <w:pageBreakBefore w:val="0"/>
        <w:widowControl w:val="0"/>
        <w:kinsoku/>
        <w:wordWrap/>
        <w:overflowPunct/>
        <w:topLinePunct w:val="0"/>
        <w:bidi w:val="0"/>
        <w:snapToGrid/>
        <w:spacing w:line="4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snapToGrid/>
        <w:spacing w:line="440" w:lineRule="exact"/>
        <w:jc w:val="center"/>
        <w:textAlignment w:val="auto"/>
        <w:rPr>
          <w:rFonts w:hint="eastAsia" w:ascii="楷体_GB2312" w:hAnsi="楷体_GB2312" w:eastAsia="楷体_GB2312" w:cs="楷体_GB2312"/>
          <w:sz w:val="24"/>
          <w:szCs w:val="24"/>
        </w:rPr>
      </w:pPr>
      <w:r>
        <w:rPr>
          <w:rFonts w:hint="eastAsia" w:ascii="楷体_GB2312" w:eastAsia="楷体_GB2312"/>
          <w:sz w:val="24"/>
          <w:szCs w:val="24"/>
        </w:rPr>
        <w:t xml:space="preserve"> </w:t>
      </w:r>
      <w:r>
        <w:rPr>
          <w:rFonts w:hint="eastAsia" w:ascii="楷体_GB2312" w:eastAsia="楷体_GB2312"/>
          <w:sz w:val="24"/>
          <w:szCs w:val="24"/>
          <w:lang w:eastAsia="zh-CN"/>
        </w:rPr>
        <w:t>——</w:t>
      </w:r>
      <w:r>
        <w:rPr>
          <w:rFonts w:hint="eastAsia" w:ascii="楷体_GB2312" w:eastAsia="楷体_GB2312"/>
          <w:sz w:val="24"/>
          <w:szCs w:val="24"/>
        </w:rPr>
        <w:t>2020年5月20日在南雄市第十五届人民代表大会第六次会议上</w:t>
      </w:r>
    </w:p>
    <w:p>
      <w:pPr>
        <w:keepNext w:val="0"/>
        <w:keepLines w:val="0"/>
        <w:pageBreakBefore w:val="0"/>
        <w:widowControl w:val="0"/>
        <w:kinsoku/>
        <w:wordWrap/>
        <w:overflowPunct/>
        <w:topLinePunct w:val="0"/>
        <w:bidi w:val="0"/>
        <w:snapToGrid/>
        <w:spacing w:line="440" w:lineRule="exact"/>
        <w:jc w:val="center"/>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市长  林小龙</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各位代表：</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现在，我代表市人民政府，向大会报告工作，请予审议，并请各位列席人员提出意见。</w:t>
      </w:r>
    </w:p>
    <w:p>
      <w:pPr>
        <w:keepNext w:val="0"/>
        <w:keepLines w:val="0"/>
        <w:pageBreakBefore w:val="0"/>
        <w:widowControl w:val="0"/>
        <w:kinsoku/>
        <w:wordWrap/>
        <w:overflowPunct/>
        <w:topLinePunct w:val="0"/>
        <w:bidi w:val="0"/>
        <w:snapToGrid/>
        <w:spacing w:line="440" w:lineRule="exact"/>
        <w:jc w:val="center"/>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二〇一九年工作回顾</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2019年是新中国成立70周年。在市委的正确领导下，在市人大及其常委会和市政协的监督支持下，市政府坚持以习近平新时代中国特色社会主义思想为指导，积极贯彻落实中央、省、韶关市和南雄市委的决策部署，坚持稳中求进工作总基调，依靠全市人民、克服各种困难、应对复杂形势，推动经济社会持续平稳健康发展，较好完成了市十五届人大五次会议确定的目标任务。</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楷体_GB2312" w:hAnsi="仿宋_GB2312" w:eastAsia="楷体_GB2312" w:cs="仿宋_GB2312"/>
          <w:bCs/>
          <w:sz w:val="24"/>
          <w:szCs w:val="24"/>
        </w:rPr>
        <w:t>经济发展提质增效。</w:t>
      </w:r>
      <w:r>
        <w:rPr>
          <w:rFonts w:hint="eastAsia" w:ascii="方正书宋简体" w:hAnsi="方正书宋简体" w:eastAsia="方正书宋简体" w:cs="方正书宋简体"/>
          <w:sz w:val="24"/>
          <w:szCs w:val="24"/>
        </w:rPr>
        <w:t>全市地区生产总值增长7.5%，增速居韶关各县（市、区）第三。其中，农林牧渔业增加值、规上工业增加值分别增长7%和25.3%，增速均在韶关各县（市、区）排名第一。完成地方公共财政预算收入5.63亿元、增长10.5%，完成固定资产投资68.7亿元、增长1.5%，完成社会消费品零售总额65.3亿元、增长8.3%。培育新增“四上”企业35家。工业发展势头强劲，园区实现税收收入1.65亿元、增长14%，一期置换闲置低效用地企业11家；二期入驻企业14家，在建项目9个。科技创新步伐加快，中科院南雄新型特种精细化学品专业孵化器建成投入使用，新增省级院士工作站2家。现代农业加快发展，全面推进丝苗米省级现代农业产业园建设，阳光玫瑰葡萄园、指挥官现代农业田园综合体扎实推进，建成连片1000亩以上特色农业基地16个。完成烟叶收购17万担、资金2.3亿元。被评为第一批全国农作物病虫害“绿色防控示范县”，油茶标准化示范区项目被认定为省级农业标准化示范区，举办2019年中国农民丰收节暨生态农业博览会。全域旅游扎实推进，红色革命历史陈列馆开工建设，举办第六届姓氏文化旅游节、第三届重走长征路系列活动，成功列入国家首批革命文物保护利用片区名单，珠玑古巷至梅关古道入选“全国公路科普教育基地（2019-2023年）名单”，邓坊镇被评为省休闲农业与乡村旅游示范镇，全年实现旅游总收入40.5亿元、增长12%。实施重点项目建设69个，完成投资41.5亿元，华电2号机组、彤置富“梅岭牌”水泥生产线建成投产，整县推进村镇生活污水处理基础设施、韶能绿洲生态植物纤维餐具等项目扎实推进。成立招商服务中心，年度引进项目30个、投资总额达130.3亿元，招商引资绩效评价在韶关各县（市、区）排名第一。统筹推进电子商务、金融服务等新业态融合发展，创新“电商+消费扶贫”产销机制，完成电商交易额19.1亿元，带动贫困户销售农产品4600万元。高质量完成第四次全国经济普查现场登记和数据处理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生态优势巩固提升。</w:t>
      </w:r>
      <w:r>
        <w:rPr>
          <w:rFonts w:hint="eastAsia" w:ascii="方正书宋简体" w:hAnsi="方正书宋简体" w:eastAsia="方正书宋简体" w:cs="方正书宋简体"/>
          <w:sz w:val="24"/>
          <w:szCs w:val="24"/>
        </w:rPr>
        <w:t>扎实推进国家森林城市创建工作，总体规划通过专家评审。完成造林4万亩、森林抚育16.7万亩、碳汇造林1.5万亩，打造3个绿美古树乡村，成功竞得规划总投资44亿元的国家储备林项目，丰源、武岭、窑合等9个村被认定为国家森林乡村，主田镇被评为省森林小镇，梅关古驿道被认定为省首批自然教育基地。成功举办2019中国（南雄）国际银杏产业大会，中国林业产业联合会银杏产业分会落户南雄。着力打好污染防治攻坚战，创新生态环境保护、“两违”管控整治等“六网合一”网格化管理机制。完成珠玑纸业废臭气排放提升治理，利用华电集中供热关停园区分散小锅炉，投入6170多万元开展国省道路域和扬尘专项整治，全面落实建筑工地扬尘治理“六个100%”，扩大烟花爆竹禁燃区域，严格做好森林防灭火工作，全年空气质量优良天数比例达96.88%。深入开展河湖“五清”和入河排污口专项整治行动，完成万里碧道10公里项目建设和集中式饮用水水源地保护区环境治理，建成9个镇级污水处理厂，饮用水水源水质100%达标。清养关停整顿猪场52户、散养户573户。全面完成15个镇级简易垃圾填埋场整改。加大山水林田湖草生态保护修复工作力度。扎实推进国家土壤污染综合防治先行区建设，完成矿山石场治理复绿78亩，红砂岭和梅关古驿道周边生态保护修复被省、韶关市确定为系统综合治理修复试点项目。</w:t>
      </w:r>
    </w:p>
    <w:p>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城乡建设协调推进。</w:t>
      </w:r>
      <w:r>
        <w:rPr>
          <w:rFonts w:hint="eastAsia" w:ascii="方正书宋简体" w:hAnsi="方正书宋简体" w:eastAsia="方正书宋简体" w:cs="方正书宋简体"/>
          <w:sz w:val="24"/>
          <w:szCs w:val="24"/>
        </w:rPr>
        <w:t>实施中心城区品质提升“439”行动，雄州公园、“一江两岸”完成景观改造提升，南雄中学至黎灿学校人行天桥建成投入使用，雄州廊桥、深雄酒店·雄州名园等配套项目加快建设，14条城区道路完成“白改黑”。北城新区建设加快，仁和国际大酒店建成开业，崇贤大道竣工通车。压实“街长制”网格化管理机制，大力开展“两违”“六乱”整治，顺利通过省卫生城市复审。完成珠玑镇、江头镇“139”首批试点建设任务。全面推进生态宜居美丽乡村建设，拆除农村破旧泥砖房13万间367万平方米，100%完成“三清三拆三整治”。打造了134个干净整洁村、30个美丽宜居村、9个特色精品村，灵潭村被选为“看美丽乡村、庆70华诞”系列直播活动全省唯一直播地。大力发展特色农业产业，18个镇（街道）基本完成新增流转相对连片土地1000亩以上，珠玑镇被认定为省“一村一品、一镇一业”专业镇。完成高标准农田建设7万亩、垦造水田3717亩、拆旧复垦423亩。基础设施建设力度加大，雄信高速公路7个专项评估报告获得批复，省道S342线分水坳至雄州段扩建工程基本完成，国道G323线、省道S515线和县道升级改造扎实推进，完成“四好农村路”建设1368公里。农村电网建设完成投资1.2亿元。推进城乡居民安全饮水工程建设，完成邓坊等8家水厂收购，基本实现相对贫困村集中供水全覆盖。中小河流治理和病险山塘除险加固稳步推进。全面完成村村通光纤工程。</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楷体_GB2312" w:hAnsi="仿宋_GB2312" w:eastAsia="楷体_GB2312" w:cs="仿宋_GB2312"/>
          <w:bCs/>
          <w:sz w:val="24"/>
          <w:szCs w:val="24"/>
        </w:rPr>
        <w:t>民生保障更加有力。</w:t>
      </w:r>
      <w:r>
        <w:rPr>
          <w:rFonts w:hint="eastAsia" w:ascii="方正书宋简体" w:hAnsi="方正书宋简体" w:eastAsia="方正书宋简体" w:cs="方正书宋简体"/>
          <w:sz w:val="24"/>
          <w:szCs w:val="24"/>
        </w:rPr>
        <w:t>全年民生支出32.3亿元、占一般公共预算支出的84%。城镇、农村居民人均可支配收入分别达到2.8万元、1.6万元，分别增长6%、9.7%。基本完成政府承诺的8件民生实事。提高低保、五保等底线民生救助标准。深入推进就业创业服务，新增就业3135人，城镇登记失业率为2.05%。97.52%相对贫困人口达到脱贫标准，68个相对贫困村全部达到出列标准，贫困发生率降至0.07%。市第四小学、机关幼儿园碧桂园校区和财贸幼儿园雄东路校区建成投入使用，新增优质学位1200个。开通“农村校园公交”专线94条，启用幼儿园校车服务，被评为省学前教育改革发展实验区，高考成绩再创新高。市第二人民医院、120急救指挥中心和市人民医院综合住院大楼建成投入使用，市中医院妇计院医共体完成主体工程，公建规范化村卫生站实现全覆盖，168个村卫生站开通医保即时结算，被确定为国家紧密型县域医疗卫生共同体建设试点县。文体事业繁荣发展，新图书馆、新档案馆和3间风度书房建成启用，新改扩建旅游厕所17间。全面完成自然村落历史人文普查工作。融媒体中心实现新闻采编播全流程再造，建成新时代文明实践中心1个、文明实践所（站）127个。成功举办“我和我的祖国—‘百歌颂中华’”合唱大赛，发布“善美韶关·红色南雄”城市形象口号。建立县镇村三级退役军人服务保障体系。投入3600多万元推进公安派出所规范化建设，严格落实“八个一”勤务机制，扫黑除恶打掉涉黑恶团伙9个、刑拘80人。全面推行综治“中心+网格化+信息化”，加强“雪亮工程”建设，实现“红袖章”治安联防队伍村（社区）全覆盖，湖口镇湖口村获评全国乡村治理示范村，黄坑镇“创建平安祥和新黄坑”项目被列入省基层社会治理创新项目。省食品安全示范县创建稳步推进。气象科普馆和智慧南雄综合管控系统完成建设，应急管理体系进一步完善，安全生产工作不断加强。此外，工青妇儿、民族宗教、供销、保密、残联、档案和军民融合等工作实现新发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楷体_GB2312" w:hAnsi="仿宋_GB2312" w:eastAsia="楷体_GB2312" w:cs="仿宋_GB2312"/>
          <w:bCs/>
          <w:sz w:val="24"/>
          <w:szCs w:val="24"/>
        </w:rPr>
        <w:t>改革创新全面深化。</w:t>
      </w:r>
      <w:r>
        <w:rPr>
          <w:rFonts w:hint="eastAsia" w:ascii="方正书宋简体" w:hAnsi="方正书宋简体" w:eastAsia="方正书宋简体" w:cs="方正书宋简体"/>
          <w:sz w:val="24"/>
          <w:szCs w:val="24"/>
        </w:rPr>
        <w:t>深入推进“数字政府”建设，全面推行“马上办、网上办、就近办、一次办”服务模式。完成县级政务服务事项和第三批镇村事项标准化建设试点工作，实现市镇村“一门式一网式”政务服务全覆盖，145个县级高频服务事项在镇村实现无差别办理，126个事项实现全市通办，出入境智慧办证大厅建成投入使用，企业开办、不动产一般登记时间分别压减至1个工作日和3个工作日。实施“照后减证”等工商注册制度改革，新增各类市场主体2535户。“数字政府”和营商环境便利度绩效考核均在韶关各县（市、区）排名第一。建立农村“一户一宅”审批备案制度。深化农村“三变”改革，涉农资金统筹整合改革工作走在全省前列，获得省财政厅推介。全面完成农信社改制工作。落实各项减税降费政策，为企业减负1.3亿元。高质量完成机构改革和机关事业单位养老保险并轨改革。全面完成ETC发行推广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政府效能不断提高。</w:t>
      </w:r>
      <w:r>
        <w:rPr>
          <w:rFonts w:hint="eastAsia" w:ascii="方正书宋简体" w:hAnsi="方正书宋简体" w:eastAsia="方正书宋简体" w:cs="方正书宋简体"/>
          <w:sz w:val="24"/>
          <w:szCs w:val="24"/>
        </w:rPr>
        <w:t>强化政治引领，全面加强政府系统党的建设，切实增强“四个意识”、坚定“四个自信”、做到“两个维护”，始终把党的领导贯穿政府工作全过程。深入学习贯彻习近平新时代中国特色社会主义思想，扎实开展“不忘初心、牢记使命”主题教育，深入推进“大学习、深调研、真落实”工作，大力开展模范机关创建，以党建新成效促进政务水平新提升。自觉接受人大依法监督和政协民主监督，虚心接受群众监督和舆论监督，办理人大议案及建议28件、政协提案及来信92件，按时办复率、代表满意率均为100%。扎实推进“基层减负年”，全口径文件、会议和督查考核事项分别压减20.5%、34.9%和50%。坚持过“紧日子”思想，财政一般性支出和“三公”经费分别压减5.7%、8%。深入推进政府系统党风廉政建设和反腐败工作，严格落实“一岗双责”和中央八项规定及其实施细则，扎实推进审计监督全覆盖，持之以恒整治“四风”，严肃查处违纪违法行为，政风行风作风持续好转。</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各位代表，过去的一年，面对国内外风险挑战明显上升的复杂局面和国内经济下行压力加大等各种不利因素，全市经济社会发展取得这样的成绩，确实来之不易。这是习近平新时代中国特色社会主义思想科学指导的结果，是市委坚强领导的结果，是市人大、市政协监督支持的结果，是社会各界鼎力支持的结果，是全市人民团结奋斗的结果。在此，我代表市人民政府，向全市人民和所有关心、支持、参与南雄经济社会建设的各级领导、社会各界人士表示衷心感谢，并致以崇高敬意！</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同时，我们也清醒地认识到，我市经济社会发展仍存在一些困难和短板，主要是：经济总量不大，产业结构不优，总体发展水平偏低；重大项目要素保障不充分，固定资产投资等个别指标未达到年初预期；生态保护和修复任务艰巨，节能减排压力较大；基本公共服务历史欠账较多，与人民日益增长的美好生活需要存在差距；财政收支矛盾突出；少数干部担当意识不强、作风不实，推动发展的能力不够，等等。对此，我们将高度重视，采取有力措施，认真加以解决。</w:t>
      </w:r>
    </w:p>
    <w:p>
      <w:pPr>
        <w:keepNext w:val="0"/>
        <w:keepLines w:val="0"/>
        <w:pageBreakBefore w:val="0"/>
        <w:widowControl w:val="0"/>
        <w:kinsoku/>
        <w:wordWrap/>
        <w:overflowPunct/>
        <w:topLinePunct w:val="0"/>
        <w:bidi w:val="0"/>
        <w:snapToGrid/>
        <w:spacing w:line="440" w:lineRule="exact"/>
        <w:jc w:val="center"/>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28"/>
          <w:szCs w:val="28"/>
        </w:rPr>
        <w:t>二〇二〇年工作安排</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2020年，是全面建成小康社会和“十三五”规划的收官之年，是一个重要而特殊的年份。新年伊始，面对突如其来的新冠肺炎疫情，我们坚定把保障人民群众生命安全和身体健康放在首位，坚决贯彻落实习近平总书记重要讲话重要指示批示精神，按照中央、省和韶关市决策部署，在市委的坚强领导下，迅速成立市疫情防控指挥部及13个工作组（专班），全面动员，尽锐出战，突出守好“三条防线”，抓好“四个闭环”管理，严密做好外防输入、内防扩散工作，扎实推进联防联控、群防群治，既为全省守好了“北大门”，又确保全市未出现确诊病例。在这场大考面前，各级各部门践行初心使命，扛起责任，经受住考验。广大医务人员逆行出征、英勇作战。全市干部群众众志成城、共克时艰，充分展现了新时代南雄人民越是艰险越向前，坚决打赢疫情防控人民战争、总体战、阻击战的精气神和战斗力！</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当前，全国疫情防控阻击战取得重大战略成果，但境外疫情形势依然严峻复杂，做好经济社会发展工作难度更大。综合考虑经济社会发展趋势，</w:t>
      </w:r>
      <w:r>
        <w:rPr>
          <w:rFonts w:hint="eastAsia" w:ascii="方正书宋简体" w:hAnsi="方正书宋简体" w:eastAsia="方正书宋简体" w:cs="方正书宋简体"/>
          <w:b/>
          <w:bCs/>
          <w:sz w:val="24"/>
          <w:szCs w:val="24"/>
        </w:rPr>
        <w:t>今年政府工作的总体要求是：</w:t>
      </w:r>
      <w:r>
        <w:rPr>
          <w:rFonts w:hint="eastAsia" w:ascii="方正书宋简体" w:hAnsi="方正书宋简体" w:eastAsia="方正书宋简体" w:cs="方正书宋简体"/>
          <w:sz w:val="24"/>
          <w:szCs w:val="24"/>
        </w:rPr>
        <w:t>以习近平新时代中国特色社会主义思想为指导，全面贯彻落实党的十九大和十九届二中、三中、四中全会精神，深入贯彻省委十二届九次全会、韶关市委十二届</w:t>
      </w:r>
      <w:bookmarkStart w:id="3" w:name="_GoBack"/>
      <w:bookmarkEnd w:id="3"/>
      <w:r>
        <w:rPr>
          <w:rFonts w:hint="eastAsia" w:ascii="方正书宋简体" w:hAnsi="方正书宋简体" w:eastAsia="方正书宋简体" w:cs="方正书宋简体"/>
          <w:sz w:val="24"/>
          <w:szCs w:val="24"/>
        </w:rPr>
        <w:t>十一次全会和南雄市委十三届十次全会精神，紧扣全面建成小康社会目标任务，统筹推进疫情防控和经济社会发展工作，在疫情防控常态化前提下，坚持稳中求进工作总基调，坚持新发展理念，坚持生态优先、绿色发展，主动融入和服务粤港澳大湾区、深圳先行示范区建设，扎实做好“六稳”工作，落实“六保”任务，统筹推进稳增长、促改革、调结构、惠民生、防风险、保稳定，努力变压力为动力、化危为机，保持经济运行在合理区间，确保全面建成小康社会和“十三五”规划圆满收官。</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b/>
          <w:bCs/>
          <w:sz w:val="24"/>
          <w:szCs w:val="24"/>
        </w:rPr>
        <w:t>今年我市经济社会发展主要预期目标是：</w:t>
      </w:r>
      <w:r>
        <w:rPr>
          <w:rFonts w:hint="eastAsia" w:ascii="方正书宋简体" w:hAnsi="方正书宋简体" w:eastAsia="方正书宋简体" w:cs="方正书宋简体"/>
          <w:sz w:val="24"/>
          <w:szCs w:val="24"/>
        </w:rPr>
        <w:t>地区生产总值增长6%，实际执行时努力争取更好结果；固定资产投资增长6%；地方一般公共预算收入增长6%；规上工业增加值增长18%；社会消费品零售总额增长7.5%。</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围绕以上目标，我们将重点做好以下九个方面工作：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cs="仿宋_GB2312"/>
          <w:b/>
          <w:bCs/>
          <w:sz w:val="24"/>
          <w:szCs w:val="24"/>
        </w:rPr>
      </w:pPr>
      <w:r>
        <w:rPr>
          <w:rFonts w:hint="eastAsia" w:ascii="方正黑体简体" w:hAnsi="方正黑体简体" w:eastAsia="方正黑体简体" w:cs="方正黑体简体"/>
          <w:b w:val="0"/>
          <w:bCs w:val="0"/>
          <w:sz w:val="24"/>
          <w:szCs w:val="24"/>
        </w:rPr>
        <w:t>一、坚持“两手抓、两不误”，奋力夺取疫情防控和经济社会发展双胜利</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抓紧抓实抓细常态化疫情防控。必须时刻绷紧疫情防控这根弦，坚决克服麻痹思想、厌战情绪、侥幸心理、松劲心态，自觉扛起疫情防控重大政治责任，做好较长时间应对外部环境变化的思想准备和工作准备。全面落实“外防输入、内防反弹”防控策略，因时因势完善常态化疫情防控体制机制，强化群众自我防护和管理意识，不断巩固疫情防控成果，为人民群众生命安全和身体健康、经济社会秩序全面恢复提供有力保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精准施策推进经济社会发展。</w:t>
      </w:r>
      <w:r>
        <w:rPr>
          <w:rFonts w:hint="eastAsia" w:ascii="方正书宋简体" w:hAnsi="方正书宋简体" w:eastAsia="方正书宋简体" w:cs="方正书宋简体"/>
          <w:sz w:val="24"/>
          <w:szCs w:val="24"/>
        </w:rPr>
        <w:t>落实落细稳企业稳经济稳发展各项政策举措，全面推进复工复产达产，加快复商复市复业复学，恢复正常经济社会秩序。加大公共卫生、应急物资保障领域投入，加快传统基础设施和5G等新型基础设施建设，培育壮大新的增长点增长极。抢抓国家、省加强宏观政策逆周期调节的政策窗口期和补短板的机遇期，加大争资金争项目争政策和招商引资力度，牢牢把握发展主动权，努力跑出发展“加速度”，把失去的时间抢回来，把落下的进度赶上去，全力以赴实现全年经济社会发展目标任务。</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val="0"/>
          <w:sz w:val="24"/>
          <w:szCs w:val="24"/>
        </w:rPr>
      </w:pPr>
      <w:r>
        <w:rPr>
          <w:rFonts w:hint="eastAsia" w:ascii="方正黑体简体" w:hAnsi="方正黑体简体" w:eastAsia="方正黑体简体" w:cs="方正黑体简体"/>
          <w:b w:val="0"/>
          <w:bCs w:val="0"/>
          <w:sz w:val="24"/>
          <w:szCs w:val="24"/>
        </w:rPr>
        <w:t>二、着力推动实体经济发展，强化高质量发展支撑</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坚持产业生态化、生态产业化，主动对接和切入大湾区的产业链、供应链和价值链，推动制造业、农业和第三产业融合发展。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把园区作为制造业高质量发展主战场。</w:t>
      </w:r>
      <w:r>
        <w:rPr>
          <w:rFonts w:hint="eastAsia" w:ascii="方正书宋简体" w:hAnsi="方正书宋简体" w:eastAsia="方正书宋简体" w:cs="方正书宋简体"/>
          <w:sz w:val="24"/>
          <w:szCs w:val="24"/>
        </w:rPr>
        <w:t>实施园区高质量发展行动计划，园区一期继续实施“腾笼换鸟”，完成8家以上闲置低效企业置换；园区二期加快完善道路、管网、绿化等基础配套设施，加快标准厂房建设，围绕新材料、竹纤维、银杏加工、机械装备及制造等主导产业开展精准招商。抢抓国土空间规划编制机遇，谋划做好园区二期扩园修编工作，提升园区承载力和吸引力，全力打造成“双区”产业配套基地和产业转移承接基地。坚持扶优扶强，持续开展“暖企”行动，加快澳中电子材料、绿洲生态植物纤维餐具、竹缠绕复合材料、兴南新型墙体和新合盛等一批优质项目建设，推动华电、彤置富水泥、乐华陶瓷等企业释放产能，抓好16家倍增计划试点企业工作，培育新增规上工业企业5家以上。</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楷体_GB2312" w:hAnsi="仿宋_GB2312" w:eastAsia="楷体_GB2312" w:cs="仿宋_GB2312"/>
          <w:bCs/>
          <w:sz w:val="24"/>
          <w:szCs w:val="24"/>
        </w:rPr>
        <w:t>突出特色优势大力发展现代农业。</w:t>
      </w:r>
      <w:r>
        <w:rPr>
          <w:rFonts w:hint="eastAsia" w:ascii="方正书宋简体" w:hAnsi="方正书宋简体" w:eastAsia="方正书宋简体" w:cs="方正书宋简体"/>
          <w:sz w:val="24"/>
          <w:szCs w:val="24"/>
        </w:rPr>
        <w:t>深化农业供给侧结构性改革，出台现代农业产业发展总体规划，明确各镇（街道）主打特色产业，做优做强脐橙、茶叶、葡萄、中草药、百香果、稻虾共养、猕猴桃等特色农业。落实粮食安全政府责任制，至少打造2个3000亩以上大湾区“菜篮子”“果盘子”“米袋子”基地，稳定粮食生产。完成丝苗米省级现代农业产业园建设并投入运营。推进“一镇一业、一村一品”，加快发展精致农业，培育新增专业村建设项目15个。完成黄烟种植6.1万亩、烟叶收购17.5万担。发挥银杏产业分会优势，完成银杏产业总体规划编制，加快推进坪田银杏园建设，促进银杏一二三产融合发展。依托我市特色农业资源优势，统筹推进农产品种养与加工制造、仓储物流、电子商务、金融服务、观光旅游深度融合，主动与大湾区开展“产地+电商+超市”等多种形式产销对接，拓宽特色农产品销售渠道。启动中合利华·南雄农林产品商贸物流园、利民冷链物流中心建设，完善农土特产品物流运输体系。办好农民丰收节等展销宣传活动。加强非洲猪瘟、高致病性禽流感等重大动物疫病防控，推进标准化规模养殖场建设，加快恢复生猪生产，做到保供稳价。</w:t>
      </w:r>
    </w:p>
    <w:p>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bCs/>
          <w:color w:val="auto"/>
          <w:kern w:val="2"/>
          <w:sz w:val="24"/>
          <w:szCs w:val="24"/>
        </w:rPr>
        <w:t>全力推进全域旅游示范区创建。</w:t>
      </w:r>
      <w:r>
        <w:rPr>
          <w:rFonts w:hint="eastAsia" w:ascii="方正书宋简体" w:hAnsi="方正书宋简体" w:eastAsia="方正书宋简体" w:cs="方正书宋简体"/>
          <w:color w:val="auto"/>
          <w:kern w:val="2"/>
          <w:sz w:val="24"/>
          <w:szCs w:val="24"/>
          <w:lang w:val="en-US" w:eastAsia="zh-CN" w:bidi="ar-SA"/>
        </w:rPr>
        <w:t>坚持把旅游作为第三产业的龙头，全力打造大湾区精神文化高地示范区和旅游休闲目的地。稳妥推进珠玑古巷改造提升，加快百姓堂项目建设，继续办好第七届姓氏文化旅游节，提升珠玑文化特色小镇档次和水平。以长征国家文化公园广东段建设为契机，大力发展红色旅游，加快推进红色革命历史陈列馆、水口战役遗址公园、北山红色教育基地等项目建设，举办重走长征路等系列活动，打造一批红色旅游精品线路，打响“红色南雄”品牌。加快云峰山旅游区、帽子峰森林公园、香草世界森林公园和泉水谷漂流度假村等项目建设。加强地热资源开发利用，打造“温泉+N”旅游产品体系。大力提升旅游服务水平，加快盘活竹博园、奥威斯项目资产资源，培育韶关市星级民宿2家以上。大力发展夜间经济，推动大润发广场夜间消费集聚区建设。充分利用南粤古驿道、恐龙地质文化基地等特色资源，精心培育“乡村游”“古驿道游”“研学游”等旅游新业态，打造“双区”的“后花园”“康养地”“体验场”。</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val="0"/>
          <w:sz w:val="24"/>
          <w:szCs w:val="24"/>
        </w:rPr>
      </w:pPr>
      <w:r>
        <w:rPr>
          <w:rFonts w:hint="eastAsia" w:ascii="方正黑体简体" w:hAnsi="方正黑体简体" w:eastAsia="方正黑体简体" w:cs="方正黑体简体"/>
          <w:b w:val="0"/>
          <w:bCs w:val="0"/>
          <w:sz w:val="24"/>
          <w:szCs w:val="24"/>
        </w:rPr>
        <w:t>三、着力扩大有效投资，蓄积高质量发展动能</w:t>
      </w:r>
    </w:p>
    <w:p>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充分发挥投资对经济增长的关键作用，聚焦项目谋划储备、动工建设和落地见效，持之以恒扩大有效投资。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加强项目谋划储备。</w:t>
      </w:r>
      <w:r>
        <w:rPr>
          <w:rFonts w:hint="eastAsia" w:ascii="方正书宋简体" w:hAnsi="方正书宋简体" w:eastAsia="方正书宋简体" w:cs="方正书宋简体"/>
          <w:color w:val="auto"/>
          <w:kern w:val="2"/>
          <w:sz w:val="24"/>
          <w:szCs w:val="24"/>
          <w:lang w:val="en-US" w:eastAsia="zh-CN" w:bidi="ar-SA"/>
        </w:rPr>
        <w:t>用好老区苏区振兴发展政策，聚焦关键领域和薄弱环节，加强公共卫生、道路交通、生态环保、社会民生和新基建等领域项目谋划，储备一批打基础、利长远的优质项目，在库项目保持在100个以上。争取将韶赣铁路复线、通用机场等重大项目列入国家、省规划盘子。加大前期工作经费投入，统筹开展储备项目筛选、论证和申报等前期工作，提高项目成熟度和竞争力。落实招商引资“一把手”工程，结合产业定位和配套需求深入开展产业链招商、以商招商、乡贤招商，年内完成新签约项目21个、合同投资额32亿元，新开工项目11个，年度投资额14亿元以上。</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加强投资要素保障。</w:t>
      </w:r>
      <w:r>
        <w:rPr>
          <w:rFonts w:hint="eastAsia" w:ascii="方正书宋简体" w:hAnsi="方正书宋简体" w:eastAsia="方正书宋简体" w:cs="方正书宋简体"/>
          <w:color w:val="auto"/>
          <w:kern w:val="2"/>
          <w:sz w:val="24"/>
          <w:szCs w:val="24"/>
          <w:lang w:val="en-US" w:eastAsia="zh-CN" w:bidi="ar-SA"/>
        </w:rPr>
        <w:t>推进重点办与前期办合署办公，统筹调度项目的前期工作和项目进展。完善“要素资源跟着项目走”的保障机制，落实好“四个一”重点项目管理办法，重点解决项目征地拆迁、用地、用林、用能、环评等突出问题，推动年度总投资65亿元的47个重点项目建设。大力争取和积极用好国债、地方专项债、一般债。盘活国有资产资源，全面统筹财政资金、产业基金、股权资产，集中财力办大事。加强政银企合作，激发民间投资潜力，引导、撬动市场和社会资本投入经济社会发展重大项目。加强土地收储，完成垦造水田1500亩、拆旧复垦300亩，为产业发展和城市建设留足空间。</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加强基础设施建设。</w:t>
      </w:r>
      <w:r>
        <w:rPr>
          <w:rFonts w:hint="eastAsia" w:ascii="方正书宋简体" w:hAnsi="方正书宋简体" w:eastAsia="方正书宋简体" w:cs="方正书宋简体"/>
          <w:color w:val="auto"/>
          <w:kern w:val="2"/>
          <w:sz w:val="24"/>
          <w:szCs w:val="24"/>
          <w:lang w:val="en-US" w:eastAsia="zh-CN" w:bidi="ar-SA"/>
        </w:rPr>
        <w:t>坚持交通先行，构建与大湾区互联互通的综合交通运输体系。确定投资主体，全面启动雄信高速公路建设项目。开展韶赣铁路复线（动车）各项前期工作，认真谋划城区南环公路建设，推进国道G323线头塘铺至古市、省道S342线全安至帽子峰、S515线大兰至大塘和长龙至马迳前等一批国省道升级改造，启动坪田镇黄泥井至老宅、中坪至坳背、坪田至军营寨等3条旅游公路建设。实施总投资超10亿元的城乡供水一体化工程，开工建设苍石水厂、宝江水厂、老坪田水厂及配套管网工程，全面完成乡镇水厂收回收购，启动星翔水厂收购。实施三枫闸坝改造工程，稳步推进中坪、大源水库灌区节水改造工程，完成26宗病险山塘除险加固工程。谋划推进特高压建设，完成农村电网改造升级投资8000万元。加大5G基建力度，实现城区5G网络全覆盖。加快新能源汽车充电桩、天然气管网建设。</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val="0"/>
          <w:sz w:val="24"/>
          <w:szCs w:val="24"/>
        </w:rPr>
      </w:pPr>
      <w:r>
        <w:rPr>
          <w:rFonts w:hint="eastAsia" w:ascii="方正黑体简体" w:hAnsi="方正黑体简体" w:eastAsia="方正黑体简体" w:cs="方正黑体简体"/>
          <w:b w:val="0"/>
          <w:bCs w:val="0"/>
          <w:sz w:val="24"/>
          <w:szCs w:val="24"/>
        </w:rPr>
        <w:t>四、着力建设美丽宜居南雄，拓展高质量发展内涵</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围绕“扩大容量、完善功能、提升风貌”总目标，加大“四城同创”力度，进一步完善城镇配套、塑造特色风貌、创新服务管理，打造宜居宜业宜游的品质之城。</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楷体_GB2312" w:hAnsi="仿宋_GB2312" w:eastAsia="楷体_GB2312" w:cs="仿宋_GB2312"/>
          <w:bCs/>
          <w:sz w:val="24"/>
          <w:szCs w:val="24"/>
        </w:rPr>
        <w:t>优化城镇发展空间。</w:t>
      </w:r>
      <w:r>
        <w:rPr>
          <w:rFonts w:hint="eastAsia" w:ascii="方正书宋简体" w:hAnsi="方正书宋简体" w:eastAsia="方正书宋简体" w:cs="方正书宋简体"/>
          <w:color w:val="auto"/>
          <w:kern w:val="2"/>
          <w:sz w:val="24"/>
          <w:szCs w:val="24"/>
          <w:lang w:val="en-US" w:eastAsia="zh-CN" w:bidi="ar-SA"/>
        </w:rPr>
        <w:t>突出规划引领作用，科学编制面向2035年的“多规合一”国土空间总体规划。统筹推进中心城区“北接南融”，重点加快北城新区开发建设、省级产业转移工业园集聚发展和雄州-珠玑同城化一体化发展，进一步拉大城市框架。完善城区绿地系统、城区污水、“三旧”改造等专项规划，启动乡镇国土空间规划编制，加快行政村、自然村规划编制工作，形成完整的规划系统。高质量完成“十四五”规划纲要编制。做好市域全要素基础测绘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提高城市功能品质。</w:t>
      </w:r>
      <w:r>
        <w:rPr>
          <w:rFonts w:hint="eastAsia" w:ascii="方正书宋简体" w:hAnsi="方正书宋简体" w:eastAsia="方正书宋简体" w:cs="方正书宋简体"/>
          <w:color w:val="auto"/>
          <w:kern w:val="2"/>
          <w:sz w:val="24"/>
          <w:szCs w:val="24"/>
          <w:lang w:val="en-US" w:eastAsia="zh-CN" w:bidi="ar-SA"/>
        </w:rPr>
        <w:t>持续推进县城品质提升“439”行动，加快北城新区建设，全面完成二期征地工作，加快完善道路、供水管网、污水管网等配套基础设施，推动新汽车站、人民法院审判法庭等项目加快建设，谋划启动建设科技馆、游泳馆和青少年宫，加快莲塘、借村等城乡接合部农村人居环境整治。推动老城区焕发新活力，加快雄州廊桥、深雄酒店·雄州名园等项目建设，实施一批“三旧”改造项目，推动城区农贸市场升级改造。加快城市停车场建设，新增公共停车位300个。启动廻澜门码头公园建设，继续完善雄州公园、革命烈士陵园、三影塔广场绿地。深化“街长制”网格化管理和市容市貌提升整治，推动老旧小区微改造，大力开展住宅小区规范化管理及试点创建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提升墟镇风貌特色。</w:t>
      </w:r>
      <w:r>
        <w:rPr>
          <w:rFonts w:hint="eastAsia" w:ascii="方正书宋简体" w:hAnsi="方正书宋简体" w:eastAsia="方正书宋简体" w:cs="方正书宋简体"/>
          <w:color w:val="auto"/>
          <w:kern w:val="2"/>
          <w:sz w:val="24"/>
          <w:szCs w:val="24"/>
          <w:lang w:val="en-US" w:eastAsia="zh-CN" w:bidi="ar-SA"/>
        </w:rPr>
        <w:t>落实乡镇（镇街）提升“139”行动，完成墟镇整治专项规划编制工作，持续开展垃圾、污水、“六乱”三项整治。完成第二批全安、湖口、主田、古市、邓坊5个镇整治提升工作，确保通过市级验收。创新墟镇管理模式，推进乡镇农贸市场综合改革，试点推进城管执法力量下沉，改变墟镇“脏乱差”面貌。继续支持珠玑文化小镇、油山红色小镇、江头旅游小镇建设，打造一批特色镇。</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五、着力实施乡村振兴战略，补齐高质量发展短板</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按照产业兴旺、生态宜居、乡风文明、治理有效、生活富裕总要求，扎实推动乡村振兴出精品、造亮点，努力把“短板”变成“潜力板”。</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全面打赢脱贫攻坚收官战。</w:t>
      </w:r>
      <w:r>
        <w:rPr>
          <w:rFonts w:hint="eastAsia" w:ascii="方正书宋简体" w:hAnsi="方正书宋简体" w:eastAsia="方正书宋简体" w:cs="方正书宋简体"/>
          <w:color w:val="auto"/>
          <w:kern w:val="2"/>
          <w:sz w:val="24"/>
          <w:szCs w:val="24"/>
          <w:lang w:val="en-US" w:eastAsia="zh-CN" w:bidi="ar-SA"/>
        </w:rPr>
        <w:t>压实市镇村、帮扶单位和行业部门责任，加强挂牌督战工作，统筹推进“八大扶贫工程”，稳定实现“两不愁、三保障”“八有”和“十项”指标，确保上半年现行标准下相对贫困人口全部脱贫、相对贫困村全部出列。加强市镇村统筹扶贫资金投资项目的跟踪管理，确保资金安全并发挥效益。进一步发挥扶投公司作用，优化提升扶贫产业。严把贫困人口退出关，及时做好因疫致贫返贫人口和边缘贫困人口的监测和帮扶，建立健全长效稳定脱贫机制，切实做到“四不摘”。</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大力发展富民兴村产业。</w:t>
      </w:r>
      <w:r>
        <w:rPr>
          <w:rFonts w:hint="eastAsia" w:ascii="方正书宋简体" w:hAnsi="方正书宋简体" w:eastAsia="方正书宋简体" w:cs="方正书宋简体"/>
          <w:color w:val="auto"/>
          <w:kern w:val="2"/>
          <w:sz w:val="24"/>
          <w:szCs w:val="24"/>
          <w:lang w:val="en-US" w:eastAsia="zh-CN" w:bidi="ar-SA"/>
        </w:rPr>
        <w:t>加快土地流转，成立交易平台并制定交易政策。推行“点状供地”，落实设施农业用地政策，加强乡村新产业新业态发展用地保障。深化开展涉农资金整合。加快新型乡村助农服务示范体系建设，完成1个县域助农服务综合平台、7个镇村助农服务中心建设。大力培育新型农业经营主体，新增韶关市级以上示范性新型农业经营主体10家以上。新增绿色食品、有机食品认证农产品5个、省级农业名牌产品2个和区域公共性品牌1个。推进农产品质量安全追溯体系建设，创建国家农产品质量安全示范县。完成208个村级益农信息社和1个县级运营中心建设。全面铺开农村集体产权制度改革工作。扎实推进“三变”改革。完成高标准农田建设6.16万亩。</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加快生态宜居美丽乡村建设。</w:t>
      </w:r>
      <w:r>
        <w:rPr>
          <w:rFonts w:hint="eastAsia" w:ascii="方正书宋简体" w:hAnsi="方正书宋简体" w:eastAsia="方正书宋简体" w:cs="方正书宋简体"/>
          <w:color w:val="auto"/>
          <w:kern w:val="2"/>
          <w:sz w:val="24"/>
          <w:szCs w:val="24"/>
          <w:lang w:val="en-US" w:eastAsia="zh-CN" w:bidi="ar-SA"/>
        </w:rPr>
        <w:t>加快推进全域人居环境综合整治，抓好“四沿”区域美丽乡村风貌带建设，打造乡村旅游集群片区，实现以点带面、串珠成链、统筹发展。狠抓农村生活垃圾整治、污水处理设施和“厕所革命”三大工程，健全长效管护机制。落实普通公路路长制“136”行动，全面完成1811个自然村砂土路改造，新增“四好农村路”357公里，力争通过“四好农村路”全国示范县创建。认真做好农村破旧泥砖房清理整治“后半篇文章”。加快房地一体农村宅基地和集体建设用地确权登记工作。积极申报全域土地综合整治试点。扎实做好农村宅基地制度改革试点工作，严格落实“一户一宅”制度，推动农村宅基地和农村住房建设规范化管理，提高宅基地利用效率。</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六、着力优化发展环境，厚植高质量发展优势</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立足北部生态发展区功能定位，进一步筑牢绿色生态屏障，优化营商环境和创新环境，更好地筑巢引凤、推动发展。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优化提升生态环境。</w:t>
      </w:r>
      <w:r>
        <w:rPr>
          <w:rFonts w:hint="eastAsia" w:ascii="方正书宋简体" w:hAnsi="方正书宋简体" w:eastAsia="方正书宋简体" w:cs="方正书宋简体"/>
          <w:color w:val="auto"/>
          <w:kern w:val="2"/>
          <w:sz w:val="24"/>
          <w:szCs w:val="24"/>
          <w:lang w:val="en-US" w:eastAsia="zh-CN" w:bidi="ar-SA"/>
        </w:rPr>
        <w:t>以国家森林城市创建为抓手，加快实施森林围城工程。完成第一期3万亩国家储备林建设。完成各类造林4万亩、森林抚育15万亩，新建乡村绿化美化示范点7个。实施41公里的梅关—乌迳古驿道生态景观提升工程和500亩驿道梅园建设。加强湿地公园、自然保护区、森林公园、森林小镇等林业生态体系建设，力争将青嶂山-小流坑申报为国家级自然保护区。规范林木采伐监管，严厉打击破坏森林资源的违法犯罪行为。加强森林防灭火工作，从严从重查处打击野外用火违法行为，确保森林火灾受害率不超过0.5‰。推进山水林田湖草生态保护修复工作，抓好红砂岭生态修复工程和水土流失治理工作。高质量推进“万里碧道”建设，筑牢粤北生态屏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优化提升营商环境。</w:t>
      </w:r>
      <w:r>
        <w:rPr>
          <w:rFonts w:hint="eastAsia" w:ascii="方正书宋简体" w:hAnsi="方正书宋简体" w:eastAsia="方正书宋简体" w:cs="方正书宋简体"/>
          <w:color w:val="auto"/>
          <w:kern w:val="2"/>
          <w:sz w:val="24"/>
          <w:szCs w:val="24"/>
          <w:lang w:val="en-US" w:eastAsia="zh-CN" w:bidi="ar-SA"/>
        </w:rPr>
        <w:t>落实落细国家、省、市推动经济平稳运行的政策措施，打好财税、金融、稳岗和社保等“组合拳”，大力支持企业共渡难关。深入推进“数字政府”建设，大力推广“粤省事”“粤商通”等“指尖办事”便民服务。深化“一门式一网式”政务服务改革，完成第三批镇级可办事项下放上线工作。优化不动产登记与交易“一窗通办、集成服务”模式。深化工程建设项目审批制度改革，实现政府投资类和社会投资类工程项目审批时间接轨珠三角水平。实行行政审批中介服务事项清单管理，大力推行中介超市。推行政务服务“好差评”制度。深化商事制度改革，落实“马上办”承诺服务。深入推进“多证合一”和“先照后证”改革，实行企业登记全程电子化办理。加快国资国企改革，推动国有资本布局优化调整。落实减税降费政策，降低企业用电、用气、物流等成本。加强金融服务力度，引导金融机构调整优化信贷结构，量身打造企业复工复产信贷服务产品。建立并完善企业金融服务辅导员制度，“一企一策”纾解企业融资难题。深化普惠金融服务，完成省农村移动支付示范县创建。加强外商投资促进和保护。严格执行市场准入负面清单制度。坚决破除阻碍要素合理流动的机制体制，构建与“双区”接轨的营商环境。</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优化提升创新环境。</w:t>
      </w:r>
      <w:r>
        <w:rPr>
          <w:rFonts w:hint="eastAsia" w:ascii="方正书宋简体" w:hAnsi="方正书宋简体" w:eastAsia="方正书宋简体" w:cs="方正书宋简体"/>
          <w:color w:val="auto"/>
          <w:kern w:val="2"/>
          <w:sz w:val="24"/>
          <w:szCs w:val="24"/>
          <w:lang w:val="en-US" w:eastAsia="zh-CN" w:bidi="ar-SA"/>
        </w:rPr>
        <w:t>坚持创新引领，加快工业园区省级高新技术开发区创建并通过认定。充分发挥中科院新型特种精细化学品专业孵化器、院士工作站、新型研发机构、企业研发中心等载体带动作用，积极对接“双区”和国内外高校、科研机构、科创平台资源，共建产学研技术联盟、产业联盟、标准联盟等平台，力争新建3家韶关市级以上工程技术研究中心。加大创新型企业扶持力度。落实专利资助管理办法，鼓励企业加大研发力度，力争R＆D支出占GDP比重达0.45%以上。加大人才资源开发专项资金投入，鼓励企业培育高层次领军型创新人才，引进丹霞英才150人。落实子女就学、住房补贴等人才政策，完成人才周转性住房等配套设施建设，确保人才引得进、留得住。</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七、着力推进治理体系和治理能力现代化，夯实高质量发展基础</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充分发挥制度优势，进一步加强治理体系建设，提高治理能力，全力营造共建共治共享的社会治理格局。</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强化生态文明综合治理。</w:t>
      </w:r>
      <w:r>
        <w:rPr>
          <w:rFonts w:hint="eastAsia" w:ascii="方正书宋简体" w:hAnsi="方正书宋简体" w:eastAsia="方正书宋简体" w:cs="方正书宋简体"/>
          <w:color w:val="auto"/>
          <w:kern w:val="2"/>
          <w:sz w:val="24"/>
          <w:szCs w:val="24"/>
          <w:lang w:val="en-US" w:eastAsia="zh-CN" w:bidi="ar-SA"/>
        </w:rPr>
        <w:t>完善市镇两级自然生态环境网格化管理工作机制，重点打好蓝天保卫战、碧水攻坚战、净土防御战。加强园区企业挥发性有机物排放监管治理，持续抓好国省道路域整治和扬尘治理，严格做好城区烟花爆竹禁燃工作。全面落实河长制，扎实开展“五清”“清四乱”专项行动和重点河段专项整治。深入推进城区污水处理基础设施建设及污水提标改造，完成镇级生活污水处理基础设施PPP项目建设。进一步规范畜禽养殖禁养区划定，完成7个“千吨万人”镇级饮用水源保护区环境问题整治。全市地表水、集中式饮用水源分别达到Ⅲ类水质比例100%、Ⅱ类水质100%。扎实推进土壤污染防治，抓好梅岭古驿道周边区域矿山地质环境恢复治理。加强地质灾害隐患点综合治理。推进园区智慧管理体系建设。实施生活垃圾分类减量。加大打击非法经营野生动物违法行为力度，全面禁止非法野生动物交易，革除滥食野生动物陋习。</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强化法治环境综合治理。</w:t>
      </w:r>
      <w:r>
        <w:rPr>
          <w:rFonts w:hint="eastAsia" w:ascii="方正书宋简体" w:hAnsi="方正书宋简体" w:eastAsia="方正书宋简体" w:cs="方正书宋简体"/>
          <w:color w:val="auto"/>
          <w:kern w:val="2"/>
          <w:sz w:val="24"/>
          <w:szCs w:val="24"/>
          <w:lang w:val="en-US" w:eastAsia="zh-CN" w:bidi="ar-SA"/>
        </w:rPr>
        <w:t>深入推进法治政府建设，促进重大行政决策科学化、民主化、法治化，严格落实“谁执法谁普法”普法责任制，全面做好“七五”普法收官工作。深化行政执法体制改革，全面推行行政执法三项制度。提高一村（社区）一法律顾问服务质量。强化公共卫生法治保障，提高生物安全治理能力。全面推进政务公开，建设“阳光政府”。依法依规放宽市场准入，规范招投标活动，维护公平竞争的市场环境，新增各类市场主体2000家以上。推进跨部门双随机联合监管，严格规范公正文明执法，减少对市场经营主体干预。扎实推进国家知识产权强县工程试点县创建，加大产权保护力度，严厉打击破坏市场秩序行为，全力维护企业家合法权益。</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强化社会综合治理。</w:t>
      </w:r>
      <w:r>
        <w:rPr>
          <w:rFonts w:hint="eastAsia" w:ascii="方正书宋简体" w:hAnsi="方正书宋简体" w:eastAsia="方正书宋简体" w:cs="方正书宋简体"/>
          <w:color w:val="auto"/>
          <w:kern w:val="2"/>
          <w:sz w:val="24"/>
          <w:szCs w:val="24"/>
          <w:lang w:val="en-US" w:eastAsia="zh-CN" w:bidi="ar-SA"/>
        </w:rPr>
        <w:t>深化平安南雄建设，推动扫黑除恶专项斗争向纵深发展。持续抓好派出所规范化建设，推进“飓风2020”专项行动，严厉打击各类违法犯罪活动。坚持和发展“枫桥经验”打造综治“一镇一特色”，继续推进“雪亮工程”，不断完善社会治安防控体系。深入开展社会矛盾纠纷排查化解工作，落实党政领导定期公开接访制度，突出抓好信访源头防控和积案化解。健全防范化解重大风险工作机制，守住不发生区域性系统性风险的底线。严厉打击非法集资，推进P2P网贷行业风险有序出清。全面落实因城施策，促进房地产市场平稳健康发展。坚守安全生产、食品药品安全等工作底线，推进大应急平台建设，提升防灾减灾救灾水平。做好第七次全国人口普查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cs="楷体_GB2312"/>
          <w:b/>
          <w:sz w:val="24"/>
          <w:szCs w:val="24"/>
        </w:rPr>
      </w:pPr>
      <w:r>
        <w:rPr>
          <w:rFonts w:hint="eastAsia" w:ascii="方正黑体简体" w:hAnsi="方正黑体简体" w:eastAsia="方正黑体简体" w:cs="方正黑体简体"/>
          <w:b w:val="0"/>
          <w:bCs/>
          <w:sz w:val="24"/>
          <w:szCs w:val="24"/>
        </w:rPr>
        <w:t>八、着力保障和改善民生，共享高质量发展成果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方正书宋简体" w:hAnsi="方正书宋简体" w:eastAsia="方正书宋简体" w:cs="方正书宋简体"/>
          <w:color w:val="auto"/>
          <w:kern w:val="2"/>
          <w:sz w:val="24"/>
          <w:szCs w:val="24"/>
          <w:lang w:val="en-US" w:eastAsia="zh-CN" w:bidi="ar-SA"/>
        </w:rPr>
        <w:t>坚持以人民为中心的发展理念，多谋民生之利、多解民生之忧，让高质量发展成果惠及更多的人民群众，不断增强获得感幸福感安全感。</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推动教育均衡优质发展。</w:t>
      </w:r>
      <w:r>
        <w:rPr>
          <w:rFonts w:hint="eastAsia" w:ascii="方正书宋简体" w:hAnsi="方正书宋简体" w:eastAsia="方正书宋简体" w:cs="方正书宋简体"/>
          <w:color w:val="auto"/>
          <w:kern w:val="2"/>
          <w:sz w:val="24"/>
          <w:szCs w:val="24"/>
          <w:lang w:val="en-US" w:eastAsia="zh-CN" w:bidi="ar-SA"/>
        </w:rPr>
        <w:t>大力发展学前教育，完成黄坑镇中心幼儿园、机关幼儿园改建等项目建设，力争全面实现学前教育“5080”目标。完成黎灿学校第二校区、乌迳镇第二小学、教师发展中心等项目建设，加快中等职业学校异地搬迁和江南理工高级技工学校实训基地建设步伐。有序推进农村寄宿制学校和乡村小规模学校建设，推动普通高中优质特色多样化发展。深化教师“县管校聘”管理改革，加快推进中小学校长职级制改革。加强师德师风建设，实施“强师工程”，不断提高教学质量。落实立德树人根本任务，办好学校思想政治理论课，加强未成年人思想道德建设。持续开展校园及周边治安专项治理，全力创建平安校园。</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提升卫生健康服务水平。</w:t>
      </w:r>
      <w:r>
        <w:rPr>
          <w:rFonts w:hint="eastAsia" w:ascii="方正书宋简体" w:hAnsi="方正书宋简体" w:eastAsia="方正书宋简体" w:cs="方正书宋简体"/>
          <w:color w:val="auto"/>
          <w:kern w:val="2"/>
          <w:sz w:val="24"/>
          <w:szCs w:val="24"/>
          <w:lang w:val="en-US" w:eastAsia="zh-CN" w:bidi="ar-SA"/>
        </w:rPr>
        <w:t>推进紧密型县域医共体建设，扎实做好市人民医院医共体、市中医院医共体建设，实现“六统一”管理。积极争取省中医院、珠海市人民医院、粤北人民医院、韶关市第一人民医院等支援医院技术和人才支持。支持妇幼保健计划生育服务院创建二级甲等医院。完成中医院妇计院医共体项目建设，推动康宁医院加快建设，启动人民医院综合门诊大楼和17所基层卫生院新建、改建。继续深化医药卫生体制改革，扩大家庭医生签约服务覆盖面，加强重点专科和人才队伍建设。加强村（社区）等基层防控能力建设，深化全科医生培养、分级诊疗等制度建设，着力完善公共卫生应急管理体系，健全防治结合、联防联控、群防群治工作机制。</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促进文体事业协调发展。</w:t>
      </w:r>
      <w:r>
        <w:rPr>
          <w:rFonts w:hint="eastAsia" w:ascii="方正书宋简体" w:hAnsi="方正书宋简体" w:eastAsia="方正书宋简体" w:cs="方正书宋简体"/>
          <w:color w:val="auto"/>
          <w:kern w:val="2"/>
          <w:sz w:val="24"/>
          <w:szCs w:val="24"/>
          <w:lang w:val="en-US" w:eastAsia="zh-CN" w:bidi="ar-SA"/>
        </w:rPr>
        <w:t>深化公共文体服务体系建设，做好图书馆、文化馆总分馆制建设，新建3间风度书房，办好文化惠民活动。开展全民健身活动，合理布点建设一批体育设施，推进体育健身产业市场化发展。拓展新时代文明实践中心（所、站）建设，推进媒体融合向纵深发展，深入开展群众性精神文明创建活动，大力弘扬社会主义核心价值观。加强红色革命史料收集、红色文化研究，推进红四军乌迳黄木岭脱险红色教育基地建设，召开纪念水口战役胜利88周年学术研讨会。全面完成南粤古驿道沿线村史修编，扎实推进第三轮市志修编工作。加强科普教育，完成恐龙地质科普中心布展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强化基本民生保障。</w:t>
      </w:r>
      <w:r>
        <w:rPr>
          <w:rFonts w:hint="eastAsia" w:ascii="方正书宋简体" w:hAnsi="方正书宋简体" w:eastAsia="方正书宋简体" w:cs="方正书宋简体"/>
          <w:color w:val="auto"/>
          <w:kern w:val="2"/>
          <w:sz w:val="24"/>
          <w:szCs w:val="24"/>
          <w:lang w:val="en-US" w:eastAsia="zh-CN" w:bidi="ar-SA"/>
        </w:rPr>
        <w:t>加强援企稳岗政策支持，搭建企业用工与高校职校毕业生就业线上线下服务平台，支持异地务工人员返乡创业就业。实施广东技工、粤菜师傅、南粤家政等工程，强化就业指导和技能培训，城镇登记失业率控制在3.5%以内。加强根治拖欠农民工工资工作，维护农民工合法权益。深入实施全民参保计划，完成社保扩面征缴任务。加强城乡低保、特困人员、孤儿、残疾人和流浪乞讨人员等弱势群体社会保障工作。推进养老服务体系建设，提高服务质量水平。完善基本医疗保险制度和大病医保制度，提高高血压、糖尿病等重大慢性病报销比例。加大困难群众住房保障工作，落实棚户区改造、拆迁安置房项目建设。提升退役军人服务保障水平。今年政府将继续办好八件民生实事，具体实事由各位代表票选决定。</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此外，进一步加强工青妇、民族宗教、外事、统计、气象、保密、物价等工作，促进各项事业全面进步。</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九、着力加强政府自身建设，增强高质量发展保障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始终牢记初心使命，为人民服务、对人民负责、受人民监督，持续提升执行力和公信力，努力建设人民满意政府，为决胜全面建成小康社会提供坚强保障。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坚定政治方向，全面从严治党。坚定不移加强政府系统党的领导和党的建设，严格遵守政治纪律和政治规矩，增强“四个意识”、坚定“四个自信”、做到“两个维护”，坚决落实中央、省、韶关市和南雄市委决策部署。建立“不忘初心、牢记使命”制度，持续深入抓好习近平新时代中国特色社会主义思想的学习贯彻，把主题教育的成效体现到新时代政府各项工作中。全面落实意识形态工作责任制，严格履行向市委报告工作制度，自觉在市委领导下开展工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坚持勤勉履职，建设实干政府。</w:t>
      </w:r>
      <w:r>
        <w:rPr>
          <w:rFonts w:hint="eastAsia" w:ascii="方正书宋简体" w:hAnsi="方正书宋简体" w:eastAsia="方正书宋简体" w:cs="方正书宋简体"/>
          <w:color w:val="auto"/>
          <w:kern w:val="2"/>
          <w:sz w:val="24"/>
          <w:szCs w:val="24"/>
          <w:lang w:val="en-US" w:eastAsia="zh-CN" w:bidi="ar-SA"/>
        </w:rPr>
        <w:t>按照“五个过硬”要求，加强高素质专业化干部队伍建设，切实增强必胜之心、责任之心、仁爱之心、谨慎之心，提高适应新时代、实现新目标、落实新部署的能力。持续深化“大学习、深调研、真落实”，践行“一线工作法”带头深入基层、走进企业，了解群众诉求、解决实际问题。深化模范机关创建，大力整治“为官不为”等庸政懒政行为，推动决策部署落实落细。健全政府部门协调配合机制，着力压减文山会海，统筹规范督查考核评比事项，提高政府效能。认真执行人大及其常委会决议决定，自觉接受政协民主监督，认真听取民主党派、无党派人士、工商联和各人民团体的意见，不断改进政府工作。落实正向激励和容错纠错机制，保护和激发干部干事创业热情，让只争朝夕、真抓实干、争先创优蔚然成风。</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仿宋_GB2312" w:eastAsia="楷体_GB2312" w:cs="仿宋_GB2312"/>
          <w:bCs/>
          <w:sz w:val="24"/>
          <w:szCs w:val="24"/>
        </w:rPr>
        <w:t>深化作风建设，建设廉洁政府。</w:t>
      </w:r>
      <w:r>
        <w:rPr>
          <w:rFonts w:hint="eastAsia" w:ascii="方正书宋简体" w:hAnsi="方正书宋简体" w:eastAsia="方正书宋简体" w:cs="方正书宋简体"/>
          <w:color w:val="auto"/>
          <w:kern w:val="2"/>
          <w:sz w:val="24"/>
          <w:szCs w:val="24"/>
          <w:lang w:val="en-US" w:eastAsia="zh-CN" w:bidi="ar-SA"/>
        </w:rPr>
        <w:t>严格落实全面从严治党主体责任和“一岗双责”，纵深推进政府系统党风廉政建设。持之以恒落实中央八项规定及其实施细则精神，驰而不息整治“四风”。坚持过紧日子思想，继续优化财政支出结构，严格压减一般性支出和非急需、非刚性支出。加强审计监督，完善工程建设、土地出让、国有资产经营和教育、医疗、扶贫等重点领域和关键环节的廉政风险防控机制。以坚如磐石的决心正风肃纪反腐，严肃整治侵害群众利益的不正之风和腐败问题，不断巩固反腐败斗争压倒性胜利，让清正、清廉、清明成为政府的鲜明底色。</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各位代表，时代赋予重任，奋斗铸就辉煌！让我们更加紧密地团结在以习近平同志为核心的党中央周围，在市委的坚强领导下，牢记初心使命，以“闻鸡起舞、日夜兼程、风雨无阻”的奋斗姿态和“脚上有土、心中有谱”的务实作风，只争朝夕、不负韶华，全力以赴夺取疫情防控和经济社会发展全面胜利，为如期全面建成小康社会，努力争当全省苏区县域高质量发展排头兵而努力奋斗！</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黑体" w:hAnsi="黑体" w:eastAsia="黑体" w:cs="黑体"/>
          <w:sz w:val="24"/>
          <w:szCs w:val="24"/>
        </w:rPr>
      </w:pPr>
      <w:r>
        <w:rPr>
          <w:rFonts w:hint="eastAsia" w:ascii="方正书宋简体" w:hAnsi="方正书宋简体" w:eastAsia="方正书宋简体" w:cs="方正书宋简体"/>
          <w:color w:val="auto"/>
          <w:kern w:val="2"/>
          <w:sz w:val="24"/>
          <w:szCs w:val="24"/>
          <w:lang w:val="en-US" w:eastAsia="zh-CN" w:bidi="ar-SA"/>
        </w:rPr>
        <w:t>附：名词解释</w:t>
      </w:r>
      <w:r>
        <w:rPr>
          <w:rFonts w:hint="eastAsia" w:ascii="仿宋_GB2312" w:hAnsi="仿宋_GB2312" w:eastAsia="仿宋_GB2312" w:cs="仿宋_GB2312"/>
          <w:sz w:val="24"/>
          <w:szCs w:val="24"/>
        </w:rPr>
        <w:br w:type="page"/>
      </w:r>
      <w:r>
        <w:rPr>
          <w:rFonts w:hint="eastAsia" w:ascii="黑体" w:hAnsi="黑体" w:eastAsia="黑体" w:cs="黑体"/>
          <w:sz w:val="24"/>
          <w:szCs w:val="24"/>
        </w:rPr>
        <w:t>附件</w:t>
      </w:r>
    </w:p>
    <w:p>
      <w:pPr>
        <w:pStyle w:val="2"/>
        <w:keepNext w:val="0"/>
        <w:keepLines w:val="0"/>
        <w:pageBreakBefore w:val="0"/>
        <w:widowControl w:val="0"/>
        <w:kinsoku/>
        <w:wordWrap/>
        <w:overflowPunct/>
        <w:topLinePunct w:val="0"/>
        <w:bidi w:val="0"/>
        <w:snapToGrid/>
        <w:spacing w:line="440" w:lineRule="exact"/>
        <w:textAlignment w:val="auto"/>
        <w:rPr>
          <w:rFonts w:hint="eastAsia" w:ascii="方正书宋简体" w:hAnsi="方正书宋简体" w:eastAsia="方正书宋简体" w:cs="方正书宋简体"/>
          <w:color w:val="auto"/>
          <w:kern w:val="2"/>
          <w:sz w:val="24"/>
          <w:szCs w:val="24"/>
          <w:lang w:val="en-US" w:eastAsia="zh-CN" w:bidi="ar-SA"/>
        </w:rPr>
      </w:pPr>
    </w:p>
    <w:p>
      <w:pPr>
        <w:pStyle w:val="2"/>
        <w:keepNext w:val="0"/>
        <w:keepLines w:val="0"/>
        <w:pageBreakBefore w:val="0"/>
        <w:widowControl w:val="0"/>
        <w:kinsoku/>
        <w:wordWrap/>
        <w:overflowPunct/>
        <w:topLinePunct w:val="0"/>
        <w:bidi w:val="0"/>
        <w:snapToGrid/>
        <w:spacing w:line="440" w:lineRule="exact"/>
        <w:textAlignment w:val="auto"/>
        <w:rPr>
          <w:rFonts w:hint="eastAsia" w:ascii="方正书宋简体" w:hAnsi="方正书宋简体" w:eastAsia="方正书宋简体" w:cs="方正书宋简体"/>
          <w:color w:val="auto"/>
          <w:kern w:val="2"/>
          <w:sz w:val="24"/>
          <w:szCs w:val="24"/>
          <w:lang w:val="en-US" w:eastAsia="zh-CN" w:bidi="ar-SA"/>
        </w:rPr>
      </w:pPr>
    </w:p>
    <w:p>
      <w:pPr>
        <w:keepNext w:val="0"/>
        <w:keepLines w:val="0"/>
        <w:pageBreakBefore w:val="0"/>
        <w:widowControl w:val="0"/>
        <w:kinsoku/>
        <w:wordWrap/>
        <w:overflowPunct/>
        <w:topLinePunct w:val="0"/>
        <w:bidi w:val="0"/>
        <w:snapToGrid/>
        <w:spacing w:line="440" w:lineRule="exact"/>
        <w:jc w:val="center"/>
        <w:textAlignment w:val="auto"/>
        <w:rPr>
          <w:rFonts w:hint="eastAsia" w:ascii="方正黑体简体" w:hAnsi="方正黑体简体" w:eastAsia="方正黑体简体" w:cs="方正黑体简体"/>
          <w:color w:val="auto"/>
          <w:kern w:val="2"/>
          <w:sz w:val="30"/>
          <w:szCs w:val="30"/>
          <w:lang w:val="en-US" w:eastAsia="zh-CN" w:bidi="ar-SA"/>
        </w:rPr>
      </w:pPr>
      <w:r>
        <w:rPr>
          <w:rFonts w:hint="eastAsia" w:ascii="方正黑体简体" w:hAnsi="方正黑体简体" w:eastAsia="方正黑体简体" w:cs="方正黑体简体"/>
          <w:color w:val="auto"/>
          <w:kern w:val="2"/>
          <w:sz w:val="30"/>
          <w:szCs w:val="30"/>
          <w:lang w:val="en-US" w:eastAsia="zh-CN" w:bidi="ar-SA"/>
        </w:rPr>
        <w:t>名 词 解 释</w:t>
      </w:r>
    </w:p>
    <w:p>
      <w:pPr>
        <w:pStyle w:val="2"/>
        <w:keepNext w:val="0"/>
        <w:keepLines w:val="0"/>
        <w:pageBreakBefore w:val="0"/>
        <w:widowControl w:val="0"/>
        <w:kinsoku/>
        <w:wordWrap/>
        <w:overflowPunct/>
        <w:topLinePunct w:val="0"/>
        <w:bidi w:val="0"/>
        <w:snapToGrid/>
        <w:spacing w:line="440" w:lineRule="exact"/>
        <w:textAlignment w:val="auto"/>
        <w:rPr>
          <w:rFonts w:hint="eastAsia" w:ascii="方正书宋简体" w:hAnsi="方正书宋简体" w:eastAsia="方正书宋简体" w:cs="方正书宋简体"/>
          <w:color w:val="auto"/>
          <w:kern w:val="2"/>
          <w:sz w:val="24"/>
          <w:szCs w:val="24"/>
          <w:lang w:val="en-US" w:eastAsia="zh-CN" w:bidi="ar-SA"/>
        </w:rPr>
      </w:pP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1.“六网合一”：</w:t>
      </w:r>
      <w:r>
        <w:rPr>
          <w:rFonts w:hint="eastAsia" w:ascii="方正书宋简体" w:hAnsi="方正书宋简体" w:eastAsia="方正书宋简体" w:cs="方正书宋简体"/>
          <w:color w:val="auto"/>
          <w:sz w:val="24"/>
          <w:szCs w:val="24"/>
        </w:rPr>
        <w:t>即自然生态环境网格化管理，包含自然生态环境、“两违”管控整治、河道保洁、野外用火管理、生活垃圾整治、农村建筑垃圾整治等六大内容。</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2.县城品质提升“439”行动：</w:t>
      </w:r>
      <w:r>
        <w:rPr>
          <w:rFonts w:hint="eastAsia" w:ascii="方正书宋简体" w:hAnsi="方正书宋简体" w:eastAsia="方正书宋简体" w:cs="方正书宋简体"/>
          <w:color w:val="auto"/>
          <w:sz w:val="24"/>
          <w:szCs w:val="24"/>
        </w:rPr>
        <w:t>“4”是全国文明城市（县城）、国家森林城市（县城）、国家卫生城市（县城）、国家园林城市（县城）“四城同创”，“3”是垃圾、污水、“六乱”三项整治，“9”是门户节点、交通优化、城市景观、商业街（主干道）、农贸市场、背街小巷、文体健身广场、公厕改造和社区服务九项品质提升工程。</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3.乡镇（镇街）提升“139”行动：</w:t>
      </w:r>
      <w:r>
        <w:rPr>
          <w:rFonts w:hint="eastAsia" w:ascii="方正书宋简体" w:hAnsi="方正书宋简体" w:eastAsia="方正书宋简体" w:cs="方正书宋简体"/>
          <w:color w:val="auto"/>
          <w:sz w:val="24"/>
          <w:szCs w:val="24"/>
        </w:rPr>
        <w:t>“1”是镇街整治提升专项规划，“3”是垃圾、污水、“六乱”三项整治，“9”是主干道风貌街(商业街)提升、门户标志标识节点、绿化美化亮化、文体广场、文化公园、农贸市场提升、停车场建设、饮水安全和文化书舍九项基础工程。</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4.六个100%：</w:t>
      </w:r>
      <w:r>
        <w:rPr>
          <w:rFonts w:hint="eastAsia" w:ascii="方正书宋简体" w:hAnsi="方正书宋简体" w:eastAsia="方正书宋简体" w:cs="方正书宋简体"/>
          <w:color w:val="auto"/>
          <w:sz w:val="24"/>
          <w:szCs w:val="24"/>
        </w:rPr>
        <w:t>施工现场100%围蔽，工地沙土100%覆盖，工地路面100%硬地化，拆除工程100%洒水压尘，出工地车辆100%冲净车轮车身，暂不开发的场地100%绿化。</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5.“八个一”勤务机制：</w:t>
      </w:r>
      <w:r>
        <w:rPr>
          <w:rFonts w:hint="eastAsia" w:ascii="方正书宋简体" w:hAnsi="方正书宋简体" w:eastAsia="方正书宋简体" w:cs="方正书宋简体"/>
          <w:color w:val="auto"/>
          <w:sz w:val="24"/>
          <w:szCs w:val="24"/>
        </w:rPr>
        <w:t>每周一研判、每周一提示、每日一设卡、每周一走访、每月一检查、每村（居）一组织、每日一内查、每周一训练。</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6.“三条防线”：</w:t>
      </w:r>
      <w:r>
        <w:rPr>
          <w:rFonts w:hint="eastAsia" w:ascii="方正书宋简体" w:hAnsi="方正书宋简体" w:eastAsia="方正书宋简体" w:cs="方正书宋简体"/>
          <w:color w:val="auto"/>
          <w:sz w:val="24"/>
          <w:szCs w:val="24"/>
        </w:rPr>
        <w:t>预返（来）雄人员的统计调查及管理第一道防线、各省际县际检查卡口第二道防线、各镇（街 道）、村（社区）对外来人员的筛查及管理第三道防线。</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7.“四个闭环”：</w:t>
      </w:r>
      <w:r>
        <w:rPr>
          <w:rFonts w:hint="eastAsia" w:ascii="方正书宋简体" w:hAnsi="方正书宋简体" w:eastAsia="方正书宋简体" w:cs="方正书宋简体"/>
          <w:color w:val="auto"/>
          <w:sz w:val="24"/>
          <w:szCs w:val="24"/>
        </w:rPr>
        <w:t>重点人员筛查管理、外来人员检查及管理、统计调查与管理、医疗救治四个闭环。</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8.新基建：</w:t>
      </w:r>
      <w:r>
        <w:rPr>
          <w:rFonts w:hint="eastAsia" w:ascii="方正书宋简体" w:hAnsi="方正书宋简体" w:eastAsia="方正书宋简体" w:cs="方正书宋简体"/>
          <w:color w:val="auto"/>
          <w:sz w:val="24"/>
          <w:szCs w:val="24"/>
        </w:rPr>
        <w:t>新型基础设施建设，指以5G、人工智能、工业互联网、物联网为代表的新型基础设施，本质上是信息数字化的基础设施。</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9.“八大扶贫工程”：</w:t>
      </w:r>
      <w:r>
        <w:rPr>
          <w:rFonts w:hint="eastAsia" w:ascii="方正书宋简体" w:hAnsi="方正书宋简体" w:eastAsia="方正书宋简体" w:cs="方正书宋简体"/>
          <w:color w:val="auto"/>
          <w:sz w:val="24"/>
          <w:szCs w:val="24"/>
        </w:rPr>
        <w:t>产业发展扶贫工程、劳动力就业扶贫工程、社会保障扶贫工程、教育文化扶贫工程、医疗保险和医疗救助保障扶贫工程、农村危房改造扶贫工程、基础设施建设扶贫工程、人居环境改善扶贫工程。</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10.“两不愁、三保障”：</w:t>
      </w:r>
      <w:r>
        <w:rPr>
          <w:rFonts w:hint="eastAsia" w:ascii="方正书宋简体" w:hAnsi="方正书宋简体" w:eastAsia="方正书宋简体" w:cs="方正书宋简体"/>
          <w:color w:val="auto"/>
          <w:sz w:val="24"/>
          <w:szCs w:val="24"/>
        </w:rPr>
        <w:t>不愁吃、不愁穿，义务教育、基本医疗、住房安全有保障。</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11.“四不摘”：</w:t>
      </w:r>
      <w:r>
        <w:rPr>
          <w:rFonts w:hint="eastAsia" w:ascii="方正书宋简体" w:hAnsi="方正书宋简体" w:eastAsia="方正书宋简体" w:cs="方正书宋简体"/>
          <w:color w:val="auto"/>
          <w:sz w:val="24"/>
          <w:szCs w:val="24"/>
        </w:rPr>
        <w:t>脱贫摘帽后不摘责任、不摘政策、不摘帮扶、不摘监管。</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12.“点状供地”：</w:t>
      </w:r>
      <w:r>
        <w:rPr>
          <w:rFonts w:hint="eastAsia" w:ascii="方正书宋简体" w:hAnsi="方正书宋简体" w:eastAsia="方正书宋简体" w:cs="方正书宋简体"/>
          <w:color w:val="auto"/>
          <w:sz w:val="24"/>
          <w:szCs w:val="24"/>
        </w:rPr>
        <w:t>对城镇开发边界以外建设的乡村产业项目，按建筑物的实际用地需求实行灵活供地。</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13.“四沿”：</w:t>
      </w:r>
      <w:r>
        <w:rPr>
          <w:rFonts w:hint="eastAsia" w:ascii="方正书宋简体" w:hAnsi="方正书宋简体" w:eastAsia="方正书宋简体" w:cs="方正书宋简体"/>
          <w:color w:val="auto"/>
          <w:sz w:val="24"/>
          <w:szCs w:val="24"/>
        </w:rPr>
        <w:t>沿省际边界、沿交通道路、沿旅游景点、沿城市郊区。</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14.路长制“136”行动：</w:t>
      </w:r>
      <w:r>
        <w:rPr>
          <w:rFonts w:hint="eastAsia" w:ascii="方正书宋简体" w:hAnsi="方正书宋简体" w:eastAsia="方正书宋简体" w:cs="方正书宋简体"/>
          <w:color w:val="auto"/>
          <w:sz w:val="24"/>
          <w:szCs w:val="24"/>
        </w:rPr>
        <w:t>“1”是制定一个方案，“3”是组建县（市、区）级、镇（乡）级、村（居）级三支队伍，“6”是开展“加强普通公路规划建设、促进公路路域环境提升、强化道路交通安全管理、规范道路运输秩序、提升公路养护水平、改善普通公路运营环境”六项重点工作。</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15.“万里碧道”：</w:t>
      </w:r>
      <w:r>
        <w:rPr>
          <w:rFonts w:hint="eastAsia" w:ascii="方正书宋简体" w:hAnsi="方正书宋简体" w:eastAsia="方正书宋简体" w:cs="方正书宋简体"/>
          <w:color w:val="auto"/>
          <w:sz w:val="24"/>
          <w:szCs w:val="24"/>
        </w:rPr>
        <w:t>是指以水为主线，统筹山水林田湖草各种生态要素，兼顾生态、安全、文化、景观、经济等功能，通过系统思维共建共治，优化生态、生产、生活空间格局，打造“清水绿岸、鱼翔浅底、水草丰美、白鹭成群”的生态廊道。</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16.“五清”“清四乱”专项行动：</w:t>
      </w:r>
      <w:r>
        <w:rPr>
          <w:rFonts w:hint="eastAsia" w:ascii="方正书宋简体" w:hAnsi="方正书宋简体" w:eastAsia="方正书宋简体" w:cs="方正书宋简体"/>
          <w:color w:val="auto"/>
          <w:sz w:val="24"/>
          <w:szCs w:val="24"/>
        </w:rPr>
        <w:t>“五清”是指清理非法排污口、清理水面漂浮物、清理底泥污染物、清理河湖障碍物、清理涉河湖违法违建。“清四乱”是指整治河湖乱占、乱采、乱搭、乱建。</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17.“千吨万人”：</w:t>
      </w:r>
      <w:r>
        <w:rPr>
          <w:rFonts w:hint="eastAsia" w:ascii="方正书宋简体" w:hAnsi="方正书宋简体" w:eastAsia="方正书宋简体" w:cs="方正书宋简体"/>
          <w:color w:val="auto"/>
          <w:sz w:val="24"/>
          <w:szCs w:val="24"/>
        </w:rPr>
        <w:t>供水人口在10000人以上或日供水量在1000吨以上的饮用水水源地。</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18.行政执法三项制度：</w:t>
      </w:r>
      <w:r>
        <w:rPr>
          <w:rFonts w:hint="eastAsia" w:ascii="方正书宋简体" w:hAnsi="方正书宋简体" w:eastAsia="方正书宋简体" w:cs="方正书宋简体"/>
          <w:color w:val="auto"/>
          <w:sz w:val="24"/>
          <w:szCs w:val="24"/>
        </w:rPr>
        <w:t>行政执法公示制度、执法全过程记录制度、重大执法决定法制审核制度。</w:t>
      </w:r>
    </w:p>
    <w:p>
      <w:pPr>
        <w:pStyle w:val="2"/>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b/>
          <w:bCs/>
          <w:color w:val="auto"/>
          <w:sz w:val="24"/>
          <w:szCs w:val="24"/>
        </w:rPr>
        <w:t>19.学前教育“5080”目标：</w:t>
      </w:r>
      <w:r>
        <w:rPr>
          <w:rFonts w:hint="eastAsia" w:ascii="方正书宋简体" w:hAnsi="方正书宋简体" w:eastAsia="方正书宋简体" w:cs="方正书宋简体"/>
          <w:color w:val="auto"/>
          <w:sz w:val="24"/>
          <w:szCs w:val="24"/>
        </w:rPr>
        <w:t>公办幼儿园在园幼儿数占比达到50%以上，公办幼儿园和普惠性民办幼儿园占比达到80%以上。</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b/>
          <w:bCs/>
          <w:color w:val="auto"/>
          <w:sz w:val="24"/>
          <w:szCs w:val="24"/>
        </w:rPr>
        <w:t>20.“六统一”管理：</w:t>
      </w:r>
      <w:r>
        <w:rPr>
          <w:rFonts w:hint="eastAsia" w:ascii="方正书宋简体" w:hAnsi="方正书宋简体" w:eastAsia="方正书宋简体" w:cs="方正书宋简体"/>
          <w:color w:val="auto"/>
          <w:sz w:val="24"/>
          <w:szCs w:val="24"/>
        </w:rPr>
        <w:t>行政、人员、财务、质量、药械、信息统一管理。</w:t>
      </w:r>
    </w:p>
    <w:p>
      <w:pPr>
        <w:rPr>
          <w:rFonts w:hint="eastAsia"/>
          <w:sz w:val="24"/>
          <w:szCs w:val="24"/>
        </w:rPr>
      </w:pP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南雄市人民政府关于印发《南雄市零星用地审批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实施细则》的通知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eastAsia="zh-CN"/>
        </w:rPr>
      </w:pPr>
    </w:p>
    <w:p>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color w:val="231F20"/>
          <w:sz w:val="24"/>
          <w:szCs w:val="24"/>
          <w:lang w:val="en-US" w:eastAsia="zh-CN"/>
        </w:rPr>
        <w:t>雄府</w:t>
      </w:r>
      <w:r>
        <w:rPr>
          <w:rFonts w:hint="eastAsia" w:ascii="楷体_GB2312" w:hAnsi="楷体_GB2312" w:eastAsia="楷体_GB2312" w:cs="楷体_GB2312"/>
          <w:b w:val="0"/>
          <w:bCs w:val="0"/>
          <w:color w:val="231F20"/>
          <w:sz w:val="24"/>
          <w:szCs w:val="24"/>
        </w:rPr>
        <w:t>〔2020〕</w:t>
      </w:r>
      <w:r>
        <w:rPr>
          <w:rFonts w:hint="eastAsia" w:ascii="楷体_GB2312" w:hAnsi="楷体_GB2312" w:eastAsia="楷体_GB2312" w:cs="楷体_GB2312"/>
          <w:b w:val="0"/>
          <w:bCs w:val="0"/>
          <w:color w:val="231F20"/>
          <w:sz w:val="24"/>
          <w:szCs w:val="24"/>
          <w:lang w:val="en-US" w:eastAsia="zh-CN"/>
        </w:rPr>
        <w:t>30</w:t>
      </w:r>
      <w:r>
        <w:rPr>
          <w:rFonts w:hint="eastAsia" w:ascii="楷体_GB2312" w:hAnsi="楷体_GB2312" w:eastAsia="楷体_GB2312" w:cs="楷体_GB2312"/>
          <w:b w:val="0"/>
          <w:bCs w:val="0"/>
          <w:color w:val="231F20"/>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各镇人民政府、雄州街道办事处，市直有关单位：</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《南雄市零星用地审批实施细则》，已经2020年6月22日南雄市府常务会议通过。现印发你们，请认真贯彻实施。</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jc w:val="center"/>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南雄市人民政府</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2020年7月8日</w:t>
      </w:r>
    </w:p>
    <w:p>
      <w:pPr>
        <w:bidi w:val="0"/>
        <w:rPr>
          <w:rFonts w:hint="eastAsia" w:asciiTheme="minorHAnsi" w:hAnsiTheme="minorHAnsi" w:eastAsiaTheme="minorEastAsia" w:cstheme="minorBidi"/>
          <w:kern w:val="2"/>
          <w:sz w:val="24"/>
          <w:szCs w:val="24"/>
          <w:lang w:val="en-US" w:eastAsia="zh-CN" w:bidi="ar-SA"/>
        </w:rPr>
      </w:pPr>
    </w:p>
    <w:p>
      <w:pPr>
        <w:pStyle w:val="5"/>
        <w:rPr>
          <w:rFonts w:hint="eastAsia"/>
          <w:sz w:val="24"/>
          <w:szCs w:val="24"/>
          <w:lang w:val="en-US" w:eastAsia="zh-CN"/>
        </w:rPr>
      </w:pPr>
    </w:p>
    <w:p>
      <w:pPr>
        <w:bidi w:val="0"/>
        <w:rPr>
          <w:rFonts w:hint="eastAsia"/>
          <w:lang w:val="en-US" w:eastAsia="zh-CN"/>
        </w:rPr>
      </w:pPr>
    </w:p>
    <w:p>
      <w:pPr>
        <w:pStyle w:val="3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6"/>
          <w:szCs w:val="36"/>
        </w:rPr>
      </w:pPr>
      <w:r>
        <w:rPr>
          <w:rFonts w:hint="eastAsia" w:ascii="方正小标宋简体" w:hAnsi="方正小标宋简体" w:eastAsia="方正小标宋简体" w:cs="方正小标宋简体"/>
          <w:bCs/>
          <w:color w:val="auto"/>
          <w:kern w:val="2"/>
          <w:sz w:val="36"/>
          <w:szCs w:val="36"/>
          <w:lang w:val="en-US" w:eastAsia="zh-CN" w:bidi="ar-SA"/>
        </w:rPr>
        <w:t>南雄市零星用地审批实施细则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41"/>
          <w:szCs w:val="41"/>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书宋简体" w:hAnsi="方正书宋简体" w:eastAsia="方正书宋简体" w:cs="方正书宋简体"/>
          <w:color w:val="auto"/>
          <w:sz w:val="24"/>
          <w:szCs w:val="24"/>
        </w:rPr>
      </w:pPr>
      <w:r>
        <w:rPr>
          <w:rFonts w:hint="eastAsia" w:ascii="方正书宋简体" w:hAnsi="方正书宋简体" w:eastAsia="方正书宋简体" w:cs="方正书宋简体"/>
          <w:color w:val="auto"/>
          <w:sz w:val="24"/>
          <w:szCs w:val="24"/>
        </w:rPr>
        <w:t>为贯彻落实省、市关于降低制造业企业成本支持实体经济发展若干政策措施，支持用地整合利用，促进企业存量土地盘活增效，根据《广东省人民政府关于印发广东省降低制造业企业成本支持实体经济发展若干政策措施的通知》（粤府〔2017〕90号）、2018年8月16日原韶关市国土资源局《关于贯彻广东省降低制造业企业成本若干政策措施进一步做好支持实体经济用地保障服务工作的通知》等文件精神，结合我市实际，制定本细则。</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黑体简体" w:hAnsi="方正黑体简体" w:eastAsia="方正黑体简体" w:cs="方正黑体简体"/>
          <w:b w:val="0"/>
          <w:bCs/>
          <w:color w:val="auto"/>
          <w:sz w:val="24"/>
          <w:szCs w:val="24"/>
        </w:rPr>
      </w:pPr>
      <w:r>
        <w:rPr>
          <w:rFonts w:hint="eastAsia" w:ascii="方正黑体简体" w:hAnsi="方正黑体简体" w:eastAsia="方正黑体简体" w:cs="方正黑体简体"/>
          <w:b w:val="0"/>
          <w:bCs/>
          <w:color w:val="auto"/>
          <w:sz w:val="24"/>
          <w:szCs w:val="24"/>
        </w:rPr>
        <w:t>一、适用条件</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（一）零星用地为原依法取得的工业用地或仓储用地旁边无法独立分宗、不能单独出具规划条件的边角地、天窗地、插花地等。</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（二）增加的零星用地面积原则上累计不得超过原批准用地面积的10%，且单宗零星地不得超过3亩，累计增加不得超过10亩；</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（三）属于国家、省、市优先发展产业、战略新兴产业、重大产业项目企业，以及“倍增计划”试点企业；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（四）符合国土空间规划、完善用地报批、完成土地征收、不存在除土地所有权以外的其他产权、安置补偿落实到位、不存在法律经济纠纷等的国有建设用地。</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黑体简体" w:hAnsi="方正黑体简体" w:eastAsia="方正黑体简体" w:cs="方正黑体简体"/>
          <w:b w:val="0"/>
          <w:bCs/>
          <w:color w:val="auto"/>
          <w:sz w:val="24"/>
          <w:szCs w:val="24"/>
        </w:rPr>
      </w:pPr>
      <w:r>
        <w:rPr>
          <w:rFonts w:hint="eastAsia" w:ascii="方正黑体简体" w:hAnsi="方正黑体简体" w:eastAsia="方正黑体简体" w:cs="方正黑体简体"/>
          <w:b w:val="0"/>
          <w:bCs/>
          <w:color w:val="auto"/>
          <w:sz w:val="24"/>
          <w:szCs w:val="24"/>
        </w:rPr>
        <w:t>二、办理程序</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（一）用地企业向园区管委会提交零星用地申请，附用地红线图；</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（二）园区管委会发函征求并汇总工信局、自然资源局、属地镇政府（街道）等相关部门的意见，经审核符合零星用地条件的，书面出具拟同意扩大用地边界意见给自然资源局；</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（三）自然资源局出具新的规划条件（包括原已取得用地和增加的零星用地）并委托第三方评估公司进行地价评估后（土地测绘费、规划、评估等费用由企业自行承担），将结果函复园区管委会；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四）园区管委会汇总所有材料报市政府常务会议审议是否同意扩大用地边界，由申请企业按新规划评估价格与原用地评估价格的差价补缴（如土地价值降值的，按评估单价乘以新增零星用地面积进行补缴）土地出让金后与自然资源局签订补充协议；</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（五）市府常务会议审议通过后，由园区管委会给企业下发同意扩大用地边界意见，告知企业持同意意见等资料向自然资源局申请办理补缴土地出让金和签订补充合同等相关用地手续；</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（六）自然资源局根据市府常务会议精神和园区管委会同意扩大用地边界意见，在企业补缴土地出让金，并支付土地测绘费、规划、评估等相关费用后，按程序与企业签订补充合同（变更原合同）；</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（七）企业向不动产登记中心申请办理土地变更登记。</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黑体简体" w:hAnsi="方正黑体简体" w:eastAsia="方正黑体简体" w:cs="方正黑体简体"/>
          <w:b w:val="0"/>
          <w:bCs/>
          <w:color w:val="auto"/>
          <w:sz w:val="24"/>
          <w:szCs w:val="24"/>
        </w:rPr>
      </w:pPr>
      <w:r>
        <w:rPr>
          <w:rFonts w:hint="eastAsia" w:ascii="方正黑体简体" w:hAnsi="方正黑体简体" w:eastAsia="方正黑体简体" w:cs="方正黑体简体"/>
          <w:b w:val="0"/>
          <w:bCs/>
          <w:color w:val="auto"/>
          <w:sz w:val="24"/>
          <w:szCs w:val="24"/>
        </w:rPr>
        <w:t>三、各部门职责</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楷体_GB2312" w:eastAsia="楷体_GB2312" w:cs="楷体_GB2312"/>
          <w:color w:val="auto"/>
          <w:kern w:val="2"/>
          <w:sz w:val="24"/>
          <w:szCs w:val="24"/>
          <w:lang w:val="en-US" w:eastAsia="zh-CN" w:bidi="ar-SA"/>
        </w:rPr>
        <w:t>（一）园区管委会：</w:t>
      </w:r>
      <w:r>
        <w:rPr>
          <w:rFonts w:hint="eastAsia" w:ascii="方正书宋简体" w:hAnsi="方正书宋简体" w:eastAsia="方正书宋简体" w:cs="方正书宋简体"/>
          <w:color w:val="auto"/>
          <w:kern w:val="2"/>
          <w:sz w:val="24"/>
          <w:szCs w:val="24"/>
          <w:lang w:val="en-US" w:eastAsia="zh-CN" w:bidi="ar-SA"/>
        </w:rPr>
        <w:t>1、接收用地企业零星用地申请；2、征求并汇总各相关部门意见，经审核符合条件零星用地条件的，出具拟同意意见给自然资源局，编制新的规划条件并进行地价评估；3、完成后汇总所有材料报市政府常务会议审议是否同意扩大用地边界；4、审议通过的下发通知书给申请企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楷体_GB2312" w:eastAsia="楷体_GB2312" w:cs="楷体_GB2312"/>
          <w:color w:val="auto"/>
          <w:kern w:val="2"/>
          <w:sz w:val="24"/>
          <w:szCs w:val="24"/>
          <w:lang w:val="en-US" w:eastAsia="zh-CN" w:bidi="ar-SA"/>
        </w:rPr>
        <w:t>（二）工信局：</w:t>
      </w:r>
      <w:r>
        <w:rPr>
          <w:rFonts w:hint="eastAsia" w:ascii="方正书宋简体" w:hAnsi="方正书宋简体" w:eastAsia="方正书宋简体" w:cs="方正书宋简体"/>
          <w:color w:val="auto"/>
          <w:kern w:val="2"/>
          <w:sz w:val="24"/>
          <w:szCs w:val="24"/>
          <w:lang w:val="en-US" w:eastAsia="zh-CN" w:bidi="ar-SA"/>
        </w:rPr>
        <w:t>审核是否属于国家、省、市优先发展产业、战略新兴产业、重大产业项目企业、“倍增计划”试点企业及企业信用情况等，并出具意见给园区管委会。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楷体_GB2312" w:eastAsia="楷体_GB2312" w:cs="楷体_GB2312"/>
          <w:color w:val="auto"/>
          <w:kern w:val="2"/>
          <w:sz w:val="24"/>
          <w:szCs w:val="24"/>
          <w:lang w:val="en-US" w:eastAsia="zh-CN" w:bidi="ar-SA"/>
        </w:rPr>
        <w:t>（三）自然资源局：</w:t>
      </w:r>
      <w:r>
        <w:rPr>
          <w:rFonts w:hint="eastAsia" w:ascii="方正书宋简体" w:hAnsi="方正书宋简体" w:eastAsia="方正书宋简体" w:cs="方正书宋简体"/>
          <w:color w:val="auto"/>
          <w:kern w:val="2"/>
          <w:sz w:val="24"/>
          <w:szCs w:val="24"/>
          <w:lang w:val="en-US" w:eastAsia="zh-CN" w:bidi="ar-SA"/>
        </w:rPr>
        <w:t>1、审核用地情况，包括是否符合国土空间规划、是否完善用地报批手续、是否为国有建设用地；2、审核规划情况，包括是否为已依法取得的工业用地或仓储用地旁边无法独立分宗、不能单独出具规划条件的边角地、天窗地、插花地等零星用地，是否已纳入其已依法取得土地一并规划等；3、根据园区管委会拟同意意见，出具新的规划条件并进行地价评估后，函复园区管委会；4、根据市府常务会议精神和园区管委会同意扩大用地边界意见，在企业补缴土地出让金后，按程序与企业签订补充合同（变更原合同）；5、不动产登记中心依申请办理土地变更登记手续。</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楷体_GB2312" w:hAnsi="楷体_GB2312" w:eastAsia="楷体_GB2312" w:cs="楷体_GB2312"/>
          <w:color w:val="auto"/>
          <w:kern w:val="2"/>
          <w:sz w:val="24"/>
          <w:szCs w:val="24"/>
          <w:lang w:val="en-US" w:eastAsia="zh-CN" w:bidi="ar-SA"/>
        </w:rPr>
        <w:t>（四）属地镇政府（街道）：</w:t>
      </w:r>
      <w:r>
        <w:rPr>
          <w:rFonts w:hint="eastAsia" w:ascii="方正书宋简体" w:hAnsi="方正书宋简体" w:eastAsia="方正书宋简体" w:cs="方正书宋简体"/>
          <w:color w:val="auto"/>
          <w:kern w:val="2"/>
          <w:sz w:val="24"/>
          <w:szCs w:val="24"/>
          <w:lang w:val="en-US" w:eastAsia="zh-CN" w:bidi="ar-SA"/>
        </w:rPr>
        <w:t>审核征地相关情况，包含是否完成征地、是否存在除土地所有权以外的其他产权、是否安置补偿落实到位、是否存在法律经济纠纷等，并出具意见给园区管委会。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（五）其他有关部门，根据项目实际情况确定。</w:t>
      </w:r>
    </w:p>
    <w:p>
      <w:pPr>
        <w:pStyle w:val="36"/>
        <w:keepNext w:val="0"/>
        <w:keepLines w:val="0"/>
        <w:pageBreakBefore w:val="0"/>
        <w:widowControl w:val="0"/>
        <w:kinsoku/>
        <w:wordWrap/>
        <w:overflowPunct/>
        <w:topLinePunct w:val="0"/>
        <w:bidi w:val="0"/>
        <w:snapToGrid/>
        <w:spacing w:line="440" w:lineRule="exact"/>
        <w:ind w:firstLine="480" w:firstLineChars="200"/>
        <w:textAlignment w:val="auto"/>
        <w:outlineLvl w:val="9"/>
        <w:rPr>
          <w:rFonts w:hint="eastAsia" w:ascii="方正黑体简体" w:hAnsi="方正黑体简体" w:eastAsia="方正黑体简体" w:cs="方正黑体简体"/>
          <w:b w:val="0"/>
          <w:bCs/>
          <w:color w:val="auto"/>
          <w:sz w:val="24"/>
          <w:szCs w:val="24"/>
        </w:rPr>
      </w:pPr>
      <w:r>
        <w:rPr>
          <w:rFonts w:hint="eastAsia" w:ascii="方正黑体简体" w:hAnsi="方正黑体简体" w:eastAsia="方正黑体简体" w:cs="方正黑体简体"/>
          <w:b w:val="0"/>
          <w:bCs/>
          <w:color w:val="auto"/>
          <w:sz w:val="24"/>
          <w:szCs w:val="24"/>
        </w:rPr>
        <w:t>四、方案实施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方正书宋简体" w:hAnsi="方正书宋简体" w:eastAsia="方正书宋简体" w:cs="方正书宋简体"/>
          <w:color w:val="auto"/>
          <w:kern w:val="2"/>
          <w:sz w:val="24"/>
          <w:szCs w:val="24"/>
          <w:lang w:val="en-US" w:eastAsia="zh-CN" w:bidi="ar-SA"/>
        </w:rPr>
      </w:pPr>
      <w:r>
        <w:rPr>
          <w:rFonts w:hint="eastAsia" w:ascii="方正书宋简体" w:hAnsi="方正书宋简体" w:eastAsia="方正书宋简体" w:cs="方正书宋简体"/>
          <w:color w:val="auto"/>
          <w:kern w:val="2"/>
          <w:sz w:val="24"/>
          <w:szCs w:val="24"/>
          <w:lang w:val="en-US" w:eastAsia="zh-CN" w:bidi="ar-SA"/>
        </w:rPr>
        <w:t>本实施细则自印发之日起施行。施行过程中由于形势发展或相关政策调整等原因需要修改时，市人民政府组织相关部门进行修正完善。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书宋简体" w:hAnsi="方正书宋简体" w:eastAsia="方正书宋简体" w:cs="方正书宋简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书宋简体" w:hAnsi="方正书宋简体" w:eastAsia="方正书宋简体" w:cs="方正书宋简体"/>
          <w:color w:val="auto"/>
          <w:kern w:val="2"/>
          <w:sz w:val="24"/>
          <w:szCs w:val="24"/>
          <w:lang w:val="en-US" w:eastAsia="zh-CN" w:bidi="ar-SA"/>
        </w:rPr>
      </w:pPr>
    </w:p>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南雄市人民政府关于印发《南雄市关于扶持医药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服务产业奖励实施办法》的通知</w:t>
      </w:r>
    </w:p>
    <w:p>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sz w:val="24"/>
          <w:szCs w:val="24"/>
          <w:lang w:val="en-US" w:eastAsia="zh-CN"/>
        </w:rPr>
        <w:t>雄府〔2020〕34号</w:t>
      </w: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各镇人民政府、雄州街道办事处、市直有关单位：</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rPr>
        <w:t>《南雄市关于扶持医药服务产业奖励实施办法》</w:t>
      </w:r>
      <w:r>
        <w:rPr>
          <w:rFonts w:hint="eastAsia" w:ascii="方正书宋简体" w:hAnsi="方正书宋简体" w:eastAsia="方正书宋简体" w:cs="方正书宋简体"/>
          <w:sz w:val="24"/>
          <w:szCs w:val="24"/>
          <w:lang w:eastAsia="zh-CN"/>
        </w:rPr>
        <w:t>业经</w:t>
      </w:r>
      <w:r>
        <w:rPr>
          <w:rFonts w:hint="eastAsia" w:ascii="方正书宋简体" w:hAnsi="方正书宋简体" w:eastAsia="方正书宋简体" w:cs="方正书宋简体"/>
          <w:sz w:val="24"/>
          <w:szCs w:val="24"/>
          <w:lang w:val="en-US" w:eastAsia="zh-CN"/>
        </w:rPr>
        <w:t>2020年6月22日市政府第十五届41次常务会议通过，现予以公布，自发布之日起执行。</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附件：</w:t>
      </w:r>
      <w:r>
        <w:rPr>
          <w:rFonts w:hint="eastAsia" w:ascii="方正书宋简体" w:hAnsi="方正书宋简体" w:eastAsia="方正书宋简体" w:cs="方正书宋简体"/>
          <w:sz w:val="24"/>
          <w:szCs w:val="24"/>
        </w:rPr>
        <w:t>南雄市关于扶持医药服务产业奖励实施办法</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overflowPunct/>
        <w:topLinePunct w:val="0"/>
        <w:autoSpaceDE/>
        <w:autoSpaceDN/>
        <w:bidi w:val="0"/>
        <w:adjustRightInd/>
        <w:snapToGrid/>
        <w:spacing w:line="440" w:lineRule="exact"/>
        <w:jc w:val="both"/>
        <w:textAlignment w:val="auto"/>
        <w:rPr>
          <w:rFonts w:hint="eastAsia" w:ascii="方正书宋简体" w:hAnsi="方正书宋简体" w:eastAsia="方正书宋简体" w:cs="方正书宋简体"/>
          <w:sz w:val="24"/>
          <w:szCs w:val="24"/>
          <w:lang w:eastAsia="zh-CN"/>
        </w:rPr>
      </w:pP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eastAsia="zh-CN"/>
        </w:rPr>
        <w:t>南雄市人民政府</w:t>
      </w:r>
      <w:r>
        <w:rPr>
          <w:rFonts w:hint="eastAsia" w:ascii="方正书宋简体" w:hAnsi="方正书宋简体" w:eastAsia="方正书宋简体" w:cs="方正书宋简体"/>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仿宋_GB2312" w:hAnsi="仿宋_GB2312" w:eastAsia="仿宋_GB2312" w:cs="仿宋_GB2312"/>
          <w:sz w:val="24"/>
          <w:szCs w:val="24"/>
          <w:lang w:val="en-US" w:eastAsia="zh-CN"/>
        </w:rPr>
      </w:pPr>
      <w:r>
        <w:rPr>
          <w:rFonts w:hint="eastAsia" w:ascii="方正书宋简体" w:hAnsi="方正书宋简体" w:eastAsia="方正书宋简体" w:cs="方正书宋简体"/>
          <w:sz w:val="24"/>
          <w:szCs w:val="24"/>
          <w:lang w:val="en-US" w:eastAsia="zh-CN"/>
        </w:rPr>
        <w:t xml:space="preserve">  2020年7月20日      </w:t>
      </w:r>
    </w:p>
    <w:p>
      <w:pPr>
        <w:pStyle w:val="5"/>
        <w:pageBreakBefore w:val="0"/>
        <w:tabs>
          <w:tab w:val="left" w:pos="4701"/>
        </w:tabs>
        <w:kinsoku/>
        <w:wordWrap/>
        <w:overflowPunct/>
        <w:topLinePunct w:val="0"/>
        <w:autoSpaceDE/>
        <w:autoSpaceDN/>
        <w:bidi w:val="0"/>
        <w:adjustRightInd/>
        <w:snapToGrid/>
        <w:spacing w:before="0" w:after="0" w:line="440" w:lineRule="exact"/>
        <w:jc w:val="both"/>
        <w:textAlignment w:val="auto"/>
        <w:rPr>
          <w:rFonts w:hint="eastAsia" w:ascii="方正书宋简体" w:hAnsi="方正书宋简体" w:eastAsia="方正书宋简体" w:cs="方正书宋简体"/>
          <w:b w:val="0"/>
          <w:bCs w:val="0"/>
          <w:kern w:val="2"/>
          <w:sz w:val="24"/>
          <w:szCs w:val="24"/>
          <w:lang w:val="en-US" w:eastAsia="zh-CN" w:bidi="ar-SA"/>
        </w:rPr>
      </w:pPr>
    </w:p>
    <w:p>
      <w:pPr>
        <w:rPr>
          <w:rFonts w:hint="eastAsia" w:ascii="方正书宋简体" w:hAnsi="方正书宋简体" w:eastAsia="方正书宋简体" w:cs="方正书宋简体"/>
          <w:b w:val="0"/>
          <w:bCs w:val="0"/>
          <w:kern w:val="2"/>
          <w:sz w:val="24"/>
          <w:szCs w:val="24"/>
          <w:lang w:val="en-US" w:eastAsia="zh-CN" w:bidi="ar-SA"/>
        </w:rPr>
      </w:pPr>
    </w:p>
    <w:p>
      <w:pPr>
        <w:pStyle w:val="2"/>
        <w:rPr>
          <w:rFonts w:hint="eastAsia"/>
          <w:lang w:val="en-US" w:eastAsia="zh-CN"/>
        </w:rPr>
      </w:pPr>
    </w:p>
    <w:p>
      <w:pPr>
        <w:pStyle w:val="5"/>
        <w:pageBreakBefore w:val="0"/>
        <w:tabs>
          <w:tab w:val="left" w:pos="4701"/>
        </w:tabs>
        <w:kinsoku/>
        <w:wordWrap/>
        <w:overflowPunct/>
        <w:topLinePunct w:val="0"/>
        <w:autoSpaceDE/>
        <w:autoSpaceDN/>
        <w:bidi w:val="0"/>
        <w:adjustRightInd/>
        <w:snapToGrid/>
        <w:spacing w:before="0" w:after="0" w:line="440" w:lineRule="exact"/>
        <w:jc w:val="both"/>
        <w:textAlignment w:val="auto"/>
        <w:rPr>
          <w:rFonts w:hint="eastAsia" w:ascii="方正书宋简体" w:hAnsi="方正书宋简体" w:eastAsia="方正书宋简体" w:cs="方正书宋简体"/>
          <w:b w:val="0"/>
          <w:bCs w:val="0"/>
          <w:kern w:val="2"/>
          <w:sz w:val="24"/>
          <w:szCs w:val="24"/>
          <w:lang w:val="en-US" w:eastAsia="zh-CN" w:bidi="ar-SA"/>
        </w:rPr>
      </w:pPr>
    </w:p>
    <w:p>
      <w:pPr>
        <w:pStyle w:val="5"/>
        <w:pageBreakBefore w:val="0"/>
        <w:tabs>
          <w:tab w:val="left" w:pos="4701"/>
        </w:tabs>
        <w:kinsoku/>
        <w:wordWrap/>
        <w:overflowPunct/>
        <w:topLinePunct w:val="0"/>
        <w:autoSpaceDE/>
        <w:autoSpaceDN/>
        <w:bidi w:val="0"/>
        <w:adjustRightInd/>
        <w:snapToGrid/>
        <w:spacing w:before="0" w:after="0" w:line="440" w:lineRule="exact"/>
        <w:jc w:val="both"/>
        <w:textAlignment w:val="auto"/>
        <w:rPr>
          <w:rFonts w:hint="eastAsia" w:ascii="方正书宋简体" w:hAnsi="方正书宋简体" w:eastAsia="方正书宋简体" w:cs="方正书宋简体"/>
          <w:b w:val="0"/>
          <w:bCs w:val="0"/>
          <w:kern w:val="2"/>
          <w:sz w:val="24"/>
          <w:szCs w:val="24"/>
          <w:lang w:val="en-US" w:eastAsia="zh-CN" w:bidi="ar-SA"/>
        </w:rPr>
      </w:pPr>
      <w:r>
        <w:rPr>
          <w:rFonts w:hint="eastAsia" w:ascii="方正书宋简体" w:hAnsi="方正书宋简体" w:eastAsia="方正书宋简体" w:cs="方正书宋简体"/>
          <w:b w:val="0"/>
          <w:bCs w:val="0"/>
          <w:kern w:val="2"/>
          <w:sz w:val="24"/>
          <w:szCs w:val="24"/>
          <w:lang w:val="en-US" w:eastAsia="zh-CN" w:bidi="ar-SA"/>
        </w:rPr>
        <w:t>附件：</w:t>
      </w:r>
    </w:p>
    <w:p>
      <w:pPr>
        <w:pStyle w:val="5"/>
        <w:pageBreakBefore w:val="0"/>
        <w:tabs>
          <w:tab w:val="left" w:pos="4701"/>
        </w:tabs>
        <w:kinsoku/>
        <w:wordWrap/>
        <w:overflowPunct/>
        <w:topLinePunct w:val="0"/>
        <w:autoSpaceDE/>
        <w:autoSpaceDN/>
        <w:bidi w:val="0"/>
        <w:adjustRightInd/>
        <w:snapToGrid/>
        <w:spacing w:before="0" w:after="0" w:line="440" w:lineRule="exact"/>
        <w:jc w:val="center"/>
        <w:textAlignment w:val="auto"/>
        <w:rPr>
          <w:rFonts w:ascii="方正小标宋简体" w:hAnsi="黑体" w:eastAsia="方正小标宋简体"/>
          <w:b w:val="0"/>
          <w:bCs w:val="0"/>
          <w:sz w:val="32"/>
          <w:szCs w:val="32"/>
        </w:rPr>
      </w:pPr>
      <w:r>
        <w:rPr>
          <w:rFonts w:hint="eastAsia" w:ascii="方正小标宋简体" w:hAnsi="黑体" w:eastAsia="方正小标宋简体"/>
          <w:b w:val="0"/>
          <w:bCs w:val="0"/>
          <w:sz w:val="36"/>
          <w:szCs w:val="36"/>
        </w:rPr>
        <w:t>南雄市</w:t>
      </w:r>
      <w:r>
        <w:rPr>
          <w:rFonts w:hint="eastAsia" w:ascii="方正小标宋简体" w:hAnsi="黑体" w:eastAsia="方正小标宋简体"/>
          <w:b w:val="0"/>
          <w:bCs w:val="0"/>
          <w:sz w:val="36"/>
          <w:szCs w:val="36"/>
          <w:lang w:eastAsia="zh-CN"/>
        </w:rPr>
        <w:t>关于</w:t>
      </w:r>
      <w:r>
        <w:rPr>
          <w:rFonts w:hint="eastAsia" w:ascii="方正小标宋简体" w:hAnsi="黑体" w:eastAsia="方正小标宋简体"/>
          <w:b w:val="0"/>
          <w:bCs w:val="0"/>
          <w:sz w:val="36"/>
          <w:szCs w:val="36"/>
        </w:rPr>
        <w:t>扶持医药服务产业奖励</w:t>
      </w:r>
      <w:r>
        <w:rPr>
          <w:rFonts w:hint="eastAsia" w:ascii="方正小标宋简体" w:hAnsi="黑体" w:eastAsia="方正小标宋简体"/>
          <w:b w:val="0"/>
          <w:bCs w:val="0"/>
          <w:sz w:val="36"/>
          <w:szCs w:val="36"/>
          <w:lang w:eastAsia="zh-CN"/>
        </w:rPr>
        <w:t>实施</w:t>
      </w:r>
      <w:r>
        <w:rPr>
          <w:rFonts w:hint="eastAsia" w:ascii="方正小标宋简体" w:hAnsi="黑体" w:eastAsia="方正小标宋简体"/>
          <w:b w:val="0"/>
          <w:bCs w:val="0"/>
          <w:sz w:val="36"/>
          <w:szCs w:val="36"/>
        </w:rPr>
        <w:t>办法</w:t>
      </w:r>
    </w:p>
    <w:p>
      <w:pPr>
        <w:pageBreakBefore w:val="0"/>
        <w:widowControl/>
        <w:kinsoku/>
        <w:wordWrap/>
        <w:overflowPunct/>
        <w:topLinePunct w:val="0"/>
        <w:autoSpaceDE/>
        <w:autoSpaceDN/>
        <w:bidi w:val="0"/>
        <w:adjustRightInd/>
        <w:snapToGrid/>
        <w:spacing w:line="440" w:lineRule="exact"/>
        <w:ind w:firstLine="470" w:firstLineChars="196"/>
        <w:jc w:val="center"/>
        <w:textAlignment w:val="auto"/>
        <w:rPr>
          <w:rFonts w:hint="eastAsia" w:ascii="仿宋_GB2312" w:hAnsi="黑体" w:eastAsia="仿宋_GB2312"/>
          <w:sz w:val="24"/>
          <w:szCs w:val="24"/>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为加快南雄医药服务产业的发展，推动经济结构调整和增长</w:t>
      </w:r>
      <w:r>
        <w:rPr>
          <w:rFonts w:hint="eastAsia" w:ascii="方正书宋简体" w:hAnsi="方正书宋简体" w:eastAsia="方正书宋简体" w:cs="方正书宋简体"/>
          <w:sz w:val="24"/>
          <w:szCs w:val="24"/>
          <w:lang w:eastAsia="zh-CN"/>
        </w:rPr>
        <w:t>极</w:t>
      </w:r>
      <w:r>
        <w:rPr>
          <w:rFonts w:hint="eastAsia" w:ascii="方正书宋简体" w:hAnsi="方正书宋简体" w:eastAsia="方正书宋简体" w:cs="方正书宋简体"/>
          <w:sz w:val="24"/>
          <w:szCs w:val="24"/>
        </w:rPr>
        <w:t>转变，加快培育和发展生物医药产业，全力打造南雄医药产业集群，结合南雄市实际，制定本办法。</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一、适用对象</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本办法适用于在南雄市进行工商注册和税务登记，具有独立法人资格，并从事</w:t>
      </w:r>
      <w:r>
        <w:rPr>
          <w:rFonts w:hint="eastAsia" w:ascii="方正书宋简体" w:hAnsi="方正书宋简体" w:eastAsia="方正书宋简体" w:cs="方正书宋简体"/>
          <w:sz w:val="24"/>
          <w:szCs w:val="24"/>
          <w:lang w:eastAsia="zh-CN"/>
        </w:rPr>
        <w:t>为</w:t>
      </w:r>
      <w:r>
        <w:rPr>
          <w:rFonts w:hint="eastAsia" w:ascii="方正书宋简体" w:hAnsi="方正书宋简体" w:eastAsia="方正书宋简体" w:cs="方正书宋简体"/>
          <w:sz w:val="24"/>
          <w:szCs w:val="24"/>
        </w:rPr>
        <w:t>医药厂商的营销、咨询、商务、技术推广、成果转化、投融资等行业的销售服务企业或机构。还应具备以下基本条件：</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（1）年度营业收入</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rPr>
        <w:t>亿元以上</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含销售服务企业代管企业或个体工商户营业收入</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（2）年度纳税总额不低于</w:t>
      </w: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rPr>
        <w:t>000万元</w:t>
      </w:r>
      <w:r>
        <w:rPr>
          <w:rFonts w:hint="eastAsia" w:ascii="方正书宋简体" w:hAnsi="方正书宋简体" w:eastAsia="方正书宋简体" w:cs="方正书宋简体"/>
          <w:sz w:val="24"/>
          <w:szCs w:val="24"/>
          <w:lang w:eastAsia="zh-CN"/>
        </w:rPr>
        <w:t>（含销售服务企业代管企业或个体工商户税收收入）</w:t>
      </w:r>
      <w:r>
        <w:rPr>
          <w:rFonts w:hint="eastAsia" w:ascii="方正书宋简体" w:hAnsi="方正书宋简体" w:eastAsia="方正书宋简体" w:cs="方正书宋简体"/>
          <w:sz w:val="24"/>
          <w:szCs w:val="24"/>
        </w:rPr>
        <w:t>；</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（3）注册资本100万元以上</w:t>
      </w:r>
      <w:r>
        <w:rPr>
          <w:rFonts w:hint="eastAsia" w:ascii="方正书宋简体" w:hAnsi="方正书宋简体" w:eastAsia="方正书宋简体" w:cs="方正书宋简体"/>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lang w:eastAsia="zh-CN"/>
        </w:rPr>
        <w:t>）依法足额缴纳员工社会保险费。</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黑体简体" w:hAnsi="方正黑体简体" w:eastAsia="方正黑体简体" w:cs="方正黑体简体"/>
          <w:b w:val="0"/>
          <w:bCs/>
          <w:sz w:val="24"/>
          <w:szCs w:val="24"/>
          <w:lang w:eastAsia="zh-CN"/>
        </w:rPr>
      </w:pPr>
      <w:r>
        <w:rPr>
          <w:rFonts w:hint="eastAsia" w:ascii="方正黑体简体" w:hAnsi="方正黑体简体" w:eastAsia="方正黑体简体" w:cs="方正黑体简体"/>
          <w:b w:val="0"/>
          <w:bCs/>
          <w:sz w:val="24"/>
          <w:szCs w:val="24"/>
        </w:rPr>
        <w:t>二、</w:t>
      </w:r>
      <w:r>
        <w:rPr>
          <w:rFonts w:hint="eastAsia" w:ascii="方正黑体简体" w:hAnsi="方正黑体简体" w:eastAsia="方正黑体简体" w:cs="方正黑体简体"/>
          <w:b w:val="0"/>
          <w:bCs/>
          <w:sz w:val="24"/>
          <w:szCs w:val="24"/>
          <w:lang w:eastAsia="zh-CN"/>
        </w:rPr>
        <w:t>设立专项奖补资金</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企业自在南雄市设立登记</w:t>
      </w:r>
      <w:r>
        <w:rPr>
          <w:rFonts w:hint="eastAsia" w:ascii="方正书宋简体" w:hAnsi="方正书宋简体" w:eastAsia="方正书宋简体" w:cs="方正书宋简体"/>
          <w:sz w:val="24"/>
          <w:szCs w:val="24"/>
          <w:lang w:eastAsia="zh-CN"/>
        </w:rPr>
        <w:t>起计，</w:t>
      </w:r>
      <w:r>
        <w:rPr>
          <w:rFonts w:hint="eastAsia" w:ascii="方正书宋简体" w:hAnsi="方正书宋简体" w:eastAsia="方正书宋简体" w:cs="方正书宋简体"/>
          <w:sz w:val="24"/>
          <w:szCs w:val="24"/>
        </w:rPr>
        <w:t>年度</w:t>
      </w:r>
      <w:r>
        <w:rPr>
          <w:rFonts w:hint="eastAsia" w:ascii="方正书宋简体" w:hAnsi="方正书宋简体" w:eastAsia="方正书宋简体" w:cs="方正书宋简体"/>
          <w:sz w:val="24"/>
          <w:szCs w:val="24"/>
          <w:lang w:eastAsia="zh-CN"/>
        </w:rPr>
        <w:t>纳税规模达到并超过</w:t>
      </w: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rPr>
        <w:t>000万元的，</w:t>
      </w:r>
      <w:r>
        <w:rPr>
          <w:rFonts w:hint="eastAsia" w:ascii="方正书宋简体" w:hAnsi="方正书宋简体" w:eastAsia="方正书宋简体" w:cs="方正书宋简体"/>
          <w:sz w:val="24"/>
          <w:szCs w:val="24"/>
          <w:lang w:eastAsia="zh-CN"/>
        </w:rPr>
        <w:t>其中，自企业在雄设立登记当年为项目过渡期，按</w:t>
      </w:r>
      <w:r>
        <w:rPr>
          <w:rFonts w:hint="eastAsia" w:ascii="方正书宋简体" w:hAnsi="方正书宋简体" w:eastAsia="方正书宋简体" w:cs="方正书宋简体"/>
          <w:sz w:val="24"/>
          <w:szCs w:val="24"/>
        </w:rPr>
        <w:t>其缴纳税收地方留成部分</w:t>
      </w:r>
      <w:r>
        <w:rPr>
          <w:rFonts w:hint="eastAsia" w:ascii="方正书宋简体" w:hAnsi="方正书宋简体" w:eastAsia="方正书宋简体" w:cs="方正书宋简体"/>
          <w:sz w:val="24"/>
          <w:szCs w:val="24"/>
          <w:lang w:eastAsia="zh-CN"/>
        </w:rPr>
        <w:t>为参照，</w:t>
      </w:r>
      <w:r>
        <w:rPr>
          <w:rFonts w:hint="eastAsia" w:ascii="方正书宋简体" w:hAnsi="方正书宋简体" w:eastAsia="方正书宋简体" w:cs="方正书宋简体"/>
          <w:sz w:val="24"/>
          <w:szCs w:val="24"/>
        </w:rPr>
        <w:t>给予100%</w:t>
      </w:r>
      <w:r>
        <w:rPr>
          <w:rFonts w:hint="eastAsia" w:ascii="方正书宋简体" w:hAnsi="方正书宋简体" w:eastAsia="方正书宋简体" w:cs="方正书宋简体"/>
          <w:sz w:val="24"/>
          <w:szCs w:val="24"/>
          <w:lang w:eastAsia="zh-CN"/>
        </w:rPr>
        <w:t>的企业服务</w:t>
      </w:r>
      <w:r>
        <w:rPr>
          <w:rFonts w:hint="eastAsia" w:ascii="方正书宋简体" w:hAnsi="方正书宋简体" w:eastAsia="方正书宋简体" w:cs="方正书宋简体"/>
          <w:sz w:val="24"/>
          <w:szCs w:val="24"/>
        </w:rPr>
        <w:t>奖励</w:t>
      </w:r>
      <w:r>
        <w:rPr>
          <w:rFonts w:hint="eastAsia" w:ascii="方正书宋简体" w:hAnsi="方正书宋简体" w:eastAsia="方正书宋简体" w:cs="方正书宋简体"/>
          <w:sz w:val="24"/>
          <w:szCs w:val="24"/>
          <w:lang w:eastAsia="zh-CN"/>
        </w:rPr>
        <w:t>；次年为</w:t>
      </w:r>
      <w:r>
        <w:rPr>
          <w:rFonts w:hint="eastAsia" w:ascii="方正书宋简体" w:hAnsi="方正书宋简体" w:eastAsia="方正书宋简体" w:cs="方正书宋简体"/>
          <w:sz w:val="24"/>
          <w:szCs w:val="24"/>
        </w:rPr>
        <w:t>第1年</w:t>
      </w:r>
      <w:r>
        <w:rPr>
          <w:rFonts w:hint="eastAsia" w:ascii="方正书宋简体" w:hAnsi="方正书宋简体" w:eastAsia="方正书宋简体" w:cs="方正书宋简体"/>
          <w:sz w:val="24"/>
          <w:szCs w:val="24"/>
          <w:lang w:eastAsia="zh-CN"/>
        </w:rPr>
        <w:t>度（</w:t>
      </w:r>
      <w:r>
        <w:rPr>
          <w:rFonts w:hint="eastAsia" w:ascii="方正书宋简体" w:hAnsi="方正书宋简体" w:eastAsia="方正书宋简体" w:cs="方正书宋简体"/>
          <w:sz w:val="24"/>
          <w:szCs w:val="24"/>
          <w:lang w:val="en-US" w:eastAsia="zh-CN"/>
        </w:rPr>
        <w:t>以此顺延</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按其缴纳税收地方留成部分</w:t>
      </w:r>
      <w:r>
        <w:rPr>
          <w:rFonts w:hint="eastAsia" w:ascii="方正书宋简体" w:hAnsi="方正书宋简体" w:eastAsia="方正书宋简体" w:cs="方正书宋简体"/>
          <w:sz w:val="24"/>
          <w:szCs w:val="24"/>
          <w:lang w:eastAsia="zh-CN"/>
        </w:rPr>
        <w:t>为参照，</w:t>
      </w:r>
      <w:r>
        <w:rPr>
          <w:rFonts w:hint="eastAsia" w:ascii="方正书宋简体" w:hAnsi="方正书宋简体" w:eastAsia="方正书宋简体" w:cs="方正书宋简体"/>
          <w:sz w:val="24"/>
          <w:szCs w:val="24"/>
        </w:rPr>
        <w:t>给予100%</w:t>
      </w:r>
      <w:r>
        <w:rPr>
          <w:rFonts w:hint="eastAsia" w:ascii="方正书宋简体" w:hAnsi="方正书宋简体" w:eastAsia="方正书宋简体" w:cs="方正书宋简体"/>
          <w:sz w:val="24"/>
          <w:szCs w:val="24"/>
          <w:lang w:eastAsia="zh-CN"/>
        </w:rPr>
        <w:t>的企业服务</w:t>
      </w:r>
      <w:r>
        <w:rPr>
          <w:rFonts w:hint="eastAsia" w:ascii="方正书宋简体" w:hAnsi="方正书宋简体" w:eastAsia="方正书宋简体" w:cs="方正书宋简体"/>
          <w:sz w:val="24"/>
          <w:szCs w:val="24"/>
        </w:rPr>
        <w:t>奖励</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第2年</w:t>
      </w:r>
      <w:r>
        <w:rPr>
          <w:rFonts w:hint="eastAsia" w:ascii="方正书宋简体" w:hAnsi="方正书宋简体" w:eastAsia="方正书宋简体" w:cs="方正书宋简体"/>
          <w:sz w:val="24"/>
          <w:szCs w:val="24"/>
          <w:lang w:eastAsia="zh-CN"/>
        </w:rPr>
        <w:t>度</w:t>
      </w:r>
      <w:r>
        <w:rPr>
          <w:rFonts w:hint="eastAsia" w:ascii="方正书宋简体" w:hAnsi="方正书宋简体" w:eastAsia="方正书宋简体" w:cs="方正书宋简体"/>
          <w:sz w:val="24"/>
          <w:szCs w:val="24"/>
        </w:rPr>
        <w:t>按其缴纳税收地方留成部分</w:t>
      </w:r>
      <w:r>
        <w:rPr>
          <w:rFonts w:hint="eastAsia" w:ascii="方正书宋简体" w:hAnsi="方正书宋简体" w:eastAsia="方正书宋简体" w:cs="方正书宋简体"/>
          <w:sz w:val="24"/>
          <w:szCs w:val="24"/>
          <w:lang w:eastAsia="zh-CN"/>
        </w:rPr>
        <w:t>为参照，</w:t>
      </w:r>
      <w:r>
        <w:rPr>
          <w:rFonts w:hint="eastAsia" w:ascii="方正书宋简体" w:hAnsi="方正书宋简体" w:eastAsia="方正书宋简体" w:cs="方正书宋简体"/>
          <w:sz w:val="24"/>
          <w:szCs w:val="24"/>
        </w:rPr>
        <w:t>给予90%</w:t>
      </w:r>
      <w:r>
        <w:rPr>
          <w:rFonts w:hint="eastAsia" w:ascii="方正书宋简体" w:hAnsi="方正书宋简体" w:eastAsia="方正书宋简体" w:cs="方正书宋简体"/>
          <w:sz w:val="24"/>
          <w:szCs w:val="24"/>
          <w:lang w:eastAsia="zh-CN"/>
        </w:rPr>
        <w:t>的企业服务</w:t>
      </w:r>
      <w:r>
        <w:rPr>
          <w:rFonts w:hint="eastAsia" w:ascii="方正书宋简体" w:hAnsi="方正书宋简体" w:eastAsia="方正书宋简体" w:cs="方正书宋简体"/>
          <w:sz w:val="24"/>
          <w:szCs w:val="24"/>
        </w:rPr>
        <w:t>奖励</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第3年</w:t>
      </w:r>
      <w:r>
        <w:rPr>
          <w:rFonts w:hint="eastAsia" w:ascii="方正书宋简体" w:hAnsi="方正书宋简体" w:eastAsia="方正书宋简体" w:cs="方正书宋简体"/>
          <w:sz w:val="24"/>
          <w:szCs w:val="24"/>
          <w:lang w:eastAsia="zh-CN"/>
        </w:rPr>
        <w:t>度后</w:t>
      </w:r>
      <w:r>
        <w:rPr>
          <w:rFonts w:hint="eastAsia" w:ascii="方正书宋简体" w:hAnsi="方正书宋简体" w:eastAsia="方正书宋简体" w:cs="方正书宋简体"/>
          <w:sz w:val="24"/>
          <w:szCs w:val="24"/>
        </w:rPr>
        <w:t>按其缴纳税收地方留成部分</w:t>
      </w:r>
      <w:r>
        <w:rPr>
          <w:rFonts w:hint="eastAsia" w:ascii="方正书宋简体" w:hAnsi="方正书宋简体" w:eastAsia="方正书宋简体" w:cs="方正书宋简体"/>
          <w:sz w:val="24"/>
          <w:szCs w:val="24"/>
          <w:lang w:eastAsia="zh-CN"/>
        </w:rPr>
        <w:t>为参照，</w:t>
      </w:r>
      <w:r>
        <w:rPr>
          <w:rFonts w:hint="eastAsia" w:ascii="方正书宋简体" w:hAnsi="方正书宋简体" w:eastAsia="方正书宋简体" w:cs="方正书宋简体"/>
          <w:sz w:val="24"/>
          <w:szCs w:val="24"/>
        </w:rPr>
        <w:t>给予60%</w:t>
      </w:r>
      <w:r>
        <w:rPr>
          <w:rFonts w:hint="eastAsia" w:ascii="方正书宋简体" w:hAnsi="方正书宋简体" w:eastAsia="方正书宋简体" w:cs="方正书宋简体"/>
          <w:sz w:val="24"/>
          <w:szCs w:val="24"/>
          <w:lang w:eastAsia="zh-CN"/>
        </w:rPr>
        <w:t>的企业服务</w:t>
      </w:r>
      <w:r>
        <w:rPr>
          <w:rFonts w:hint="eastAsia" w:ascii="方正书宋简体" w:hAnsi="方正书宋简体" w:eastAsia="方正书宋简体" w:cs="方正书宋简体"/>
          <w:sz w:val="24"/>
          <w:szCs w:val="24"/>
        </w:rPr>
        <w:t>奖励。</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如遇重大税收政策或行业管理政策调整,奖励方法另行研究决定。</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3、</w:t>
      </w:r>
      <w:r>
        <w:rPr>
          <w:rFonts w:hint="eastAsia" w:ascii="方正书宋简体" w:hAnsi="方正书宋简体" w:eastAsia="方正书宋简体" w:cs="方正书宋简体"/>
          <w:sz w:val="24"/>
          <w:szCs w:val="24"/>
        </w:rPr>
        <w:t>奖励兑付：按年度结算申报兑现，市财政在次年的第一季度内完成结算并兑现</w:t>
      </w:r>
      <w:r>
        <w:rPr>
          <w:rFonts w:hint="eastAsia" w:ascii="方正书宋简体" w:hAnsi="方正书宋简体" w:eastAsia="方正书宋简体" w:cs="方正书宋简体"/>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三、</w:t>
      </w:r>
      <w:r>
        <w:rPr>
          <w:rFonts w:hint="eastAsia" w:ascii="方正黑体简体" w:hAnsi="方正黑体简体" w:eastAsia="方正黑体简体" w:cs="方正黑体简体"/>
          <w:b w:val="0"/>
          <w:bCs/>
          <w:sz w:val="24"/>
          <w:szCs w:val="24"/>
          <w:lang w:eastAsia="zh-CN"/>
        </w:rPr>
        <w:t>提供绿色通道</w:t>
      </w:r>
      <w:r>
        <w:rPr>
          <w:rFonts w:hint="eastAsia" w:ascii="方正黑体简体" w:hAnsi="方正黑体简体" w:eastAsia="方正黑体简体" w:cs="方正黑体简体"/>
          <w:b w:val="0"/>
          <w:bCs/>
          <w:sz w:val="24"/>
          <w:szCs w:val="24"/>
        </w:rPr>
        <w:t>服务</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实行“绿色通道”服务。医药</w:t>
      </w:r>
      <w:r>
        <w:rPr>
          <w:rFonts w:hint="eastAsia" w:ascii="方正书宋简体" w:hAnsi="方正书宋简体" w:eastAsia="方正书宋简体" w:cs="方正书宋简体"/>
          <w:sz w:val="24"/>
          <w:szCs w:val="24"/>
          <w:lang w:eastAsia="zh-CN"/>
        </w:rPr>
        <w:t>销售服务</w:t>
      </w:r>
      <w:r>
        <w:rPr>
          <w:rFonts w:hint="eastAsia" w:ascii="方正书宋简体" w:hAnsi="方正书宋简体" w:eastAsia="方正书宋简体" w:cs="方正书宋简体"/>
          <w:sz w:val="24"/>
          <w:szCs w:val="24"/>
        </w:rPr>
        <w:t>企业享受市场监督、税务等“一站式”服务，凡在行政服务中心办理的企业事项，其咨询、立项、审批、登记、发证和有关协调工作，由行政服务中心牵头负责。医药</w:t>
      </w:r>
      <w:r>
        <w:rPr>
          <w:rFonts w:hint="eastAsia" w:ascii="方正书宋简体" w:hAnsi="方正书宋简体" w:eastAsia="方正书宋简体" w:cs="方正书宋简体"/>
          <w:sz w:val="24"/>
          <w:szCs w:val="24"/>
          <w:lang w:eastAsia="zh-CN"/>
        </w:rPr>
        <w:t>销售服务</w:t>
      </w:r>
      <w:r>
        <w:rPr>
          <w:rFonts w:hint="eastAsia" w:ascii="方正书宋简体" w:hAnsi="方正书宋简体" w:eastAsia="方正书宋简体" w:cs="方正书宋简体"/>
          <w:sz w:val="24"/>
          <w:szCs w:val="24"/>
        </w:rPr>
        <w:t>企业项目审批纳入市重点项目“绿色通道”服务范围。税务部门应为医药销售服务企业提供绿色通道</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提供个性化纳税服务</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及时落实各项税收优惠政策</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办理涉税事项跟踪做好服务</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在规定时限内提速办理。</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建立企业挂点服务工作机制。将医药</w:t>
      </w:r>
      <w:r>
        <w:rPr>
          <w:rFonts w:hint="eastAsia" w:ascii="方正书宋简体" w:hAnsi="方正书宋简体" w:eastAsia="方正书宋简体" w:cs="方正书宋简体"/>
          <w:sz w:val="24"/>
          <w:szCs w:val="24"/>
          <w:lang w:eastAsia="zh-CN"/>
        </w:rPr>
        <w:t>销售服务</w:t>
      </w:r>
      <w:r>
        <w:rPr>
          <w:rFonts w:hint="eastAsia" w:ascii="方正书宋简体" w:hAnsi="方正书宋简体" w:eastAsia="方正书宋简体" w:cs="方正书宋简体"/>
          <w:sz w:val="24"/>
          <w:szCs w:val="24"/>
        </w:rPr>
        <w:t>企业纳入市领导班子成员挂点联系企业工作领导小组办公室重点服务对象，建立定期走访制度，及时掌握并研究解决企业在我市生产经营中存在的问题和困难。安排一名部门业务骨干全程跟踪服务，负责代办行政审批业务，相关部门积极配合和支持。</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四、申报程序</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b/>
          <w:sz w:val="24"/>
          <w:szCs w:val="24"/>
        </w:rPr>
      </w:pPr>
      <w:r>
        <w:rPr>
          <w:rFonts w:hint="eastAsia" w:ascii="方正书宋简体" w:hAnsi="方正书宋简体" w:eastAsia="方正书宋简体" w:cs="方正书宋简体"/>
          <w:sz w:val="24"/>
          <w:szCs w:val="24"/>
          <w:lang w:eastAsia="zh-CN"/>
        </w:rPr>
        <w:t>本办法由</w:t>
      </w:r>
      <w:r>
        <w:rPr>
          <w:rFonts w:hint="eastAsia" w:ascii="方正书宋简体" w:hAnsi="方正书宋简体" w:eastAsia="方正书宋简体" w:cs="方正书宋简体"/>
          <w:sz w:val="24"/>
          <w:szCs w:val="24"/>
        </w:rPr>
        <w:t>市商务局</w:t>
      </w:r>
      <w:r>
        <w:rPr>
          <w:rFonts w:hint="eastAsia" w:ascii="方正书宋简体" w:hAnsi="方正书宋简体" w:eastAsia="方正书宋简体" w:cs="方正书宋简体"/>
          <w:sz w:val="24"/>
          <w:szCs w:val="24"/>
          <w:lang w:eastAsia="zh-CN"/>
        </w:rPr>
        <w:t>牵头另行制定实施奖励兑现细则</w:t>
      </w:r>
      <w:r>
        <w:rPr>
          <w:rFonts w:hint="eastAsia" w:ascii="方正书宋简体" w:hAnsi="方正书宋简体" w:eastAsia="方正书宋简体" w:cs="方正书宋简体"/>
          <w:sz w:val="24"/>
          <w:szCs w:val="24"/>
        </w:rPr>
        <w:t>，符合条件的企业按照</w:t>
      </w:r>
      <w:r>
        <w:rPr>
          <w:rFonts w:hint="eastAsia" w:ascii="方正书宋简体" w:hAnsi="方正书宋简体" w:eastAsia="方正书宋简体" w:cs="方正书宋简体"/>
          <w:sz w:val="24"/>
          <w:szCs w:val="24"/>
          <w:lang w:eastAsia="zh-CN"/>
        </w:rPr>
        <w:t>细则</w:t>
      </w:r>
      <w:r>
        <w:rPr>
          <w:rFonts w:hint="eastAsia" w:ascii="方正书宋简体" w:hAnsi="方正书宋简体" w:eastAsia="方正书宋简体" w:cs="方正书宋简体"/>
          <w:sz w:val="24"/>
          <w:szCs w:val="24"/>
        </w:rPr>
        <w:t>申报要求向市商务局提出申请。</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黑体简体" w:hAnsi="方正黑体简体" w:eastAsia="方正黑体简体" w:cs="方正黑体简体"/>
          <w:b w:val="0"/>
          <w:bCs/>
          <w:sz w:val="24"/>
          <w:szCs w:val="24"/>
        </w:rPr>
      </w:pPr>
      <w:r>
        <w:rPr>
          <w:rFonts w:hint="eastAsia" w:ascii="方正黑体简体" w:hAnsi="方正黑体简体" w:eastAsia="方正黑体简体" w:cs="方正黑体简体"/>
          <w:b w:val="0"/>
          <w:bCs/>
          <w:sz w:val="24"/>
          <w:szCs w:val="24"/>
        </w:rPr>
        <w:t>五、其它事项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本意见扶持政策原则上可与韶关市级政策叠加享受，但由南雄市级财政承担的部分，不可叠加享受。</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对投资规模大、行业影响力强的重大生物医药项目的资金扶持，可“一事一议”，由相关部门提出意见后，报市政府研究决定。</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3</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本办法由市商务局负责解释。</w:t>
      </w:r>
    </w:p>
    <w:p>
      <w:pPr>
        <w:keepNext w:val="0"/>
        <w:keepLines w:val="0"/>
        <w:pageBreakBefore w:val="0"/>
        <w:widowControl/>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4</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本办法自发布之日起施行，有效期至202</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年</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月1日止。</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16"/>
        <w:pageBreakBefore w:val="0"/>
        <w:kinsoku/>
        <w:overflowPunct/>
        <w:bidi w:val="0"/>
        <w:spacing w:line="440" w:lineRule="exact"/>
        <w:textAlignment w:val="auto"/>
        <w:rPr>
          <w:rFonts w:hint="default" w:ascii="Times New Roman" w:hAnsi="Times New Roman" w:eastAsia="仿宋_GB2312" w:cs="Times New Roman"/>
          <w:color w:val="auto"/>
          <w:sz w:val="24"/>
          <w:szCs w:val="24"/>
          <w:highlight w:val="none"/>
          <w:lang w:val="en-US" w:eastAsia="zh-CN"/>
        </w:rPr>
      </w:pPr>
    </w:p>
    <w:p>
      <w:pPr>
        <w:pStyle w:val="2"/>
        <w:rPr>
          <w:rFonts w:hint="eastAsia" w:ascii="方正小标宋简体" w:hAnsi="Times New Roman" w:eastAsia="方正小标宋简体" w:cs="Times New Roman"/>
          <w:color w:val="000000"/>
          <w:sz w:val="36"/>
          <w:szCs w:val="36"/>
          <w:lang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color w:val="000000"/>
          <w:sz w:val="36"/>
          <w:szCs w:val="36"/>
          <w:lang w:eastAsia="zh-CN"/>
        </w:rPr>
      </w:pPr>
      <w:r>
        <w:rPr>
          <w:rFonts w:hint="eastAsia" w:ascii="方正小标宋简体" w:hAnsi="Times New Roman" w:eastAsia="方正小标宋简体" w:cs="Times New Roman"/>
          <w:color w:val="000000"/>
          <w:sz w:val="36"/>
          <w:szCs w:val="36"/>
          <w:lang w:eastAsia="zh-CN"/>
        </w:rPr>
        <w:t>南雄市人民政府关于加强南雄市农村宅基地审批</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color w:val="000000"/>
          <w:sz w:val="32"/>
          <w:szCs w:val="32"/>
          <w:lang w:eastAsia="zh-CN"/>
        </w:rPr>
      </w:pPr>
      <w:r>
        <w:rPr>
          <w:rFonts w:hint="eastAsia" w:ascii="方正小标宋简体" w:hAnsi="Times New Roman" w:eastAsia="方正小标宋简体" w:cs="Times New Roman"/>
          <w:color w:val="000000"/>
          <w:sz w:val="36"/>
          <w:szCs w:val="36"/>
          <w:lang w:eastAsia="zh-CN"/>
        </w:rPr>
        <w:t>规范管理工作的通知</w:t>
      </w: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雄府〔2020〕</w:t>
      </w:r>
      <w:r>
        <w:rPr>
          <w:rFonts w:hint="eastAsia" w:ascii="楷体_GB2312" w:hAnsi="楷体_GB2312" w:eastAsia="楷体_GB2312" w:cs="楷体_GB2312"/>
          <w:sz w:val="24"/>
          <w:szCs w:val="24"/>
          <w:lang w:val="en-US" w:eastAsia="zh-CN"/>
        </w:rPr>
        <w:t>35</w:t>
      </w:r>
      <w:r>
        <w:rPr>
          <w:rFonts w:hint="eastAsia" w:ascii="楷体_GB2312" w:hAnsi="楷体_GB2312" w:eastAsia="楷体_GB2312" w:cs="楷体_GB2312"/>
          <w:sz w:val="24"/>
          <w:szCs w:val="24"/>
        </w:rPr>
        <w:t>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各镇人民政府、雄州街道办事处</w:t>
      </w:r>
      <w:r>
        <w:rPr>
          <w:rFonts w:hint="eastAsia" w:ascii="方正书宋简体" w:hAnsi="方正书宋简体" w:eastAsia="方正书宋简体" w:cs="方正书宋简体"/>
          <w:sz w:val="24"/>
          <w:szCs w:val="24"/>
          <w:lang w:eastAsia="zh-CN"/>
        </w:rPr>
        <w:t>、市直有关部门：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eastAsia="zh-CN"/>
        </w:rPr>
        <w:t>《关于加强南雄市农村宅基地审批规范管理工作的通知》（雄府规审〔</w:t>
      </w:r>
      <w:r>
        <w:rPr>
          <w:rFonts w:hint="eastAsia" w:ascii="方正书宋简体" w:hAnsi="方正书宋简体" w:eastAsia="方正书宋简体" w:cs="方正书宋简体"/>
          <w:sz w:val="24"/>
          <w:szCs w:val="24"/>
          <w:lang w:val="en-US" w:eastAsia="zh-CN"/>
        </w:rPr>
        <w:t>2020</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3</w:t>
      </w:r>
      <w:r>
        <w:rPr>
          <w:rFonts w:hint="eastAsia" w:ascii="方正书宋简体" w:hAnsi="方正书宋简体" w:eastAsia="方正书宋简体" w:cs="方正书宋简体"/>
          <w:sz w:val="24"/>
          <w:szCs w:val="24"/>
          <w:lang w:eastAsia="zh-CN"/>
        </w:rPr>
        <w:t>号）已获南雄市人民政府第十五届</w:t>
      </w:r>
      <w:r>
        <w:rPr>
          <w:rFonts w:hint="eastAsia" w:ascii="方正书宋简体" w:hAnsi="方正书宋简体" w:eastAsia="方正书宋简体" w:cs="方正书宋简体"/>
          <w:sz w:val="24"/>
          <w:szCs w:val="24"/>
          <w:lang w:val="en-US" w:eastAsia="zh-CN"/>
        </w:rPr>
        <w:t>42次常务会议审议通过，现予印发。自印发之日起施行，有效期五年。请认真贯彻执行，执行过程中如遇问题，请径向市自然资源局反映。</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联系电话：0751-3822401</w:t>
      </w: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书宋简体" w:hAnsi="方正书宋简体" w:eastAsia="方正书宋简体" w:cs="方正书宋简体"/>
          <w:color w:val="000000"/>
          <w:sz w:val="24"/>
          <w:szCs w:val="24"/>
          <w:lang w:eastAsia="zh-CN"/>
        </w:rPr>
      </w:pPr>
    </w:p>
    <w:p>
      <w:pPr>
        <w:keepNext w:val="0"/>
        <w:keepLines w:val="0"/>
        <w:pageBreakBefore w:val="0"/>
        <w:kinsoku/>
        <w:wordWrap/>
        <w:overflowPunct/>
        <w:topLinePunct w:val="0"/>
        <w:autoSpaceDE/>
        <w:autoSpaceDN/>
        <w:bidi w:val="0"/>
        <w:adjustRightInd/>
        <w:snapToGrid/>
        <w:spacing w:line="440" w:lineRule="exact"/>
        <w:ind w:firstLine="5760" w:firstLineChars="24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南雄市人民政府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                                           2020年7月27日</w:t>
      </w: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0"/>
          <w:szCs w:val="30"/>
          <w:lang w:eastAsia="zh-CN"/>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小标宋简体" w:hAnsi="Times New Roman" w:eastAsia="方正小标宋简体" w:cs="Times New Roman"/>
          <w:color w:val="000000"/>
          <w:sz w:val="32"/>
          <w:szCs w:val="32"/>
          <w:lang w:eastAsia="zh-CN"/>
        </w:rPr>
      </w:pPr>
      <w:r>
        <w:rPr>
          <w:rFonts w:hint="eastAsia" w:ascii="方正小标宋简体" w:hAnsi="Times New Roman" w:eastAsia="方正小标宋简体" w:cs="Times New Roman"/>
          <w:color w:val="000000"/>
          <w:sz w:val="36"/>
          <w:szCs w:val="36"/>
          <w:lang w:eastAsia="zh-CN"/>
        </w:rPr>
        <w:t>关于加强南雄市农村宅基地审批规范管理工作的通知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各镇人民政府、雄州街道办事处</w:t>
      </w:r>
      <w:r>
        <w:rPr>
          <w:rFonts w:hint="eastAsia" w:ascii="方正书宋简体" w:hAnsi="方正书宋简体" w:eastAsia="方正书宋简体" w:cs="方正书宋简体"/>
          <w:sz w:val="24"/>
          <w:szCs w:val="24"/>
          <w:lang w:eastAsia="zh-CN"/>
        </w:rPr>
        <w:t>、市直有关部门</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宅基地是农村村民用于建造住宅及附属设施的集体建设用地，包括住房、附属用房和庭院等用地。农村宅基地用地建房审批管理事关广大农民居住权益，对推进实施乡村振兴战略意义重大。</w:t>
      </w:r>
      <w:r>
        <w:rPr>
          <w:rFonts w:hint="eastAsia" w:ascii="方正书宋简体" w:hAnsi="方正书宋简体" w:eastAsia="方正书宋简体" w:cs="方正书宋简体"/>
          <w:sz w:val="24"/>
          <w:szCs w:val="24"/>
        </w:rPr>
        <w:t>为进一步加强农村宅基地管理，根据《广东省农业农村厅 广东省自然资源厅关于规范农村宅基地审批管理的通知》（粤农农规〔2020〕3号）</w:t>
      </w:r>
      <w:r>
        <w:rPr>
          <w:rFonts w:hint="eastAsia" w:ascii="方正书宋简体" w:hAnsi="方正书宋简体" w:eastAsia="方正书宋简体" w:cs="方正书宋简体"/>
          <w:sz w:val="24"/>
          <w:szCs w:val="24"/>
          <w:lang w:eastAsia="zh-CN"/>
        </w:rPr>
        <w:t>、《韶关市农业农村局</w:t>
      </w:r>
      <w:r>
        <w:rPr>
          <w:rFonts w:hint="eastAsia" w:ascii="方正书宋简体" w:hAnsi="方正书宋简体" w:eastAsia="方正书宋简体" w:cs="方正书宋简体"/>
          <w:sz w:val="24"/>
          <w:szCs w:val="24"/>
          <w:lang w:val="en-US" w:eastAsia="zh-CN"/>
        </w:rPr>
        <w:t xml:space="preserve"> 韶关市自然资源局关于印发&lt;韶关市</w:t>
      </w:r>
      <w:r>
        <w:rPr>
          <w:rFonts w:hint="eastAsia" w:ascii="方正书宋简体" w:hAnsi="方正书宋简体" w:eastAsia="方正书宋简体" w:cs="方正书宋简体"/>
          <w:sz w:val="24"/>
          <w:szCs w:val="24"/>
        </w:rPr>
        <w:t>农村宅基地审批管理</w:t>
      </w:r>
      <w:r>
        <w:rPr>
          <w:rFonts w:hint="eastAsia" w:ascii="方正书宋简体" w:hAnsi="方正书宋简体" w:eastAsia="方正书宋简体" w:cs="方正书宋简体"/>
          <w:sz w:val="24"/>
          <w:szCs w:val="24"/>
          <w:lang w:eastAsia="zh-CN"/>
        </w:rPr>
        <w:t>工作</w:t>
      </w:r>
      <w:r>
        <w:rPr>
          <w:rFonts w:hint="eastAsia" w:ascii="方正书宋简体" w:hAnsi="方正书宋简体" w:eastAsia="方正书宋简体" w:cs="方正书宋简体"/>
          <w:sz w:val="24"/>
          <w:szCs w:val="24"/>
        </w:rPr>
        <w:t>指引</w:t>
      </w:r>
      <w:r>
        <w:rPr>
          <w:rFonts w:hint="eastAsia" w:ascii="方正书宋简体" w:hAnsi="方正书宋简体" w:eastAsia="方正书宋简体" w:cs="方正书宋简体"/>
          <w:sz w:val="24"/>
          <w:szCs w:val="24"/>
          <w:lang w:val="en-US" w:eastAsia="zh-CN"/>
        </w:rPr>
        <w:t>&gt;</w:t>
      </w:r>
      <w:r>
        <w:rPr>
          <w:rFonts w:hint="eastAsia" w:ascii="方正书宋简体" w:hAnsi="方正书宋简体" w:eastAsia="方正书宋简体" w:cs="方正书宋简体"/>
          <w:sz w:val="24"/>
          <w:szCs w:val="24"/>
        </w:rPr>
        <w:t>的通知</w:t>
      </w:r>
      <w:r>
        <w:rPr>
          <w:rFonts w:hint="eastAsia" w:ascii="方正书宋简体" w:hAnsi="方正书宋简体" w:eastAsia="方正书宋简体" w:cs="方正书宋简体"/>
          <w:sz w:val="24"/>
          <w:szCs w:val="24"/>
          <w:lang w:eastAsia="zh-CN"/>
        </w:rPr>
        <w:t>》（韶农</w:t>
      </w:r>
      <w:r>
        <w:rPr>
          <w:rFonts w:hint="eastAsia" w:ascii="方正书宋简体" w:hAnsi="方正书宋简体" w:eastAsia="方正书宋简体" w:cs="方正书宋简体"/>
          <w:sz w:val="24"/>
          <w:szCs w:val="24"/>
        </w:rPr>
        <w:t>规〔2020〕</w:t>
      </w: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rPr>
        <w:t>号</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和《</w:t>
      </w:r>
      <w:r>
        <w:rPr>
          <w:rFonts w:hint="eastAsia" w:ascii="方正书宋简体" w:hAnsi="方正书宋简体" w:eastAsia="方正书宋简体" w:cs="方正书宋简体"/>
          <w:sz w:val="24"/>
          <w:szCs w:val="24"/>
          <w:lang w:eastAsia="zh-CN"/>
        </w:rPr>
        <w:t>韶关市自然资源局</w:t>
      </w:r>
      <w:r>
        <w:rPr>
          <w:rFonts w:hint="eastAsia" w:ascii="方正书宋简体" w:hAnsi="方正书宋简体" w:eastAsia="方正书宋简体" w:cs="方正书宋简体"/>
          <w:sz w:val="24"/>
          <w:szCs w:val="24"/>
          <w:lang w:val="en-US" w:eastAsia="zh-CN"/>
        </w:rPr>
        <w:t xml:space="preserve"> 韶关市住房和城乡建设管理局 韶关市农业农村局</w:t>
      </w:r>
      <w:r>
        <w:rPr>
          <w:rFonts w:hint="eastAsia" w:ascii="方正书宋简体" w:hAnsi="方正书宋简体" w:eastAsia="方正书宋简体" w:cs="方正书宋简体"/>
          <w:sz w:val="24"/>
          <w:szCs w:val="24"/>
        </w:rPr>
        <w:t>关于印发</w:t>
      </w:r>
      <w:r>
        <w:rPr>
          <w:rFonts w:hint="eastAsia" w:ascii="方正书宋简体" w:hAnsi="方正书宋简体" w:eastAsia="方正书宋简体" w:cs="方正书宋简体"/>
          <w:sz w:val="24"/>
          <w:szCs w:val="24"/>
          <w:lang w:val="en-US" w:eastAsia="zh-CN"/>
        </w:rPr>
        <w:t>&lt;</w:t>
      </w:r>
      <w:r>
        <w:rPr>
          <w:rFonts w:hint="eastAsia" w:ascii="方正书宋简体" w:hAnsi="方正书宋简体" w:eastAsia="方正书宋简体" w:cs="方正书宋简体"/>
          <w:sz w:val="24"/>
          <w:szCs w:val="24"/>
          <w:lang w:eastAsia="zh-CN"/>
        </w:rPr>
        <w:t>韶关</w:t>
      </w:r>
      <w:r>
        <w:rPr>
          <w:rFonts w:hint="eastAsia" w:ascii="方正书宋简体" w:hAnsi="方正书宋简体" w:eastAsia="方正书宋简体" w:cs="方正书宋简体"/>
          <w:sz w:val="24"/>
          <w:szCs w:val="24"/>
        </w:rPr>
        <w:t>市加强农村住房建设管理的指导意见</w:t>
      </w:r>
      <w:r>
        <w:rPr>
          <w:rFonts w:hint="eastAsia" w:ascii="方正书宋简体" w:hAnsi="方正书宋简体" w:eastAsia="方正书宋简体" w:cs="方正书宋简体"/>
          <w:sz w:val="24"/>
          <w:szCs w:val="24"/>
          <w:lang w:val="en-US" w:eastAsia="zh-CN"/>
        </w:rPr>
        <w:t>&gt;</w:t>
      </w:r>
      <w:r>
        <w:rPr>
          <w:rFonts w:hint="eastAsia" w:ascii="方正书宋简体" w:hAnsi="方正书宋简体" w:eastAsia="方正书宋简体" w:cs="方正书宋简体"/>
          <w:sz w:val="24"/>
          <w:szCs w:val="24"/>
          <w:lang w:eastAsia="zh-CN"/>
        </w:rPr>
        <w:t>的通知》</w:t>
      </w: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eastAsia="zh-CN"/>
        </w:rPr>
        <w:t>韶自然资（联）字</w:t>
      </w:r>
      <w:r>
        <w:rPr>
          <w:rFonts w:hint="eastAsia" w:ascii="方正书宋简体" w:hAnsi="方正书宋简体" w:eastAsia="方正书宋简体" w:cs="方正书宋简体"/>
          <w:sz w:val="24"/>
          <w:szCs w:val="24"/>
        </w:rPr>
        <w:t>〔2019〕</w:t>
      </w:r>
      <w:r>
        <w:rPr>
          <w:rFonts w:hint="eastAsia" w:ascii="方正书宋简体" w:hAnsi="方正书宋简体" w:eastAsia="方正书宋简体" w:cs="方正书宋简体"/>
          <w:sz w:val="24"/>
          <w:szCs w:val="24"/>
          <w:lang w:val="en-US" w:eastAsia="zh-CN"/>
        </w:rPr>
        <w:t>316</w:t>
      </w:r>
      <w:r>
        <w:rPr>
          <w:rFonts w:hint="eastAsia" w:ascii="方正书宋简体" w:hAnsi="方正书宋简体" w:eastAsia="方正书宋简体" w:cs="方正书宋简体"/>
          <w:sz w:val="24"/>
          <w:szCs w:val="24"/>
        </w:rPr>
        <w:t>号）等文件精神，现结合</w:t>
      </w:r>
      <w:r>
        <w:rPr>
          <w:rFonts w:hint="eastAsia" w:ascii="方正书宋简体" w:hAnsi="方正书宋简体" w:eastAsia="方正书宋简体" w:cs="方正书宋简体"/>
          <w:sz w:val="24"/>
          <w:szCs w:val="24"/>
          <w:lang w:eastAsia="zh-CN"/>
        </w:rPr>
        <w:t>南雄</w:t>
      </w:r>
      <w:r>
        <w:rPr>
          <w:rFonts w:hint="eastAsia" w:ascii="方正书宋简体" w:hAnsi="方正书宋简体" w:eastAsia="方正书宋简体" w:cs="方正书宋简体"/>
          <w:sz w:val="24"/>
          <w:szCs w:val="24"/>
        </w:rPr>
        <w:t>实际，</w:t>
      </w:r>
      <w:r>
        <w:rPr>
          <w:rFonts w:hint="eastAsia" w:ascii="方正书宋简体" w:hAnsi="方正书宋简体" w:eastAsia="方正书宋简体" w:cs="方正书宋简体"/>
          <w:sz w:val="24"/>
          <w:szCs w:val="24"/>
          <w:lang w:eastAsia="zh-CN"/>
        </w:rPr>
        <w:t>制定我市农村宅基地审批管理工作实施细则。</w:t>
      </w:r>
      <w:r>
        <w:rPr>
          <w:rFonts w:hint="eastAsia" w:ascii="方正书宋简体" w:hAnsi="方正书宋简体" w:eastAsia="方正书宋简体" w:cs="方正书宋简体"/>
          <w:sz w:val="24"/>
          <w:szCs w:val="24"/>
          <w:lang w:eastAsia="zh-CN"/>
        </w:rPr>
        <w:br w:type="textWrapping"/>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b w:val="0"/>
          <w:bCs w:val="0"/>
          <w:sz w:val="24"/>
          <w:szCs w:val="24"/>
          <w:lang w:val="en-US" w:eastAsia="zh-CN"/>
        </w:rPr>
        <w:t xml:space="preserve"> </w:t>
      </w:r>
      <w:r>
        <w:rPr>
          <w:rFonts w:hint="eastAsia" w:ascii="方正黑体简体" w:hAnsi="方正黑体简体" w:eastAsia="方正黑体简体" w:cs="方正黑体简体"/>
          <w:b w:val="0"/>
          <w:bCs w:val="0"/>
          <w:sz w:val="24"/>
          <w:szCs w:val="24"/>
          <w:lang w:eastAsia="zh-CN"/>
        </w:rPr>
        <w:t>一、基本原则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eastAsia="zh-CN"/>
        </w:rPr>
        <w:t>（一）符合规划原则。</w:t>
      </w:r>
      <w:r>
        <w:rPr>
          <w:rFonts w:hint="eastAsia" w:ascii="方正书宋简体" w:hAnsi="方正书宋简体" w:eastAsia="方正书宋简体" w:cs="方正书宋简体"/>
          <w:sz w:val="24"/>
          <w:szCs w:val="24"/>
          <w:lang w:eastAsia="zh-CN"/>
        </w:rPr>
        <w:t>严格落实土地用途管理，农村宅基地审批、农村建房应符合国土空间规划、村庄规划、林地保护利用规划等相关专项规划及技术规范，实行先规划后建设。涉及占用农（林）用地的，应当依法先行办理农（林）用地转用手续。不符合规划要求的，不得批准建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eastAsia="zh-CN"/>
        </w:rPr>
        <w:t>（二）“一户一宅”原则。</w:t>
      </w:r>
      <w:r>
        <w:rPr>
          <w:rFonts w:hint="eastAsia" w:ascii="方正书宋简体" w:hAnsi="方正书宋简体" w:eastAsia="方正书宋简体" w:cs="方正书宋简体"/>
          <w:sz w:val="24"/>
          <w:szCs w:val="24"/>
          <w:lang w:eastAsia="zh-CN"/>
        </w:rPr>
        <w:t>农村村民一户只能拥有一处宅基地。</w:t>
      </w:r>
      <w:r>
        <w:rPr>
          <w:rFonts w:hint="eastAsia" w:ascii="方正书宋简体" w:hAnsi="方正书宋简体" w:eastAsia="方正书宋简体" w:cs="方正书宋简体"/>
          <w:sz w:val="24"/>
          <w:szCs w:val="24"/>
        </w:rPr>
        <w:t>申请宅基地的村民符合下列情形之一的，应当认定为“一户”：</w:t>
      </w: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rPr>
        <w:t xml:space="preserve"> 家庭子女已满 18 周岁但尚未与父母分户的，经该户全体成员同意及所在农民集体经济组织确认</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color w:val="auto"/>
          <w:sz w:val="24"/>
          <w:szCs w:val="24"/>
          <w:lang w:val="en-US"/>
        </w:rPr>
        <w:t>每名成年（满 18 周岁）子女均可单独认定为一户</w:t>
      </w: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rPr>
        <w:t>户口登记机关登记为一户的情形。</w:t>
      </w:r>
      <w:r>
        <w:rPr>
          <w:rFonts w:hint="eastAsia" w:ascii="方正书宋简体" w:hAnsi="方正书宋简体" w:eastAsia="方正书宋简体" w:cs="方正书宋简体"/>
          <w:sz w:val="24"/>
          <w:szCs w:val="24"/>
          <w:lang w:eastAsia="zh-CN"/>
        </w:rPr>
        <w:t>农村村民应严格按照批准面积和建房标准建设住宅，禁止未批先建、超面积占用宅基地。经批准易地建造住宅的，应严格按照“建新拆旧”要求，将原宅基地交还村集体。农村村民出卖、出租、赠与住宅后，再申请宅基地的不予批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eastAsia="zh-CN"/>
        </w:rPr>
        <w:t>（三）权限下放原则。</w:t>
      </w:r>
      <w:r>
        <w:rPr>
          <w:rFonts w:hint="eastAsia" w:ascii="方正书宋简体" w:hAnsi="方正书宋简体" w:eastAsia="方正书宋简体" w:cs="方正书宋简体"/>
          <w:sz w:val="24"/>
          <w:szCs w:val="24"/>
          <w:lang w:eastAsia="zh-CN"/>
        </w:rPr>
        <w:t>农村村民住宅用地，由</w:t>
      </w: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审核批准。</w:t>
      </w: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要按照完善基层治理体系要求，充实力量，依托乡镇行政服务中心等平台，建立一个窗口对外受理、多部门内部联动运行或整合相关资源力量集中办公的农村宅基地用地建房联审联办制度，及时制定和公布办理流程和要件，明确材料审查、现场勘查等各环节的岗位职责和办理期限，为群众提供便捷高效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eastAsia="zh-CN"/>
        </w:rPr>
        <w:t>（四）风貌管控原则。</w:t>
      </w:r>
      <w:r>
        <w:rPr>
          <w:rFonts w:hint="eastAsia" w:ascii="方正书宋简体" w:hAnsi="方正书宋简体" w:eastAsia="方正书宋简体" w:cs="方正书宋简体"/>
          <w:sz w:val="24"/>
          <w:szCs w:val="24"/>
          <w:lang w:eastAsia="zh-CN"/>
        </w:rPr>
        <w:t>农房建筑设计应当安全、适用、经济、美观，充分体现村居地域特色，且严格落实农村建房建筑面积、层高、外立面等管控要求。提倡、鼓励采用</w:t>
      </w:r>
      <w:r>
        <w:rPr>
          <w:rFonts w:hint="eastAsia" w:ascii="方正书宋简体" w:hAnsi="方正书宋简体" w:eastAsia="方正书宋简体" w:cs="方正书宋简体"/>
          <w:sz w:val="24"/>
          <w:szCs w:val="24"/>
          <w:lang w:val="en-US" w:eastAsia="zh-CN"/>
        </w:rPr>
        <w:t>《广东省新农村住宅建筑设计图集》、《韶关市新民居图集》、《划分五大片区 南雄市以五种风格建设社会主义新农村示范村》等设计通用图集。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val="0"/>
          <w:sz w:val="24"/>
          <w:szCs w:val="24"/>
          <w:lang w:eastAsia="zh-CN"/>
        </w:rPr>
      </w:pPr>
      <w:r>
        <w:rPr>
          <w:rFonts w:hint="eastAsia" w:ascii="方正黑体简体" w:hAnsi="方正黑体简体" w:eastAsia="方正黑体简体" w:cs="方正黑体简体"/>
          <w:b w:val="0"/>
          <w:bCs w:val="0"/>
          <w:sz w:val="24"/>
          <w:szCs w:val="24"/>
          <w:lang w:eastAsia="zh-CN"/>
        </w:rPr>
        <w:t>二、规范要求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楷体_GB2312" w:hAnsi="楷体_GB2312" w:eastAsia="楷体_GB2312" w:cs="楷体_GB2312"/>
          <w:b w:val="0"/>
          <w:bCs w:val="0"/>
          <w:sz w:val="24"/>
          <w:szCs w:val="24"/>
          <w:lang w:eastAsia="zh-CN"/>
        </w:rPr>
      </w:pPr>
      <w:r>
        <w:rPr>
          <w:rFonts w:hint="eastAsia" w:ascii="楷体_GB2312" w:hAnsi="楷体_GB2312" w:eastAsia="楷体_GB2312" w:cs="楷体_GB2312"/>
          <w:b w:val="0"/>
          <w:bCs w:val="0"/>
          <w:sz w:val="24"/>
          <w:szCs w:val="24"/>
          <w:lang w:eastAsia="zh-CN"/>
        </w:rPr>
        <w:t>（一）建筑规模管控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lang w:eastAsia="zh-CN"/>
        </w:rPr>
        <w:t>占地面积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lang w:eastAsia="zh-CN"/>
        </w:rPr>
        <w:t>农村住房每户宅基地面积不得超过150平方米（含围墙占地面积），基底面积不得超过1</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lang w:eastAsia="zh-CN"/>
        </w:rPr>
        <w:t>0平方米。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（2）城市规划区内（中心城区除外）私人</w:t>
      </w:r>
      <w:r>
        <w:rPr>
          <w:rFonts w:hint="eastAsia" w:ascii="方正书宋简体" w:hAnsi="方正书宋简体" w:eastAsia="方正书宋简体" w:cs="方正书宋简体"/>
          <w:sz w:val="24"/>
          <w:szCs w:val="24"/>
          <w:lang w:eastAsia="zh-CN"/>
        </w:rPr>
        <w:t>住房每户宅基地面积不得超过1</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lang w:eastAsia="zh-CN"/>
        </w:rPr>
        <w:t>0平方米（含围墙占地面积），基底面积不得超过1</w:t>
      </w:r>
      <w:r>
        <w:rPr>
          <w:rFonts w:hint="eastAsia" w:ascii="方正书宋简体" w:hAnsi="方正书宋简体" w:eastAsia="方正书宋简体" w:cs="方正书宋简体"/>
          <w:sz w:val="24"/>
          <w:szCs w:val="24"/>
          <w:lang w:val="en-US" w:eastAsia="zh-CN"/>
        </w:rPr>
        <w:t>0</w:t>
      </w:r>
      <w:r>
        <w:rPr>
          <w:rFonts w:hint="eastAsia" w:ascii="方正书宋简体" w:hAnsi="方正书宋简体" w:eastAsia="方正书宋简体" w:cs="方正书宋简体"/>
          <w:sz w:val="24"/>
          <w:szCs w:val="24"/>
          <w:lang w:eastAsia="zh-CN"/>
        </w:rPr>
        <w:t>0平方米。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lang w:eastAsia="zh-CN"/>
        </w:rPr>
        <w:t xml:space="preserve">建筑面积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住房建筑面积严格控制在</w:t>
      </w:r>
      <w:r>
        <w:rPr>
          <w:rFonts w:hint="eastAsia" w:ascii="方正书宋简体" w:hAnsi="方正书宋简体" w:eastAsia="方正书宋简体" w:cs="方正书宋简体"/>
          <w:color w:val="auto"/>
          <w:sz w:val="24"/>
          <w:szCs w:val="24"/>
          <w:lang w:val="en-US" w:eastAsia="zh-CN"/>
        </w:rPr>
        <w:t xml:space="preserve">300 </w:t>
      </w:r>
      <w:r>
        <w:rPr>
          <w:rFonts w:hint="eastAsia" w:ascii="方正书宋简体" w:hAnsi="方正书宋简体" w:eastAsia="方正书宋简体" w:cs="方正书宋简体"/>
          <w:sz w:val="24"/>
          <w:szCs w:val="24"/>
          <w:lang w:val="en-US" w:eastAsia="zh-CN"/>
        </w:rPr>
        <w:t>平方米以内。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3.</w:t>
      </w:r>
      <w:r>
        <w:rPr>
          <w:rFonts w:hint="eastAsia" w:ascii="方正书宋简体" w:hAnsi="方正书宋简体" w:eastAsia="方正书宋简体" w:cs="方正书宋简体"/>
          <w:sz w:val="24"/>
          <w:szCs w:val="24"/>
          <w:lang w:eastAsia="zh-CN"/>
        </w:rPr>
        <w:t>建筑限高</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新建农房的建筑层数原则上不超过 3 层，首层层高不大于5米，其他层高不大于3.5米；如需做围墙的，围墙高度不得高于1米。确需建至 4 层的，由南雄市人民政府根据本地实际研究确定并从严控制。位于风景名胜区、历史文化传统镇（村）、国家公园等特殊区域、重要节点的建筑高度按照特殊区域管理要求为准。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楷体_GB2312" w:hAnsi="楷体_GB2312" w:eastAsia="楷体_GB2312" w:cs="楷体_GB2312"/>
          <w:b w:val="0"/>
          <w:bCs w:val="0"/>
          <w:sz w:val="24"/>
          <w:szCs w:val="24"/>
          <w:lang w:eastAsia="zh-CN"/>
        </w:rPr>
      </w:pPr>
      <w:r>
        <w:rPr>
          <w:rFonts w:hint="eastAsia" w:ascii="楷体_GB2312" w:hAnsi="楷体_GB2312" w:eastAsia="楷体_GB2312" w:cs="楷体_GB2312"/>
          <w:b w:val="0"/>
          <w:bCs w:val="0"/>
          <w:sz w:val="24"/>
          <w:szCs w:val="24"/>
          <w:lang w:eastAsia="zh-CN"/>
        </w:rPr>
        <w:t>（二）禁止建设区域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1</w:t>
      </w:r>
      <w:r>
        <w:rPr>
          <w:rFonts w:hint="eastAsia" w:ascii="方正书宋简体" w:hAnsi="方正书宋简体" w:eastAsia="方正书宋简体" w:cs="方正书宋简体"/>
          <w:sz w:val="24"/>
          <w:szCs w:val="24"/>
          <w:lang w:val="en-US" w:eastAsia="zh-CN"/>
        </w:rPr>
        <w:t>.</w:t>
      </w:r>
      <w:r>
        <w:rPr>
          <w:rFonts w:hint="eastAsia" w:ascii="方正书宋简体" w:hAnsi="方正书宋简体" w:eastAsia="方正书宋简体" w:cs="方正书宋简体"/>
          <w:sz w:val="24"/>
          <w:szCs w:val="24"/>
          <w:lang w:eastAsia="zh-CN"/>
        </w:rPr>
        <w:t>永久基本农田、生态保护红线、自然保护地等限制建设范围内；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2</w:t>
      </w:r>
      <w:r>
        <w:rPr>
          <w:rFonts w:hint="eastAsia" w:ascii="方正书宋简体" w:hAnsi="方正书宋简体" w:eastAsia="方正书宋简体" w:cs="方正书宋简体"/>
          <w:sz w:val="24"/>
          <w:szCs w:val="24"/>
          <w:lang w:val="en-US" w:eastAsia="zh-CN"/>
        </w:rPr>
        <w:t>.</w:t>
      </w:r>
      <w:r>
        <w:rPr>
          <w:rFonts w:hint="eastAsia" w:ascii="方正书宋简体" w:hAnsi="方正书宋简体" w:eastAsia="方正书宋简体" w:cs="方正书宋简体"/>
          <w:sz w:val="24"/>
          <w:szCs w:val="24"/>
          <w:lang w:eastAsia="zh-CN"/>
        </w:rPr>
        <w:t>影响区域性道路交通、供电、供水、供气、微波通道通讯设施各相关专业廊道，以及国家安全微波通道等建设的区域；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3</w:t>
      </w:r>
      <w:r>
        <w:rPr>
          <w:rFonts w:hint="eastAsia" w:ascii="方正书宋简体" w:hAnsi="方正书宋简体" w:eastAsia="方正书宋简体" w:cs="方正书宋简体"/>
          <w:sz w:val="24"/>
          <w:szCs w:val="24"/>
          <w:lang w:val="en-US" w:eastAsia="zh-CN"/>
        </w:rPr>
        <w:t>.</w:t>
      </w:r>
      <w:r>
        <w:rPr>
          <w:rFonts w:hint="eastAsia" w:ascii="方正书宋简体" w:hAnsi="方正书宋简体" w:eastAsia="方正书宋简体" w:cs="方正书宋简体"/>
          <w:sz w:val="24"/>
          <w:szCs w:val="24"/>
          <w:lang w:eastAsia="zh-CN"/>
        </w:rPr>
        <w:t>地质灾害危险区等有安全隐患区域；</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（三）建筑退让管制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1.退让轨道交通：临轨道交通两侧建筑与最外侧钢轨的距离，铁路干线不小于20米，铁路支线及专用线不小于15米。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退让区域交通干道：高速公路沿边缘线计算后退距离不得小于30米；国道沿排水沟边缘线计算不得小于20米，省道沿排水沟边缘线不得小于15米，县道沿排水沟边缘线计算不得小于10米,乡道沿排水沟边缘线计算不得小于5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退让建筑退让河湖水面：依次以渠化岸线、自然河岸、常水位线为参照，河面宽度超过50米的河流退让距离不小于30米，河面宽度超过30米的河流退让距离不小于20米，其它河流不小于10米；一般排洪沟渠等其他水体不小于5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4.退让山体护坡：坡脚处建筑外墙与高度大于1米的护坡下缘的距离不得小于护坡高度的0.8倍,且不得小于2米；坡顶处建筑外墙与护坡上缘的距离不得小于3米。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5.退让区域架空电力线、供气、供水、微波通道等通讯廊道：须满足相关法律法规和相关专业规范的要求，并征询相关部门意见。</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val="0"/>
          <w:sz w:val="24"/>
          <w:szCs w:val="24"/>
          <w:lang w:eastAsia="zh-CN"/>
        </w:rPr>
      </w:pPr>
      <w:r>
        <w:rPr>
          <w:rFonts w:hint="eastAsia" w:ascii="方正黑体简体" w:hAnsi="方正黑体简体" w:eastAsia="方正黑体简体" w:cs="方正黑体简体"/>
          <w:b w:val="0"/>
          <w:bCs w:val="0"/>
          <w:sz w:val="24"/>
          <w:szCs w:val="24"/>
          <w:lang w:eastAsia="zh-CN"/>
        </w:rPr>
        <w:t>三、审批管理职责</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color w:val="696969"/>
          <w:kern w:val="0"/>
          <w:sz w:val="24"/>
          <w:szCs w:val="24"/>
          <w:lang w:eastAsia="zh-CN"/>
        </w:rPr>
      </w:pPr>
      <w:r>
        <w:rPr>
          <w:rFonts w:hint="eastAsia" w:ascii="方正书宋简体" w:hAnsi="方正书宋简体" w:eastAsia="方正书宋简体" w:cs="方正书宋简体"/>
          <w:sz w:val="24"/>
          <w:szCs w:val="24"/>
          <w:lang w:eastAsia="zh-CN"/>
        </w:rPr>
        <w:t>建立健全部省指导、市县主导、镇（街）主责、村级主体的宅基地管理机制，严格落实粤农农规〔2020〕3号文件关于市、县、镇三级政府和村级组织，以及农业农村部门、自然资源部门的宅基地审批管理职责规定。在党委政府的统一领导下，</w:t>
      </w:r>
      <w:r>
        <w:rPr>
          <w:rFonts w:hint="eastAsia" w:ascii="方正书宋简体" w:hAnsi="方正书宋简体" w:eastAsia="方正书宋简体" w:cs="方正书宋简体"/>
          <w:sz w:val="24"/>
          <w:szCs w:val="24"/>
        </w:rPr>
        <w:t>按照上级关于做好宅基地审批管理工作的文件要求，认真做好宅地基审批管理工作的衔接，加强制度建设，指导乡镇落实属地管理责任，切实承担起宅基地审批和管理职责</w:t>
      </w:r>
      <w:r>
        <w:rPr>
          <w:rFonts w:hint="eastAsia" w:ascii="方正书宋简体" w:hAnsi="方正书宋简体" w:eastAsia="方正书宋简体" w:cs="方正书宋简体"/>
          <w:sz w:val="24"/>
          <w:szCs w:val="24"/>
          <w:lang w:eastAsia="zh-CN"/>
        </w:rPr>
        <w:t>。</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要切实履行属地责任，切实承担起宅基地审批和管理职责。优化审批流程，提高审批效率，加强事中事后监管，组织做好农村宅基地审批和建房规划许可有关工作。要依托乡镇行政服务中心等平台，建立一个窗口对外受理、多部门内部联动运行或整合相关资源力量集中办公的农村宅基地用地建房联审联办制度，方便农民群众办事。</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（二）农业农村部门负责审查申请人是否符合申请条件、拟用地是否符合宅基地合理布局要求和面积标准、宅基地和建房（规划许可）申请是否经过村组审核公示等，并综合各有关部门意见提出审批建议。</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b/>
          <w:bCs/>
          <w:color w:val="0000FF"/>
          <w:kern w:val="0"/>
          <w:sz w:val="24"/>
          <w:szCs w:val="24"/>
          <w:lang w:eastAsia="zh-CN"/>
        </w:rPr>
      </w:pPr>
      <w:r>
        <w:rPr>
          <w:rFonts w:hint="eastAsia" w:ascii="方正书宋简体" w:hAnsi="方正书宋简体" w:eastAsia="方正书宋简体" w:cs="方正书宋简体"/>
          <w:sz w:val="24"/>
          <w:szCs w:val="24"/>
          <w:lang w:eastAsia="zh-CN"/>
        </w:rPr>
        <w:t>（三）自然资源管理部门负责审查用地建房是否符合国土空间规划、用途管制要求等，其中涉及占用农用地的，应办理农用地转用审批手续。</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b/>
          <w:bCs/>
          <w:color w:val="0000FF"/>
          <w:kern w:val="0"/>
          <w:sz w:val="24"/>
          <w:szCs w:val="24"/>
          <w:lang w:eastAsia="zh-CN"/>
        </w:rPr>
      </w:pPr>
      <w:r>
        <w:rPr>
          <w:rFonts w:hint="eastAsia" w:ascii="方正书宋简体" w:hAnsi="方正书宋简体" w:eastAsia="方正书宋简体" w:cs="方正书宋简体"/>
          <w:sz w:val="24"/>
          <w:szCs w:val="24"/>
          <w:lang w:eastAsia="zh-CN"/>
        </w:rPr>
        <w:t>（四）林业管理部门负责审查是否符合林地保护利用规划等相关专项规划。</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（五）城乡建设行政主管部门负责指导农房建设安全及房屋质量管理，会同人社部门对农村建筑工匠提供专业技能、安全知识等培训。</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（六）综合行政执法部门和各镇人民政府（街道办）应加强对辖区内农房建设的巡查监督管理，依职权查处或主动配合查处各类违法违规行为。</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（七）生态环境、水利、交通运输、供水、供电、通信、文旅等部门依据各自职责，配合做好宅基地管理和监督工作。</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八）村（居）民委员会负责协助镇人民政府（街道办）做好农房规划建设管理工作，负责做好建房户现有住房、家庭成员、户籍关系等情况的真实性审查，做好相关资料信息的初审，发现并及时纠正违法违规行为，反映上报有关情况，配合镇人民政府（街道办）开展农村建房工程质量安全生产管理。</w:t>
      </w:r>
    </w:p>
    <w:p>
      <w:pPr>
        <w:keepNext w:val="0"/>
        <w:keepLines w:val="0"/>
        <w:pageBreakBefore w:val="0"/>
        <w:numPr>
          <w:ilvl w:val="0"/>
          <w:numId w:val="0"/>
        </w:numPr>
        <w:kinsoku/>
        <w:wordWrap/>
        <w:overflowPunct/>
        <w:topLinePunct w:val="0"/>
        <w:autoSpaceDE/>
        <w:autoSpaceDN/>
        <w:bidi w:val="0"/>
        <w:adjustRightInd/>
        <w:snapToGrid/>
        <w:spacing w:line="440" w:lineRule="exact"/>
        <w:ind w:left="638" w:leftChars="304" w:firstLine="0" w:firstLineChars="0"/>
        <w:textAlignment w:val="auto"/>
        <w:rPr>
          <w:rFonts w:hint="eastAsia" w:ascii="方正书宋简体" w:hAnsi="方正书宋简体" w:eastAsia="方正书宋简体" w:cs="方正书宋简体"/>
          <w:sz w:val="24"/>
          <w:szCs w:val="24"/>
          <w:lang w:eastAsia="zh-CN"/>
        </w:rPr>
      </w:pPr>
      <w:r>
        <w:rPr>
          <w:rFonts w:hint="eastAsia" w:ascii="方正黑体简体" w:hAnsi="方正黑体简体" w:eastAsia="方正黑体简体" w:cs="方正黑体简体"/>
          <w:b w:val="0"/>
          <w:bCs w:val="0"/>
          <w:sz w:val="24"/>
          <w:szCs w:val="24"/>
          <w:lang w:eastAsia="zh-CN"/>
        </w:rPr>
        <w:t>四、审批流程</w:t>
      </w:r>
      <w:r>
        <w:rPr>
          <w:rFonts w:hint="eastAsia" w:ascii="方正黑体简体" w:hAnsi="方正黑体简体" w:eastAsia="方正黑体简体" w:cs="方正黑体简体"/>
          <w:b w:val="0"/>
          <w:bCs w:val="0"/>
          <w:sz w:val="24"/>
          <w:szCs w:val="24"/>
          <w:lang w:eastAsia="zh-CN"/>
        </w:rPr>
        <w:br w:type="textWrapping"/>
      </w:r>
      <w:r>
        <w:rPr>
          <w:rFonts w:hint="eastAsia" w:ascii="方正书宋简体" w:hAnsi="方正书宋简体" w:eastAsia="方正书宋简体" w:cs="方正书宋简体"/>
          <w:sz w:val="24"/>
          <w:szCs w:val="24"/>
          <w:lang w:eastAsia="zh-CN"/>
        </w:rPr>
        <w:t>农村村民宅基地申请审批按以下流程办理：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（一）提出申请。</w:t>
      </w:r>
      <w:r>
        <w:rPr>
          <w:rFonts w:hint="eastAsia" w:ascii="方正书宋简体" w:hAnsi="方正书宋简体" w:eastAsia="方正书宋简体" w:cs="方正书宋简体"/>
          <w:sz w:val="24"/>
          <w:szCs w:val="24"/>
          <w:lang w:eastAsia="zh-CN"/>
        </w:rPr>
        <w:t>符合宅基地申请资格条件的农户，以户为单位向具有宅基地所有权的农村集体经济组织提出宅基地建房申请。按照要求填写《农村宅基地和建房（规划许可）申请表》（附件1），签署《农村宅基地使用承诺书》（附件2）。</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方正书宋简体" w:hAnsi="方正书宋简体" w:eastAsia="方正书宋简体" w:cs="方正书宋简体"/>
          <w:b/>
          <w:bCs/>
          <w:sz w:val="24"/>
          <w:szCs w:val="24"/>
          <w:lang w:eastAsia="zh-CN"/>
        </w:rPr>
      </w:pPr>
      <w:r>
        <w:rPr>
          <w:rFonts w:hint="eastAsia" w:ascii="方正书宋简体" w:hAnsi="方正书宋简体" w:eastAsia="方正书宋简体" w:cs="方正书宋简体"/>
          <w:b/>
          <w:bCs/>
          <w:sz w:val="24"/>
          <w:szCs w:val="24"/>
          <w:lang w:val="en-US" w:eastAsia="zh-CN"/>
        </w:rPr>
        <w:t>1.</w:t>
      </w:r>
      <w:r>
        <w:rPr>
          <w:rFonts w:hint="eastAsia" w:ascii="方正书宋简体" w:hAnsi="方正书宋简体" w:eastAsia="方正书宋简体" w:cs="方正书宋简体"/>
          <w:b/>
          <w:bCs/>
          <w:sz w:val="24"/>
          <w:szCs w:val="24"/>
          <w:lang w:eastAsia="zh-CN"/>
        </w:rPr>
        <w:t>申请宅基地必须符合下列条件之一：</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（1）符合“一户”条件，且本户没有宅基地的；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（2）外来人口落户成为本集体经济组织成员,在本集体内没有宅基地，经过本集体经济组织民主程序同意的；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（3）原有宅基地因自然灾害等原因导致灭失或者不能使用，且户内没有其他宅基地的；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（4）原有宅基地被依法征收，且户内没有其他宅基地，选择重新安排宅基地的；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（5）因规划需迁址新建住房，且户内没有其他宅基地的；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（6）符合本规定分户条件，且户内没有其他宅基地的；</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（7）其他可以申请住房建设的情形。</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b/>
          <w:bCs/>
          <w:sz w:val="24"/>
          <w:szCs w:val="24"/>
          <w:lang w:val="en-US" w:eastAsia="zh-CN"/>
        </w:rPr>
        <w:t>2.</w:t>
      </w:r>
      <w:r>
        <w:rPr>
          <w:rFonts w:hint="eastAsia" w:ascii="方正书宋简体" w:hAnsi="方正书宋简体" w:eastAsia="方正书宋简体" w:cs="方正书宋简体"/>
          <w:b/>
          <w:bCs/>
          <w:sz w:val="24"/>
          <w:szCs w:val="24"/>
          <w:lang w:eastAsia="zh-CN"/>
        </w:rPr>
        <w:t>有下列情形之一的，不予受理和审批：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（1）不符合</w:t>
      </w:r>
      <w:r>
        <w:rPr>
          <w:rFonts w:hint="eastAsia" w:ascii="方正书宋简体" w:hAnsi="方正书宋简体" w:eastAsia="方正书宋简体" w:cs="方正书宋简体"/>
          <w:sz w:val="24"/>
          <w:szCs w:val="24"/>
          <w:lang w:eastAsia="zh-CN"/>
        </w:rPr>
        <w:t>“一户一宅”</w:t>
      </w:r>
      <w:r>
        <w:rPr>
          <w:rFonts w:hint="eastAsia" w:ascii="方正书宋简体" w:hAnsi="方正书宋简体" w:eastAsia="方正书宋简体" w:cs="方正书宋简体"/>
          <w:sz w:val="24"/>
          <w:szCs w:val="24"/>
        </w:rPr>
        <w:t>条件的；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（2）不符合乡镇国土空间规划</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村庄规划</w:t>
      </w:r>
      <w:r>
        <w:rPr>
          <w:rFonts w:hint="eastAsia" w:ascii="方正书宋简体" w:hAnsi="方正书宋简体" w:eastAsia="方正书宋简体" w:cs="方正书宋简体"/>
          <w:sz w:val="24"/>
          <w:szCs w:val="24"/>
          <w:lang w:eastAsia="zh-CN"/>
        </w:rPr>
        <w:t>、林地保护利用规划</w:t>
      </w:r>
      <w:r>
        <w:rPr>
          <w:rFonts w:hint="eastAsia" w:ascii="方正书宋简体" w:hAnsi="方正书宋简体" w:eastAsia="方正书宋简体" w:cs="方正书宋简体"/>
          <w:sz w:val="24"/>
          <w:szCs w:val="24"/>
        </w:rPr>
        <w:t>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（3）申请新建住房，但拒绝与本集体经济组织签订退回原有宅基地协议的;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rPr>
        <w:t>）将原有宅基地或者住房出卖、出租、赠予或者改为经营场所等非生活居住用途后，再次申请宅基地的；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）法律、法规规定的其他情形。</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方正书宋简体" w:hAnsi="方正书宋简体" w:eastAsia="方正书宋简体" w:cs="方正书宋简体"/>
          <w:b/>
          <w:bCs/>
          <w:sz w:val="24"/>
          <w:szCs w:val="24"/>
          <w:lang w:eastAsia="zh-CN"/>
        </w:rPr>
      </w:pPr>
      <w:r>
        <w:rPr>
          <w:rFonts w:hint="eastAsia" w:ascii="方正书宋简体" w:hAnsi="方正书宋简体" w:eastAsia="方正书宋简体" w:cs="方正书宋简体"/>
          <w:b/>
          <w:bCs/>
          <w:sz w:val="24"/>
          <w:szCs w:val="24"/>
          <w:lang w:val="en-US" w:eastAsia="zh-CN"/>
        </w:rPr>
        <w:t>3.</w:t>
      </w:r>
      <w:r>
        <w:rPr>
          <w:rFonts w:hint="eastAsia" w:ascii="方正书宋简体" w:hAnsi="方正书宋简体" w:eastAsia="方正书宋简体" w:cs="方正书宋简体"/>
          <w:b/>
          <w:bCs/>
          <w:sz w:val="24"/>
          <w:szCs w:val="24"/>
          <w:lang w:eastAsia="zh-CN"/>
        </w:rPr>
        <w:t>申请人提交材料清单如下：</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1</w:t>
      </w:r>
      <w:r>
        <w:rPr>
          <w:rFonts w:hint="eastAsia" w:ascii="方正书宋简体" w:hAnsi="方正书宋简体" w:eastAsia="方正书宋简体" w:cs="方正书宋简体"/>
          <w:sz w:val="24"/>
          <w:szCs w:val="24"/>
          <w:lang w:eastAsia="zh-CN"/>
        </w:rPr>
        <w:t>）农村宅基地和建房（规划许可）申请表</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lang w:eastAsia="zh-CN"/>
        </w:rPr>
        <w:t>）农村宅基地使用承诺书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3</w:t>
      </w:r>
      <w:r>
        <w:rPr>
          <w:rFonts w:hint="eastAsia" w:ascii="方正书宋简体" w:hAnsi="方正书宋简体" w:eastAsia="方正书宋简体" w:cs="方正书宋简体"/>
          <w:sz w:val="24"/>
          <w:szCs w:val="24"/>
          <w:lang w:eastAsia="zh-CN"/>
        </w:rPr>
        <w:t>）申请人身份证和户口本复印件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lang w:eastAsia="zh-CN"/>
        </w:rPr>
        <w:t>个人建房宗地图、建筑方案图（宗地图需由</w:t>
      </w:r>
      <w:r>
        <w:rPr>
          <w:rFonts w:hint="eastAsia" w:ascii="方正书宋简体" w:hAnsi="方正书宋简体" w:eastAsia="方正书宋简体" w:cs="方正书宋简体"/>
          <w:sz w:val="24"/>
          <w:szCs w:val="24"/>
          <w:lang w:val="en-US" w:eastAsia="zh-CN"/>
        </w:rPr>
        <w:t>有相关资质的测绘单位出具</w:t>
      </w:r>
      <w:r>
        <w:rPr>
          <w:rFonts w:hint="eastAsia" w:ascii="方正书宋简体" w:hAnsi="方正书宋简体" w:eastAsia="方正书宋简体" w:cs="方正书宋简体"/>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（二）村级审查。</w:t>
      </w:r>
      <w:r>
        <w:rPr>
          <w:rFonts w:hint="eastAsia" w:ascii="方正书宋简体" w:hAnsi="方正书宋简体" w:eastAsia="方正书宋简体" w:cs="方正书宋简体"/>
          <w:sz w:val="24"/>
          <w:szCs w:val="24"/>
        </w:rPr>
        <w:t>村级组织在收到申请材料的10个工作日内，对申请材料进行审查。审查通过的，由村级组织签署意见，将材料报送至镇行政服务中心综合服务窗口</w:t>
      </w:r>
      <w:r>
        <w:rPr>
          <w:rFonts w:hint="eastAsia" w:ascii="方正书宋简体" w:hAnsi="方正书宋简体" w:eastAsia="方正书宋简体" w:cs="方正书宋简体"/>
          <w:sz w:val="24"/>
          <w:szCs w:val="24"/>
          <w:lang w:eastAsia="zh-CN"/>
        </w:rPr>
        <w:t>。所在农村集体经济组织收到申请后，提交农村集体经济组织成员（代表）会议讨论并将申请理由、拟用地位置和面积、拟建房层高和面积等情况在本集体经济组织范围内公示，公示期不少于5个工作日。</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没有设立组级集体经济组织的，则由村民向村民小组提出申请。没有分设村民小组或宅基地和建房申请等事项已由村级组织办理的，农户直接向村级组织提出申请，经村民代表会议通过并在本集体经济组织范围内公示后，由村级组织签署意见，报送</w:t>
      </w:r>
      <w:r>
        <w:rPr>
          <w:rFonts w:hint="eastAsia" w:ascii="方正书宋简体" w:hAnsi="方正书宋简体" w:eastAsia="方正书宋简体" w:cs="方正书宋简体"/>
          <w:sz w:val="24"/>
          <w:szCs w:val="24"/>
          <w:lang w:val="en-US" w:eastAsia="zh-CN"/>
        </w:rPr>
        <w:t>镇人民政府（街道办）</w:t>
      </w:r>
      <w:r>
        <w:rPr>
          <w:rFonts w:hint="eastAsia" w:ascii="方正书宋简体" w:hAnsi="方正书宋简体" w:eastAsia="方正书宋简体" w:cs="方正书宋简体"/>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村民委员会重点审查提交的材料是否真实有效、拟用地建房是否符合村庄规划、是否征求了用地建房相邻权利人意见等。审查通过后，在《农村宅基地和建房（规划许可）申请表》上签署意见，连同村委会讨论会议记录、公示资料等一并报</w:t>
      </w:r>
      <w:r>
        <w:rPr>
          <w:rFonts w:hint="eastAsia" w:ascii="方正书宋简体" w:hAnsi="方正书宋简体" w:eastAsia="方正书宋简体" w:cs="方正书宋简体"/>
          <w:sz w:val="24"/>
          <w:szCs w:val="24"/>
          <w:lang w:val="en-US" w:eastAsia="zh-CN"/>
        </w:rPr>
        <w:t>镇人民政府（街道办）</w:t>
      </w:r>
      <w:r>
        <w:rPr>
          <w:rFonts w:hint="eastAsia" w:ascii="方正书宋简体" w:hAnsi="方正书宋简体" w:eastAsia="方正书宋简体" w:cs="方正书宋简体"/>
          <w:sz w:val="24"/>
          <w:szCs w:val="24"/>
          <w:lang w:eastAsia="zh-CN"/>
        </w:rPr>
        <w:t>。村级审查未通过的，应及时告知申请农户并说明理由。</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（三）镇(街）审批。</w:t>
      </w: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受理窗口收到村委会提交申请资料后</w:t>
      </w:r>
      <w:r>
        <w:rPr>
          <w:rFonts w:hint="eastAsia" w:ascii="方正书宋简体" w:hAnsi="方正书宋简体" w:eastAsia="方正书宋简体" w:cs="方正书宋简体"/>
          <w:sz w:val="24"/>
          <w:szCs w:val="24"/>
          <w:lang w:val="en-US" w:eastAsia="zh-CN"/>
        </w:rPr>
        <w:t>10</w:t>
      </w:r>
      <w:r>
        <w:rPr>
          <w:rFonts w:hint="eastAsia" w:ascii="方正书宋简体" w:hAnsi="方正书宋简体" w:eastAsia="方正书宋简体" w:cs="方正书宋简体"/>
          <w:sz w:val="24"/>
          <w:szCs w:val="24"/>
          <w:lang w:eastAsia="zh-CN"/>
        </w:rPr>
        <w:t>个工作日内应组织本镇农业农村、自然资源有关部门进行审核审查和现场踏勘，复核是否符合村庄规划，并征求相关部门意见，在《农村宅基地和建房（规划许可）审批表》（附件3）上签署审批意见。</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符合审批条件、资料齐全的，</w:t>
      </w:r>
      <w:r>
        <w:rPr>
          <w:rFonts w:hint="eastAsia" w:ascii="方正书宋简体" w:hAnsi="方正书宋简体" w:eastAsia="方正书宋简体" w:cs="方正书宋简体"/>
          <w:sz w:val="24"/>
          <w:szCs w:val="24"/>
          <w:lang w:val="en-US" w:eastAsia="zh-CN"/>
        </w:rPr>
        <w:t>镇人民政府（街道办）</w:t>
      </w:r>
      <w:r>
        <w:rPr>
          <w:rFonts w:hint="eastAsia" w:ascii="方正书宋简体" w:hAnsi="方正书宋简体" w:eastAsia="方正书宋简体" w:cs="方正书宋简体"/>
          <w:sz w:val="24"/>
          <w:szCs w:val="24"/>
          <w:lang w:eastAsia="zh-CN"/>
        </w:rPr>
        <w:t>根据各部门联审结果，</w:t>
      </w:r>
      <w:r>
        <w:rPr>
          <w:rFonts w:hint="eastAsia" w:ascii="方正书宋简体" w:hAnsi="方正书宋简体" w:eastAsia="方正书宋简体" w:cs="方正书宋简体"/>
          <w:sz w:val="24"/>
          <w:szCs w:val="24"/>
          <w:lang w:val="en-US" w:eastAsia="zh-CN"/>
        </w:rPr>
        <w:t>5个工作日内</w:t>
      </w:r>
      <w:r>
        <w:rPr>
          <w:rFonts w:hint="eastAsia" w:ascii="方正书宋简体" w:hAnsi="方正书宋简体" w:eastAsia="方正书宋简体" w:cs="方正书宋简体"/>
          <w:sz w:val="24"/>
          <w:szCs w:val="24"/>
          <w:lang w:eastAsia="zh-CN"/>
        </w:rPr>
        <w:t>审批并核发《乡村建设规划许可证》（附件4）和《农村宅基地批准书》（附件5）。材料不齐全的，书面通知村民委员会，由申请人限期补正，逾期不补齐的，视为撤回申请。涉及占用农用地（含林地）的，须办理农（林）用地转用审批手续后，方可核发《乡村建设规划许可证》。</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应建立宅基地用地建房审批管理台账，做好有关资料归档留存，及时将审批结果在申请人所在集体经济组织范围内进行公告，指导村级组织探索建立宅基地管理组织和宅基地协管员制度。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（四）施工放线。</w:t>
      </w:r>
      <w:r>
        <w:rPr>
          <w:rFonts w:hint="eastAsia" w:ascii="方正书宋简体" w:hAnsi="方正书宋简体" w:eastAsia="方正书宋简体" w:cs="方正书宋简体"/>
          <w:sz w:val="24"/>
          <w:szCs w:val="24"/>
          <w:lang w:eastAsia="zh-CN"/>
        </w:rPr>
        <w:t>申请人依法取得宅基地批准后，可向</w:t>
      </w:r>
      <w:r>
        <w:rPr>
          <w:rFonts w:hint="eastAsia" w:ascii="方正书宋简体" w:hAnsi="方正书宋简体" w:eastAsia="方正书宋简体" w:cs="方正书宋简体"/>
          <w:sz w:val="24"/>
          <w:szCs w:val="24"/>
          <w:lang w:val="en-US" w:eastAsia="zh-CN"/>
        </w:rPr>
        <w:t>镇人民政府（街道办）</w:t>
      </w:r>
      <w:r>
        <w:rPr>
          <w:rFonts w:hint="eastAsia" w:ascii="方正书宋简体" w:hAnsi="方正书宋简体" w:eastAsia="方正书宋简体" w:cs="方正书宋简体"/>
          <w:sz w:val="24"/>
          <w:szCs w:val="24"/>
          <w:lang w:eastAsia="zh-CN"/>
        </w:rPr>
        <w:t>提出开工申请。</w:t>
      </w:r>
      <w:r>
        <w:rPr>
          <w:rFonts w:hint="eastAsia" w:ascii="方正书宋简体" w:hAnsi="方正书宋简体" w:eastAsia="方正书宋简体" w:cs="方正书宋简体"/>
          <w:sz w:val="24"/>
          <w:szCs w:val="24"/>
          <w:lang w:val="en-US" w:eastAsia="zh-CN"/>
        </w:rPr>
        <w:t>镇人民政府（街道办）</w:t>
      </w:r>
      <w:r>
        <w:rPr>
          <w:rFonts w:hint="eastAsia" w:ascii="方正书宋简体" w:hAnsi="方正书宋简体" w:eastAsia="方正书宋简体" w:cs="方正书宋简体"/>
          <w:sz w:val="24"/>
          <w:szCs w:val="24"/>
        </w:rPr>
        <w:t>收到开工申请后10个工作日内</w:t>
      </w:r>
      <w:r>
        <w:rPr>
          <w:rFonts w:hint="eastAsia" w:ascii="方正书宋简体" w:hAnsi="方正书宋简体" w:eastAsia="方正书宋简体" w:cs="方正书宋简体"/>
          <w:sz w:val="24"/>
          <w:szCs w:val="24"/>
          <w:lang w:val="en-US" w:eastAsia="zh-CN"/>
        </w:rPr>
        <w:t>组织有测绘放线相关资质的第三方工作人员按批准用地和规划许可</w:t>
      </w:r>
      <w:r>
        <w:rPr>
          <w:rFonts w:hint="eastAsia" w:ascii="方正书宋简体" w:hAnsi="方正书宋简体" w:eastAsia="方正书宋简体" w:cs="方正书宋简体"/>
          <w:sz w:val="24"/>
          <w:szCs w:val="24"/>
          <w:lang w:eastAsia="zh-CN"/>
        </w:rPr>
        <w:t>进行实地定点定桩定界，确定具体建房空间位置。</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（五）安全施工。</w:t>
      </w:r>
      <w:r>
        <w:rPr>
          <w:rFonts w:hint="eastAsia" w:ascii="方正书宋简体" w:hAnsi="方正书宋简体" w:eastAsia="方正书宋简体" w:cs="方正书宋简体"/>
          <w:sz w:val="24"/>
          <w:szCs w:val="24"/>
          <w:lang w:eastAsia="zh-CN"/>
        </w:rPr>
        <w:t>施工期间，要确保施工安全，进行挂牌公示，接受监督巡查。引导村民委托具有相应资质的施工企业或者相应技能的农村建筑工匠施工。鼓励村民在政府免费提供的农房建设样式图集中选择采用住宅建筑样式，鼓励村民委托具有相关资质的第三方机构对住房施工进行监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（六）竣工验收。</w:t>
      </w: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在村民建房完工、提出竣工</w:t>
      </w:r>
      <w:r>
        <w:rPr>
          <w:rFonts w:hint="eastAsia" w:ascii="方正书宋简体" w:hAnsi="方正书宋简体" w:eastAsia="方正书宋简体" w:cs="方正书宋简体"/>
          <w:sz w:val="24"/>
          <w:szCs w:val="24"/>
        </w:rPr>
        <w:t>验收</w:t>
      </w:r>
      <w:r>
        <w:rPr>
          <w:rFonts w:hint="eastAsia" w:ascii="方正书宋简体" w:hAnsi="方正书宋简体" w:eastAsia="方正书宋简体" w:cs="方正书宋简体"/>
          <w:sz w:val="24"/>
          <w:szCs w:val="24"/>
          <w:lang w:eastAsia="zh-CN"/>
        </w:rPr>
        <w:t>申请</w:t>
      </w:r>
      <w:r>
        <w:rPr>
          <w:rFonts w:hint="eastAsia" w:ascii="方正书宋简体" w:hAnsi="方正书宋简体" w:eastAsia="方正书宋简体" w:cs="方正书宋简体"/>
          <w:sz w:val="24"/>
          <w:szCs w:val="24"/>
        </w:rPr>
        <w:t>后10个工作日内</w:t>
      </w:r>
      <w:r>
        <w:rPr>
          <w:rFonts w:hint="eastAsia" w:ascii="方正书宋简体" w:hAnsi="方正书宋简体" w:eastAsia="方正书宋简体" w:cs="方正书宋简体"/>
          <w:sz w:val="24"/>
          <w:szCs w:val="24"/>
          <w:lang w:eastAsia="zh-CN"/>
        </w:rPr>
        <w:t>，应当及时安排工作人员实地核查规划和用地要求的履行情况，开展竣工验收，填写《农村宅基地和建房（规划许可）验收意见表》（附件6）。经现场验收合格的，</w:t>
      </w:r>
      <w:r>
        <w:rPr>
          <w:rFonts w:hint="eastAsia" w:ascii="方正书宋简体" w:hAnsi="方正书宋简体" w:eastAsia="方正书宋简体" w:cs="方正书宋简体"/>
          <w:sz w:val="24"/>
          <w:szCs w:val="24"/>
          <w:lang w:val="en-US" w:eastAsia="zh-CN"/>
        </w:rPr>
        <w:t>各镇人民政府（街道办）</w:t>
      </w:r>
      <w:r>
        <w:rPr>
          <w:rFonts w:hint="eastAsia" w:ascii="方正书宋简体" w:hAnsi="方正书宋简体" w:eastAsia="方正书宋简体" w:cs="方正书宋简体"/>
          <w:sz w:val="24"/>
          <w:szCs w:val="24"/>
          <w:lang w:eastAsia="zh-CN"/>
        </w:rPr>
        <w:t>应当将验收意见书及相关材料报送县级农业农村、自然资源部门备案。如符合异地建新，农村村民需按承诺时间退还原宅基地。</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楷体_GB2312" w:hAnsi="楷体_GB2312" w:eastAsia="楷体_GB2312" w:cs="楷体_GB2312"/>
          <w:b w:val="0"/>
          <w:bCs w:val="0"/>
          <w:sz w:val="24"/>
          <w:szCs w:val="24"/>
          <w:lang w:val="en-US" w:eastAsia="zh-CN"/>
        </w:rPr>
        <w:t>（七）确权发证。</w:t>
      </w:r>
      <w:r>
        <w:rPr>
          <w:rFonts w:hint="eastAsia" w:ascii="方正书宋简体" w:hAnsi="方正书宋简体" w:eastAsia="方正书宋简体" w:cs="方正书宋简体"/>
          <w:sz w:val="24"/>
          <w:szCs w:val="24"/>
          <w:lang w:eastAsia="zh-CN"/>
        </w:rPr>
        <w:t>农房竣工验收合格后，</w:t>
      </w:r>
      <w:r>
        <w:rPr>
          <w:rFonts w:hint="eastAsia" w:ascii="方正书宋简体" w:hAnsi="方正书宋简体" w:eastAsia="方正书宋简体" w:cs="方正书宋简体"/>
          <w:sz w:val="24"/>
          <w:szCs w:val="24"/>
          <w:lang w:val="en-US" w:eastAsia="zh-CN"/>
        </w:rPr>
        <w:t>建房村民持土地权属来源及房屋符合规划建设的相关材料和不动产权籍调查表、宗地图、宗地界址点坐标、建筑面积等材料</w:t>
      </w:r>
      <w:r>
        <w:rPr>
          <w:rFonts w:hint="eastAsia" w:ascii="方正书宋简体" w:hAnsi="方正书宋简体" w:eastAsia="方正书宋简体" w:cs="方正书宋简体"/>
          <w:sz w:val="24"/>
          <w:szCs w:val="24"/>
          <w:lang w:eastAsia="zh-CN"/>
        </w:rPr>
        <w:t>建房向市级不动产登记部门申请办理不动产登记，核发不动产证书。</w:t>
      </w:r>
    </w:p>
    <w:p>
      <w:pPr>
        <w:keepNext w:val="0"/>
        <w:keepLines w:val="0"/>
        <w:pageBreakBefore w:val="0"/>
        <w:numPr>
          <w:ilvl w:val="0"/>
          <w:numId w:val="0"/>
        </w:numPr>
        <w:kinsoku/>
        <w:wordWrap/>
        <w:overflowPunct/>
        <w:topLinePunct w:val="0"/>
        <w:autoSpaceDE/>
        <w:autoSpaceDN/>
        <w:bidi w:val="0"/>
        <w:adjustRightInd/>
        <w:snapToGrid/>
        <w:spacing w:line="440" w:lineRule="exact"/>
        <w:ind w:left="638" w:leftChars="304" w:firstLine="0" w:firstLineChars="0"/>
        <w:textAlignment w:val="auto"/>
        <w:rPr>
          <w:rFonts w:hint="eastAsia" w:ascii="方正黑体简体" w:hAnsi="方正黑体简体" w:eastAsia="方正黑体简体" w:cs="方正黑体简体"/>
          <w:b w:val="0"/>
          <w:bCs w:val="0"/>
          <w:sz w:val="24"/>
          <w:szCs w:val="24"/>
          <w:lang w:eastAsia="zh-CN"/>
        </w:rPr>
      </w:pPr>
      <w:r>
        <w:rPr>
          <w:rFonts w:hint="eastAsia" w:ascii="方正黑体简体" w:hAnsi="方正黑体简体" w:eastAsia="方正黑体简体" w:cs="方正黑体简体"/>
          <w:b w:val="0"/>
          <w:bCs w:val="0"/>
          <w:sz w:val="24"/>
          <w:szCs w:val="24"/>
          <w:lang w:eastAsia="zh-CN"/>
        </w:rPr>
        <w:t>五、工作要求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b w:val="0"/>
          <w:bCs w:val="0"/>
          <w:sz w:val="24"/>
          <w:szCs w:val="24"/>
          <w:lang w:val="en-US" w:eastAsia="zh-CN"/>
        </w:rPr>
        <w:t>（一）落实到场制度。</w:t>
      </w:r>
      <w:r>
        <w:rPr>
          <w:rFonts w:hint="eastAsia" w:ascii="方正书宋简体" w:hAnsi="方正书宋简体" w:eastAsia="方正书宋简体" w:cs="方正书宋简体"/>
          <w:sz w:val="24"/>
          <w:szCs w:val="24"/>
          <w:lang w:val="en-US" w:eastAsia="zh-CN"/>
        </w:rPr>
        <w:t>各镇人民政府（街道办）要组织相关人员对农房建设后期开展巡查监督，严格落实农房建设“三到场”制度，即申请审查到场、批准后施工放线到场和住宅建成后竣工验收到场。</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b w:val="0"/>
          <w:bCs w:val="0"/>
          <w:sz w:val="24"/>
          <w:szCs w:val="24"/>
          <w:lang w:val="en-US" w:eastAsia="zh-CN"/>
        </w:rPr>
        <w:t>（二）加强档案管理。</w:t>
      </w:r>
      <w:r>
        <w:rPr>
          <w:rFonts w:hint="eastAsia" w:ascii="方正书宋简体" w:hAnsi="方正书宋简体" w:eastAsia="方正书宋简体" w:cs="方正书宋简体"/>
          <w:sz w:val="24"/>
          <w:szCs w:val="24"/>
          <w:lang w:val="en-US" w:eastAsia="zh-CN"/>
        </w:rPr>
        <w:t>各</w:t>
      </w:r>
      <w:r>
        <w:rPr>
          <w:rFonts w:hint="eastAsia" w:ascii="方正书宋简体" w:hAnsi="方正书宋简体" w:eastAsia="方正书宋简体" w:cs="方正书宋简体"/>
          <w:sz w:val="24"/>
          <w:szCs w:val="24"/>
          <w:lang w:eastAsia="zh-CN"/>
        </w:rPr>
        <w:t>镇人民政府（街道办）应建立宅基地用地建房审批管理台账，做好有关资料归档留存，并于每月</w:t>
      </w:r>
      <w:r>
        <w:rPr>
          <w:rFonts w:hint="eastAsia" w:ascii="方正书宋简体" w:hAnsi="方正书宋简体" w:eastAsia="方正书宋简体" w:cs="方正书宋简体"/>
          <w:sz w:val="24"/>
          <w:szCs w:val="24"/>
          <w:lang w:val="en-US" w:eastAsia="zh-CN"/>
        </w:rPr>
        <w:t>3</w:t>
      </w:r>
      <w:r>
        <w:rPr>
          <w:rFonts w:hint="eastAsia" w:ascii="方正书宋简体" w:hAnsi="方正书宋简体" w:eastAsia="方正书宋简体" w:cs="方正书宋简体"/>
          <w:sz w:val="24"/>
          <w:szCs w:val="24"/>
          <w:lang w:eastAsia="zh-CN"/>
        </w:rPr>
        <w:t>日前，将上月审批情况报县级农业农村、自然资源部门备案。</w:t>
      </w:r>
      <w:r>
        <w:rPr>
          <w:rFonts w:hint="eastAsia" w:ascii="方正书宋简体" w:hAnsi="方正书宋简体" w:eastAsia="方正书宋简体" w:cs="方正书宋简体"/>
          <w:sz w:val="24"/>
          <w:szCs w:val="24"/>
          <w:lang w:val="en-US" w:eastAsia="zh-CN"/>
        </w:rPr>
        <w:t>农村住房建设竣工验收合格后，建房村民应当在30日内将建房资料报镇人民政府（街道办）存档，镇人民政府（街道办）负责将资料整理归档，参照城市建设档案管理规定和标准，加强农房建设档案管理并建立电子档案。</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b w:val="0"/>
          <w:bCs w:val="0"/>
          <w:sz w:val="24"/>
          <w:szCs w:val="24"/>
          <w:lang w:val="en-US" w:eastAsia="zh-CN"/>
        </w:rPr>
        <w:t>（三）做好动态巡查。</w:t>
      </w:r>
      <w:r>
        <w:rPr>
          <w:rFonts w:hint="eastAsia" w:ascii="方正书宋简体" w:hAnsi="方正书宋简体" w:eastAsia="方正书宋简体" w:cs="方正书宋简体"/>
          <w:sz w:val="24"/>
          <w:szCs w:val="24"/>
          <w:lang w:val="en-US" w:eastAsia="zh-CN"/>
        </w:rPr>
        <w:t>各镇人民政府（街道办）应建立日常巡查机制，严格做好村民建房的动态巡查，全过程监督在建农房实施情况。不定期开展动态巡查，查处未批先建和违规建设情况。做好巡查记录，发现问题及时处理，及时下发责令停建通知书或整改通知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b w:val="0"/>
          <w:bCs w:val="0"/>
          <w:sz w:val="24"/>
          <w:szCs w:val="24"/>
          <w:lang w:val="en-US" w:eastAsia="zh-CN"/>
        </w:rPr>
        <w:t>（四）抓好安全监管。</w:t>
      </w:r>
      <w:r>
        <w:rPr>
          <w:rFonts w:hint="eastAsia" w:ascii="方正书宋简体" w:hAnsi="方正书宋简体" w:eastAsia="方正书宋简体" w:cs="方正书宋简体"/>
          <w:sz w:val="24"/>
          <w:szCs w:val="24"/>
          <w:lang w:val="en-US" w:eastAsia="zh-CN"/>
        </w:rPr>
        <w:t>各镇人民政府（街道办）对辖区内的村民建房质量安全管理实行属地管理，主要领导对辖区内的村民建房质量安全监管工作负总责。各镇人民政府（街道办）要建立镇、村二级的农民建房质量安全监管网络，加大监管力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color w:val="696969"/>
          <w:kern w:val="0"/>
          <w:sz w:val="24"/>
          <w:szCs w:val="24"/>
          <w:lang w:val="en-US" w:eastAsia="zh-CN"/>
        </w:rPr>
      </w:pPr>
      <w:r>
        <w:rPr>
          <w:rFonts w:hint="eastAsia" w:ascii="楷体_GB2312" w:hAnsi="楷体_GB2312" w:eastAsia="楷体_GB2312" w:cs="楷体_GB2312"/>
          <w:b w:val="0"/>
          <w:bCs w:val="0"/>
          <w:sz w:val="24"/>
          <w:szCs w:val="24"/>
          <w:lang w:val="en-US" w:eastAsia="zh-CN"/>
        </w:rPr>
        <w:t>（五）建立监督制度。</w:t>
      </w:r>
      <w:r>
        <w:rPr>
          <w:rFonts w:hint="eastAsia" w:ascii="方正书宋简体" w:hAnsi="方正书宋简体" w:eastAsia="方正书宋简体" w:cs="方正书宋简体"/>
          <w:sz w:val="24"/>
          <w:szCs w:val="24"/>
          <w:lang w:val="en-US" w:eastAsia="zh-CN"/>
        </w:rPr>
        <w:t>建立违法用地和违法建筑投诉举报制度，各镇人民政府（街道办）和住房建设、自然资源、综合行政执法部门均应设立投诉举报电话和受理机构，并向社会公开，及时做好投诉举报的现场调查核实和处置工作。</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楷体_GB2312" w:hAnsi="楷体_GB2312" w:eastAsia="楷体_GB2312" w:cs="楷体_GB2312"/>
          <w:b w:val="0"/>
          <w:bCs w:val="0"/>
          <w:sz w:val="24"/>
          <w:szCs w:val="24"/>
          <w:lang w:val="en-US" w:eastAsia="zh-CN"/>
        </w:rPr>
        <w:t>（六）强化检查督导。</w:t>
      </w:r>
      <w:r>
        <w:rPr>
          <w:rFonts w:hint="eastAsia" w:ascii="方正书宋简体" w:hAnsi="方正书宋简体" w:eastAsia="方正书宋简体" w:cs="方正书宋简体"/>
          <w:sz w:val="24"/>
          <w:szCs w:val="24"/>
          <w:lang w:val="en-US" w:eastAsia="zh-CN"/>
        </w:rPr>
        <w:t>农村宅基地事关广大农民切身利益，事关农村长久发展和社会稳定，做好宅基地管理工作意义重大、影响深远。各镇人民政府（街道办）要坚决杜绝推诿扯皮和不作为、乱作为的现象，防止出现工作“断层”“断档”。市农业农村局、自然资源局将加强协调指导，并适时开展专项督导，通报全市情况，努力推进我市农村宅基地管理改革工作持续开展。</w:t>
      </w:r>
    </w:p>
    <w:p>
      <w:pPr>
        <w:keepNext w:val="0"/>
        <w:keepLines w:val="0"/>
        <w:pageBreakBefore w:val="0"/>
        <w:numPr>
          <w:ilvl w:val="0"/>
          <w:numId w:val="0"/>
        </w:numPr>
        <w:kinsoku/>
        <w:wordWrap/>
        <w:overflowPunct/>
        <w:topLinePunct w:val="0"/>
        <w:autoSpaceDE/>
        <w:autoSpaceDN/>
        <w:bidi w:val="0"/>
        <w:adjustRightInd/>
        <w:snapToGrid/>
        <w:spacing w:line="440" w:lineRule="exact"/>
        <w:ind w:left="638" w:leftChars="304" w:firstLine="0" w:firstLineChars="0"/>
        <w:textAlignment w:val="auto"/>
        <w:rPr>
          <w:rFonts w:hint="eastAsia" w:ascii="方正黑体简体" w:hAnsi="方正黑体简体" w:eastAsia="方正黑体简体" w:cs="方正黑体简体"/>
          <w:b w:val="0"/>
          <w:bCs w:val="0"/>
          <w:sz w:val="24"/>
          <w:szCs w:val="24"/>
          <w:lang w:eastAsia="zh-CN"/>
        </w:rPr>
      </w:pPr>
      <w:r>
        <w:rPr>
          <w:rFonts w:hint="eastAsia" w:ascii="方正黑体简体" w:hAnsi="方正黑体简体" w:eastAsia="方正黑体简体" w:cs="方正黑体简体"/>
          <w:b w:val="0"/>
          <w:bCs w:val="0"/>
          <w:sz w:val="24"/>
          <w:szCs w:val="24"/>
          <w:lang w:eastAsia="zh-CN"/>
        </w:rPr>
        <w:t>六、附则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（一）中心城区范围内的建房活动另行规定。</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（二）本实施细则自发布之日起执行，有效期5年。此前印发的《南雄市加强农村住房建设管理的指导意见》（试行）、《南雄市农村住房建设管理办法》（试行）的通知》（雄府明电〔2019〕62号）同时废止。</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 xml:space="preserve">附件：1.农村宅基地和建房（规划许可）申请表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2.农村宅基地使用承诺书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3.农村宅基地和建房（规划许可）审批表</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4.乡村建设规划许可证</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5.农村宅基地批准书</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6.农村宅基地和建房（规划许可）验收意见表</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7.宅基地审批流程图</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〔此略，内容详见南雄市人民政府门户网(www.gdnx.gov.cn)“政务公开”——“政策文件”栏目查阅、下载。〕</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0"/>
          <w:szCs w:val="30"/>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0"/>
          <w:szCs w:val="30"/>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0"/>
          <w:szCs w:val="30"/>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小标宋简体" w:hAnsi="Times New Roman" w:eastAsia="方正小标宋简体" w:cs="Times New Roman"/>
          <w:color w:val="000000"/>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color w:val="000000"/>
          <w:sz w:val="32"/>
          <w:szCs w:val="32"/>
          <w:lang w:eastAsia="zh-CN"/>
        </w:rPr>
      </w:pPr>
      <w:r>
        <w:rPr>
          <w:rFonts w:hint="eastAsia" w:ascii="方正小标宋简体" w:hAnsi="Times New Roman" w:eastAsia="方正小标宋简体" w:cs="Times New Roman"/>
          <w:color w:val="000000"/>
          <w:sz w:val="36"/>
          <w:szCs w:val="36"/>
          <w:lang w:eastAsia="zh-CN"/>
        </w:rPr>
        <w:t>南雄市人民政府关于</w:t>
      </w:r>
      <w:r>
        <w:rPr>
          <w:rFonts w:hint="eastAsia" w:ascii="方正小标宋简体" w:hAnsi="Times New Roman" w:eastAsia="方正小标宋简体" w:cs="Times New Roman"/>
          <w:color w:val="000000"/>
          <w:sz w:val="36"/>
          <w:szCs w:val="36"/>
          <w:lang w:val="en-US" w:eastAsia="zh-CN"/>
        </w:rPr>
        <w:t>印发《</w:t>
      </w:r>
      <w:r>
        <w:rPr>
          <w:rFonts w:hint="eastAsia" w:ascii="方正小标宋简体" w:hAnsi="Times New Roman" w:eastAsia="方正小标宋简体" w:cs="Times New Roman"/>
          <w:color w:val="000000"/>
          <w:sz w:val="36"/>
          <w:szCs w:val="36"/>
          <w:lang w:eastAsia="zh-CN"/>
        </w:rPr>
        <w:t>南雄市</w:t>
      </w:r>
      <w:r>
        <w:rPr>
          <w:rFonts w:hint="eastAsia" w:ascii="方正小标宋简体" w:hAnsi="Times New Roman" w:eastAsia="方正小标宋简体" w:cs="Times New Roman"/>
          <w:color w:val="000000"/>
          <w:sz w:val="36"/>
          <w:szCs w:val="36"/>
          <w:lang w:val="en-US" w:eastAsia="zh-CN"/>
        </w:rPr>
        <w:t>直管公房管理办法</w:t>
      </w:r>
      <w:r>
        <w:rPr>
          <w:rFonts w:hint="eastAsia" w:ascii="方正小标宋简体" w:hAnsi="Times New Roman" w:eastAsia="方正小标宋简体" w:cs="Times New Roman"/>
          <w:color w:val="000000"/>
          <w:sz w:val="36"/>
          <w:szCs w:val="36"/>
          <w:lang w:eastAsia="zh-CN"/>
        </w:rPr>
        <w:t>》的通知</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华文仿宋" w:hAnsi="华文仿宋" w:eastAsia="华文仿宋"/>
          <w:sz w:val="28"/>
          <w:szCs w:val="28"/>
        </w:rPr>
      </w:pPr>
      <w:r>
        <w:rPr>
          <w:rFonts w:hint="eastAsia" w:ascii="楷体_GB2312" w:hAnsi="楷体_GB2312" w:eastAsia="楷体_GB2312" w:cs="楷体_GB2312"/>
          <w:sz w:val="24"/>
          <w:szCs w:val="24"/>
        </w:rPr>
        <w:t>雄府〔2020〕</w:t>
      </w:r>
      <w:r>
        <w:rPr>
          <w:rFonts w:hint="eastAsia" w:ascii="楷体_GB2312" w:hAnsi="楷体_GB2312" w:eastAsia="楷体_GB2312" w:cs="楷体_GB2312"/>
          <w:sz w:val="24"/>
          <w:szCs w:val="24"/>
          <w:lang w:val="en-US" w:eastAsia="zh-CN"/>
        </w:rPr>
        <w:t>40</w:t>
      </w:r>
      <w:r>
        <w:rPr>
          <w:rFonts w:hint="eastAsia" w:ascii="楷体_GB2312" w:hAnsi="楷体_GB2312" w:eastAsia="楷体_GB2312" w:cs="楷体_GB2312"/>
          <w:sz w:val="24"/>
          <w:szCs w:val="24"/>
        </w:rPr>
        <w:t>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各镇人民政府、雄州街道办事处,</w:t>
      </w:r>
      <w:r>
        <w:rPr>
          <w:rFonts w:hint="eastAsia" w:ascii="方正书宋简体" w:hAnsi="方正书宋简体" w:eastAsia="方正书宋简体" w:cs="方正书宋简体"/>
          <w:sz w:val="24"/>
          <w:szCs w:val="24"/>
          <w:lang w:eastAsia="zh-CN"/>
        </w:rPr>
        <w:t>市直有关部门：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南雄市直管公房管理办法</w:t>
      </w:r>
      <w:r>
        <w:rPr>
          <w:rFonts w:hint="eastAsia" w:ascii="方正书宋简体" w:hAnsi="方正书宋简体" w:eastAsia="方正书宋简体" w:cs="方正书宋简体"/>
          <w:sz w:val="24"/>
          <w:szCs w:val="24"/>
          <w:lang w:eastAsia="zh-CN"/>
        </w:rPr>
        <w:t>》（雄府规审〔</w:t>
      </w:r>
      <w:r>
        <w:rPr>
          <w:rFonts w:hint="eastAsia" w:ascii="方正书宋简体" w:hAnsi="方正书宋简体" w:eastAsia="方正书宋简体" w:cs="方正书宋简体"/>
          <w:sz w:val="24"/>
          <w:szCs w:val="24"/>
          <w:lang w:val="en-US" w:eastAsia="zh-CN"/>
        </w:rPr>
        <w:t>2020</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lang w:eastAsia="zh-CN"/>
        </w:rPr>
        <w:t>号）已获南雄市人民政府第十五届</w:t>
      </w:r>
      <w:r>
        <w:rPr>
          <w:rFonts w:hint="eastAsia" w:ascii="方正书宋简体" w:hAnsi="方正书宋简体" w:eastAsia="方正书宋简体" w:cs="方正书宋简体"/>
          <w:sz w:val="24"/>
          <w:szCs w:val="24"/>
          <w:lang w:val="en-US" w:eastAsia="zh-CN"/>
        </w:rPr>
        <w:t>42次常务会议审议通过，现予印发。自印发之日起施行，有效期五年。请认真贯彻执行，执行过程中如遇问题，请径向市住建局反映。</w:t>
      </w: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书宋简体" w:hAnsi="方正书宋简体" w:eastAsia="方正书宋简体" w:cs="方正书宋简体"/>
          <w:color w:val="000000"/>
          <w:sz w:val="24"/>
          <w:szCs w:val="24"/>
          <w:lang w:eastAsia="zh-CN"/>
        </w:rPr>
      </w:pPr>
    </w:p>
    <w:p>
      <w:pPr>
        <w:pStyle w:val="5"/>
        <w:pageBreakBefore w:val="0"/>
        <w:kinsoku/>
        <w:wordWrap/>
        <w:overflowPunct/>
        <w:topLinePunct w:val="0"/>
        <w:autoSpaceDE/>
        <w:autoSpaceDN/>
        <w:bidi w:val="0"/>
        <w:adjustRightInd/>
        <w:snapToGrid/>
        <w:spacing w:before="0" w:after="0" w:line="440" w:lineRule="exact"/>
        <w:textAlignment w:val="auto"/>
        <w:rPr>
          <w:rFonts w:hint="eastAsia" w:ascii="方正书宋简体" w:hAnsi="方正书宋简体" w:eastAsia="方正书宋简体" w:cs="方正书宋简体"/>
          <w:sz w:val="24"/>
          <w:szCs w:val="24"/>
          <w:lang w:eastAsia="zh-CN"/>
        </w:rPr>
      </w:pPr>
    </w:p>
    <w:p>
      <w:pPr>
        <w:keepNext w:val="0"/>
        <w:keepLines w:val="0"/>
        <w:pageBreakBefore w:val="0"/>
        <w:kinsoku/>
        <w:wordWrap/>
        <w:overflowPunct/>
        <w:topLinePunct w:val="0"/>
        <w:autoSpaceDE/>
        <w:autoSpaceDN/>
        <w:bidi w:val="0"/>
        <w:adjustRightInd/>
        <w:snapToGrid/>
        <w:spacing w:line="440" w:lineRule="exact"/>
        <w:ind w:firstLine="6000" w:firstLineChars="25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南雄市人民政府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 xml:space="preserve">                                              2020年8月17日</w:t>
      </w:r>
    </w:p>
    <w:p>
      <w:pPr>
        <w:pageBreakBefore w:val="0"/>
        <w:kinsoku/>
        <w:wordWrap/>
        <w:overflowPunct/>
        <w:topLinePunct w:val="0"/>
        <w:autoSpaceDE/>
        <w:autoSpaceDN/>
        <w:bidi w:val="0"/>
        <w:adjustRightInd/>
        <w:snapToGrid/>
        <w:spacing w:line="440" w:lineRule="exact"/>
        <w:jc w:val="center"/>
        <w:textAlignment w:val="auto"/>
        <w:rPr>
          <w:rFonts w:hint="eastAsia" w:ascii="方正书宋简体" w:hAnsi="方正书宋简体" w:eastAsia="方正书宋简体" w:cs="方正书宋简体"/>
          <w:sz w:val="24"/>
          <w:szCs w:val="24"/>
        </w:rPr>
      </w:pPr>
    </w:p>
    <w:p>
      <w:pPr>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sz w:val="30"/>
          <w:szCs w:val="30"/>
        </w:rPr>
      </w:pPr>
    </w:p>
    <w:p>
      <w:pPr>
        <w:pageBreakBefore w:val="0"/>
        <w:kinsoku/>
        <w:wordWrap/>
        <w:overflowPunct/>
        <w:topLinePunct w:val="0"/>
        <w:autoSpaceDE/>
        <w:autoSpaceDN/>
        <w:bidi w:val="0"/>
        <w:adjustRightInd/>
        <w:snapToGrid/>
        <w:spacing w:line="440" w:lineRule="exact"/>
        <w:jc w:val="center"/>
        <w:textAlignment w:val="auto"/>
        <w:rPr>
          <w:rFonts w:hint="eastAsia" w:ascii="黑体" w:hAnsi="黑体" w:eastAsia="黑体"/>
          <w:sz w:val="30"/>
          <w:szCs w:val="30"/>
        </w:rPr>
      </w:pPr>
    </w:p>
    <w:p>
      <w:pPr>
        <w:pageBreakBefore w:val="0"/>
        <w:kinsoku/>
        <w:wordWrap/>
        <w:overflowPunct/>
        <w:topLinePunct w:val="0"/>
        <w:autoSpaceDE/>
        <w:autoSpaceDN/>
        <w:bidi w:val="0"/>
        <w:adjustRightInd/>
        <w:snapToGrid/>
        <w:spacing w:line="440" w:lineRule="exact"/>
        <w:jc w:val="both"/>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南雄市</w:t>
      </w:r>
      <w:r>
        <w:rPr>
          <w:rFonts w:hint="eastAsia" w:ascii="方正小标宋简体" w:hAnsi="方正小标宋简体" w:eastAsia="方正小标宋简体" w:cs="方正小标宋简体"/>
          <w:sz w:val="36"/>
          <w:szCs w:val="36"/>
          <w:lang w:eastAsia="zh-CN"/>
        </w:rPr>
        <w:t>直管公房</w:t>
      </w:r>
      <w:r>
        <w:rPr>
          <w:rFonts w:hint="eastAsia" w:ascii="方正小标宋简体" w:hAnsi="方正小标宋简体" w:eastAsia="方正小标宋简体" w:cs="方正小标宋简体"/>
          <w:sz w:val="36"/>
          <w:szCs w:val="36"/>
        </w:rPr>
        <w:t>管理办法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sz w:val="30"/>
          <w:szCs w:val="30"/>
        </w:rPr>
      </w:pPr>
      <w:r>
        <w:rPr>
          <w:rFonts w:hint="eastAsia" w:eastAsia="仿宋_GB2312"/>
          <w:sz w:val="30"/>
          <w:szCs w:val="30"/>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afterAutospacing="0" w:line="44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　总则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第一条　为规范</w:t>
      </w:r>
      <w:r>
        <w:rPr>
          <w:rFonts w:hint="eastAsia" w:ascii="方正书宋简体" w:hAnsi="方正书宋简体" w:eastAsia="方正书宋简体" w:cs="方正书宋简体"/>
          <w:sz w:val="24"/>
          <w:szCs w:val="24"/>
          <w:lang w:val="en-US" w:eastAsia="zh-CN"/>
        </w:rPr>
        <w:t>本市</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管理工作，</w:t>
      </w:r>
      <w:r>
        <w:rPr>
          <w:rFonts w:hint="eastAsia" w:ascii="方正书宋简体" w:hAnsi="方正书宋简体" w:eastAsia="方正书宋简体" w:cs="方正书宋简体"/>
          <w:sz w:val="24"/>
          <w:szCs w:val="24"/>
          <w:lang w:eastAsia="zh-CN"/>
        </w:rPr>
        <w:t>使直管公房逐渐过渡为公共租赁住房功能，</w:t>
      </w:r>
      <w:r>
        <w:rPr>
          <w:rFonts w:hint="eastAsia" w:ascii="方正书宋简体" w:hAnsi="方正书宋简体" w:eastAsia="方正书宋简体" w:cs="方正书宋简体"/>
          <w:sz w:val="24"/>
          <w:szCs w:val="24"/>
        </w:rPr>
        <w:t>根据《广东省城镇住房保障办法》(广东省人民政府令第181号)，</w:t>
      </w:r>
      <w:r>
        <w:rPr>
          <w:rFonts w:hint="eastAsia" w:ascii="方正书宋简体" w:hAnsi="方正书宋简体" w:eastAsia="方正书宋简体" w:cs="方正书宋简体"/>
          <w:sz w:val="24"/>
          <w:szCs w:val="24"/>
          <w:lang w:eastAsia="zh-CN"/>
        </w:rPr>
        <w:t>参照《南雄市公共租赁住房管理办法》</w:t>
      </w:r>
      <w:r>
        <w:rPr>
          <w:rFonts w:hint="eastAsia" w:ascii="方正书宋简体" w:hAnsi="方正书宋简体" w:eastAsia="方正书宋简体" w:cs="方正书宋简体"/>
          <w:sz w:val="24"/>
          <w:szCs w:val="24"/>
        </w:rPr>
        <w:t>》（雄府[201</w:t>
      </w:r>
      <w:r>
        <w:rPr>
          <w:rFonts w:hint="eastAsia" w:ascii="方正书宋简体" w:hAnsi="方正书宋简体" w:eastAsia="方正书宋简体" w:cs="方正书宋简体"/>
          <w:sz w:val="24"/>
          <w:szCs w:val="24"/>
          <w:lang w:val="en-US" w:eastAsia="zh-CN"/>
        </w:rPr>
        <w:t>9]</w:t>
      </w:r>
      <w:r>
        <w:rPr>
          <w:rFonts w:hint="eastAsia" w:ascii="方正书宋简体" w:hAnsi="方正书宋简体" w:eastAsia="方正书宋简体" w:cs="方正书宋简体"/>
          <w:sz w:val="24"/>
          <w:szCs w:val="24"/>
        </w:rPr>
        <w:t>）76号）</w:t>
      </w:r>
      <w:r>
        <w:rPr>
          <w:rFonts w:hint="eastAsia" w:ascii="方正书宋简体" w:hAnsi="方正书宋简体" w:eastAsia="方正书宋简体" w:cs="方正书宋简体"/>
          <w:sz w:val="24"/>
          <w:szCs w:val="24"/>
          <w:lang w:eastAsia="zh-CN"/>
        </w:rPr>
        <w:t>及相关规定</w:t>
      </w:r>
      <w:r>
        <w:rPr>
          <w:rFonts w:hint="eastAsia" w:ascii="方正书宋简体" w:hAnsi="方正书宋简体" w:eastAsia="方正书宋简体" w:cs="方正书宋简体"/>
          <w:sz w:val="24"/>
          <w:szCs w:val="24"/>
        </w:rPr>
        <w:t>结合本市实际，制定本办法。</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第二条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房源筹集、申请、分配、退出和管理等工作，适用本办法。</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240" w:firstLineChars="100"/>
        <w:textAlignment w:val="auto"/>
        <w:rPr>
          <w:rFonts w:hint="eastAsia" w:ascii="方正书宋简体" w:hAnsi="方正书宋简体" w:eastAsia="方正书宋简体" w:cs="方正书宋简体"/>
          <w:b w:val="0"/>
          <w:bCs/>
          <w:sz w:val="24"/>
          <w:szCs w:val="24"/>
          <w:lang w:eastAsia="zh-CN"/>
        </w:rPr>
      </w:pPr>
      <w:r>
        <w:rPr>
          <w:rFonts w:hint="eastAsia" w:ascii="方正书宋简体" w:hAnsi="方正书宋简体" w:eastAsia="方正书宋简体" w:cs="方正书宋简体"/>
          <w:sz w:val="24"/>
          <w:szCs w:val="24"/>
        </w:rPr>
        <w:t>　第三条　</w:t>
      </w:r>
      <w:r>
        <w:rPr>
          <w:rFonts w:hint="eastAsia" w:ascii="方正书宋简体" w:hAnsi="方正书宋简体" w:eastAsia="方正书宋简体" w:cs="方正书宋简体"/>
          <w:b w:val="0"/>
          <w:bCs/>
          <w:sz w:val="24"/>
          <w:szCs w:val="24"/>
        </w:rPr>
        <w:t>本办法所称的直管公有住房，是指已纳入市房产管理所统管的政府公有住房，包括政府统管的经租房产、代管房产及</w:t>
      </w:r>
      <w:r>
        <w:rPr>
          <w:rFonts w:hint="eastAsia" w:ascii="方正书宋简体" w:hAnsi="方正书宋简体" w:eastAsia="方正书宋简体" w:cs="方正书宋简体"/>
          <w:b w:val="0"/>
          <w:bCs/>
          <w:sz w:val="24"/>
          <w:szCs w:val="24"/>
          <w:lang w:eastAsia="zh-CN"/>
        </w:rPr>
        <w:t>其他</w:t>
      </w:r>
      <w:r>
        <w:rPr>
          <w:rFonts w:hint="eastAsia" w:ascii="方正书宋简体" w:hAnsi="方正书宋简体" w:eastAsia="方正书宋简体" w:cs="方正书宋简体"/>
          <w:b w:val="0"/>
          <w:bCs/>
          <w:sz w:val="24"/>
          <w:szCs w:val="24"/>
        </w:rPr>
        <w:t>托管房产</w:t>
      </w:r>
      <w:r>
        <w:rPr>
          <w:rFonts w:hint="eastAsia" w:ascii="方正书宋简体" w:hAnsi="方正书宋简体" w:eastAsia="方正书宋简体" w:cs="方正书宋简体"/>
          <w:b w:val="0"/>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 xml:space="preserve">　　第四条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区分不同对象实行分类</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，优先</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政府直接实施的棚户区改造或危旧房改造中的拆迁</w:t>
      </w:r>
      <w:r>
        <w:rPr>
          <w:rFonts w:hint="eastAsia" w:ascii="方正书宋简体" w:hAnsi="方正书宋简体" w:eastAsia="方正书宋简体" w:cs="方正书宋简体"/>
          <w:sz w:val="24"/>
          <w:szCs w:val="24"/>
          <w:lang w:eastAsia="zh-CN"/>
        </w:rPr>
        <w:t>安置</w:t>
      </w:r>
      <w:r>
        <w:rPr>
          <w:rFonts w:hint="eastAsia" w:ascii="方正书宋简体" w:hAnsi="方正书宋简体" w:eastAsia="方正书宋简体" w:cs="方正书宋简体"/>
          <w:sz w:val="24"/>
          <w:szCs w:val="24"/>
        </w:rPr>
        <w:t>户</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经审核符合条件的</w:t>
      </w:r>
      <w:r>
        <w:rPr>
          <w:rFonts w:hint="eastAsia" w:ascii="方正书宋简体" w:hAnsi="方正书宋简体" w:eastAsia="方正书宋简体" w:cs="方正书宋简体"/>
          <w:sz w:val="24"/>
          <w:szCs w:val="24"/>
          <w:lang w:eastAsia="zh-CN"/>
        </w:rPr>
        <w:t>家庭）。</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sz w:val="24"/>
          <w:szCs w:val="24"/>
        </w:rPr>
        <w:t>第五条　</w:t>
      </w:r>
      <w:r>
        <w:rPr>
          <w:rFonts w:hint="eastAsia" w:ascii="方正书宋简体" w:hAnsi="方正书宋简体" w:eastAsia="方正书宋简体" w:cs="方正书宋简体"/>
          <w:b w:val="0"/>
          <w:bCs w:val="0"/>
          <w:sz w:val="24"/>
          <w:szCs w:val="24"/>
          <w:lang w:val="en-US" w:eastAsia="zh-CN"/>
        </w:rPr>
        <w:t>第五条 市解决低收入家庭住房困难工作领导小组负责直管公房申请家庭资格标准的确定和直管公房申请家庭在申请审批中存在具体问题的研究。</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市住房和城乡建设局负责贯彻实施国家、省、韶关市住房保</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障政策规定，牵头制定本市直管公房住房政策，组织目标责任落</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实等工作，指导和监督直管公房工作。负责直管公房的复审和终审。</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雄州街道办事处负责做好本辖区直管公房住房需求统计申报、公共租赁住房的申请受理、资格初审、入户调查以及家庭财产信息录入等工作。</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市国投公司负责落实市政府公共租赁住房年度建设工作目</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标；负责资金测算、房源筹集。</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市房产管理所负责拟定直管公房住房管理制度并组织实施；</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b w:val="0"/>
          <w:bCs w:val="0"/>
          <w:sz w:val="24"/>
          <w:szCs w:val="24"/>
          <w:lang w:val="en-US" w:eastAsia="zh-CN"/>
        </w:rPr>
      </w:pPr>
      <w:r>
        <w:rPr>
          <w:rFonts w:hint="eastAsia" w:ascii="方正书宋简体" w:hAnsi="方正书宋简体" w:eastAsia="方正书宋简体" w:cs="方正书宋简体"/>
          <w:b w:val="0"/>
          <w:bCs w:val="0"/>
          <w:sz w:val="24"/>
          <w:szCs w:val="24"/>
          <w:lang w:val="en-US" w:eastAsia="zh-CN"/>
        </w:rPr>
        <w:t>负责资格审核、实物配租、日常巡查、退出管理工作、在保对象相关信息录入和更新、房屋及其配套设施管理和维修养护等具体工作；负责直管公房信息系统建设和管理等工作，组织落实直管公房相关工作。</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第六条　资格审</w:t>
      </w:r>
      <w:r>
        <w:rPr>
          <w:rFonts w:hint="eastAsia" w:ascii="方正书宋简体" w:hAnsi="方正书宋简体" w:eastAsia="方正书宋简体" w:cs="方正书宋简体"/>
          <w:sz w:val="24"/>
          <w:szCs w:val="24"/>
          <w:lang w:eastAsia="zh-CN"/>
        </w:rPr>
        <w:t>核</w:t>
      </w:r>
      <w:r>
        <w:rPr>
          <w:rFonts w:hint="eastAsia" w:ascii="方正书宋简体" w:hAnsi="方正书宋简体" w:eastAsia="方正书宋简体" w:cs="方正书宋简体"/>
          <w:sz w:val="24"/>
          <w:szCs w:val="24"/>
        </w:rPr>
        <w:t>中涉及其他部门审核的内容，由市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向各相关部门发函核查。</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第七条　发改、民政、财政、税务、公安、人力资源和社会保障、住建、自然资源、住房公积金管理、中国人民银行南雄市中心支行、金融证券和保险机构等部门按照各自职责，协助做好</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的相关管理工作。</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afterAutospacing="0" w:line="440" w:lineRule="exact"/>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　房源筹集</w:t>
      </w:r>
    </w:p>
    <w:p>
      <w:pPr>
        <w:keepNext w:val="0"/>
        <w:keepLines w:val="0"/>
        <w:pageBreakBefore w:val="0"/>
        <w:numPr>
          <w:ilvl w:val="0"/>
          <w:numId w:val="0"/>
        </w:numPr>
        <w:kinsoku/>
        <w:wordWrap/>
        <w:overflowPunct/>
        <w:topLinePunct w:val="0"/>
        <w:autoSpaceDE/>
        <w:autoSpaceDN/>
        <w:bidi w:val="0"/>
        <w:adjustRightInd/>
        <w:snapToGrid/>
        <w:spacing w:afterAutospacing="0" w:line="440" w:lineRule="exact"/>
        <w:jc w:val="both"/>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八</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的房源筹集来源包括：</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sz w:val="24"/>
          <w:szCs w:val="24"/>
        </w:rPr>
      </w:pPr>
      <w:r>
        <w:rPr>
          <w:rFonts w:hint="eastAsia" w:ascii="方正书宋简体" w:hAnsi="方正书宋简体" w:eastAsia="方正书宋简体" w:cs="方正书宋简体"/>
          <w:sz w:val="24"/>
          <w:szCs w:val="24"/>
        </w:rPr>
        <w:t>（一）</w:t>
      </w:r>
      <w:r>
        <w:rPr>
          <w:rFonts w:hint="eastAsia" w:ascii="方正书宋简体" w:hAnsi="方正书宋简体" w:eastAsia="方正书宋简体" w:cs="方正书宋简体"/>
          <w:b w:val="0"/>
          <w:bCs/>
          <w:sz w:val="24"/>
          <w:szCs w:val="24"/>
        </w:rPr>
        <w:t>已纳入市房产管理所统管的政府公有住房，</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b w:val="0"/>
          <w:bCs/>
          <w:sz w:val="24"/>
          <w:szCs w:val="24"/>
          <w:lang w:val="en-US" w:eastAsia="zh-CN"/>
        </w:rPr>
      </w:pP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b w:val="0"/>
          <w:bCs/>
          <w:sz w:val="24"/>
          <w:szCs w:val="24"/>
        </w:rPr>
        <w:t>政府统管的经租房产、代管房产及托管房产</w:t>
      </w:r>
      <w:r>
        <w:rPr>
          <w:rFonts w:hint="eastAsia" w:ascii="方正书宋简体" w:hAnsi="方正书宋简体" w:eastAsia="方正书宋简体" w:cs="方正书宋简体"/>
          <w:b w:val="0"/>
          <w:bCs/>
          <w:sz w:val="24"/>
          <w:szCs w:val="24"/>
          <w:lang w:eastAsia="zh-CN"/>
        </w:rPr>
        <w:t>。</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（三）政府依法没收的可以用于居住的住房；</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）其他渠道筹集的</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rPr>
        <w:t>第三章　申请和审核</w:t>
      </w:r>
    </w:p>
    <w:p>
      <w:pPr>
        <w:keepNext w:val="0"/>
        <w:keepLines w:val="0"/>
        <w:pageBreakBefore w:val="0"/>
        <w:numPr>
          <w:ilvl w:val="0"/>
          <w:numId w:val="3"/>
        </w:numPr>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　申请原则</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九</w:t>
      </w:r>
      <w:r>
        <w:rPr>
          <w:rFonts w:hint="eastAsia" w:ascii="方正书宋简体" w:hAnsi="方正书宋简体" w:eastAsia="方正书宋简体" w:cs="方正书宋简体"/>
          <w:sz w:val="24"/>
          <w:szCs w:val="24"/>
        </w:rPr>
        <w:t>条　申请人申请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，应当按照规定提交申请材料，并对提供的材料真实性负责。</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第十条　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以家庭为申请单位，家庭成员是指父母、夫妻、子女和具有法定的赡养、抚养或扶养关系并共同生活的成员。申请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时，应当推举一名符合申请条件的家庭成员为申请人，其他家庭成员为共同申请人。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新就业职工和专业技术人员申请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的，可以由所在用人单位代表本单位职工统一申请。</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p>
    <w:p>
      <w:pPr>
        <w:keepNext w:val="0"/>
        <w:keepLines w:val="0"/>
        <w:pageBreakBefore w:val="0"/>
        <w:numPr>
          <w:ilvl w:val="0"/>
          <w:numId w:val="3"/>
        </w:numPr>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b/>
          <w:bCs/>
          <w:sz w:val="24"/>
          <w:szCs w:val="24"/>
        </w:rPr>
      </w:pPr>
      <w:r>
        <w:rPr>
          <w:rFonts w:hint="eastAsia" w:ascii="方正书宋简体" w:hAnsi="方正书宋简体" w:eastAsia="方正书宋简体" w:cs="方正书宋简体"/>
          <w:b/>
          <w:bCs/>
          <w:sz w:val="24"/>
          <w:szCs w:val="24"/>
        </w:rPr>
        <w:t>　申请条件</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b/>
          <w:bCs/>
          <w:sz w:val="24"/>
          <w:szCs w:val="24"/>
        </w:rPr>
        <w:t>　第十</w:t>
      </w:r>
      <w:r>
        <w:rPr>
          <w:rFonts w:hint="eastAsia" w:ascii="方正书宋简体" w:hAnsi="方正书宋简体" w:eastAsia="方正书宋简体" w:cs="方正书宋简体"/>
          <w:b/>
          <w:bCs/>
          <w:sz w:val="24"/>
          <w:szCs w:val="24"/>
          <w:lang w:eastAsia="zh-CN"/>
        </w:rPr>
        <w:t>一</w:t>
      </w:r>
      <w:r>
        <w:rPr>
          <w:rFonts w:hint="eastAsia" w:ascii="方正书宋简体" w:hAnsi="方正书宋简体" w:eastAsia="方正书宋简体" w:cs="方正书宋简体"/>
          <w:b/>
          <w:bCs/>
          <w:sz w:val="24"/>
          <w:szCs w:val="24"/>
        </w:rPr>
        <w:t>条</w:t>
      </w:r>
      <w:r>
        <w:rPr>
          <w:rFonts w:hint="eastAsia" w:ascii="方正书宋简体" w:hAnsi="方正书宋简体" w:eastAsia="方正书宋简体" w:cs="方正书宋简体"/>
          <w:sz w:val="24"/>
          <w:szCs w:val="24"/>
        </w:rPr>
        <w:t>　低收入住户困难家庭，申请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住房须</w:t>
      </w:r>
      <w:r>
        <w:rPr>
          <w:rFonts w:hint="eastAsia" w:ascii="方正书宋简体" w:hAnsi="方正书宋简体" w:eastAsia="方正书宋简体" w:cs="方正书宋简体"/>
          <w:sz w:val="24"/>
          <w:szCs w:val="24"/>
          <w:lang w:eastAsia="zh-CN"/>
        </w:rPr>
        <w:t>同时</w:t>
      </w:r>
      <w:r>
        <w:rPr>
          <w:rFonts w:hint="eastAsia" w:ascii="方正书宋简体" w:hAnsi="方正书宋简体" w:eastAsia="方正书宋简体" w:cs="方正书宋简体"/>
          <w:sz w:val="24"/>
          <w:szCs w:val="24"/>
        </w:rPr>
        <w:t xml:space="preserve">符合下列条件：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（一）申请人与共同申请人应当具有本市</w:t>
      </w:r>
      <w:r>
        <w:rPr>
          <w:rFonts w:hint="eastAsia" w:ascii="方正书宋简体" w:hAnsi="方正书宋简体" w:eastAsia="方正书宋简体" w:cs="方正书宋简体"/>
          <w:sz w:val="24"/>
          <w:szCs w:val="24"/>
          <w:lang w:eastAsia="zh-CN"/>
        </w:rPr>
        <w:t>市区城镇</w:t>
      </w:r>
      <w:r>
        <w:rPr>
          <w:rFonts w:hint="eastAsia" w:ascii="方正书宋简体" w:hAnsi="方正书宋简体" w:eastAsia="方正书宋简体" w:cs="方正书宋简体"/>
          <w:sz w:val="24"/>
          <w:szCs w:val="24"/>
        </w:rPr>
        <w:t>户籍</w:t>
      </w:r>
      <w:r>
        <w:rPr>
          <w:rFonts w:hint="eastAsia" w:ascii="方正书宋简体" w:hAnsi="方正书宋简体" w:eastAsia="方正书宋简体" w:cs="方正书宋简体"/>
          <w:sz w:val="24"/>
          <w:szCs w:val="24"/>
          <w:lang w:eastAsia="zh-CN"/>
        </w:rPr>
        <w:t>（雄州街道七个社区）</w:t>
      </w:r>
      <w:r>
        <w:rPr>
          <w:rFonts w:hint="eastAsia" w:ascii="方正书宋简体" w:hAnsi="方正书宋简体" w:eastAsia="方正书宋简体" w:cs="方正书宋简体"/>
          <w:sz w:val="24"/>
          <w:szCs w:val="24"/>
        </w:rPr>
        <w:t>且实际居住</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年以上(以申请人及共同申请人户口簿为准)，申请时仍居住在市</w:t>
      </w:r>
      <w:r>
        <w:rPr>
          <w:rFonts w:hint="eastAsia" w:ascii="方正书宋简体" w:hAnsi="方正书宋简体" w:eastAsia="方正书宋简体" w:cs="方正书宋简体"/>
          <w:sz w:val="24"/>
          <w:szCs w:val="24"/>
          <w:lang w:eastAsia="zh-CN"/>
        </w:rPr>
        <w:t>区</w:t>
      </w:r>
      <w:r>
        <w:rPr>
          <w:rFonts w:hint="eastAsia" w:ascii="方正书宋简体" w:hAnsi="方正书宋简体" w:eastAsia="方正书宋简体" w:cs="方正书宋简体"/>
          <w:sz w:val="24"/>
          <w:szCs w:val="24"/>
        </w:rPr>
        <w:t>；申请人配偶非本市</w:t>
      </w:r>
      <w:r>
        <w:rPr>
          <w:rFonts w:hint="eastAsia" w:ascii="方正书宋简体" w:hAnsi="方正书宋简体" w:eastAsia="方正书宋简体" w:cs="方正书宋简体"/>
          <w:sz w:val="24"/>
          <w:szCs w:val="24"/>
          <w:lang w:eastAsia="zh-CN"/>
        </w:rPr>
        <w:t>城镇</w:t>
      </w:r>
      <w:r>
        <w:rPr>
          <w:rFonts w:hint="eastAsia" w:ascii="方正书宋简体" w:hAnsi="方正书宋简体" w:eastAsia="方正书宋简体" w:cs="方正书宋简体"/>
          <w:sz w:val="24"/>
          <w:szCs w:val="24"/>
        </w:rPr>
        <w:t>户籍但在本市工作或居住的，应当作为共同申请人；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lang w:eastAsia="zh-CN"/>
        </w:rPr>
        <w:t>在户籍所在地</w:t>
      </w:r>
      <w:r>
        <w:rPr>
          <w:rFonts w:hint="eastAsia" w:ascii="方正书宋简体" w:hAnsi="方正书宋简体" w:eastAsia="方正书宋简体" w:cs="方正书宋简体"/>
          <w:sz w:val="24"/>
          <w:szCs w:val="24"/>
        </w:rPr>
        <w:t>无自有房产</w:t>
      </w:r>
      <w:r>
        <w:rPr>
          <w:rFonts w:hint="eastAsia" w:ascii="方正书宋简体" w:hAnsi="方正书宋简体" w:eastAsia="方正书宋简体" w:cs="方正书宋简体"/>
          <w:sz w:val="24"/>
          <w:szCs w:val="24"/>
          <w:lang w:eastAsia="zh-CN"/>
        </w:rPr>
        <w:t>或家庭人均居住建筑面积低于</w:t>
      </w:r>
      <w:r>
        <w:rPr>
          <w:rFonts w:hint="eastAsia" w:ascii="方正书宋简体" w:hAnsi="方正书宋简体" w:eastAsia="方正书宋简体" w:cs="方正书宋简体"/>
          <w:sz w:val="24"/>
          <w:szCs w:val="24"/>
          <w:lang w:val="en-US" w:eastAsia="zh-CN"/>
        </w:rPr>
        <w:t>15平方米</w:t>
      </w: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    （</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）家庭</w:t>
      </w:r>
      <w:r>
        <w:rPr>
          <w:rFonts w:hint="eastAsia" w:ascii="方正书宋简体" w:hAnsi="方正书宋简体" w:eastAsia="方正书宋简体" w:cs="方正书宋简体"/>
          <w:sz w:val="24"/>
          <w:szCs w:val="24"/>
          <w:lang w:eastAsia="zh-CN"/>
        </w:rPr>
        <w:t>年</w:t>
      </w:r>
      <w:r>
        <w:rPr>
          <w:rFonts w:hint="eastAsia" w:ascii="方正书宋简体" w:hAnsi="方正书宋简体" w:eastAsia="方正书宋简体" w:cs="方正书宋简体"/>
          <w:sz w:val="24"/>
          <w:szCs w:val="24"/>
        </w:rPr>
        <w:t>人均资产不超过</w:t>
      </w: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rPr>
        <w:t>万元；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    （</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）申请人及共同申请人在申请受理之日前5年内没有转移过房产。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　中低收入住房困难家庭，申请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住房须同时符合下列条件：</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（一）申请人与共同申请人应当具有本市</w:t>
      </w:r>
      <w:r>
        <w:rPr>
          <w:rFonts w:hint="eastAsia" w:ascii="方正书宋简体" w:hAnsi="方正书宋简体" w:eastAsia="方正书宋简体" w:cs="方正书宋简体"/>
          <w:sz w:val="24"/>
          <w:szCs w:val="24"/>
          <w:lang w:eastAsia="zh-CN"/>
        </w:rPr>
        <w:t>市区城镇</w:t>
      </w:r>
      <w:r>
        <w:rPr>
          <w:rFonts w:hint="eastAsia" w:ascii="方正书宋简体" w:hAnsi="方正书宋简体" w:eastAsia="方正书宋简体" w:cs="方正书宋简体"/>
          <w:sz w:val="24"/>
          <w:szCs w:val="24"/>
        </w:rPr>
        <w:t>户籍</w:t>
      </w:r>
      <w:r>
        <w:rPr>
          <w:rFonts w:hint="eastAsia" w:ascii="方正书宋简体" w:hAnsi="方正书宋简体" w:eastAsia="方正书宋简体" w:cs="方正书宋简体"/>
          <w:sz w:val="24"/>
          <w:szCs w:val="24"/>
          <w:lang w:eastAsia="zh-CN"/>
        </w:rPr>
        <w:t>（雄州街道七个社区）</w:t>
      </w:r>
      <w:r>
        <w:rPr>
          <w:rFonts w:hint="eastAsia" w:ascii="方正书宋简体" w:hAnsi="方正书宋简体" w:eastAsia="方正书宋简体" w:cs="方正书宋简体"/>
          <w:sz w:val="24"/>
          <w:szCs w:val="24"/>
        </w:rPr>
        <w:t>且实际居住</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年以上(以申请人及共同申请人户口簿为准)，申请时仍居住在市</w:t>
      </w:r>
      <w:r>
        <w:rPr>
          <w:rFonts w:hint="eastAsia" w:ascii="方正书宋简体" w:hAnsi="方正书宋简体" w:eastAsia="方正书宋简体" w:cs="方正书宋简体"/>
          <w:sz w:val="24"/>
          <w:szCs w:val="24"/>
          <w:lang w:eastAsia="zh-CN"/>
        </w:rPr>
        <w:t>区</w:t>
      </w:r>
      <w:r>
        <w:rPr>
          <w:rFonts w:hint="eastAsia" w:ascii="方正书宋简体" w:hAnsi="方正书宋简体" w:eastAsia="方正书宋简体" w:cs="方正书宋简体"/>
          <w:sz w:val="24"/>
          <w:szCs w:val="24"/>
        </w:rPr>
        <w:t>；申请人配偶非本市户籍但在本市工作或居住的，应当作为共同申请人；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w:t>
      </w:r>
      <w:r>
        <w:rPr>
          <w:rFonts w:hint="eastAsia" w:ascii="方正书宋简体" w:hAnsi="方正书宋简体" w:eastAsia="方正书宋简体" w:cs="方正书宋简体"/>
          <w:sz w:val="24"/>
          <w:szCs w:val="24"/>
          <w:lang w:eastAsia="zh-CN"/>
        </w:rPr>
        <w:t>在户籍所在地</w:t>
      </w:r>
      <w:r>
        <w:rPr>
          <w:rFonts w:hint="eastAsia" w:ascii="方正书宋简体" w:hAnsi="方正书宋简体" w:eastAsia="方正书宋简体" w:cs="方正书宋简体"/>
          <w:sz w:val="24"/>
          <w:szCs w:val="24"/>
        </w:rPr>
        <w:t>无自有房产</w:t>
      </w:r>
      <w:r>
        <w:rPr>
          <w:rFonts w:hint="eastAsia" w:ascii="方正书宋简体" w:hAnsi="方正书宋简体" w:eastAsia="方正书宋简体" w:cs="方正书宋简体"/>
          <w:sz w:val="24"/>
          <w:szCs w:val="24"/>
          <w:lang w:eastAsia="zh-CN"/>
        </w:rPr>
        <w:t>或家庭人均居住建筑面积低于</w:t>
      </w:r>
      <w:r>
        <w:rPr>
          <w:rFonts w:hint="eastAsia" w:ascii="方正书宋简体" w:hAnsi="方正书宋简体" w:eastAsia="方正书宋简体" w:cs="方正书宋简体"/>
          <w:sz w:val="24"/>
          <w:szCs w:val="24"/>
          <w:lang w:val="en-US" w:eastAsia="zh-CN"/>
        </w:rPr>
        <w:t>15平方米</w:t>
      </w: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）家庭</w:t>
      </w:r>
      <w:r>
        <w:rPr>
          <w:rFonts w:hint="eastAsia" w:ascii="方正书宋简体" w:hAnsi="方正书宋简体" w:eastAsia="方正书宋简体" w:cs="方正书宋简体"/>
          <w:sz w:val="24"/>
          <w:szCs w:val="24"/>
          <w:lang w:eastAsia="zh-CN"/>
        </w:rPr>
        <w:t>年</w:t>
      </w:r>
      <w:r>
        <w:rPr>
          <w:rFonts w:hint="eastAsia" w:ascii="方正书宋简体" w:hAnsi="方正书宋简体" w:eastAsia="方正书宋简体" w:cs="方正书宋简体"/>
          <w:sz w:val="24"/>
          <w:szCs w:val="24"/>
        </w:rPr>
        <w:t>人均资产不超过</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万元；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    （</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）申请人及共同申请人在申请受理之日前5年内没有转移过房产。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条　符合第十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条规定，年满30周岁的单身居民；孤儿年满16周岁的，可以单独申请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住房。投靠子女户籍迁入本市的父母，不得单独申请。</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条　申请人及共同申请人因家庭成员、直系亲属或兄弟姐妹有重大疾病，申请人或共同申请人的房产须出售用于救助治病等原因造成经济条件特别困难，在申请之日前5年内转移房产产权（不含转移给直系亲属及兄弟姐妹），根据第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的，不受在申请受理之日前5年内没有出售过房产的条件限制。</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申请人及共同申请人应当提供二甲以上（含二甲）医院专科医生诊断及住院等相关证明材料。</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条　法定监护人事实上未照顾、抚养的未成年人，由户籍所在地镇人民政府（街道办事处）出具证明后，可与祖辈作为一个家庭申请。</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六</w:t>
      </w:r>
      <w:r>
        <w:rPr>
          <w:rFonts w:hint="eastAsia" w:ascii="方正书宋简体" w:hAnsi="方正书宋简体" w:eastAsia="方正书宋简体" w:cs="方正书宋简体"/>
          <w:sz w:val="24"/>
          <w:szCs w:val="24"/>
        </w:rPr>
        <w:t>条　符合第十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条规定，子女家庭（个人）申请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，具有下列情况之一的非本市户籍父母可作为共同申请人：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（一）父母有残疾或重大疾病需要子女照顾的；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（二）子女有残疾或重大疾病需要父母照顾的。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eastAsia="zh-CN"/>
        </w:rPr>
        <w:t>七</w:t>
      </w:r>
      <w:r>
        <w:rPr>
          <w:rFonts w:hint="eastAsia" w:ascii="方正书宋简体" w:hAnsi="方正书宋简体" w:eastAsia="方正书宋简体" w:cs="方正书宋简体"/>
          <w:sz w:val="24"/>
          <w:szCs w:val="24"/>
        </w:rPr>
        <w:t>条　新就业职工</w:t>
      </w:r>
      <w:r>
        <w:rPr>
          <w:rFonts w:hint="eastAsia" w:ascii="方正书宋简体" w:hAnsi="方正书宋简体" w:eastAsia="方正书宋简体" w:cs="方正书宋简体"/>
          <w:sz w:val="24"/>
          <w:szCs w:val="24"/>
          <w:lang w:eastAsia="zh-CN"/>
        </w:rPr>
        <w:t>、专业技术人才</w:t>
      </w:r>
      <w:r>
        <w:rPr>
          <w:rFonts w:hint="eastAsia" w:ascii="方正书宋简体" w:hAnsi="方正书宋简体" w:eastAsia="方正书宋简体" w:cs="方正书宋简体"/>
          <w:sz w:val="24"/>
          <w:szCs w:val="24"/>
        </w:rPr>
        <w:t>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，须同时符合下列条件：</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（一）具有大专（全日制）以上学历，且自毕业起不满5年；</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（二）具有本市城镇户籍，且在本市工作1年以上；</w:t>
      </w:r>
    </w:p>
    <w:p>
      <w:pPr>
        <w:keepNext w:val="0"/>
        <w:keepLines w:val="0"/>
        <w:pageBreakBefore w:val="0"/>
        <w:numPr>
          <w:ilvl w:val="0"/>
          <w:numId w:val="4"/>
        </w:numPr>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已与本市用人单位签订聘用期为1年以上劳动合同；</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    （四）在本市</w:t>
      </w:r>
      <w:r>
        <w:rPr>
          <w:rFonts w:hint="eastAsia" w:ascii="方正书宋简体" w:hAnsi="方正书宋简体" w:eastAsia="方正书宋简体" w:cs="方正书宋简体"/>
          <w:sz w:val="24"/>
          <w:szCs w:val="24"/>
          <w:lang w:eastAsia="zh-CN"/>
        </w:rPr>
        <w:t>市</w:t>
      </w:r>
      <w:r>
        <w:rPr>
          <w:rFonts w:hint="eastAsia" w:ascii="方正书宋简体" w:hAnsi="方正书宋简体" w:eastAsia="方正书宋简体" w:cs="方正书宋简体"/>
          <w:sz w:val="24"/>
          <w:szCs w:val="24"/>
        </w:rPr>
        <w:t>区无自有房产；</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（五）在申请受理之日前5年内没有转移过房产；</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（六）新就业职工</w:t>
      </w:r>
      <w:r>
        <w:rPr>
          <w:rFonts w:hint="eastAsia" w:ascii="方正书宋简体" w:hAnsi="方正书宋简体" w:eastAsia="方正书宋简体" w:cs="方正书宋简体"/>
          <w:sz w:val="24"/>
          <w:szCs w:val="24"/>
          <w:lang w:eastAsia="zh-CN"/>
        </w:rPr>
        <w:t>、专业技术人才</w:t>
      </w:r>
      <w:r>
        <w:rPr>
          <w:rFonts w:hint="eastAsia" w:ascii="方正书宋简体" w:hAnsi="方正书宋简体" w:eastAsia="方正书宋简体" w:cs="方正书宋简体"/>
          <w:sz w:val="24"/>
          <w:szCs w:val="24"/>
        </w:rPr>
        <w:t>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，父母不能作为共同申请人。</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第十</w:t>
      </w:r>
      <w:r>
        <w:rPr>
          <w:rFonts w:hint="eastAsia" w:ascii="方正书宋简体" w:hAnsi="方正书宋简体" w:eastAsia="方正书宋简体" w:cs="方正书宋简体"/>
          <w:sz w:val="24"/>
          <w:szCs w:val="24"/>
          <w:lang w:eastAsia="zh-CN"/>
        </w:rPr>
        <w:t>八</w:t>
      </w:r>
      <w:r>
        <w:rPr>
          <w:rFonts w:hint="eastAsia" w:ascii="方正书宋简体" w:hAnsi="方正书宋简体" w:eastAsia="方正书宋简体" w:cs="方正书宋简体"/>
          <w:sz w:val="24"/>
          <w:szCs w:val="24"/>
        </w:rPr>
        <w:t>条</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rPr>
        <w:t>政府直接实施的棚户区改造或危旧房改造中的拆迁</w:t>
      </w:r>
      <w:r>
        <w:rPr>
          <w:rFonts w:hint="eastAsia" w:ascii="方正书宋简体" w:hAnsi="方正书宋简体" w:eastAsia="方正书宋简体" w:cs="方正书宋简体"/>
          <w:sz w:val="24"/>
          <w:szCs w:val="24"/>
          <w:lang w:eastAsia="zh-CN"/>
        </w:rPr>
        <w:t>安置</w:t>
      </w:r>
      <w:r>
        <w:rPr>
          <w:rFonts w:hint="eastAsia" w:ascii="方正书宋简体" w:hAnsi="方正书宋简体" w:eastAsia="方正书宋简体" w:cs="方正书宋简体"/>
          <w:sz w:val="24"/>
          <w:szCs w:val="24"/>
        </w:rPr>
        <w:t>户申请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，须同时符合下列条件：</w:t>
      </w:r>
    </w:p>
    <w:p>
      <w:pPr>
        <w:keepNext w:val="0"/>
        <w:keepLines w:val="0"/>
        <w:pageBreakBefore w:val="0"/>
        <w:kinsoku/>
        <w:wordWrap/>
        <w:overflowPunct/>
        <w:topLinePunct w:val="0"/>
        <w:autoSpaceDE/>
        <w:autoSpaceDN/>
        <w:bidi w:val="0"/>
        <w:adjustRightInd/>
        <w:snapToGrid/>
        <w:spacing w:afterAutospacing="0" w:line="440" w:lineRule="exact"/>
        <w:ind w:firstLine="240" w:firstLineChars="1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（一）申请人与共同申请人</w:t>
      </w:r>
      <w:r>
        <w:rPr>
          <w:rFonts w:hint="eastAsia" w:ascii="方正书宋简体" w:hAnsi="方正书宋简体" w:eastAsia="方正书宋简体" w:cs="方正书宋简体"/>
          <w:sz w:val="24"/>
          <w:szCs w:val="24"/>
          <w:lang w:eastAsia="zh-CN"/>
        </w:rPr>
        <w:t>被改造居住房屋在市区（雄州街道七个社区）属租赁政府公房，且已列入</w:t>
      </w:r>
      <w:r>
        <w:rPr>
          <w:rFonts w:hint="eastAsia" w:ascii="方正书宋简体" w:hAnsi="方正书宋简体" w:eastAsia="方正书宋简体" w:cs="方正书宋简体"/>
          <w:sz w:val="24"/>
          <w:szCs w:val="24"/>
        </w:rPr>
        <w:t>棚户区改造或危旧房改造</w:t>
      </w:r>
      <w:r>
        <w:rPr>
          <w:rFonts w:hint="eastAsia" w:ascii="方正书宋简体" w:hAnsi="方正书宋简体" w:eastAsia="方正书宋简体" w:cs="方正书宋简体"/>
          <w:sz w:val="24"/>
          <w:szCs w:val="24"/>
          <w:lang w:eastAsia="zh-CN"/>
        </w:rPr>
        <w:t>改造范围；</w:t>
      </w:r>
    </w:p>
    <w:p>
      <w:pPr>
        <w:keepNext w:val="0"/>
        <w:keepLines w:val="0"/>
        <w:pageBreakBefore w:val="0"/>
        <w:kinsoku/>
        <w:wordWrap/>
        <w:overflowPunct/>
        <w:topLinePunct w:val="0"/>
        <w:autoSpaceDE/>
        <w:autoSpaceDN/>
        <w:bidi w:val="0"/>
        <w:adjustRightInd/>
        <w:snapToGrid/>
        <w:spacing w:afterAutospacing="0" w:line="440" w:lineRule="exact"/>
        <w:ind w:firstLine="240" w:firstLineChars="1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）申请人与共同申请人</w:t>
      </w:r>
      <w:r>
        <w:rPr>
          <w:rFonts w:hint="eastAsia" w:ascii="方正书宋简体" w:hAnsi="方正书宋简体" w:eastAsia="方正书宋简体" w:cs="方正书宋简体"/>
          <w:sz w:val="24"/>
          <w:szCs w:val="24"/>
          <w:lang w:eastAsia="zh-CN"/>
        </w:rPr>
        <w:t>被改造房屋是市区唯一居住房屋。</w:t>
      </w:r>
    </w:p>
    <w:p>
      <w:pPr>
        <w:keepNext w:val="0"/>
        <w:keepLines w:val="0"/>
        <w:pageBreakBefore w:val="0"/>
        <w:kinsoku/>
        <w:wordWrap/>
        <w:overflowPunct/>
        <w:topLinePunct w:val="0"/>
        <w:autoSpaceDE/>
        <w:autoSpaceDN/>
        <w:bidi w:val="0"/>
        <w:adjustRightInd/>
        <w:snapToGrid/>
        <w:spacing w:afterAutospacing="0" w:line="440" w:lineRule="exact"/>
        <w:ind w:firstLine="240" w:firstLineChars="100"/>
        <w:textAlignment w:val="auto"/>
        <w:rPr>
          <w:rFonts w:hint="eastAsia" w:ascii="方正书宋简体" w:hAnsi="方正书宋简体" w:eastAsia="方正书宋简体" w:cs="方正书宋简体"/>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b/>
          <w:bCs/>
          <w:sz w:val="24"/>
          <w:szCs w:val="24"/>
          <w:lang w:val="en-US" w:eastAsia="zh-CN"/>
        </w:rPr>
        <w:t>第三节</w:t>
      </w:r>
      <w:r>
        <w:rPr>
          <w:rFonts w:hint="eastAsia" w:ascii="方正书宋简体" w:hAnsi="方正书宋简体" w:eastAsia="方正书宋简体" w:cs="方正书宋简体"/>
          <w:b/>
          <w:bCs/>
          <w:sz w:val="24"/>
          <w:szCs w:val="24"/>
        </w:rPr>
        <w:t>　申请管辖及审核</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第十</w:t>
      </w:r>
      <w:r>
        <w:rPr>
          <w:rFonts w:hint="eastAsia" w:ascii="方正书宋简体" w:hAnsi="方正书宋简体" w:eastAsia="方正书宋简体" w:cs="方正书宋简体"/>
          <w:sz w:val="24"/>
          <w:szCs w:val="24"/>
          <w:lang w:val="en-US" w:eastAsia="zh-CN"/>
        </w:rPr>
        <w:t>九</w:t>
      </w:r>
      <w:r>
        <w:rPr>
          <w:rFonts w:hint="eastAsia" w:ascii="方正书宋简体" w:hAnsi="方正书宋简体" w:eastAsia="方正书宋简体" w:cs="方正书宋简体"/>
          <w:sz w:val="24"/>
          <w:szCs w:val="24"/>
        </w:rPr>
        <w:t>条　低收入住房困难家庭、中等偏下收入住房困难家庭向</w:t>
      </w:r>
      <w:r>
        <w:rPr>
          <w:rFonts w:hint="eastAsia" w:ascii="方正书宋简体" w:hAnsi="方正书宋简体" w:eastAsia="方正书宋简体" w:cs="方正书宋简体"/>
          <w:sz w:val="24"/>
          <w:szCs w:val="24"/>
          <w:lang w:eastAsia="zh-CN"/>
        </w:rPr>
        <w:t>南雄市房产管理所</w:t>
      </w:r>
      <w:r>
        <w:rPr>
          <w:rFonts w:hint="eastAsia" w:ascii="方正书宋简体" w:hAnsi="方正书宋简体" w:eastAsia="方正书宋简体" w:cs="方正书宋简体"/>
          <w:sz w:val="24"/>
          <w:szCs w:val="24"/>
        </w:rPr>
        <w:t>提出书面申请。</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　　新就业职工</w:t>
      </w:r>
      <w:r>
        <w:rPr>
          <w:rFonts w:hint="eastAsia" w:ascii="方正书宋简体" w:hAnsi="方正书宋简体" w:eastAsia="方正书宋简体" w:cs="方正书宋简体"/>
          <w:sz w:val="24"/>
          <w:szCs w:val="24"/>
          <w:lang w:eastAsia="zh-CN"/>
        </w:rPr>
        <w:t>、专业技术人才</w:t>
      </w:r>
      <w:r>
        <w:rPr>
          <w:rFonts w:hint="eastAsia" w:ascii="方正书宋简体" w:hAnsi="方正书宋简体" w:eastAsia="方正书宋简体" w:cs="方正书宋简体"/>
          <w:sz w:val="24"/>
          <w:szCs w:val="24"/>
        </w:rPr>
        <w:t>由用人单位向市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 xml:space="preserve">提出书面申请。 </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eastAsia="zh-CN"/>
        </w:rPr>
        <w:t>申请人</w:t>
      </w:r>
      <w:r>
        <w:rPr>
          <w:rFonts w:hint="eastAsia" w:ascii="方正书宋简体" w:hAnsi="方正书宋简体" w:eastAsia="方正书宋简体" w:cs="方正书宋简体"/>
          <w:sz w:val="24"/>
          <w:szCs w:val="24"/>
        </w:rPr>
        <w:t>申请</w:t>
      </w:r>
      <w:r>
        <w:rPr>
          <w:rFonts w:hint="eastAsia" w:ascii="方正书宋简体" w:hAnsi="方正书宋简体" w:eastAsia="方正书宋简体" w:cs="方正书宋简体"/>
          <w:sz w:val="24"/>
          <w:szCs w:val="24"/>
          <w:lang w:eastAsia="zh-CN"/>
        </w:rPr>
        <w:t>直管公房为</w:t>
      </w:r>
      <w:r>
        <w:rPr>
          <w:rFonts w:hint="eastAsia" w:ascii="方正书宋简体" w:hAnsi="方正书宋简体" w:eastAsia="方正书宋简体" w:cs="方正书宋简体"/>
          <w:sz w:val="24"/>
          <w:szCs w:val="24"/>
        </w:rPr>
        <w:t>集中时间受理，受理时间由市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予以公示。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十条　申请人或家庭应当签署《家庭财产及收入授权查询委托书》。</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申请家庭的自有住房、车辆、固定资产及高消费品等按以下方式计入家庭财产：</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（一）房产：家庭自有房产按市场评估价值计入相应的家庭财产额度；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（二）车辆：申请家庭拥有的机动车辆等高消费产品、奢侈品按市场评估价值计入家庭财产额度；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（三）固定资产：申请家庭拥有的各类生产、机器、设备等固定资产按市场评估价值计入家庭财产额度；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（四）银行、证券记录：家庭成员银行存款余额、证券股票市值及余额，计入家庭财产额度；银行、证券股票累计交易记录额度（单向）超过相应家庭财产准入标准额度2倍的不予受理;</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申请人资产评估由</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以招标方式采购有资质的估价机构服务，估价所产生费用纳入当年市财政预算，评估成果可根据需要提供给相关部门审核使用。</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雄州街道办事处</w:t>
      </w:r>
      <w:r>
        <w:rPr>
          <w:rFonts w:hint="eastAsia" w:ascii="方正书宋简体" w:hAnsi="方正书宋简体" w:eastAsia="方正书宋简体" w:cs="方正书宋简体"/>
          <w:sz w:val="24"/>
          <w:szCs w:val="24"/>
        </w:rPr>
        <w:t>在受理申请后，应安排专人对申请人家庭成员构成、共同居住现状和生活状况等情况，通过入户调查、邻里访问等方式进行调查，调查人应进行调查情况记录并签名，调查情况记录应与申报材料一并送审。</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雄州街道办事处</w:t>
      </w:r>
      <w:r>
        <w:rPr>
          <w:rFonts w:hint="eastAsia" w:ascii="方正书宋简体" w:hAnsi="方正书宋简体" w:eastAsia="方正书宋简体" w:cs="方正书宋简体"/>
          <w:sz w:val="24"/>
          <w:szCs w:val="24"/>
        </w:rPr>
        <w:t>经过调查后，认为申请人不符合</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条件的，应当向申请人核发《不予住房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资格通知书》，并说明理由。</w:t>
      </w:r>
      <w:r>
        <w:rPr>
          <w:rFonts w:hint="eastAsia" w:ascii="方正书宋简体" w:hAnsi="方正书宋简体" w:eastAsia="方正书宋简体" w:cs="方正书宋简体"/>
          <w:sz w:val="24"/>
          <w:szCs w:val="24"/>
          <w:lang w:eastAsia="zh-CN"/>
        </w:rPr>
        <w:t>雄州街道办事的</w:t>
      </w:r>
      <w:r>
        <w:rPr>
          <w:rFonts w:hint="eastAsia" w:ascii="方正书宋简体" w:hAnsi="方正书宋简体" w:eastAsia="方正书宋简体" w:cs="方正书宋简体"/>
          <w:sz w:val="24"/>
          <w:szCs w:val="24"/>
        </w:rPr>
        <w:t>审核时间超过3个月的，应书面说明原因。因申请人补办材料等原因造成的延误，不计入审核时间，应在申请材料上备注并由申请人确认。</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eastAsia="zh-CN"/>
        </w:rPr>
        <w:t>市房产管理所自接到雄州街道办事处送达的</w:t>
      </w:r>
      <w:r>
        <w:rPr>
          <w:rFonts w:hint="eastAsia" w:ascii="方正书宋简体" w:hAnsi="方正书宋简体" w:eastAsia="方正书宋简体" w:cs="方正书宋简体"/>
          <w:sz w:val="24"/>
          <w:szCs w:val="24"/>
        </w:rPr>
        <w:t>申请资料</w:t>
      </w:r>
      <w:r>
        <w:rPr>
          <w:rFonts w:hint="eastAsia" w:ascii="方正书宋简体" w:hAnsi="方正书宋简体" w:eastAsia="方正书宋简体" w:cs="方正书宋简体"/>
          <w:sz w:val="24"/>
          <w:szCs w:val="24"/>
          <w:lang w:eastAsia="zh-CN"/>
        </w:rPr>
        <w:t>后，</w:t>
      </w:r>
      <w:r>
        <w:rPr>
          <w:rFonts w:hint="eastAsia" w:ascii="方正书宋简体" w:hAnsi="方正书宋简体" w:eastAsia="方正书宋简体" w:cs="方正书宋简体"/>
          <w:sz w:val="24"/>
          <w:szCs w:val="24"/>
        </w:rPr>
        <w:t>应在30个工作日内对申请家庭的财产及收入状况进行资料</w:t>
      </w:r>
      <w:r>
        <w:rPr>
          <w:rFonts w:hint="eastAsia" w:ascii="方正书宋简体" w:hAnsi="方正书宋简体" w:eastAsia="方正书宋简体" w:cs="方正书宋简体"/>
          <w:sz w:val="24"/>
          <w:szCs w:val="24"/>
          <w:lang w:eastAsia="zh-CN"/>
        </w:rPr>
        <w:t>核查。</w:t>
      </w:r>
      <w:r>
        <w:rPr>
          <w:rFonts w:hint="eastAsia" w:ascii="方正书宋简体" w:hAnsi="方正书宋简体" w:eastAsia="方正书宋简体" w:cs="方正书宋简体"/>
          <w:sz w:val="24"/>
          <w:szCs w:val="24"/>
        </w:rPr>
        <w:t>相关部门按照第七条职责分工，在收到查询函之日起7个工作日内书面回复核查结果。经</w:t>
      </w:r>
      <w:r>
        <w:rPr>
          <w:rFonts w:hint="eastAsia" w:ascii="方正书宋简体" w:hAnsi="方正书宋简体" w:eastAsia="方正书宋简体" w:cs="方正书宋简体"/>
          <w:sz w:val="24"/>
          <w:szCs w:val="24"/>
          <w:lang w:eastAsia="zh-CN"/>
        </w:rPr>
        <w:t>核查</w:t>
      </w:r>
      <w:r>
        <w:rPr>
          <w:rFonts w:hint="eastAsia" w:ascii="方正书宋简体" w:hAnsi="方正书宋简体" w:eastAsia="方正书宋简体" w:cs="方正书宋简体"/>
          <w:sz w:val="24"/>
          <w:szCs w:val="24"/>
        </w:rPr>
        <w:t>认为申请人不符合</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条件的，应当核发《不予住房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资格通知书》，并说明理由。对符合条件的人选，由</w:t>
      </w:r>
      <w:r>
        <w:rPr>
          <w:rFonts w:hint="eastAsia" w:ascii="方正书宋简体" w:hAnsi="方正书宋简体" w:eastAsia="方正书宋简体" w:cs="方正书宋简体"/>
          <w:sz w:val="24"/>
          <w:szCs w:val="24"/>
          <w:lang w:eastAsia="zh-CN"/>
        </w:rPr>
        <w:t>市房产管理所雄州街道办事处</w:t>
      </w:r>
      <w:r>
        <w:rPr>
          <w:rFonts w:hint="eastAsia" w:ascii="方正书宋简体" w:hAnsi="方正书宋简体" w:eastAsia="方正书宋简体" w:cs="方正书宋简体"/>
          <w:sz w:val="24"/>
          <w:szCs w:val="24"/>
        </w:rPr>
        <w:t>在市住房保障网公示，公示期为7日。</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sz w:val="24"/>
          <w:szCs w:val="24"/>
          <w:lang w:eastAsia="zh-CN"/>
        </w:rPr>
        <w:t>市住房和城乡建设局自收到市房产管理所提交的申请材料之日起</w:t>
      </w:r>
      <w:r>
        <w:rPr>
          <w:rFonts w:hint="eastAsia" w:ascii="方正书宋简体" w:hAnsi="方正书宋简体" w:eastAsia="方正书宋简体" w:cs="方正书宋简体"/>
          <w:sz w:val="24"/>
          <w:szCs w:val="24"/>
          <w:lang w:val="en-US" w:eastAsia="zh-CN"/>
        </w:rPr>
        <w:t>20个工作日内进行</w:t>
      </w:r>
      <w:r>
        <w:rPr>
          <w:rFonts w:hint="eastAsia" w:ascii="方正书宋简体" w:hAnsi="方正书宋简体" w:eastAsia="方正书宋简体" w:cs="方正书宋简体"/>
          <w:sz w:val="24"/>
          <w:szCs w:val="24"/>
        </w:rPr>
        <w:t>审核</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审核结果直接作为</w:t>
      </w:r>
      <w:r>
        <w:rPr>
          <w:rFonts w:hint="eastAsia" w:ascii="方正书宋简体" w:hAnsi="方正书宋简体" w:eastAsia="方正书宋简体" w:cs="方正书宋简体"/>
          <w:sz w:val="24"/>
          <w:szCs w:val="24"/>
          <w:lang w:eastAsia="zh-CN"/>
        </w:rPr>
        <w:t>终</w:t>
      </w:r>
      <w:r>
        <w:rPr>
          <w:rFonts w:hint="eastAsia" w:ascii="方正书宋简体" w:hAnsi="方正书宋简体" w:eastAsia="方正书宋简体" w:cs="方正书宋简体"/>
          <w:sz w:val="24"/>
          <w:szCs w:val="24"/>
        </w:rPr>
        <w:t>审结果并在市</w:t>
      </w:r>
      <w:r>
        <w:rPr>
          <w:rFonts w:hint="eastAsia" w:ascii="方正书宋简体" w:hAnsi="方正书宋简体" w:eastAsia="方正书宋简体" w:cs="方正书宋简体"/>
          <w:sz w:val="24"/>
          <w:szCs w:val="24"/>
          <w:lang w:eastAsia="zh-CN"/>
        </w:rPr>
        <w:t>政府网</w:t>
      </w:r>
      <w:r>
        <w:rPr>
          <w:rFonts w:hint="eastAsia" w:ascii="方正书宋简体" w:hAnsi="方正书宋简体" w:eastAsia="方正书宋简体" w:cs="方正书宋简体"/>
          <w:sz w:val="24"/>
          <w:szCs w:val="24"/>
        </w:rPr>
        <w:t>公示，公示期为20日。经市住房和城乡建设局</w:t>
      </w:r>
      <w:r>
        <w:rPr>
          <w:rFonts w:hint="eastAsia" w:ascii="方正书宋简体" w:hAnsi="方正书宋简体" w:eastAsia="方正书宋简体" w:cs="方正书宋简体"/>
          <w:sz w:val="24"/>
          <w:szCs w:val="24"/>
          <w:lang w:eastAsia="zh-CN"/>
        </w:rPr>
        <w:t>复审、</w:t>
      </w:r>
      <w:r>
        <w:rPr>
          <w:rFonts w:hint="eastAsia" w:ascii="方正书宋简体" w:hAnsi="方正书宋简体" w:eastAsia="方正书宋简体" w:cs="方正书宋简体"/>
          <w:sz w:val="24"/>
          <w:szCs w:val="24"/>
        </w:rPr>
        <w:t>终审公示符合</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条件的家庭，由市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核发《准予</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资格通知书》，不符合</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条件的申请</w:t>
      </w:r>
      <w:r>
        <w:rPr>
          <w:rFonts w:hint="eastAsia" w:ascii="方正书宋简体" w:hAnsi="方正书宋简体" w:eastAsia="方正书宋简体" w:cs="方正书宋简体"/>
          <w:sz w:val="24"/>
          <w:szCs w:val="24"/>
          <w:lang w:eastAsia="zh-CN"/>
        </w:rPr>
        <w:t>资料应当退回市房产管理所</w:t>
      </w:r>
      <w:r>
        <w:rPr>
          <w:rFonts w:hint="eastAsia" w:ascii="方正书宋简体" w:hAnsi="方正书宋简体" w:eastAsia="方正书宋简体" w:cs="方正书宋简体"/>
          <w:sz w:val="24"/>
          <w:szCs w:val="24"/>
        </w:rPr>
        <w:t>，由市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核发《不予</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资格通知书》。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通知书统一由</w:t>
      </w:r>
      <w:r>
        <w:rPr>
          <w:rFonts w:hint="eastAsia" w:ascii="方正书宋简体" w:hAnsi="方正书宋简体" w:eastAsia="方正书宋简体" w:cs="方正书宋简体"/>
          <w:sz w:val="24"/>
          <w:szCs w:val="24"/>
          <w:lang w:eastAsia="zh-CN"/>
        </w:rPr>
        <w:t>雄州街道办事处</w:t>
      </w:r>
      <w:r>
        <w:rPr>
          <w:rFonts w:hint="eastAsia" w:ascii="方正书宋简体" w:hAnsi="方正书宋简体" w:eastAsia="方正书宋简体" w:cs="方正书宋简体"/>
          <w:sz w:val="24"/>
          <w:szCs w:val="24"/>
        </w:rPr>
        <w:t>负责送达。</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条　申请人获得</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资格的有效期为</w:t>
      </w:r>
      <w:r>
        <w:rPr>
          <w:rFonts w:hint="eastAsia" w:ascii="方正书宋简体" w:hAnsi="方正书宋简体" w:eastAsia="方正书宋简体" w:cs="方正书宋简体"/>
          <w:sz w:val="24"/>
          <w:szCs w:val="24"/>
          <w:lang w:val="en-US" w:eastAsia="zh-CN"/>
        </w:rPr>
        <w:t>6个月，起始时间以</w:t>
      </w:r>
      <w:r>
        <w:rPr>
          <w:rFonts w:hint="eastAsia" w:ascii="方正书宋简体" w:hAnsi="方正书宋简体" w:eastAsia="方正书宋简体" w:cs="方正书宋简体"/>
          <w:sz w:val="24"/>
          <w:szCs w:val="24"/>
        </w:rPr>
        <w:t>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核发</w:t>
      </w:r>
      <w:r>
        <w:rPr>
          <w:rFonts w:hint="eastAsia" w:ascii="方正书宋简体" w:hAnsi="方正书宋简体" w:eastAsia="方正书宋简体" w:cs="方正书宋简体"/>
          <w:sz w:val="24"/>
          <w:szCs w:val="24"/>
          <w:lang w:eastAsia="zh-CN"/>
        </w:rPr>
        <w:t>的</w:t>
      </w:r>
      <w:r>
        <w:rPr>
          <w:rFonts w:hint="eastAsia" w:ascii="方正书宋简体" w:hAnsi="方正书宋简体" w:eastAsia="方正书宋简体" w:cs="方正书宋简体"/>
          <w:sz w:val="24"/>
          <w:szCs w:val="24"/>
        </w:rPr>
        <w:t>《准予</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资格通知书》</w:t>
      </w:r>
      <w:r>
        <w:rPr>
          <w:rFonts w:hint="eastAsia" w:ascii="方正书宋简体" w:hAnsi="方正书宋简体" w:eastAsia="方正书宋简体" w:cs="方正书宋简体"/>
          <w:sz w:val="24"/>
          <w:szCs w:val="24"/>
          <w:lang w:eastAsia="zh-CN"/>
        </w:rPr>
        <w:t>载明的日期为准</w:t>
      </w:r>
      <w:r>
        <w:rPr>
          <w:rFonts w:hint="eastAsia" w:ascii="方正书宋简体" w:hAnsi="方正书宋简体" w:eastAsia="方正书宋简体" w:cs="方正书宋简体"/>
          <w:sz w:val="24"/>
          <w:szCs w:val="24"/>
        </w:rPr>
        <w:t>。</w:t>
      </w:r>
    </w:p>
    <w:p>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方正书宋简体" w:hAnsi="方正书宋简体" w:eastAsia="方正书宋简体" w:cs="方正书宋简体"/>
          <w:b w:val="0"/>
          <w:bCs w:val="0"/>
          <w:sz w:val="24"/>
          <w:szCs w:val="24"/>
        </w:rPr>
      </w:pPr>
    </w:p>
    <w:p>
      <w:pPr>
        <w:keepNext w:val="0"/>
        <w:keepLines w:val="0"/>
        <w:pageBreakBefore w:val="0"/>
        <w:numPr>
          <w:ilvl w:val="0"/>
          <w:numId w:val="0"/>
        </w:numPr>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b/>
          <w:bCs/>
          <w:sz w:val="24"/>
          <w:szCs w:val="24"/>
          <w:lang w:val="en-US" w:eastAsia="zh-CN"/>
        </w:rPr>
        <w:t>第四节</w:t>
      </w:r>
      <w:r>
        <w:rPr>
          <w:rFonts w:hint="eastAsia" w:ascii="方正书宋简体" w:hAnsi="方正书宋简体" w:eastAsia="方正书宋简体" w:cs="方正书宋简体"/>
          <w:b/>
          <w:bCs/>
          <w:sz w:val="24"/>
          <w:szCs w:val="24"/>
        </w:rPr>
        <w:t>　申请资料</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条　低收入、中等偏下收入住房困难家庭类申请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申请人与共同申请人均应提供身份证、户口簿等证明。有工作单位的，提交申请之日前连续12个月的收入证明；无工作单位或失业的，提交就业创业证或就业失业登记证；领取最低生活保障金的，提交低保证；已达退休年龄并领取养老金的，提供退休证。</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条　非本市户籍的共同申请人，须结合本人实际情况提供相关的经济状况证明。</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共同申请人在本市工作生活的，由</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通过入户调查核实情况，参照本市户籍人口提供相关的经济状况证明。</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共同申请人在外地工作的，提交外地工作单位收入证明、工作单位所在地税务部门的社会保险扣除记录清单</w:t>
      </w:r>
      <w:r>
        <w:rPr>
          <w:rFonts w:hint="eastAsia" w:ascii="方正书宋简体" w:hAnsi="方正书宋简体" w:eastAsia="方正书宋简体" w:cs="方正书宋简体"/>
          <w:sz w:val="24"/>
          <w:szCs w:val="24"/>
          <w:lang w:eastAsia="zh-CN"/>
        </w:rPr>
        <w:t>及个人所得税申报记录</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六</w:t>
      </w:r>
      <w:r>
        <w:rPr>
          <w:rFonts w:hint="eastAsia" w:ascii="方正书宋简体" w:hAnsi="方正书宋简体" w:eastAsia="方正书宋简体" w:cs="方正书宋简体"/>
          <w:sz w:val="24"/>
          <w:szCs w:val="24"/>
        </w:rPr>
        <w:t>条　申请人及共同申请人须提交婚姻状况证明资料，已婚的提供结婚证或证明；离异的提供离婚证或离婚协议书、法院判决（裁定）书复印件；丧偶的提供死亡证。</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七</w:t>
      </w:r>
      <w:r>
        <w:rPr>
          <w:rFonts w:hint="eastAsia" w:ascii="方正书宋简体" w:hAnsi="方正书宋简体" w:eastAsia="方正书宋简体" w:cs="方正书宋简体"/>
          <w:sz w:val="24"/>
          <w:szCs w:val="24"/>
        </w:rPr>
        <w:t>条　申请人或共同申请人患重大疾病的，应提供二甲以上（含）医院出具的诊断证明。患有精神分裂症疾病或不具有完全民事行为能力的，应提交监护人监护保证书。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b w:val="0"/>
          <w:bCs/>
          <w:sz w:val="24"/>
          <w:szCs w:val="24"/>
        </w:rPr>
        <w:t>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八</w:t>
      </w:r>
      <w:r>
        <w:rPr>
          <w:rFonts w:hint="eastAsia" w:ascii="方正书宋简体" w:hAnsi="方正书宋简体" w:eastAsia="方正书宋简体" w:cs="方正书宋简体"/>
          <w:sz w:val="24"/>
          <w:szCs w:val="24"/>
        </w:rPr>
        <w:t>条　家庭收入包括申请人和共同申请人扣除缴纳的个人所得税以及个人缴纳的社会保险和住房公积金支出后的工薪收入、经营性净收入等。</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按照国家规定优抚对象依法享受的抚恤金、补助金、优待金和护理费等待遇；计划生育奖励与扶助金、教育奖（助）学金、见义勇为等奖励性补助；给予独生子女死亡或伤残家庭的特别扶助金等，在准入审核中不计入家庭收入。</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申请人和共同申请人以单位名义纳税或者缴交社保的，其工资额作为认定收入的依据</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以个人名义纳税或者缴交社保的，高于社保部门公布的最低缴费基数的，以实际缴交标准作为收入认定依据</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以社保部门公布的最低缴费基数缴交的，结合入户调查及申请人实际申报额及家庭资产情况确定。申请人和共同申请人无工作单位、有劳动能力的按照最低工资收入核定收入。</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九</w:t>
      </w:r>
      <w:r>
        <w:rPr>
          <w:rFonts w:hint="eastAsia" w:ascii="方正书宋简体" w:hAnsi="方正书宋简体" w:eastAsia="方正书宋简体" w:cs="方正书宋简体"/>
          <w:sz w:val="24"/>
          <w:szCs w:val="24"/>
        </w:rPr>
        <w:t>条　申请人和共同申请人提供或经调查的单位收入证明、</w:t>
      </w:r>
      <w:r>
        <w:rPr>
          <w:rFonts w:hint="eastAsia" w:ascii="方正书宋简体" w:hAnsi="方正书宋简体" w:eastAsia="方正书宋简体" w:cs="方正书宋简体"/>
          <w:sz w:val="24"/>
          <w:szCs w:val="24"/>
          <w:lang w:eastAsia="zh-CN"/>
        </w:rPr>
        <w:t>个人所得税申报记录</w:t>
      </w:r>
      <w:r>
        <w:rPr>
          <w:rFonts w:hint="eastAsia" w:ascii="方正书宋简体" w:hAnsi="方正书宋简体" w:eastAsia="方正书宋简体" w:cs="方正书宋简体"/>
          <w:sz w:val="24"/>
          <w:szCs w:val="24"/>
        </w:rPr>
        <w:t>、社保清单数额不一致的，以数额最高者作为计算依据。申请人认为记录有误的，以相关部门纠正后的记录作为计算依据。</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十条　家庭人均收入以受理申请之日前连续12个月的总收入为计算时限。</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条　申请人或共同申请人属于优抚对象、孤老病残人员、见义勇为人员的，须提供民政部门及政府或相关部门的认定材料。</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　新就业职工</w:t>
      </w:r>
      <w:r>
        <w:rPr>
          <w:rFonts w:hint="eastAsia" w:ascii="方正书宋简体" w:hAnsi="方正书宋简体" w:eastAsia="方正书宋简体" w:cs="方正书宋简体"/>
          <w:sz w:val="24"/>
          <w:szCs w:val="24"/>
          <w:lang w:eastAsia="zh-CN"/>
        </w:rPr>
        <w:t>、专业技术人才</w:t>
      </w:r>
      <w:r>
        <w:rPr>
          <w:rFonts w:hint="eastAsia" w:ascii="方正书宋简体" w:hAnsi="方正书宋简体" w:eastAsia="方正书宋简体" w:cs="方正书宋简体"/>
          <w:sz w:val="24"/>
          <w:szCs w:val="24"/>
        </w:rPr>
        <w:t>学历及就业时间以最后一个全日制学历和毕业时间确定。</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条　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所需的资料应由</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以清单方式书面告知申请人，或张贴在公示栏。</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rPr>
        <w:t>　</w:t>
      </w:r>
      <w:r>
        <w:rPr>
          <w:rFonts w:hint="eastAsia" w:ascii="方正黑体简体" w:hAnsi="方正黑体简体" w:eastAsia="方正黑体简体" w:cs="方正黑体简体"/>
          <w:sz w:val="24"/>
          <w:szCs w:val="24"/>
          <w:lang w:val="en-US" w:eastAsia="zh-CN"/>
        </w:rPr>
        <w:t xml:space="preserve">第四章 </w:t>
      </w:r>
      <w:r>
        <w:rPr>
          <w:rFonts w:hint="eastAsia" w:ascii="方正黑体简体" w:hAnsi="方正黑体简体" w:eastAsia="方正黑体简体" w:cs="方正黑体简体"/>
          <w:sz w:val="24"/>
          <w:szCs w:val="24"/>
          <w:lang w:eastAsia="zh-CN"/>
        </w:rPr>
        <w:t>租赁</w:t>
      </w:r>
      <w:r>
        <w:rPr>
          <w:rFonts w:hint="eastAsia" w:ascii="方正黑体简体" w:hAnsi="方正黑体简体" w:eastAsia="方正黑体简体" w:cs="方正黑体简体"/>
          <w:sz w:val="24"/>
          <w:szCs w:val="24"/>
        </w:rPr>
        <w:t>方式和标准</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条　对符合</w:t>
      </w:r>
      <w:r>
        <w:rPr>
          <w:rFonts w:hint="eastAsia" w:ascii="方正书宋简体" w:hAnsi="方正书宋简体" w:eastAsia="方正书宋简体" w:cs="方正书宋简体"/>
          <w:sz w:val="24"/>
          <w:szCs w:val="24"/>
          <w:lang w:eastAsia="zh-CN"/>
        </w:rPr>
        <w:t>租赁条件的家庭，市房产管理所进行房屋租赁。</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eastAsia="zh-CN"/>
        </w:rPr>
        <w:t>对</w:t>
      </w:r>
      <w:r>
        <w:rPr>
          <w:rFonts w:hint="eastAsia" w:ascii="方正书宋简体" w:hAnsi="方正书宋简体" w:eastAsia="方正书宋简体" w:cs="方正书宋简体"/>
          <w:sz w:val="24"/>
          <w:szCs w:val="24"/>
        </w:rPr>
        <w:t>患有精神疾病或不具有完全民事行为能力的申请人，无监护人共居同住的不安</w:t>
      </w:r>
      <w:r>
        <w:rPr>
          <w:rFonts w:hint="eastAsia" w:ascii="方正书宋简体" w:hAnsi="方正书宋简体" w:eastAsia="方正书宋简体" w:cs="方正书宋简体"/>
          <w:sz w:val="24"/>
          <w:szCs w:val="24"/>
          <w:lang w:eastAsia="zh-CN"/>
        </w:rPr>
        <w:t>排租赁</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条　承租政府</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的承租人，按市场租金水平的一定比例支付租金：承租</w:t>
      </w:r>
      <w:r>
        <w:rPr>
          <w:rFonts w:hint="eastAsia" w:ascii="方正书宋简体" w:hAnsi="方正书宋简体" w:eastAsia="方正书宋简体" w:cs="方正书宋简体"/>
          <w:sz w:val="24"/>
          <w:szCs w:val="24"/>
          <w:lang w:eastAsia="zh-CN"/>
        </w:rPr>
        <w:t>框架结构房屋</w:t>
      </w:r>
      <w:r>
        <w:rPr>
          <w:rFonts w:hint="eastAsia" w:ascii="方正书宋简体" w:hAnsi="方正书宋简体" w:eastAsia="方正书宋简体" w:cs="方正书宋简体"/>
          <w:sz w:val="24"/>
          <w:szCs w:val="24"/>
        </w:rPr>
        <w:t>家庭类按照</w:t>
      </w:r>
      <w:r>
        <w:rPr>
          <w:rFonts w:hint="eastAsia" w:ascii="方正书宋简体" w:hAnsi="方正书宋简体" w:eastAsia="方正书宋简体" w:cs="方正书宋简体"/>
          <w:sz w:val="24"/>
          <w:szCs w:val="24"/>
          <w:lang w:val="en-US" w:eastAsia="zh-CN"/>
        </w:rPr>
        <w:t>50</w:t>
      </w:r>
      <w:r>
        <w:rPr>
          <w:rFonts w:hint="eastAsia" w:ascii="方正书宋简体" w:hAnsi="方正书宋简体" w:eastAsia="方正书宋简体" w:cs="方正书宋简体"/>
          <w:sz w:val="24"/>
          <w:szCs w:val="24"/>
        </w:rPr>
        <w:t>%收取，承租</w:t>
      </w:r>
      <w:r>
        <w:rPr>
          <w:rFonts w:hint="eastAsia" w:ascii="方正书宋简体" w:hAnsi="方正书宋简体" w:eastAsia="方正书宋简体" w:cs="方正书宋简体"/>
          <w:sz w:val="24"/>
          <w:szCs w:val="24"/>
          <w:lang w:eastAsia="zh-CN"/>
        </w:rPr>
        <w:t>混合结构房屋</w:t>
      </w:r>
      <w:r>
        <w:rPr>
          <w:rFonts w:hint="eastAsia" w:ascii="方正书宋简体" w:hAnsi="方正书宋简体" w:eastAsia="方正书宋简体" w:cs="方正书宋简体"/>
          <w:sz w:val="24"/>
          <w:szCs w:val="24"/>
        </w:rPr>
        <w:t>家庭类的按照</w:t>
      </w:r>
      <w:r>
        <w:rPr>
          <w:rFonts w:hint="eastAsia" w:ascii="方正书宋简体" w:hAnsi="方正书宋简体" w:eastAsia="方正书宋简体" w:cs="方正书宋简体"/>
          <w:sz w:val="24"/>
          <w:szCs w:val="24"/>
          <w:lang w:val="en-US" w:eastAsia="zh-CN"/>
        </w:rPr>
        <w:t>4</w:t>
      </w:r>
      <w:r>
        <w:rPr>
          <w:rFonts w:hint="eastAsia" w:ascii="方正书宋简体" w:hAnsi="方正书宋简体" w:eastAsia="方正书宋简体" w:cs="方正书宋简体"/>
          <w:sz w:val="24"/>
          <w:szCs w:val="24"/>
        </w:rPr>
        <w:t>0%收取；承租</w:t>
      </w:r>
      <w:r>
        <w:rPr>
          <w:rFonts w:hint="eastAsia" w:ascii="方正书宋简体" w:hAnsi="方正书宋简体" w:eastAsia="方正书宋简体" w:cs="方正书宋简体"/>
          <w:sz w:val="24"/>
          <w:szCs w:val="24"/>
          <w:lang w:eastAsia="zh-CN"/>
        </w:rPr>
        <w:t>砖木结构房屋</w:t>
      </w:r>
      <w:r>
        <w:rPr>
          <w:rFonts w:hint="eastAsia" w:ascii="方正书宋简体" w:hAnsi="方正书宋简体" w:eastAsia="方正书宋简体" w:cs="方正书宋简体"/>
          <w:sz w:val="24"/>
          <w:szCs w:val="24"/>
        </w:rPr>
        <w:t>家庭类的按照</w:t>
      </w:r>
      <w:r>
        <w:rPr>
          <w:rFonts w:hint="eastAsia" w:ascii="方正书宋简体" w:hAnsi="方正书宋简体" w:eastAsia="方正书宋简体" w:cs="方正书宋简体"/>
          <w:sz w:val="24"/>
          <w:szCs w:val="24"/>
          <w:lang w:val="en-US" w:eastAsia="zh-CN"/>
        </w:rPr>
        <w:t>2</w:t>
      </w:r>
      <w:r>
        <w:rPr>
          <w:rFonts w:hint="eastAsia" w:ascii="方正书宋简体" w:hAnsi="方正书宋简体" w:eastAsia="方正书宋简体" w:cs="方正书宋简体"/>
          <w:sz w:val="24"/>
          <w:szCs w:val="24"/>
        </w:rPr>
        <w:t>0%收取</w:t>
      </w:r>
      <w:r>
        <w:rPr>
          <w:rFonts w:hint="eastAsia" w:ascii="方正书宋简体" w:hAnsi="方正书宋简体" w:eastAsia="方正书宋简体" w:cs="方正书宋简体"/>
          <w:sz w:val="24"/>
          <w:szCs w:val="24"/>
          <w:lang w:eastAsia="zh-CN"/>
        </w:rPr>
        <w:t>。</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为保证租赁合同的正常履行，承租人租赁</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住宅应当缴纳履约保证金并在租赁合同中约定标准和金额，保证金总额不得超过每月市场租金的</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rPr>
        <w:t>倍。</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六</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周边同地段、同类型住房的市场租金，由市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定期委托具有资质的房地产市场评估机构进行评估，确定市场平均租金。</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lang w:val="en-US" w:eastAsia="zh-CN"/>
        </w:rPr>
        <w:t xml:space="preserve">第五章  </w:t>
      </w:r>
      <w:r>
        <w:rPr>
          <w:rFonts w:hint="eastAsia" w:ascii="方正黑体简体" w:hAnsi="方正黑体简体" w:eastAsia="方正黑体简体" w:cs="方正黑体简体"/>
          <w:sz w:val="24"/>
          <w:szCs w:val="24"/>
          <w:lang w:eastAsia="zh-CN"/>
        </w:rPr>
        <w:t>配租</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七</w:t>
      </w:r>
      <w:r>
        <w:rPr>
          <w:rFonts w:hint="eastAsia" w:ascii="方正书宋简体" w:hAnsi="方正书宋简体" w:eastAsia="方正书宋简体" w:cs="方正书宋简体"/>
          <w:sz w:val="24"/>
          <w:szCs w:val="24"/>
        </w:rPr>
        <w:t>条　本办法所称配租，是指经过审核</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公示通过符合条件的</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住房申请对象，按本办法的规定进入参与配租登记，根据配租原则并按程序对其分配</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八</w:t>
      </w:r>
      <w:r>
        <w:rPr>
          <w:rFonts w:hint="eastAsia" w:ascii="方正书宋简体" w:hAnsi="方正书宋简体" w:eastAsia="方正书宋简体" w:cs="方正书宋简体"/>
          <w:sz w:val="24"/>
          <w:szCs w:val="24"/>
        </w:rPr>
        <w:t>条　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负责统筹、组织、实施和落实</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的配租工作</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九</w:t>
      </w:r>
      <w:r>
        <w:rPr>
          <w:rFonts w:hint="eastAsia" w:ascii="方正书宋简体" w:hAnsi="方正书宋简体" w:eastAsia="方正书宋简体" w:cs="方正书宋简体"/>
          <w:sz w:val="24"/>
          <w:szCs w:val="24"/>
        </w:rPr>
        <w:t>条　在</w:t>
      </w:r>
      <w:r>
        <w:rPr>
          <w:rFonts w:hint="eastAsia" w:ascii="方正书宋简体" w:hAnsi="方正书宋简体" w:eastAsia="方正书宋简体" w:cs="方正书宋简体"/>
          <w:sz w:val="24"/>
          <w:szCs w:val="24"/>
          <w:lang w:eastAsia="zh-CN"/>
        </w:rPr>
        <w:t>配租</w:t>
      </w:r>
      <w:r>
        <w:rPr>
          <w:rFonts w:hint="eastAsia" w:ascii="方正书宋简体" w:hAnsi="方正书宋简体" w:eastAsia="方正书宋简体" w:cs="方正书宋简体"/>
          <w:sz w:val="24"/>
          <w:szCs w:val="24"/>
        </w:rPr>
        <w:t>期间，申请人家庭成员、户籍、收入、住房及财产等情况发生变化，应当自改变之日起30日内如实向</w:t>
      </w:r>
      <w:r>
        <w:rPr>
          <w:rFonts w:hint="eastAsia" w:ascii="方正书宋简体" w:hAnsi="方正书宋简体" w:eastAsia="方正书宋简体" w:cs="方正书宋简体"/>
          <w:sz w:val="24"/>
          <w:szCs w:val="24"/>
          <w:lang w:eastAsia="zh-CN"/>
        </w:rPr>
        <w:t>市房产管理所</w:t>
      </w:r>
      <w:r>
        <w:rPr>
          <w:rFonts w:hint="eastAsia" w:ascii="方正书宋简体" w:hAnsi="方正书宋简体" w:eastAsia="方正书宋简体" w:cs="方正书宋简体"/>
          <w:sz w:val="24"/>
          <w:szCs w:val="24"/>
        </w:rPr>
        <w:t>申报，</w:t>
      </w:r>
      <w:r>
        <w:rPr>
          <w:rFonts w:hint="eastAsia" w:ascii="方正书宋简体" w:hAnsi="方正书宋简体" w:eastAsia="方正书宋简体" w:cs="方正书宋简体"/>
          <w:sz w:val="24"/>
          <w:szCs w:val="24"/>
          <w:lang w:eastAsia="zh-CN"/>
        </w:rPr>
        <w:t>市房产管理所</w:t>
      </w:r>
      <w:r>
        <w:rPr>
          <w:rFonts w:hint="eastAsia" w:ascii="方正书宋简体" w:hAnsi="方正书宋简体" w:eastAsia="方正书宋简体" w:cs="方正书宋简体"/>
          <w:sz w:val="24"/>
          <w:szCs w:val="24"/>
        </w:rPr>
        <w:t>应对其资格进行核定并确定是否保留其申请资格，以下情况申请人及共同申请人资格不受影响：</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（一）申请人因去世、丧失民事行为能力或被依法限制人身自由等原因，需要变更申请人的；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（二）申请人不变，共同申请的家庭人员发生变化。</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的配租排序，按照是否属于优先保障家庭等因素确定，具体排序规则为：</w:t>
      </w:r>
    </w:p>
    <w:p>
      <w:pPr>
        <w:keepNext w:val="0"/>
        <w:keepLines w:val="0"/>
        <w:pageBreakBefore w:val="0"/>
        <w:numPr>
          <w:ilvl w:val="0"/>
          <w:numId w:val="5"/>
        </w:numPr>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政府直接实施的棚户区改造或危旧房改造中的拆迁</w:t>
      </w:r>
      <w:r>
        <w:rPr>
          <w:rFonts w:hint="eastAsia" w:ascii="方正书宋简体" w:hAnsi="方正书宋简体" w:eastAsia="方正书宋简体" w:cs="方正书宋简体"/>
          <w:sz w:val="24"/>
          <w:szCs w:val="24"/>
          <w:lang w:eastAsia="zh-CN"/>
        </w:rPr>
        <w:t>安置</w:t>
      </w:r>
      <w:r>
        <w:rPr>
          <w:rFonts w:hint="eastAsia" w:ascii="方正书宋简体" w:hAnsi="方正书宋简体" w:eastAsia="方正书宋简体" w:cs="方正书宋简体"/>
          <w:sz w:val="24"/>
          <w:szCs w:val="24"/>
        </w:rPr>
        <w:t>户，经审核符合条件的</w:t>
      </w:r>
      <w:r>
        <w:rPr>
          <w:rFonts w:hint="eastAsia" w:ascii="方正书宋简体" w:hAnsi="方正书宋简体" w:eastAsia="方正书宋简体" w:cs="方正书宋简体"/>
          <w:sz w:val="24"/>
          <w:szCs w:val="24"/>
          <w:lang w:eastAsia="zh-CN"/>
        </w:rPr>
        <w:t>家庭</w:t>
      </w:r>
      <w:r>
        <w:rPr>
          <w:rFonts w:hint="eastAsia" w:ascii="方正书宋简体" w:hAnsi="方正书宋简体" w:eastAsia="方正书宋简体" w:cs="方正书宋简体"/>
          <w:sz w:val="24"/>
          <w:szCs w:val="24"/>
        </w:rPr>
        <w:t>；</w:t>
      </w:r>
    </w:p>
    <w:p>
      <w:pPr>
        <w:keepNext w:val="0"/>
        <w:keepLines w:val="0"/>
        <w:pageBreakBefore w:val="0"/>
        <w:numPr>
          <w:ilvl w:val="0"/>
          <w:numId w:val="5"/>
        </w:numPr>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新就业职工</w:t>
      </w:r>
      <w:r>
        <w:rPr>
          <w:rFonts w:hint="eastAsia" w:ascii="方正书宋简体" w:hAnsi="方正书宋简体" w:eastAsia="方正书宋简体" w:cs="方正书宋简体"/>
          <w:sz w:val="24"/>
          <w:szCs w:val="24"/>
          <w:lang w:eastAsia="zh-CN"/>
        </w:rPr>
        <w:t>、专业技术人；</w:t>
      </w:r>
    </w:p>
    <w:p>
      <w:pPr>
        <w:keepNext w:val="0"/>
        <w:keepLines w:val="0"/>
        <w:pageBreakBefore w:val="0"/>
        <w:numPr>
          <w:ilvl w:val="0"/>
          <w:numId w:val="5"/>
        </w:numPr>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低收入等住房困难家庭；</w:t>
      </w:r>
      <w:r>
        <w:rPr>
          <w:rFonts w:hint="eastAsia" w:ascii="方正书宋简体" w:hAnsi="方正书宋简体" w:eastAsia="方正书宋简体" w:cs="方正书宋简体"/>
          <w:sz w:val="24"/>
          <w:szCs w:val="24"/>
          <w:lang w:val="en-US" w:eastAsia="zh-CN"/>
        </w:rPr>
        <w:t xml:space="preserve"> </w:t>
      </w:r>
    </w:p>
    <w:p>
      <w:pPr>
        <w:keepNext w:val="0"/>
        <w:keepLines w:val="0"/>
        <w:pageBreakBefore w:val="0"/>
        <w:numPr>
          <w:ilvl w:val="0"/>
          <w:numId w:val="5"/>
        </w:numPr>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eastAsia="zh-CN"/>
        </w:rPr>
        <w:t>中</w:t>
      </w:r>
      <w:r>
        <w:rPr>
          <w:rFonts w:hint="eastAsia" w:ascii="方正书宋简体" w:hAnsi="方正书宋简体" w:eastAsia="方正书宋简体" w:cs="方正书宋简体"/>
          <w:sz w:val="24"/>
          <w:szCs w:val="24"/>
        </w:rPr>
        <w:t>低收入等住房困难家庭；</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同一</w:t>
      </w:r>
      <w:r>
        <w:rPr>
          <w:rFonts w:hint="eastAsia" w:ascii="方正书宋简体" w:hAnsi="方正书宋简体" w:eastAsia="方正书宋简体" w:cs="方正书宋简体"/>
          <w:sz w:val="24"/>
          <w:szCs w:val="24"/>
          <w:lang w:eastAsia="zh-CN"/>
        </w:rPr>
        <w:t>配租</w:t>
      </w:r>
      <w:r>
        <w:rPr>
          <w:rFonts w:hint="eastAsia" w:ascii="方正书宋简体" w:hAnsi="方正书宋简体" w:eastAsia="方正书宋简体" w:cs="方正书宋简体"/>
          <w:sz w:val="24"/>
          <w:szCs w:val="24"/>
        </w:rPr>
        <w:t>次序中，多人口家庭优先配租。</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条　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根据本年度可供分配的</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住房房源及轮候列位的申请人情况，制定</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配租方案。配租方案应当按照第</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九</w:t>
      </w:r>
      <w:r>
        <w:rPr>
          <w:rFonts w:hint="eastAsia" w:ascii="方正书宋简体" w:hAnsi="方正书宋简体" w:eastAsia="方正书宋简体" w:cs="方正书宋简体"/>
          <w:sz w:val="24"/>
          <w:szCs w:val="24"/>
        </w:rPr>
        <w:t>条确定配租顺序，明确配租的原则、拟配租的类别、拟配租的房源数量及各类别的配租房源数量、租金标准、物业管理费标准等内容。配租方案应向社会公布，公布内容包括房源的位置、数量、户型、面积、配租原则、租金标准等内容。</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　根据可配租房源的情况，按照房源数与参加配租家庭最高不超过1:1.5的比例确定配租候选家庭</w:t>
      </w:r>
      <w:r>
        <w:rPr>
          <w:rFonts w:hint="eastAsia" w:ascii="方正书宋简体" w:hAnsi="方正书宋简体" w:eastAsia="方正书宋简体" w:cs="方正书宋简体"/>
          <w:sz w:val="24"/>
          <w:szCs w:val="24"/>
          <w:lang w:eastAsia="zh-CN"/>
        </w:rPr>
        <w:t>。</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lang w:val="en-US" w:eastAsia="zh-CN"/>
        </w:rPr>
        <w:t>第六章　使用管理和退出</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合同，由市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与住户签订并报市住房和城乡建设局备案。</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条　对</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家庭合同期满前6个月内进行定期资格复核。市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向在保家庭核发《住房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资格定期复核通知书》，通知书应明确复核的时间及需要提供的资料。</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未按时提交资料参加资格定期复核的</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家庭，资格定期复核期限届满的次月起由市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取消其住房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资格，并核发《取消住房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资格通知书》。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将符合</w:t>
      </w:r>
      <w:r>
        <w:rPr>
          <w:rFonts w:hint="eastAsia" w:ascii="方正书宋简体" w:hAnsi="方正书宋简体" w:eastAsia="方正书宋简体" w:cs="方正书宋简体"/>
          <w:sz w:val="24"/>
          <w:szCs w:val="24"/>
          <w:lang w:eastAsia="zh-CN"/>
        </w:rPr>
        <w:t>直管公房租赁</w:t>
      </w:r>
      <w:r>
        <w:rPr>
          <w:rFonts w:hint="eastAsia" w:ascii="方正书宋简体" w:hAnsi="方正书宋简体" w:eastAsia="方正书宋简体" w:cs="方正书宋简体"/>
          <w:sz w:val="24"/>
          <w:szCs w:val="24"/>
        </w:rPr>
        <w:t>条件的申请资料报送市住房和城乡建设局，市住房和城乡建设局复核后，对不再符合住房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条件的家庭，市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核发《取消住房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资格通知书》。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条　建立</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过渡</w:t>
      </w:r>
      <w:r>
        <w:rPr>
          <w:rFonts w:hint="eastAsia" w:ascii="方正书宋简体" w:hAnsi="方正书宋简体" w:eastAsia="方正书宋简体" w:cs="方正书宋简体"/>
          <w:sz w:val="24"/>
          <w:szCs w:val="24"/>
          <w:lang w:eastAsia="zh-CN"/>
        </w:rPr>
        <w:t>租赁线</w:t>
      </w:r>
      <w:r>
        <w:rPr>
          <w:rFonts w:hint="eastAsia" w:ascii="方正书宋简体" w:hAnsi="方正书宋简体" w:eastAsia="方正书宋简体" w:cs="方正书宋简体"/>
          <w:sz w:val="24"/>
          <w:szCs w:val="24"/>
        </w:rPr>
        <w:t>制度。</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家庭有下列情形之一超出规定</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类别标准一定幅度的，仍保留其原</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类别的住房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资格，由</w:t>
      </w:r>
      <w:r>
        <w:rPr>
          <w:rFonts w:hint="eastAsia" w:ascii="方正书宋简体" w:hAnsi="方正书宋简体" w:eastAsia="方正书宋简体" w:cs="方正书宋简体"/>
          <w:sz w:val="24"/>
          <w:szCs w:val="24"/>
          <w:lang w:eastAsia="zh-CN"/>
        </w:rPr>
        <w:t>市房产管理所</w:t>
      </w:r>
      <w:r>
        <w:rPr>
          <w:rFonts w:hint="eastAsia" w:ascii="方正书宋简体" w:hAnsi="方正书宋简体" w:eastAsia="方正书宋简体" w:cs="方正书宋简体"/>
          <w:sz w:val="24"/>
          <w:szCs w:val="24"/>
        </w:rPr>
        <w:t>初审，报市</w:t>
      </w:r>
      <w:r>
        <w:rPr>
          <w:rFonts w:hint="eastAsia" w:ascii="方正书宋简体" w:hAnsi="方正书宋简体" w:eastAsia="方正书宋简体" w:cs="方正书宋简体"/>
          <w:sz w:val="24"/>
          <w:szCs w:val="24"/>
          <w:lang w:eastAsia="zh-CN"/>
        </w:rPr>
        <w:t>城乡建设局</w:t>
      </w:r>
      <w:r>
        <w:rPr>
          <w:rFonts w:hint="eastAsia" w:ascii="方正书宋简体" w:hAnsi="方正书宋简体" w:eastAsia="方正书宋简体" w:cs="方正书宋简体"/>
          <w:sz w:val="24"/>
          <w:szCs w:val="24"/>
        </w:rPr>
        <w:t>复审后，市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根据复审结果核发《过渡</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资格通知书》：</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（一）因购买住房原因已不符合规定的，</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家庭可以申请继续租住原住房至所购住房入住时间，但必须从购房之月起次月按照市场租金缴交租金；</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）所购住房为精装修的（含二手房），过渡</w:t>
      </w:r>
      <w:r>
        <w:rPr>
          <w:rFonts w:hint="eastAsia" w:ascii="方正书宋简体" w:hAnsi="方正书宋简体" w:eastAsia="方正书宋简体" w:cs="方正书宋简体"/>
          <w:sz w:val="24"/>
          <w:szCs w:val="24"/>
          <w:lang w:eastAsia="zh-CN"/>
        </w:rPr>
        <w:t>租赁期为</w:t>
      </w:r>
      <w:r>
        <w:rPr>
          <w:rFonts w:hint="eastAsia" w:ascii="方正书宋简体" w:hAnsi="方正书宋简体" w:eastAsia="方正书宋简体" w:cs="方正书宋简体"/>
          <w:sz w:val="24"/>
          <w:szCs w:val="24"/>
          <w:lang w:val="en-US" w:eastAsia="zh-CN"/>
        </w:rPr>
        <w:t>6</w:t>
      </w:r>
      <w:r>
        <w:rPr>
          <w:rFonts w:hint="eastAsia" w:ascii="方正书宋简体" w:hAnsi="方正书宋简体" w:eastAsia="方正书宋简体" w:cs="方正书宋简体"/>
          <w:sz w:val="24"/>
          <w:szCs w:val="24"/>
        </w:rPr>
        <w:t>个月；所购住房为毛坯的，过渡</w:t>
      </w:r>
      <w:r>
        <w:rPr>
          <w:rFonts w:hint="eastAsia" w:ascii="方正书宋简体" w:hAnsi="方正书宋简体" w:eastAsia="方正书宋简体" w:cs="方正书宋简体"/>
          <w:sz w:val="24"/>
          <w:szCs w:val="24"/>
          <w:lang w:eastAsia="zh-CN"/>
        </w:rPr>
        <w:t>租赁期</w:t>
      </w:r>
      <w:r>
        <w:rPr>
          <w:rFonts w:hint="eastAsia" w:ascii="方正书宋简体" w:hAnsi="方正书宋简体" w:eastAsia="方正书宋简体" w:cs="方正书宋简体"/>
          <w:sz w:val="24"/>
          <w:szCs w:val="24"/>
          <w:lang w:val="en-US" w:eastAsia="zh-CN"/>
        </w:rPr>
        <w:t>12</w:t>
      </w:r>
      <w:r>
        <w:rPr>
          <w:rFonts w:hint="eastAsia" w:ascii="方正书宋简体" w:hAnsi="方正书宋简体" w:eastAsia="方正书宋简体" w:cs="方正书宋简体"/>
          <w:sz w:val="24"/>
          <w:szCs w:val="24"/>
        </w:rPr>
        <w:t>个月计算</w:t>
      </w:r>
      <w:r>
        <w:rPr>
          <w:rFonts w:hint="eastAsia" w:ascii="方正书宋简体" w:hAnsi="方正书宋简体" w:eastAsia="方正书宋简体" w:cs="方正书宋简体"/>
          <w:sz w:val="24"/>
          <w:szCs w:val="24"/>
          <w:lang w:eastAsia="zh-CN"/>
        </w:rPr>
        <w:t>，过渡期从房屋竣工验收之日算起，过渡期租金按</w:t>
      </w:r>
      <w:r>
        <w:rPr>
          <w:rFonts w:hint="eastAsia" w:ascii="方正书宋简体" w:hAnsi="方正书宋简体" w:eastAsia="方正书宋简体" w:cs="方正书宋简体"/>
          <w:sz w:val="24"/>
          <w:szCs w:val="24"/>
        </w:rPr>
        <w:t>市场租金缴交。</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六</w:t>
      </w:r>
      <w:r>
        <w:rPr>
          <w:rFonts w:hint="eastAsia" w:ascii="方正书宋简体" w:hAnsi="方正书宋简体" w:eastAsia="方正书宋简体" w:cs="方正书宋简体"/>
          <w:sz w:val="24"/>
          <w:szCs w:val="24"/>
        </w:rPr>
        <w:t>条　申请</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后承租人及家庭成员有下列情形之一的，承租人应当按规定退出</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（一）提供虚假证明材料等欺骗方式取得公共租赁住房的；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（二）家庭收入、人口、住房（含自建、购买、受赠）等情况发生变化，不再符合公共租赁住房保障条件的；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（三）擅自互换、出借、转租、抵押所承租</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（四）将所承租</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用于经营性用途或者改变使用功能的；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（五）无正当理由连续闲置</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住房6个月以上的；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（六）无正当理由累计3个月以上未交纳租金、物业管理费及其他费用的；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（七）因故意或者重大过失，造成所承租的</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严重损毁的；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（八）擅自装修所承租</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，拒不恢复原状的；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（九）在</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内从事违法活动的；</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（十）租期届满，提出续租申请经审核不再符合续租条件的；</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（十一）法律、法规或者合同约定的其他违法、违约情形。</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承租人有前款规定情形之一的，市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应当为其安排3个月的搬迁期，搬迁期内租金按照合同约定的租金数额缴纳。搬迁期满不腾退</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，承租人确无其他住房的，应当按照市场价格缴纳租金；承租人有其他住房的，市住</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可以向人民法院提起诉讼，要求承租人腾退</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w:t>
      </w:r>
    </w:p>
    <w:p>
      <w:pPr>
        <w:keepNext w:val="0"/>
        <w:keepLines w:val="0"/>
        <w:pageBreakBefore w:val="0"/>
        <w:kinsoku/>
        <w:wordWrap/>
        <w:overflowPunct/>
        <w:topLinePunct w:val="0"/>
        <w:autoSpaceDE/>
        <w:autoSpaceDN/>
        <w:bidi w:val="0"/>
        <w:adjustRightInd/>
        <w:snapToGrid/>
        <w:spacing w:afterAutospacing="0" w:line="440" w:lineRule="exact"/>
        <w:ind w:firstLine="64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七</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承租人主动申请退出</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的，应向市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提出解除租赁合同的书面申请，按规定退出</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，并结清水、电、煤气、通讯等一切应当由承租人承担的相关费用。</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八</w:t>
      </w:r>
      <w:r>
        <w:rPr>
          <w:rFonts w:hint="eastAsia" w:ascii="方正书宋简体" w:hAnsi="方正书宋简体" w:eastAsia="方正书宋简体" w:cs="方正书宋简体"/>
          <w:sz w:val="24"/>
          <w:szCs w:val="24"/>
        </w:rPr>
        <w:t>条　</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家庭，从取消住房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资格的次月应退回</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住房，对租赁期间住户自行装修所产生的费用，在退出房屋时不予退还。</w:t>
      </w:r>
    </w:p>
    <w:p>
      <w:pPr>
        <w:keepNext w:val="0"/>
        <w:keepLines w:val="0"/>
        <w:pageBreakBefore w:val="0"/>
        <w:kinsoku/>
        <w:wordWrap/>
        <w:overflowPunct/>
        <w:topLinePunct w:val="0"/>
        <w:autoSpaceDE/>
        <w:autoSpaceDN/>
        <w:bidi w:val="0"/>
        <w:adjustRightInd/>
        <w:snapToGrid/>
        <w:spacing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四</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九</w:t>
      </w:r>
      <w:r>
        <w:rPr>
          <w:rFonts w:hint="eastAsia" w:ascii="方正书宋简体" w:hAnsi="方正书宋简体" w:eastAsia="方正书宋简体" w:cs="方正书宋简体"/>
          <w:sz w:val="24"/>
          <w:szCs w:val="24"/>
        </w:rPr>
        <w:t>条　承租人不交纳租金的，其所在单位应当</w:t>
      </w:r>
      <w:r>
        <w:rPr>
          <w:rFonts w:hint="eastAsia" w:ascii="方正书宋简体" w:hAnsi="方正书宋简体" w:eastAsia="方正书宋简体" w:cs="方正书宋简体"/>
          <w:sz w:val="24"/>
          <w:szCs w:val="24"/>
          <w:lang w:eastAsia="zh-CN"/>
        </w:rPr>
        <w:t>按照</w:t>
      </w:r>
      <w:r>
        <w:rPr>
          <w:rFonts w:hint="eastAsia" w:ascii="方正书宋简体" w:hAnsi="方正书宋简体" w:eastAsia="方正书宋简体" w:cs="方正书宋简体"/>
          <w:sz w:val="24"/>
          <w:szCs w:val="24"/>
        </w:rPr>
        <w:t>产权单位要求协助催款。对无合理理由或不可抗力因素拖欠租金的承租人，市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应按照房屋原租金的1%/天收取滞纳金。</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市</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应当将无故拖欠租金的承租人名单分别在市</w:t>
      </w:r>
      <w:r>
        <w:rPr>
          <w:rFonts w:hint="eastAsia" w:ascii="方正书宋简体" w:hAnsi="方正书宋简体" w:eastAsia="方正书宋简体" w:cs="方正书宋简体"/>
          <w:sz w:val="24"/>
          <w:szCs w:val="24"/>
          <w:lang w:eastAsia="zh-CN"/>
        </w:rPr>
        <w:t>住建</w:t>
      </w:r>
      <w:r>
        <w:rPr>
          <w:rFonts w:hint="eastAsia" w:ascii="方正书宋简体" w:hAnsi="方正书宋简体" w:eastAsia="方正书宋简体" w:cs="方正书宋简体"/>
          <w:sz w:val="24"/>
          <w:szCs w:val="24"/>
        </w:rPr>
        <w:t>网和居住地公布，同时记入诚信系统。</w:t>
      </w:r>
    </w:p>
    <w:p>
      <w:pPr>
        <w:keepNext w:val="0"/>
        <w:keepLines w:val="0"/>
        <w:pageBreakBefore w:val="0"/>
        <w:kinsoku/>
        <w:wordWrap/>
        <w:overflowPunct/>
        <w:topLinePunct w:val="0"/>
        <w:autoSpaceDE/>
        <w:autoSpaceDN/>
        <w:bidi w:val="0"/>
        <w:adjustRightInd/>
        <w:snapToGrid/>
        <w:spacing w:afterAutospacing="0" w:line="440" w:lineRule="exact"/>
        <w:ind w:firstLine="665"/>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十条　任何单位和个人对违反本办法相关规定的申请人和承租人，可以向市住房和城乡建设局举报，市住房和城乡建设局应及时进行调查处理。</w:t>
      </w:r>
    </w:p>
    <w:p>
      <w:pPr>
        <w:keepNext w:val="0"/>
        <w:keepLines w:val="0"/>
        <w:pageBreakBefore w:val="0"/>
        <w:kinsoku/>
        <w:wordWrap/>
        <w:overflowPunct/>
        <w:topLinePunct w:val="0"/>
        <w:autoSpaceDE/>
        <w:autoSpaceDN/>
        <w:bidi w:val="0"/>
        <w:adjustRightInd/>
        <w:snapToGrid/>
        <w:spacing w:afterAutospacing="0" w:line="440" w:lineRule="exact"/>
        <w:ind w:firstLine="665"/>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lang w:val="en-US" w:eastAsia="zh-CN"/>
        </w:rPr>
        <w:t>第七章　法律责任</w:t>
      </w:r>
    </w:p>
    <w:p>
      <w:pPr>
        <w:keepNext w:val="0"/>
        <w:keepLines w:val="0"/>
        <w:pageBreakBefore w:val="0"/>
        <w:kinsoku/>
        <w:wordWrap/>
        <w:overflowPunct/>
        <w:topLinePunct w:val="0"/>
        <w:autoSpaceDE/>
        <w:autoSpaceDN/>
        <w:bidi w:val="0"/>
        <w:adjustRightInd/>
        <w:snapToGrid/>
        <w:spacing w:afterAutospacing="0" w:line="440" w:lineRule="exac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第</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一</w:t>
      </w:r>
      <w:r>
        <w:rPr>
          <w:rFonts w:hint="eastAsia" w:ascii="方正书宋简体" w:hAnsi="方正书宋简体" w:eastAsia="方正书宋简体" w:cs="方正书宋简体"/>
          <w:sz w:val="24"/>
          <w:szCs w:val="24"/>
        </w:rPr>
        <w:t>条　申请人或共同申请人弄虚作假、隐瞒户籍、家庭人口、收入、资产及住房等情况或者伪造有关证明骗取</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的，经调查核实后，应当驳回其申请或取消其住房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资格，5年内不受理其</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申请，并将其不诚信行为记入征信记录。已配租的，收回</w:t>
      </w:r>
      <w:r>
        <w:rPr>
          <w:rFonts w:hint="eastAsia" w:ascii="方正书宋简体" w:hAnsi="方正书宋简体" w:eastAsia="方正书宋简体" w:cs="方正书宋简体"/>
          <w:sz w:val="24"/>
          <w:szCs w:val="24"/>
          <w:lang w:eastAsia="zh-CN"/>
        </w:rPr>
        <w:t>直管公房住房</w:t>
      </w:r>
      <w:r>
        <w:rPr>
          <w:rFonts w:hint="eastAsia" w:ascii="方正书宋简体" w:hAnsi="方正书宋简体" w:eastAsia="方正书宋简体" w:cs="方正书宋简体"/>
          <w:sz w:val="24"/>
          <w:szCs w:val="24"/>
        </w:rPr>
        <w:t>，并按市场价格追缴租金</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对出具虚假证明的单位，由市住房和城乡建设局提请有关部门依法追究相关责任人的责任。</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56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二</w:t>
      </w:r>
      <w:r>
        <w:rPr>
          <w:rFonts w:hint="eastAsia" w:ascii="方正书宋简体" w:hAnsi="方正书宋简体" w:eastAsia="方正书宋简体" w:cs="方正书宋简体"/>
          <w:sz w:val="24"/>
          <w:szCs w:val="24"/>
        </w:rPr>
        <w:t>条　住房</w:t>
      </w:r>
      <w:r>
        <w:rPr>
          <w:rFonts w:hint="eastAsia" w:ascii="方正书宋简体" w:hAnsi="方正书宋简体" w:eastAsia="方正书宋简体" w:cs="方正书宋简体"/>
          <w:sz w:val="24"/>
          <w:szCs w:val="24"/>
          <w:lang w:eastAsia="zh-CN"/>
        </w:rPr>
        <w:t>租赁</w:t>
      </w:r>
      <w:r>
        <w:rPr>
          <w:rFonts w:hint="eastAsia" w:ascii="方正书宋简体" w:hAnsi="方正书宋简体" w:eastAsia="方正书宋简体" w:cs="方正书宋简体"/>
          <w:sz w:val="24"/>
          <w:szCs w:val="24"/>
        </w:rPr>
        <w:t>主管部门及其他相关部门、</w:t>
      </w:r>
      <w:r>
        <w:rPr>
          <w:rFonts w:hint="eastAsia" w:ascii="方正书宋简体" w:hAnsi="方正书宋简体" w:eastAsia="方正书宋简体" w:cs="方正书宋简体"/>
          <w:sz w:val="24"/>
          <w:szCs w:val="24"/>
          <w:lang w:eastAsia="zh-CN"/>
        </w:rPr>
        <w:t>房产管理所</w:t>
      </w:r>
      <w:r>
        <w:rPr>
          <w:rFonts w:hint="eastAsia" w:ascii="方正书宋简体" w:hAnsi="方正书宋简体" w:eastAsia="方正书宋简体" w:cs="方正书宋简体"/>
          <w:sz w:val="24"/>
          <w:szCs w:val="24"/>
        </w:rPr>
        <w:t>机构工作人员违反本办法规定，在</w:t>
      </w:r>
      <w:r>
        <w:rPr>
          <w:rFonts w:hint="eastAsia" w:ascii="方正书宋简体" w:hAnsi="方正书宋简体" w:eastAsia="方正书宋简体" w:cs="方正书宋简体"/>
          <w:sz w:val="24"/>
          <w:szCs w:val="24"/>
          <w:lang w:eastAsia="zh-CN"/>
        </w:rPr>
        <w:t>直管公房</w:t>
      </w:r>
      <w:r>
        <w:rPr>
          <w:rFonts w:hint="eastAsia" w:ascii="方正书宋简体" w:hAnsi="方正书宋简体" w:eastAsia="方正书宋简体" w:cs="方正书宋简体"/>
          <w:sz w:val="24"/>
          <w:szCs w:val="24"/>
        </w:rPr>
        <w:t>管理工作中玩忽职守、徇私舞弊、滥用职权的，依法给予处分；构成犯罪的，依法追究刑事责任。</w:t>
      </w:r>
    </w:p>
    <w:p>
      <w:pPr>
        <w:pStyle w:val="5"/>
        <w:pageBreakBefore w:val="0"/>
        <w:widowControl w:val="0"/>
        <w:kinsoku/>
        <w:wordWrap/>
        <w:overflowPunct/>
        <w:topLinePunct w:val="0"/>
        <w:autoSpaceDE/>
        <w:autoSpaceDN/>
        <w:bidi w:val="0"/>
        <w:adjustRightInd/>
        <w:snapToGrid/>
        <w:spacing w:before="0" w:after="0" w:line="440" w:lineRule="exact"/>
        <w:ind w:firstLine="560"/>
        <w:textAlignment w:val="auto"/>
        <w:rPr>
          <w:rFonts w:hint="eastAsia" w:ascii="方正书宋简体" w:hAnsi="方正书宋简体" w:eastAsia="方正书宋简体" w:cs="方正书宋简体"/>
          <w:sz w:val="24"/>
          <w:szCs w:val="24"/>
        </w:rPr>
      </w:pPr>
    </w:p>
    <w:p>
      <w:pPr>
        <w:keepNext w:val="0"/>
        <w:keepLines w:val="0"/>
        <w:pageBreakBefore w:val="0"/>
        <w:kinsoku/>
        <w:wordWrap/>
        <w:overflowPunct/>
        <w:topLinePunct w:val="0"/>
        <w:autoSpaceDE/>
        <w:autoSpaceDN/>
        <w:bidi w:val="0"/>
        <w:adjustRightInd/>
        <w:snapToGrid/>
        <w:spacing w:afterAutospacing="0" w:line="440" w:lineRule="exact"/>
        <w:jc w:val="center"/>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sz w:val="24"/>
          <w:szCs w:val="24"/>
          <w:lang w:val="en-US" w:eastAsia="zh-CN"/>
        </w:rPr>
        <w:t>　第八章  附则</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645"/>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第</w:t>
      </w:r>
      <w:r>
        <w:rPr>
          <w:rFonts w:hint="eastAsia" w:ascii="方正书宋简体" w:hAnsi="方正书宋简体" w:eastAsia="方正书宋简体" w:cs="方正书宋简体"/>
          <w:sz w:val="24"/>
          <w:szCs w:val="24"/>
          <w:lang w:eastAsia="zh-CN"/>
        </w:rPr>
        <w:t>五</w:t>
      </w:r>
      <w:r>
        <w:rPr>
          <w:rFonts w:hint="eastAsia" w:ascii="方正书宋简体" w:hAnsi="方正书宋简体" w:eastAsia="方正书宋简体" w:cs="方正书宋简体"/>
          <w:sz w:val="24"/>
          <w:szCs w:val="24"/>
        </w:rPr>
        <w:t>十</w:t>
      </w:r>
      <w:r>
        <w:rPr>
          <w:rFonts w:hint="eastAsia" w:ascii="方正书宋简体" w:hAnsi="方正书宋简体" w:eastAsia="方正书宋简体" w:cs="方正书宋简体"/>
          <w:sz w:val="24"/>
          <w:szCs w:val="24"/>
          <w:lang w:eastAsia="zh-CN"/>
        </w:rPr>
        <w:t>三</w:t>
      </w:r>
      <w:r>
        <w:rPr>
          <w:rFonts w:hint="eastAsia" w:ascii="方正书宋简体" w:hAnsi="方正书宋简体" w:eastAsia="方正书宋简体" w:cs="方正书宋简体"/>
          <w:sz w:val="24"/>
          <w:szCs w:val="24"/>
          <w:lang w:val="en-US" w:eastAsia="zh-CN"/>
        </w:rPr>
        <w:t xml:space="preserve"> </w:t>
      </w:r>
      <w:r>
        <w:rPr>
          <w:rFonts w:hint="eastAsia" w:ascii="方正书宋简体" w:hAnsi="方正书宋简体" w:eastAsia="方正书宋简体" w:cs="方正书宋简体"/>
          <w:sz w:val="24"/>
          <w:szCs w:val="24"/>
        </w:rPr>
        <w:t xml:space="preserve"> 本办法自发布之日起施行，有效期五年。</w:t>
      </w:r>
    </w:p>
    <w:p>
      <w:pPr>
        <w:pageBreakBefore w:val="0"/>
        <w:kinsoku/>
        <w:wordWrap/>
        <w:overflowPunct/>
        <w:topLinePunct w:val="0"/>
        <w:autoSpaceDE/>
        <w:autoSpaceDN/>
        <w:bidi w:val="0"/>
        <w:adjustRightInd/>
        <w:snapToGrid/>
        <w:spacing w:line="440" w:lineRule="exact"/>
        <w:ind w:firstLine="645"/>
        <w:textAlignment w:val="auto"/>
        <w:rPr>
          <w:rFonts w:hint="eastAsia" w:ascii="仿宋" w:hAnsi="仿宋" w:eastAsia="仿宋" w:cs="仿宋"/>
          <w:sz w:val="24"/>
          <w:szCs w:val="24"/>
        </w:rPr>
      </w:pPr>
      <w:r>
        <w:rPr>
          <w:rFonts w:hint="eastAsia" w:ascii="仿宋" w:hAnsi="仿宋" w:eastAsia="仿宋" w:cs="仿宋"/>
          <w:sz w:val="24"/>
          <w:szCs w:val="24"/>
        </w:rPr>
        <w:t>　</w:t>
      </w:r>
    </w:p>
    <w:p>
      <w:pPr>
        <w:pStyle w:val="5"/>
        <w:pageBreakBefore w:val="0"/>
        <w:kinsoku/>
        <w:overflowPunct/>
        <w:bidi w:val="0"/>
        <w:spacing w:before="0" w:after="0" w:line="440" w:lineRule="exact"/>
        <w:textAlignment w:val="auto"/>
        <w:rPr>
          <w:rFonts w:hint="default"/>
          <w:lang w:val="en-US" w:eastAsia="zh-CN"/>
        </w:rPr>
      </w:pPr>
    </w:p>
    <w:p>
      <w:pPr>
        <w:pageBreakBefore w:val="0"/>
        <w:kinsoku/>
        <w:overflowPunct/>
        <w:bidi w:val="0"/>
        <w:spacing w:line="440" w:lineRule="exact"/>
        <w:textAlignment w:val="auto"/>
        <w:rPr>
          <w:rFonts w:hint="default"/>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both"/>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keepNext w:val="0"/>
        <w:keepLines w:val="0"/>
        <w:pageBreakBefore w:val="0"/>
        <w:widowControl w:val="0"/>
        <w:kinsoku/>
        <w:wordWrap/>
        <w:overflowPunct/>
        <w:topLinePunct/>
        <w:autoSpaceDE/>
        <w:autoSpaceDN/>
        <w:bidi w:val="0"/>
        <w:adjustRightInd/>
        <w:snapToGrid w:val="0"/>
        <w:spacing w:line="500" w:lineRule="exact"/>
        <w:jc w:val="center"/>
        <w:textAlignment w:val="auto"/>
        <w:rPr>
          <w:rFonts w:hint="eastAsia" w:ascii="方正小标宋简体" w:hAnsi="方正小标宋简体" w:eastAsia="方正小标宋简体" w:cs="宋体"/>
          <w:bCs/>
          <w:kern w:val="0"/>
          <w:sz w:val="36"/>
          <w:szCs w:val="36"/>
        </w:rPr>
      </w:pPr>
      <w:r>
        <w:rPr>
          <w:rFonts w:hint="eastAsia" w:ascii="方正小标宋简体" w:hAnsi="方正小标宋简体" w:eastAsia="方正小标宋简体" w:cs="宋体"/>
          <w:bCs/>
          <w:kern w:val="0"/>
          <w:sz w:val="36"/>
          <w:szCs w:val="36"/>
          <w:lang w:val="en-US" w:eastAsia="zh-CN"/>
        </w:rPr>
        <w:t>南雄市人民政府关于印发《南雄市</w:t>
      </w:r>
      <w:r>
        <w:rPr>
          <w:rFonts w:hint="eastAsia" w:ascii="方正小标宋简体" w:hAnsi="方正小标宋简体" w:eastAsia="方正小标宋简体" w:cs="宋体"/>
          <w:bCs/>
          <w:kern w:val="0"/>
          <w:sz w:val="36"/>
          <w:szCs w:val="36"/>
        </w:rPr>
        <w:t>城市供水用水管理</w:t>
      </w:r>
    </w:p>
    <w:p>
      <w:pPr>
        <w:pStyle w:val="19"/>
        <w:keepNext w:val="0"/>
        <w:keepLines w:val="0"/>
        <w:pageBreakBefore w:val="0"/>
        <w:widowControl w:val="0"/>
        <w:kinsoku/>
        <w:wordWrap/>
        <w:overflowPunct/>
        <w:topLinePunct/>
        <w:autoSpaceDE/>
        <w:autoSpaceDN/>
        <w:bidi w:val="0"/>
        <w:adjustRightInd/>
        <w:snapToGrid w:val="0"/>
        <w:spacing w:line="500" w:lineRule="exact"/>
        <w:jc w:val="center"/>
        <w:textAlignment w:val="auto"/>
        <w:rPr>
          <w:rFonts w:hint="default" w:ascii="方正小标宋简体" w:hAnsi="方正小标宋简体" w:eastAsia="方正小标宋简体" w:cs="宋体"/>
          <w:bCs/>
          <w:kern w:val="0"/>
          <w:sz w:val="36"/>
          <w:szCs w:val="36"/>
          <w:lang w:val="en-US" w:eastAsia="zh-CN"/>
        </w:rPr>
      </w:pPr>
      <w:r>
        <w:rPr>
          <w:rFonts w:hint="eastAsia" w:ascii="方正小标宋简体" w:hAnsi="方正小标宋简体" w:eastAsia="方正小标宋简体" w:cs="宋体"/>
          <w:bCs/>
          <w:kern w:val="0"/>
          <w:sz w:val="36"/>
          <w:szCs w:val="36"/>
        </w:rPr>
        <w:t>办法</w:t>
      </w:r>
      <w:r>
        <w:rPr>
          <w:rFonts w:hint="eastAsia" w:ascii="方正小标宋简体" w:hAnsi="方正小标宋简体" w:eastAsia="方正小标宋简体" w:cs="宋体"/>
          <w:bCs/>
          <w:kern w:val="0"/>
          <w:sz w:val="36"/>
          <w:szCs w:val="36"/>
          <w:lang w:eastAsia="zh-CN"/>
        </w:rPr>
        <w:t>》</w:t>
      </w:r>
      <w:r>
        <w:rPr>
          <w:rFonts w:hint="eastAsia" w:ascii="方正小标宋简体" w:hAnsi="方正小标宋简体" w:eastAsia="方正小标宋简体" w:cs="宋体"/>
          <w:bCs/>
          <w:kern w:val="0"/>
          <w:sz w:val="36"/>
          <w:szCs w:val="36"/>
          <w:lang w:val="en-US" w:eastAsia="zh-CN"/>
        </w:rPr>
        <w:t>的通知</w:t>
      </w:r>
    </w:p>
    <w:p>
      <w:pPr>
        <w:pageBreakBefore w:val="0"/>
        <w:kinsoku/>
        <w:wordWrap/>
        <w:overflowPunct/>
        <w:autoSpaceDE/>
        <w:autoSpaceDN/>
        <w:bidi w:val="0"/>
        <w:adjustRightInd/>
        <w:spacing w:line="440" w:lineRule="exact"/>
        <w:jc w:val="center"/>
        <w:textAlignment w:val="auto"/>
        <w:rPr>
          <w:rFonts w:ascii="仿宋_GB2312" w:eastAsia="仿宋_GB2312"/>
          <w:sz w:val="24"/>
          <w:szCs w:val="24"/>
        </w:rPr>
      </w:pPr>
    </w:p>
    <w:p>
      <w:pPr>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雄府〔2020〕</w:t>
      </w:r>
      <w:r>
        <w:rPr>
          <w:rFonts w:hint="eastAsia" w:ascii="楷体_GB2312" w:hAnsi="楷体_GB2312" w:eastAsia="楷体_GB2312" w:cs="楷体_GB2312"/>
          <w:sz w:val="24"/>
          <w:szCs w:val="24"/>
          <w:lang w:val="en-US" w:eastAsia="zh-CN"/>
        </w:rPr>
        <w:t>43</w:t>
      </w:r>
      <w:r>
        <w:rPr>
          <w:rFonts w:hint="eastAsia" w:ascii="楷体_GB2312" w:hAnsi="楷体_GB2312" w:eastAsia="楷体_GB2312" w:cs="楷体_GB2312"/>
          <w:sz w:val="24"/>
          <w:szCs w:val="24"/>
        </w:rPr>
        <w:t>号</w:t>
      </w:r>
    </w:p>
    <w:p>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方正书宋简体" w:hAnsi="方正书宋简体" w:eastAsia="方正书宋简体" w:cs="方正书宋简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val="en-US" w:eastAsia="zh-CN"/>
        </w:rPr>
        <w:t>各镇人民政府、雄州街道办事处,</w:t>
      </w:r>
      <w:r>
        <w:rPr>
          <w:rFonts w:hint="eastAsia" w:ascii="方正书宋简体" w:hAnsi="方正书宋简体" w:eastAsia="方正书宋简体" w:cs="方正书宋简体"/>
          <w:sz w:val="24"/>
          <w:szCs w:val="24"/>
          <w:lang w:eastAsia="zh-CN"/>
        </w:rPr>
        <w:t>市直有关部门：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南雄市城市供水用水管理办法</w:t>
      </w:r>
      <w:r>
        <w:rPr>
          <w:rFonts w:hint="eastAsia" w:ascii="方正书宋简体" w:hAnsi="方正书宋简体" w:eastAsia="方正书宋简体" w:cs="方正书宋简体"/>
          <w:sz w:val="24"/>
          <w:szCs w:val="24"/>
          <w:lang w:eastAsia="zh-CN"/>
        </w:rPr>
        <w:t>》（雄府规审〔</w:t>
      </w:r>
      <w:r>
        <w:rPr>
          <w:rFonts w:hint="eastAsia" w:ascii="方正书宋简体" w:hAnsi="方正书宋简体" w:eastAsia="方正书宋简体" w:cs="方正书宋简体"/>
          <w:sz w:val="24"/>
          <w:szCs w:val="24"/>
          <w:lang w:val="en-US" w:eastAsia="zh-CN"/>
        </w:rPr>
        <w:t>2020</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5</w:t>
      </w:r>
      <w:r>
        <w:rPr>
          <w:rFonts w:hint="eastAsia" w:ascii="方正书宋简体" w:hAnsi="方正书宋简体" w:eastAsia="方正书宋简体" w:cs="方正书宋简体"/>
          <w:sz w:val="24"/>
          <w:szCs w:val="24"/>
          <w:lang w:eastAsia="zh-CN"/>
        </w:rPr>
        <w:t>号）已获南雄市人民政府第十五届</w:t>
      </w:r>
      <w:r>
        <w:rPr>
          <w:rFonts w:hint="eastAsia" w:ascii="方正书宋简体" w:hAnsi="方正书宋简体" w:eastAsia="方正书宋简体" w:cs="方正书宋简体"/>
          <w:sz w:val="24"/>
          <w:szCs w:val="24"/>
          <w:lang w:val="en-US" w:eastAsia="zh-CN"/>
        </w:rPr>
        <w:t>42次常务会议审议通过，现予印发。自印发之日起施行，有效期五年。请认真贯彻执行，执行过程中如遇问题，请径向市城管局反映。</w:t>
      </w:r>
    </w:p>
    <w:p>
      <w:pPr>
        <w:keepNext w:val="0"/>
        <w:keepLines w:val="0"/>
        <w:pageBreakBefore w:val="0"/>
        <w:widowControl/>
        <w:kinsoku/>
        <w:wordWrap/>
        <w:overflowPunct/>
        <w:topLinePunct w:val="0"/>
        <w:autoSpaceDE/>
        <w:autoSpaceDN/>
        <w:bidi w:val="0"/>
        <w:adjustRightInd/>
        <w:snapToGrid/>
        <w:spacing w:line="440" w:lineRule="exact"/>
        <w:ind w:firstLine="482"/>
        <w:jc w:val="center"/>
        <w:textAlignment w:val="auto"/>
        <w:rPr>
          <w:rFonts w:hint="eastAsia" w:ascii="方正书宋简体" w:hAnsi="方正书宋简体" w:eastAsia="方正书宋简体" w:cs="方正书宋简体"/>
          <w:color w:val="000000"/>
          <w:sz w:val="24"/>
          <w:szCs w:val="24"/>
          <w:lang w:eastAsia="zh-CN"/>
        </w:rPr>
      </w:pPr>
    </w:p>
    <w:p>
      <w:pPr>
        <w:pStyle w:val="5"/>
        <w:pageBreakBefore w:val="0"/>
        <w:kinsoku/>
        <w:wordWrap/>
        <w:overflowPunct/>
        <w:topLinePunct w:val="0"/>
        <w:autoSpaceDE/>
        <w:autoSpaceDN/>
        <w:bidi w:val="0"/>
        <w:adjustRightInd/>
        <w:snapToGrid/>
        <w:spacing w:before="0" w:after="0" w:line="440" w:lineRule="exact"/>
        <w:textAlignment w:val="auto"/>
        <w:rPr>
          <w:rFonts w:hint="eastAsia" w:ascii="方正书宋简体" w:hAnsi="方正书宋简体" w:eastAsia="方正书宋简体" w:cs="方正书宋简体"/>
          <w:sz w:val="24"/>
          <w:szCs w:val="24"/>
          <w:lang w:eastAsia="zh-CN"/>
        </w:rPr>
      </w:pPr>
    </w:p>
    <w:p>
      <w:pPr>
        <w:keepNext w:val="0"/>
        <w:keepLines w:val="0"/>
        <w:pageBreakBefore w:val="0"/>
        <w:kinsoku/>
        <w:wordWrap/>
        <w:overflowPunct/>
        <w:topLinePunct w:val="0"/>
        <w:autoSpaceDE/>
        <w:autoSpaceDN/>
        <w:bidi w:val="0"/>
        <w:adjustRightInd/>
        <w:snapToGrid/>
        <w:spacing w:line="440" w:lineRule="exact"/>
        <w:ind w:firstLine="5760" w:firstLineChars="2400"/>
        <w:textAlignment w:val="auto"/>
        <w:rPr>
          <w:rFonts w:hint="eastAsia" w:ascii="方正书宋简体" w:hAnsi="方正书宋简体" w:eastAsia="方正书宋简体" w:cs="方正书宋简体"/>
          <w:sz w:val="24"/>
          <w:szCs w:val="24"/>
          <w:lang w:eastAsia="zh-CN"/>
        </w:rPr>
      </w:pPr>
      <w:r>
        <w:rPr>
          <w:rFonts w:hint="eastAsia" w:ascii="方正书宋简体" w:hAnsi="方正书宋简体" w:eastAsia="方正书宋简体" w:cs="方正书宋简体"/>
          <w:sz w:val="24"/>
          <w:szCs w:val="24"/>
          <w:lang w:eastAsia="zh-CN"/>
        </w:rPr>
        <w:t>南雄市人民政府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lang w:val="en-US" w:eastAsia="zh-CN"/>
        </w:rPr>
        <w:t xml:space="preserve">                                           2020年8月21日</w:t>
      </w:r>
    </w:p>
    <w:p>
      <w:pPr>
        <w:pStyle w:val="25"/>
        <w:keepNext w:val="0"/>
        <w:keepLines w:val="0"/>
        <w:pageBreakBefore w:val="0"/>
        <w:widowControl/>
        <w:kinsoku/>
        <w:wordWrap/>
        <w:overflowPunct/>
        <w:topLinePunct w:val="0"/>
        <w:autoSpaceDE/>
        <w:autoSpaceDN/>
        <w:bidi w:val="0"/>
        <w:adjustRightInd/>
        <w:snapToGrid/>
        <w:spacing w:line="440" w:lineRule="exact"/>
        <w:ind w:firstLine="472" w:firstLineChars="196"/>
        <w:jc w:val="left"/>
        <w:textAlignment w:val="auto"/>
        <w:rPr>
          <w:rFonts w:hint="eastAsia" w:ascii="方正书宋简体" w:hAnsi="方正书宋简体" w:eastAsia="方正书宋简体" w:cs="方正书宋简体"/>
          <w:b/>
          <w:sz w:val="24"/>
          <w:szCs w:val="24"/>
          <w:lang w:val="en-US" w:eastAsia="zh-CN"/>
        </w:rPr>
      </w:pPr>
      <w:r>
        <w:rPr>
          <w:rFonts w:hint="eastAsia" w:ascii="方正书宋简体" w:hAnsi="方正书宋简体" w:eastAsia="方正书宋简体" w:cs="方正书宋简体"/>
          <w:b/>
          <w:sz w:val="24"/>
          <w:szCs w:val="24"/>
          <w:lang w:val="en-US" w:eastAsia="zh-CN"/>
        </w:rPr>
        <w:t xml:space="preserve">       </w:t>
      </w:r>
    </w:p>
    <w:p>
      <w:pPr>
        <w:pStyle w:val="25"/>
        <w:keepNext w:val="0"/>
        <w:keepLines w:val="0"/>
        <w:pageBreakBefore w:val="0"/>
        <w:widowControl/>
        <w:kinsoku/>
        <w:wordWrap/>
        <w:overflowPunct/>
        <w:topLinePunct w:val="0"/>
        <w:autoSpaceDE/>
        <w:autoSpaceDN/>
        <w:bidi w:val="0"/>
        <w:adjustRightInd/>
        <w:snapToGrid/>
        <w:spacing w:line="440" w:lineRule="exact"/>
        <w:ind w:firstLine="472" w:firstLineChars="196"/>
        <w:jc w:val="left"/>
        <w:textAlignment w:val="auto"/>
        <w:rPr>
          <w:rFonts w:hint="eastAsia" w:ascii="黑体" w:hAnsi="黑体" w:eastAsia="黑体"/>
          <w:b/>
          <w:sz w:val="24"/>
          <w:szCs w:val="24"/>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方正小标宋简体" w:hAnsi="方正小标宋简体" w:eastAsia="方正小标宋简体" w:cs="宋体"/>
          <w:bCs/>
          <w:kern w:val="0"/>
          <w:sz w:val="30"/>
          <w:szCs w:val="30"/>
          <w:lang w:val="en-US" w:eastAsia="zh-CN"/>
        </w:rPr>
      </w:pPr>
    </w:p>
    <w:p>
      <w:pPr>
        <w:pStyle w:val="19"/>
        <w:pageBreakBefore w:val="0"/>
        <w:kinsoku/>
        <w:wordWrap/>
        <w:overflowPunct/>
        <w:topLinePunct/>
        <w:autoSpaceDE/>
        <w:autoSpaceDN/>
        <w:bidi w:val="0"/>
        <w:adjustRightInd/>
        <w:snapToGrid w:val="0"/>
        <w:spacing w:line="440" w:lineRule="exact"/>
        <w:jc w:val="center"/>
        <w:textAlignment w:val="auto"/>
        <w:rPr>
          <w:rFonts w:hint="eastAsia" w:ascii="黑体" w:hAnsi="黑体" w:eastAsia="黑体"/>
          <w:b/>
          <w:sz w:val="32"/>
          <w:szCs w:val="32"/>
        </w:rPr>
      </w:pPr>
      <w:r>
        <w:rPr>
          <w:rFonts w:hint="eastAsia" w:ascii="方正小标宋简体" w:hAnsi="方正小标宋简体" w:eastAsia="方正小标宋简体" w:cs="宋体"/>
          <w:bCs/>
          <w:kern w:val="0"/>
          <w:sz w:val="36"/>
          <w:szCs w:val="36"/>
          <w:lang w:val="en-US" w:eastAsia="zh-CN"/>
        </w:rPr>
        <w:t>南雄市</w:t>
      </w:r>
      <w:r>
        <w:rPr>
          <w:rFonts w:hint="eastAsia" w:ascii="方正小标宋简体" w:hAnsi="方正小标宋简体" w:eastAsia="方正小标宋简体" w:cs="宋体"/>
          <w:bCs/>
          <w:kern w:val="0"/>
          <w:sz w:val="36"/>
          <w:szCs w:val="36"/>
        </w:rPr>
        <w:t>城市供水用水管理办法</w:t>
      </w:r>
    </w:p>
    <w:p>
      <w:pPr>
        <w:pStyle w:val="25"/>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黑体" w:hAnsi="黑体" w:eastAsia="黑体"/>
          <w:b/>
          <w:sz w:val="24"/>
          <w:szCs w:val="24"/>
        </w:rPr>
      </w:pPr>
    </w:p>
    <w:p>
      <w:pPr>
        <w:pStyle w:val="25"/>
        <w:keepNext w:val="0"/>
        <w:keepLines w:val="0"/>
        <w:pageBreakBefore w:val="0"/>
        <w:widowControl/>
        <w:kinsoku/>
        <w:wordWrap/>
        <w:overflowPunct/>
        <w:topLinePunct w:val="0"/>
        <w:autoSpaceDE/>
        <w:autoSpaceDN/>
        <w:bidi w:val="0"/>
        <w:adjustRightInd/>
        <w:snapToGrid/>
        <w:spacing w:line="440" w:lineRule="exact"/>
        <w:ind w:firstLine="470" w:firstLineChars="196"/>
        <w:jc w:val="left"/>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第一条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为了保障城市供水、用水安全，鼓励节约用水，规范城市供水、用水活动，维护供水企业和用户的合法权益，根据《中华人民共和国水法》</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《中华人民共和国水污染防治法》</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《城市供水条例》</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广东省城市供水管理规定》和《韶关市(区）城市供水用水管理办法》</w:t>
      </w:r>
      <w:r>
        <w:rPr>
          <w:rFonts w:hint="eastAsia" w:ascii="方正书宋简体" w:hAnsi="方正书宋简体" w:eastAsia="方正书宋简体" w:cs="方正书宋简体"/>
          <w:sz w:val="24"/>
          <w:szCs w:val="24"/>
        </w:rPr>
        <w:t>等有关法律、行政法规，结合本市实际情况，制定本</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办法</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w:t>
      </w:r>
    </w:p>
    <w:p>
      <w:pPr>
        <w:pStyle w:val="25"/>
        <w:keepNext w:val="0"/>
        <w:keepLines w:val="0"/>
        <w:pageBreakBefore w:val="0"/>
        <w:widowControl/>
        <w:kinsoku/>
        <w:wordWrap/>
        <w:overflowPunct/>
        <w:topLinePunct w:val="0"/>
        <w:autoSpaceDE/>
        <w:autoSpaceDN/>
        <w:bidi w:val="0"/>
        <w:adjustRightInd/>
        <w:snapToGrid/>
        <w:spacing w:line="440" w:lineRule="exact"/>
        <w:ind w:firstLine="470" w:firstLineChars="196"/>
        <w:jc w:val="left"/>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本</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办法</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所称城市供水是指城市公共供水和自建设施供水。</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城市公共供水，是指本市市属供水企业和其他对外供水企业以各自建设的公共供水管道及其附属设施向单位和居民的生活、生产和其他各项建设提供用水。</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自建设施供水，是指城市的用水单位以其自行建设的供水管道及其附属设施主要向本单位的生活、生产和其他各项建设提供用水。</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在</w:t>
      </w:r>
      <w:r>
        <w:rPr>
          <w:rFonts w:hint="eastAsia" w:ascii="方正书宋简体" w:hAnsi="方正书宋简体" w:eastAsia="方正书宋简体" w:cs="方正书宋简体"/>
          <w:sz w:val="24"/>
          <w:szCs w:val="24"/>
          <w:lang w:val="en-US" w:eastAsia="zh-CN"/>
        </w:rPr>
        <w:t>本</w:t>
      </w:r>
      <w:r>
        <w:rPr>
          <w:rFonts w:hint="eastAsia" w:ascii="方正书宋简体" w:hAnsi="方正书宋简体" w:eastAsia="方正书宋简体" w:cs="方正书宋简体"/>
          <w:sz w:val="24"/>
          <w:szCs w:val="24"/>
        </w:rPr>
        <w:t>市行政区域内从事城市供水、用水及其相关活动均应当遵守本办法。城市供水管网向农村地区延伸供水的，或城市供水企业接管农村地区供水的，其供水、用水、节水及相关活动适用本</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办法</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rPr>
        <w:t>。</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b/>
          <w:sz w:val="24"/>
          <w:szCs w:val="24"/>
        </w:rPr>
      </w:pPr>
      <w:r>
        <w:rPr>
          <w:rFonts w:hint="eastAsia" w:ascii="方正黑体简体" w:hAnsi="方正黑体简体" w:eastAsia="方正黑体简体" w:cs="方正黑体简体"/>
          <w:b w:val="0"/>
          <w:bCs/>
          <w:sz w:val="24"/>
          <w:szCs w:val="24"/>
        </w:rPr>
        <w:t>第四条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b w:val="0"/>
          <w:bCs/>
          <w:sz w:val="24"/>
          <w:szCs w:val="24"/>
          <w:lang w:val="en-US" w:eastAsia="zh-CN"/>
        </w:rPr>
        <w:t>本</w:t>
      </w:r>
      <w:r>
        <w:rPr>
          <w:rFonts w:hint="eastAsia" w:ascii="方正书宋简体" w:hAnsi="方正书宋简体" w:eastAsia="方正书宋简体" w:cs="方正书宋简体"/>
          <w:sz w:val="24"/>
          <w:szCs w:val="24"/>
        </w:rPr>
        <w:t>市供水工作应当遵循合理开发和节约用水相结合、保障供水和确保水质相结合的原则，优先保证城市生活用水，统筹兼顾其他用水。 鼓励和支持供水的科学研究，引进和推广新技术、新工艺、新材料，提高供水管理的水平，逐步实现</w:t>
      </w:r>
      <w:r>
        <w:rPr>
          <w:rFonts w:hint="eastAsia" w:ascii="方正书宋简体" w:hAnsi="方正书宋简体" w:eastAsia="方正书宋简体" w:cs="方正书宋简体"/>
          <w:sz w:val="24"/>
          <w:szCs w:val="24"/>
          <w:lang w:val="en-US" w:eastAsia="zh-CN"/>
        </w:rPr>
        <w:t>供水</w:t>
      </w:r>
      <w:r>
        <w:rPr>
          <w:rFonts w:hint="eastAsia" w:ascii="方正书宋简体" w:hAnsi="方正书宋简体" w:eastAsia="方正书宋简体" w:cs="方正书宋简体"/>
          <w:sz w:val="24"/>
          <w:szCs w:val="24"/>
        </w:rPr>
        <w:t>智能化管理。</w:t>
      </w:r>
    </w:p>
    <w:p>
      <w:pPr>
        <w:pStyle w:val="25"/>
        <w:keepNext w:val="0"/>
        <w:keepLines w:val="0"/>
        <w:pageBreakBefore w:val="0"/>
        <w:widowControl/>
        <w:kinsoku/>
        <w:wordWrap/>
        <w:overflowPunct/>
        <w:topLinePunct w:val="0"/>
        <w:autoSpaceDE/>
        <w:autoSpaceDN/>
        <w:bidi w:val="0"/>
        <w:adjustRightInd/>
        <w:snapToGrid/>
        <w:spacing w:line="440" w:lineRule="exact"/>
        <w:ind w:firstLine="528" w:firstLineChars="220"/>
        <w:jc w:val="left"/>
        <w:textAlignment w:val="auto"/>
        <w:rPr>
          <w:rFonts w:hint="eastAsia" w:ascii="方正书宋简体" w:hAnsi="方正书宋简体" w:eastAsia="方正书宋简体" w:cs="方正书宋简体"/>
          <w:kern w:val="0"/>
          <w:sz w:val="24"/>
          <w:szCs w:val="24"/>
        </w:rPr>
      </w:pPr>
      <w:r>
        <w:rPr>
          <w:rFonts w:hint="eastAsia" w:ascii="方正黑体简体" w:hAnsi="方正黑体简体" w:eastAsia="方正黑体简体" w:cs="方正黑体简体"/>
          <w:b w:val="0"/>
          <w:bCs/>
          <w:sz w:val="24"/>
          <w:szCs w:val="24"/>
        </w:rPr>
        <w:t>第五条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lang w:val="en-US" w:eastAsia="zh-CN"/>
        </w:rPr>
        <w:t>南雄市城市管理和综合执法局是本</w:t>
      </w:r>
      <w:r>
        <w:rPr>
          <w:rFonts w:hint="eastAsia" w:ascii="方正书宋简体" w:hAnsi="方正书宋简体" w:eastAsia="方正书宋简体" w:cs="方正书宋简体"/>
          <w:sz w:val="24"/>
          <w:szCs w:val="24"/>
        </w:rPr>
        <w:t>市供水的主管部门</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kern w:val="0"/>
          <w:sz w:val="24"/>
          <w:szCs w:val="24"/>
        </w:rPr>
        <w:t>生态环境、卫生健康、水务、自然资源、发展和改革、市场监督管理、公安、消防等有关部门按照各自职责，分别做好</w:t>
      </w:r>
      <w:r>
        <w:rPr>
          <w:rFonts w:hint="eastAsia" w:ascii="方正书宋简体" w:hAnsi="方正书宋简体" w:eastAsia="方正书宋简体" w:cs="方正书宋简体"/>
          <w:kern w:val="0"/>
          <w:sz w:val="24"/>
          <w:szCs w:val="24"/>
          <w:lang w:val="en-US" w:eastAsia="zh-CN"/>
        </w:rPr>
        <w:t>本</w:t>
      </w:r>
      <w:r>
        <w:rPr>
          <w:rFonts w:hint="eastAsia" w:ascii="方正书宋简体" w:hAnsi="方正书宋简体" w:eastAsia="方正书宋简体" w:cs="方正书宋简体"/>
          <w:kern w:val="0"/>
          <w:sz w:val="24"/>
          <w:szCs w:val="24"/>
        </w:rPr>
        <w:t>市供水、用水管理工作。</w:t>
      </w:r>
    </w:p>
    <w:p>
      <w:pPr>
        <w:pStyle w:val="25"/>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第六条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城市供水水源是指用于城市供水的地表水和地下水，与城市供水、城市计划用水、城市节约用水管理是不可分割的整体，应贯彻统一管理与分级分部门管理相结合的原则。</w:t>
      </w:r>
    </w:p>
    <w:p>
      <w:pPr>
        <w:pStyle w:val="25"/>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第七条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b w:val="0"/>
          <w:bCs/>
          <w:sz w:val="24"/>
          <w:szCs w:val="24"/>
          <w:lang w:val="en-US" w:eastAsia="zh-CN"/>
        </w:rPr>
        <w:t>本</w:t>
      </w:r>
      <w:r>
        <w:rPr>
          <w:rFonts w:hint="eastAsia" w:ascii="方正书宋简体" w:hAnsi="方正书宋简体" w:eastAsia="方正书宋简体" w:cs="方正书宋简体"/>
          <w:sz w:val="24"/>
          <w:szCs w:val="24"/>
        </w:rPr>
        <w:t>市城市供水水源开发利用规划由市人民政府组织城市供水主管部门和规划行政主管部门、水行政主管部门、地质矿产行政主管部门和生态环境行政主管部门按优先保证生活用水，统筹兼顾工业用水和其他各项用水的原则共同编制，作为城市供水发展规划的组成部分。</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第八条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生态环境行政主管部门应当会同有关行政主管部门，根据国家饮用水源污染防治的有关法律、法规的规定，共同做好本市城市供水水源保护工作，禁止一切污染水源的行为。城市供水企业应按生态环境部门划定的区域设立和保护水源防护标志，任何单位、个人不得毁坏和挪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第九条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城市供水水源应当优先利用地表水源，严格控制使用并保护地下水源。对于城市公共供水管网覆盖的区域，严禁擅自取用地下水，严禁使用自备水源作为居民生活用水水源，逐步关闭已建成的地下水源和自备水源设施。</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新区建设、旧区改造应当按照</w:t>
      </w: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HYPERLINK "http://baike.so.com/doc/6113835-6326974.html" \t "_blank"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rPr>
        <w:t>城乡规划</w:t>
      </w:r>
      <w:r>
        <w:rPr>
          <w:rFonts w:hint="eastAsia" w:ascii="方正书宋简体" w:hAnsi="方正书宋简体" w:eastAsia="方正书宋简体" w:cs="方正书宋简体"/>
          <w:sz w:val="24"/>
          <w:szCs w:val="24"/>
        </w:rPr>
        <w:fldChar w:fldCharType="end"/>
      </w:r>
      <w:r>
        <w:rPr>
          <w:rFonts w:hint="eastAsia" w:ascii="方正书宋简体" w:hAnsi="方正书宋简体" w:eastAsia="方正书宋简体" w:cs="方正书宋简体"/>
          <w:sz w:val="24"/>
          <w:szCs w:val="24"/>
        </w:rPr>
        <w:t>和供水专项规划。配套建设供水设施或者预留供水设施配套建设用地。预留的供水设施配套建设用地，未经法定程序批准，不得改变用途。新建、改建、扩建道路应当同时规划、建设供水管道及相关设施；新建、改建、扩建</w:t>
      </w:r>
      <w:r>
        <w:rPr>
          <w:rFonts w:hint="eastAsia" w:ascii="方正书宋简体" w:hAnsi="方正书宋简体" w:eastAsia="方正书宋简体" w:cs="方正书宋简体"/>
          <w:sz w:val="24"/>
          <w:szCs w:val="24"/>
          <w:lang w:val="en-US" w:eastAsia="zh-CN"/>
        </w:rPr>
        <w:t>道路或</w:t>
      </w:r>
      <w:r>
        <w:rPr>
          <w:rFonts w:hint="eastAsia" w:ascii="方正书宋简体" w:hAnsi="方正书宋简体" w:eastAsia="方正书宋简体" w:cs="方正书宋简体"/>
          <w:sz w:val="24"/>
          <w:szCs w:val="24"/>
        </w:rPr>
        <w:t>供水管道应当同时建设消火栓等市政消防给水设施</w:t>
      </w:r>
      <w:r>
        <w:rPr>
          <w:rFonts w:hint="eastAsia" w:ascii="方正书宋简体" w:hAnsi="方正书宋简体" w:eastAsia="方正书宋简体" w:cs="方正书宋简体"/>
          <w:sz w:val="24"/>
          <w:szCs w:val="24"/>
          <w:lang w:eastAsia="zh-CN"/>
        </w:rPr>
        <w:t>，</w:t>
      </w:r>
      <w:r>
        <w:rPr>
          <w:rFonts w:hint="eastAsia" w:ascii="方正书宋简体" w:hAnsi="方正书宋简体" w:eastAsia="方正书宋简体" w:cs="方正书宋简体"/>
          <w:sz w:val="24"/>
          <w:szCs w:val="24"/>
          <w:lang w:val="en-US" w:eastAsia="zh-CN"/>
        </w:rPr>
        <w:t>并符合国家有关技术标准</w:t>
      </w:r>
      <w:r>
        <w:rPr>
          <w:rFonts w:hint="eastAsia" w:ascii="方正书宋简体" w:hAnsi="方正书宋简体" w:eastAsia="方正书宋简体" w:cs="方正书宋简体"/>
          <w:sz w:val="24"/>
          <w:szCs w:val="24"/>
        </w:rPr>
        <w:t>。新建供水项目应分设城市消防、环卫、绿化等用水的管道，并逐年进行消防、环卫、绿化等用水的管道的分设改造。</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第十一条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城市供水工程的勘察、设计、施工及监理，应当由具有相应资质的单位承担，并遵守国家有关技术标准和规范。禁止无证或者超越资质证书规定的经营范围承担城镇供水工程的勘察、设计、施工及监理。城市供水工程使用的供水设备、管材、配件和用水器具，应当符合国家涉水产品安全卫生标准、国家质量标准，并符合接入城市公共供水管网的有关技术要求。</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第十二条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新建、改建、扩建</w:t>
      </w:r>
      <w:r>
        <w:rPr>
          <w:rFonts w:hint="eastAsia" w:ascii="方正书宋简体" w:hAnsi="方正书宋简体" w:eastAsia="方正书宋简体" w:cs="方正书宋简体"/>
          <w:sz w:val="24"/>
          <w:szCs w:val="24"/>
          <w:lang w:val="en-US" w:eastAsia="zh-CN"/>
        </w:rPr>
        <w:t>城</w:t>
      </w:r>
      <w:r>
        <w:rPr>
          <w:rFonts w:hint="eastAsia" w:ascii="方正书宋简体" w:hAnsi="方正书宋简体" w:eastAsia="方正书宋简体" w:cs="方正书宋简体"/>
          <w:sz w:val="24"/>
          <w:szCs w:val="24"/>
        </w:rPr>
        <w:t>市供水工程应当按照国家、省、市规定的基本建设程序报批后，方可进行建设，其选址和设计审查、竣工验收等环节应当有城市供水、卫生健康行政主管部门和供水企业参加。</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第十三条</w:t>
      </w:r>
      <w:r>
        <w:rPr>
          <w:rFonts w:hint="eastAsia" w:ascii="方正书宋简体" w:hAnsi="方正书宋简体" w:eastAsia="方正书宋简体" w:cs="方正书宋简体"/>
          <w:b w:val="0"/>
          <w:bCs/>
          <w:sz w:val="24"/>
          <w:szCs w:val="24"/>
        </w:rPr>
        <w:t xml:space="preserve"> </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新建、改建、扩建</w:t>
      </w:r>
      <w:r>
        <w:rPr>
          <w:rFonts w:hint="eastAsia" w:ascii="方正书宋简体" w:hAnsi="方正书宋简体" w:eastAsia="方正书宋简体" w:cs="方正书宋简体"/>
          <w:sz w:val="24"/>
          <w:szCs w:val="24"/>
          <w:lang w:val="en-US" w:eastAsia="zh-CN"/>
        </w:rPr>
        <w:t>本</w:t>
      </w:r>
      <w:r>
        <w:rPr>
          <w:rFonts w:hint="eastAsia" w:ascii="方正书宋简体" w:hAnsi="方正书宋简体" w:eastAsia="方正书宋简体" w:cs="方正书宋简体"/>
          <w:sz w:val="24"/>
          <w:szCs w:val="24"/>
        </w:rPr>
        <w:t>市供水工程，建设单位应当按照国家、省、市有关规定组织验收，未经验收或者验收不合格的，不得投入使用。市区供水工程竣工验收合格后，建设单位应当在三个月内将工程档案资料移交</w:t>
      </w:r>
      <w:r>
        <w:rPr>
          <w:rFonts w:hint="eastAsia" w:ascii="方正书宋简体" w:hAnsi="方正书宋简体" w:eastAsia="方正书宋简体" w:cs="方正书宋简体"/>
          <w:kern w:val="0"/>
          <w:sz w:val="24"/>
          <w:szCs w:val="24"/>
          <w:lang w:val="en-US" w:eastAsia="zh-CN"/>
        </w:rPr>
        <w:t>供水主管部门</w:t>
      </w:r>
      <w:r>
        <w:rPr>
          <w:rFonts w:hint="eastAsia" w:ascii="方正书宋简体" w:hAnsi="方正书宋简体" w:eastAsia="方正书宋简体" w:cs="方正书宋简体"/>
          <w:kern w:val="0"/>
          <w:sz w:val="24"/>
          <w:szCs w:val="24"/>
        </w:rPr>
        <w:t>和供水企业</w:t>
      </w:r>
      <w:r>
        <w:rPr>
          <w:rFonts w:hint="eastAsia" w:ascii="方正书宋简体" w:hAnsi="方正书宋简体" w:eastAsia="方正书宋简体" w:cs="方正书宋简体"/>
          <w:sz w:val="24"/>
          <w:szCs w:val="24"/>
        </w:rPr>
        <w:t>。供水主管部门应当建立全市的供水设施档案，</w:t>
      </w:r>
      <w:r>
        <w:rPr>
          <w:rFonts w:hint="eastAsia" w:ascii="方正书宋简体" w:hAnsi="方正书宋简体" w:eastAsia="方正书宋简体" w:cs="方正书宋简体"/>
          <w:sz w:val="24"/>
          <w:szCs w:val="24"/>
          <w:lang w:val="en-US" w:eastAsia="zh-CN"/>
        </w:rPr>
        <w:t>每年12月将更新后市政消火栓管网图提供给消防救援部门，并</w:t>
      </w:r>
      <w:r>
        <w:rPr>
          <w:rFonts w:hint="eastAsia" w:ascii="方正书宋简体" w:hAnsi="方正书宋简体" w:eastAsia="方正书宋简体" w:cs="方正书宋简体"/>
          <w:sz w:val="24"/>
          <w:szCs w:val="24"/>
        </w:rPr>
        <w:t>对全市供水设施进行统一规划统筹和计划管理。</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黑体简体" w:hAnsi="方正黑体简体" w:eastAsia="方正黑体简体" w:cs="方正黑体简体"/>
          <w:b w:val="0"/>
          <w:bCs/>
          <w:sz w:val="24"/>
          <w:szCs w:val="24"/>
        </w:rPr>
        <w:t>第十四条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kern w:val="0"/>
          <w:sz w:val="24"/>
          <w:szCs w:val="24"/>
        </w:rPr>
        <w:t>新建居民住宅水表应当按照水表出户、一户一表的要求进行设计和建设。已建居民住宅水表出户改造工程由供水企业实施。</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kern w:val="0"/>
          <w:sz w:val="24"/>
          <w:szCs w:val="24"/>
        </w:rPr>
      </w:pPr>
      <w:r>
        <w:rPr>
          <w:rFonts w:hint="eastAsia" w:ascii="方正黑体简体" w:hAnsi="方正黑体简体" w:eastAsia="方正黑体简体" w:cs="方正黑体简体"/>
          <w:b w:val="0"/>
          <w:bCs/>
          <w:sz w:val="24"/>
          <w:szCs w:val="24"/>
        </w:rPr>
        <w:t>第十五条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新建、改建、扩建的建筑物对水压要求超出城市供水水压服务标准的，建设单位应负责投资建设二次加压供水设施，用户对水质和连续供水有特殊</w:t>
      </w:r>
      <w:r>
        <w:rPr>
          <w:rFonts w:hint="eastAsia" w:ascii="方正书宋简体" w:hAnsi="方正书宋简体" w:eastAsia="方正书宋简体" w:cs="方正书宋简体"/>
          <w:kern w:val="0"/>
          <w:sz w:val="24"/>
          <w:szCs w:val="24"/>
        </w:rPr>
        <w:t>要求的，建设单位应当自行采取技术措施。</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第十六条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二次供水设施的设计和施工，应当符合有关建设标准和工程技术规范，其设计方案应当书面征求供水企业意见，并达成一致方可实施。工程竣工后，须经供水企业参与验收。未经验收或者验收不合格的，不得擅自将二次供水设施与城市供水管网连接使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rPr>
        <w:t>二次供水设施</w:t>
      </w:r>
      <w:r>
        <w:rPr>
          <w:rFonts w:hint="eastAsia" w:ascii="方正书宋简体" w:hAnsi="方正书宋简体" w:eastAsia="方正书宋简体" w:cs="方正书宋简体"/>
          <w:sz w:val="24"/>
          <w:szCs w:val="24"/>
          <w:lang w:val="en-US" w:eastAsia="zh-CN"/>
        </w:rPr>
        <w:t>验收合格并</w:t>
      </w:r>
      <w:r>
        <w:rPr>
          <w:rFonts w:hint="eastAsia" w:ascii="方正书宋简体" w:hAnsi="方正书宋简体" w:eastAsia="方正书宋简体" w:cs="方正书宋简体"/>
          <w:sz w:val="24"/>
          <w:szCs w:val="24"/>
        </w:rPr>
        <w:t>投入使用后，</w:t>
      </w:r>
      <w:r>
        <w:rPr>
          <w:rFonts w:hint="eastAsia" w:ascii="方正书宋简体" w:hAnsi="方正书宋简体" w:eastAsia="方正书宋简体" w:cs="方正书宋简体"/>
          <w:sz w:val="24"/>
          <w:szCs w:val="24"/>
          <w:lang w:val="en-US" w:eastAsia="zh-CN"/>
        </w:rPr>
        <w:t>二次供水设施管理单位负责二次加压供水设施的日常运营、维护、清洗、消毒等管理工作。二次供水设施的清洗、消毒应按照国家、省、市有关规定进行，并委托具有国家法定资质的水质检验机构进行水质检测，检测结果应当进行公示。</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第十七条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b w:val="0"/>
          <w:bCs/>
          <w:sz w:val="24"/>
          <w:szCs w:val="24"/>
          <w:lang w:val="en-US" w:eastAsia="zh-CN"/>
        </w:rPr>
        <w:t>本市</w:t>
      </w:r>
      <w:r>
        <w:rPr>
          <w:rFonts w:hint="eastAsia" w:ascii="方正书宋简体" w:hAnsi="方正书宋简体" w:eastAsia="方正书宋简体" w:cs="方正书宋简体"/>
          <w:sz w:val="24"/>
          <w:szCs w:val="24"/>
        </w:rPr>
        <w:t>供水设施应当按照产权归属原则，由产权所有人或其委托的单位负责管理和维护。市政给水总表前的供水设施由供水企业负责管理和维护;市政给水总表至用户分表之间的用户共用用水设施，可以由用户委托供水企业或者其他管理单位负责管理和维护；用户分表至用户户内的供水设施，由用户自行负责管理和维护。</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第十八条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 xml:space="preserve"> 供水企业对其管理的城市供水设施，应定期检查维修，确保其安全运行。供水企业根据有关规定和协议可将设施管理与维护延伸至居民用户分表，实施专业管理与维护。</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第十九条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市人民政府建立以政府投入为主、供水企业和用户合理分担的多渠道资金筹集机制，制定已建居民用户共用用水设施的改造工作计划，限期完成整改。</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黑体简体" w:hAnsi="方正黑体简体" w:eastAsia="方正黑体简体" w:cs="方正黑体简体"/>
          <w:b w:val="0"/>
          <w:bCs/>
          <w:sz w:val="24"/>
          <w:szCs w:val="24"/>
        </w:rPr>
        <w:t>第二十条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lang w:val="en-US" w:eastAsia="zh-CN"/>
        </w:rPr>
        <w:t xml:space="preserve">采用共用用水设施供水至居民用户的管理单位，负责向管辖的居民用户收取城市生活垃圾处理费和污水处理费，收费标准按发改价格主管部门批准后的标准执行，并在发票中分别单独列明城市生活垃圾处理费和污水处理费的缴款数额，全额上缴地方国库，纳入地方政府性基金预算管理，实行专款专用。             </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书宋简体" w:hAnsi="方正书宋简体" w:eastAsia="方正书宋简体" w:cs="方正书宋简体"/>
          <w:sz w:val="24"/>
          <w:szCs w:val="24"/>
          <w:lang w:val="en-US" w:eastAsia="zh-CN"/>
        </w:rPr>
        <w:t>鼓励已建居民用户和新建居民小区采用智能水表，智能水表的安装由供水企业统一组织实施，智能水表的安装费用由供水企业与用户协商议定。逐步实现二次供水居民住宅城市生活垃圾处理费和污水处理费由供水企业直接代收。</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第二十一条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供水企业应当按照相关技术标准和规范，对所属的供水设施或移交管理的供水设施定期检查维修，确保安全运行。</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第二十二条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公共供水设施发生损毁事故的，供水企业应当立即采取有效措施组织抢修。为避免损失进一步扩大，供水企业可以先行组织抢修施工，及时通知用水单位、个人，报告相关政府部门。任何单位和个人不得阻挠和干扰供水设施的抢修。</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第二十三条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kern w:val="0"/>
          <w:sz w:val="24"/>
          <w:szCs w:val="24"/>
        </w:rPr>
        <w:t>市供水主管部门</w:t>
      </w:r>
      <w:r>
        <w:rPr>
          <w:rFonts w:hint="eastAsia" w:ascii="方正书宋简体" w:hAnsi="方正书宋简体" w:eastAsia="方正书宋简体" w:cs="方正书宋简体"/>
          <w:sz w:val="24"/>
          <w:szCs w:val="24"/>
        </w:rPr>
        <w:t>应当会同</w:t>
      </w:r>
      <w:r>
        <w:rPr>
          <w:rFonts w:hint="eastAsia" w:ascii="方正书宋简体" w:hAnsi="方正书宋简体" w:eastAsia="方正书宋简体" w:cs="方正书宋简体"/>
          <w:sz w:val="24"/>
          <w:szCs w:val="24"/>
        </w:rPr>
        <w:fldChar w:fldCharType="begin"/>
      </w:r>
      <w:r>
        <w:rPr>
          <w:rFonts w:hint="eastAsia" w:ascii="方正书宋简体" w:hAnsi="方正书宋简体" w:eastAsia="方正书宋简体" w:cs="方正书宋简体"/>
          <w:sz w:val="24"/>
          <w:szCs w:val="24"/>
        </w:rPr>
        <w:instrText xml:space="preserve"> HYPERLINK "http://baike.so.com/doc/6113835-6326974.html" \t "_blank" </w:instrText>
      </w:r>
      <w:r>
        <w:rPr>
          <w:rFonts w:hint="eastAsia" w:ascii="方正书宋简体" w:hAnsi="方正书宋简体" w:eastAsia="方正书宋简体" w:cs="方正书宋简体"/>
          <w:sz w:val="24"/>
          <w:szCs w:val="24"/>
        </w:rPr>
        <w:fldChar w:fldCharType="separate"/>
      </w:r>
      <w:r>
        <w:rPr>
          <w:rFonts w:hint="eastAsia" w:ascii="方正书宋简体" w:hAnsi="方正书宋简体" w:eastAsia="方正书宋简体" w:cs="方正书宋简体"/>
          <w:sz w:val="24"/>
          <w:szCs w:val="24"/>
        </w:rPr>
        <w:t>规划</w:t>
      </w:r>
      <w:r>
        <w:rPr>
          <w:rFonts w:hint="eastAsia" w:ascii="方正书宋简体" w:hAnsi="方正书宋简体" w:eastAsia="方正书宋简体" w:cs="方正书宋简体"/>
          <w:sz w:val="24"/>
          <w:szCs w:val="24"/>
        </w:rPr>
        <w:fldChar w:fldCharType="end"/>
      </w:r>
      <w:r>
        <w:rPr>
          <w:rFonts w:hint="eastAsia" w:ascii="方正书宋简体" w:hAnsi="方正书宋简体" w:eastAsia="方正书宋简体" w:cs="方正书宋简体"/>
          <w:sz w:val="24"/>
          <w:szCs w:val="24"/>
        </w:rPr>
        <w:t>等主管部门，参照国家有关标准和规定划定供水设施保护范围，并依法向社会公布。供水企业应当按照有关要求在供水设施所在位置、供水管道上方和重要供水设施上设置明显的安全警示标志。任何单位和个人不得毁损、覆盖、涂改、擅自拆除或者移动供水设施安全警示标志。在公共供水设施的保护范围内，禁止下列活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（一）建造建筑物或者构筑物；</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（二）开挖沟渠或者挖坑取土；</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（三）打桩或者顶进作业；</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（四）埋设线杆，种植深根树木，堆放易燃、易爆、有毒有害的物质；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（五）骑压管线；</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（六）其他影响供水设施安全的活动。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确需从事上述活动的，相关单位和个人应征求属地供水企业意见，并按规定向相关政府部门提出申请。</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第二十四条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建设单位因工程建设确需改装、拆除或者迁移公共供水设施的，建设单位应当报经城市规划行政部门和供水主管部门批准，并书面征得供水企业同意，并承担所需费用。建设单位擅自改装、拆除或者迁移公共供水设施的，须承担修复费用，赔偿由此给供水企业或其他用户带来的损失，并承担相应的法律责任。</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第二十五条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禁止任何单位和个人实施下列危害公共供水设施的行为：</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（一）擅自启闭公共供水设施；</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（二）将避雷装置和电器地线连接在公共供水设施上；</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（三）将输送不同水质的管网或者蒸汽、热水、高位水池、水塔落水管等管网与公共供水设施连接；</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（四）盗窃、损毁、迁移、更改、转让、转接或者覆盖计量器具、公共供水设施及标志； </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（五）擅自在城市公共供水管道上或未经水池（水箱）调节的供水管道上直接装泵抽水；</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（六）其他危害公共供水设施的行为。</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第二十六条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跨区域供水水源调配工程的保护范围和职责应当由上一级人民政府确定，相关责任单位应按照现行的法律、法规及标准进行管理维护。</w:t>
      </w:r>
    </w:p>
    <w:p>
      <w:pPr>
        <w:pStyle w:val="25"/>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第二十七条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禁止擅自将自建的设施供水管网系统与城市公共供水管网系统连接。因特殊情况确需连接的，</w:t>
      </w:r>
      <w:r>
        <w:rPr>
          <w:rFonts w:hint="eastAsia" w:ascii="方正书宋简体" w:hAnsi="方正书宋简体" w:eastAsia="方正书宋简体" w:cs="方正书宋简体"/>
          <w:sz w:val="24"/>
          <w:szCs w:val="24"/>
          <w:lang w:val="en-US" w:eastAsia="zh-CN"/>
        </w:rPr>
        <w:t>须</w:t>
      </w:r>
      <w:r>
        <w:rPr>
          <w:rFonts w:hint="eastAsia" w:ascii="方正书宋简体" w:hAnsi="方正书宋简体" w:eastAsia="方正书宋简体" w:cs="方正书宋简体"/>
          <w:sz w:val="24"/>
          <w:szCs w:val="24"/>
        </w:rPr>
        <w:t>经供水企业同意。连接设施的施工图会审、施工方案会审应有供水企业参加，连接设施应当经供水企业验收合格，并交供水企业统一管理维护后，方可连接使用。生产有毒有害物质的单位，其内部供水管道严禁与</w:t>
      </w:r>
      <w:r>
        <w:rPr>
          <w:rFonts w:hint="eastAsia" w:ascii="方正书宋简体" w:hAnsi="方正书宋简体" w:eastAsia="方正书宋简体" w:cs="方正书宋简体"/>
          <w:sz w:val="24"/>
          <w:szCs w:val="24"/>
          <w:lang w:val="en-US" w:eastAsia="zh-CN"/>
        </w:rPr>
        <w:t>城市</w:t>
      </w:r>
      <w:r>
        <w:rPr>
          <w:rFonts w:hint="eastAsia" w:ascii="方正书宋简体" w:hAnsi="方正书宋简体" w:eastAsia="方正书宋简体" w:cs="方正书宋简体"/>
          <w:sz w:val="24"/>
          <w:szCs w:val="24"/>
        </w:rPr>
        <w:t>供水管道直接连接。</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第二十八条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市政消防给水设施由公安消防机构监督和使用，其建设和管理维护由供水企业负责。公共消火栓未经批准不得用于与消防和应急救援工作无关的事项。消防部门与供水企业共同核准消防使用水量。单位或居民生活区域内的消防给水设施属单位和楼宇产权单位的内部公共用水设施,其用水接入总表计量。</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kern w:val="0"/>
          <w:sz w:val="24"/>
          <w:szCs w:val="24"/>
        </w:rPr>
      </w:pPr>
      <w:r>
        <w:rPr>
          <w:rFonts w:hint="eastAsia" w:ascii="方正黑体简体" w:hAnsi="方正黑体简体" w:eastAsia="方正黑体简体" w:cs="方正黑体简体"/>
          <w:b w:val="0"/>
          <w:bCs/>
          <w:sz w:val="24"/>
          <w:szCs w:val="24"/>
        </w:rPr>
        <w:t>第二十九条</w:t>
      </w:r>
      <w:r>
        <w:rPr>
          <w:rFonts w:hint="eastAsia" w:ascii="方正书宋简体" w:hAnsi="方正书宋简体" w:eastAsia="方正书宋简体" w:cs="方正书宋简体"/>
          <w:b/>
          <w:kern w:val="0"/>
          <w:sz w:val="24"/>
          <w:szCs w:val="24"/>
        </w:rPr>
        <w:t xml:space="preserve">  </w:t>
      </w:r>
      <w:r>
        <w:rPr>
          <w:rFonts w:hint="eastAsia" w:ascii="方正书宋简体" w:hAnsi="方正书宋简体" w:eastAsia="方正书宋简体" w:cs="方正书宋简体"/>
          <w:kern w:val="0"/>
          <w:sz w:val="24"/>
          <w:szCs w:val="24"/>
        </w:rPr>
        <w:t>城市供水主管部门应制定城市供水应急预案，定期组织开展应急处理演练，预防和减轻突发供水事件造成的社会危害；供水企业应制定本单位安全生产预案，建立应急救援队伍，配备救援器材设备，定期进行演练；任何单位和个人应当服从政府应急指挥和安排，不得阻扰和干扰应急处理工作</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因发生自然灾害、传染性疾病、水源污染、供水设施遭受严重损坏等重大突发事件、公共安全事故，在全市范围内造成无法正常供水的，经市政府批准，市供水主管部门可以采取供水管制措施，供水企业和用户应当予以配合。采取供水管制措施时，应当优先保障居民生活基本用水。</w:t>
      </w:r>
    </w:p>
    <w:p>
      <w:pPr>
        <w:pStyle w:val="25"/>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书宋简体" w:hAnsi="方正书宋简体" w:eastAsia="方正书宋简体" w:cs="方正书宋简体"/>
          <w:sz w:val="24"/>
          <w:szCs w:val="24"/>
        </w:rPr>
      </w:pPr>
      <w:bookmarkStart w:id="1" w:name="_Toc388005133"/>
      <w:r>
        <w:rPr>
          <w:rFonts w:hint="eastAsia" w:ascii="方正黑体简体" w:hAnsi="方正黑体简体" w:eastAsia="方正黑体简体" w:cs="方正黑体简体"/>
          <w:b w:val="0"/>
          <w:bCs/>
          <w:sz w:val="24"/>
          <w:szCs w:val="24"/>
        </w:rPr>
        <w:t>第三十条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供水企业应当符合下列条件：</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（一）依法取得取水许可证、卫生许可证等开展供水经营必要的许可证书；</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（二）有符合标准的制水、输配水设施；</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（三）具备水质检测能力，能够开展与供水规模相适应的原水、供水水质自检；</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（四）法律、法规规定的其他条件。</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第三十一条</w:t>
      </w:r>
      <w:r>
        <w:rPr>
          <w:rFonts w:hint="eastAsia" w:ascii="方正黑体简体" w:hAnsi="方正黑体简体" w:eastAsia="方正黑体简体" w:cs="方正黑体简体"/>
          <w:b/>
          <w:sz w:val="24"/>
          <w:szCs w:val="24"/>
        </w:rPr>
        <w:t xml:space="preserve"> </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lang w:val="en-US" w:eastAsia="zh-CN"/>
        </w:rPr>
        <w:t>城市</w:t>
      </w:r>
      <w:r>
        <w:rPr>
          <w:rFonts w:hint="eastAsia" w:ascii="方正书宋简体" w:hAnsi="方正书宋简体" w:eastAsia="方正书宋简体" w:cs="方正书宋简体"/>
          <w:sz w:val="24"/>
          <w:szCs w:val="24"/>
        </w:rPr>
        <w:t>供水可以依法实行特许经营制度。市供水主管部门按照有关规定负责城市供水特许经营权实施工作。</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第三十二条</w:t>
      </w:r>
      <w:r>
        <w:rPr>
          <w:rFonts w:hint="eastAsia" w:ascii="方正书宋简体" w:hAnsi="方正书宋简体" w:eastAsia="方正书宋简体" w:cs="方正书宋简体"/>
          <w:b w:val="0"/>
          <w:bCs/>
          <w:sz w:val="24"/>
          <w:szCs w:val="24"/>
        </w:rPr>
        <w:t xml:space="preserve"> </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供水企业应当遵守以下规定：</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（一）保持不间断供水；</w:t>
      </w:r>
    </w:p>
    <w:p>
      <w:pPr>
        <w:pStyle w:val="25"/>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sz w:val="24"/>
          <w:szCs w:val="24"/>
        </w:rPr>
        <w:t>（二）按照国家有关水质、水压的标准和规范向用户供水，相关标准和规范通过营业厅、网站或宣传手册等方式向用户公告；</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xml:space="preserve">（三）按照规定设置管网测压点，做好水压检测工作； </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（四）供水企业直接从事净水生产的人员应当按照国家有关规定接受健康体检和专业培训，持证上岗；</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（五）将供水服务项目的办理程序、办理期限、收费标准等事项在其营业场所公示；</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（六）保持服务沟通渠道及投诉受理渠道通畅，制定服务与投诉处理流程，在规定时限内做出响应或进行处理；</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（七）法律、法规规定的其他义务。</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第三十三条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用户应当遵守以下规定：</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（一）供水企业工作人员需要入户抄录水表的，用户应当尽可能提供方便；</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（二）应当依法用水、节约用水，及时足额缴交水费；</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（三）不得阻挠供水企业更换到期</w:t>
      </w:r>
      <w:r>
        <w:rPr>
          <w:rFonts w:hint="eastAsia" w:ascii="方正书宋简体" w:hAnsi="方正书宋简体" w:eastAsia="方正书宋简体" w:cs="方正书宋简体"/>
          <w:sz w:val="24"/>
          <w:szCs w:val="24"/>
          <w:lang w:val="en-US" w:eastAsia="zh-CN"/>
        </w:rPr>
        <w:t>的</w:t>
      </w:r>
      <w:r>
        <w:rPr>
          <w:rFonts w:hint="eastAsia" w:ascii="方正书宋简体" w:hAnsi="方正书宋简体" w:eastAsia="方正书宋简体" w:cs="方正书宋简体"/>
          <w:sz w:val="24"/>
          <w:szCs w:val="24"/>
        </w:rPr>
        <w:t>或</w:t>
      </w:r>
      <w:r>
        <w:rPr>
          <w:rFonts w:hint="eastAsia" w:ascii="方正书宋简体" w:hAnsi="方正书宋简体" w:eastAsia="方正书宋简体" w:cs="方正书宋简体"/>
          <w:sz w:val="24"/>
          <w:szCs w:val="24"/>
          <w:lang w:val="en-US" w:eastAsia="zh-CN"/>
        </w:rPr>
        <w:t>者</w:t>
      </w:r>
      <w:r>
        <w:rPr>
          <w:rFonts w:hint="eastAsia" w:ascii="方正书宋简体" w:hAnsi="方正书宋简体" w:eastAsia="方正书宋简体" w:cs="方正书宋简体"/>
          <w:sz w:val="24"/>
          <w:szCs w:val="24"/>
        </w:rPr>
        <w:t>故障结算水表；</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（四）申请、变更或终止用水，应当办理相关手续；</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（五）法律、法规规定的其他义务。</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黑体简体" w:hAnsi="方正黑体简体" w:eastAsia="方正黑体简体" w:cs="方正黑体简体"/>
          <w:b w:val="0"/>
          <w:bCs/>
          <w:sz w:val="24"/>
          <w:szCs w:val="24"/>
        </w:rPr>
        <w:t>第三十四条</w:t>
      </w:r>
      <w:r>
        <w:rPr>
          <w:rFonts w:hint="eastAsia" w:ascii="方正书宋简体" w:hAnsi="方正书宋简体" w:eastAsia="方正书宋简体" w:cs="方正书宋简体"/>
          <w:b/>
          <w:kern w:val="0"/>
          <w:sz w:val="24"/>
          <w:szCs w:val="24"/>
        </w:rPr>
        <w:t xml:space="preserve">  </w:t>
      </w:r>
      <w:r>
        <w:rPr>
          <w:rFonts w:hint="eastAsia" w:ascii="方正书宋简体" w:hAnsi="方正书宋简体" w:eastAsia="方正书宋简体" w:cs="方正书宋简体"/>
          <w:kern w:val="0"/>
          <w:sz w:val="24"/>
          <w:szCs w:val="24"/>
        </w:rPr>
        <w:t>结算水表安装在户内或用户红线范围以内的，供水企业可以在任何合理时间或在紧急情况下进入以上处所，从事以下工作：</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（一）确定用户用水量；</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（二）检查、维护或更新结算水表；</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（三）根据本办法有关规定暂停供水；</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（四）检查该处所是否有违反本办法的情况。</w:t>
      </w:r>
    </w:p>
    <w:p>
      <w:pPr>
        <w:pStyle w:val="25"/>
        <w:keepNext w:val="0"/>
        <w:keepLines w:val="0"/>
        <w:pageBreakBefore w:val="0"/>
        <w:kinsoku/>
        <w:wordWrap/>
        <w:overflowPunct/>
        <w:topLinePunct w:val="0"/>
        <w:autoSpaceDE/>
        <w:autoSpaceDN/>
        <w:bidi w:val="0"/>
        <w:adjustRightInd/>
        <w:snapToGrid/>
        <w:spacing w:line="440" w:lineRule="exact"/>
        <w:ind w:firstLine="723"/>
        <w:textAlignment w:val="auto"/>
        <w:rPr>
          <w:rFonts w:hint="eastAsia" w:ascii="方正书宋简体" w:hAnsi="方正书宋简体" w:eastAsia="方正书宋简体" w:cs="方正书宋简体"/>
          <w:kern w:val="0"/>
          <w:sz w:val="24"/>
          <w:szCs w:val="24"/>
        </w:rPr>
      </w:pPr>
      <w:r>
        <w:rPr>
          <w:rFonts w:hint="eastAsia" w:ascii="方正书宋简体" w:hAnsi="方正书宋简体" w:eastAsia="方正书宋简体" w:cs="方正书宋简体"/>
          <w:kern w:val="0"/>
          <w:sz w:val="24"/>
          <w:szCs w:val="24"/>
        </w:rPr>
        <w:t>用户无</w:t>
      </w:r>
      <w:r>
        <w:rPr>
          <w:rFonts w:hint="eastAsia" w:ascii="方正书宋简体" w:hAnsi="方正书宋简体" w:eastAsia="方正书宋简体" w:cs="方正书宋简体"/>
          <w:kern w:val="0"/>
          <w:sz w:val="24"/>
          <w:szCs w:val="24"/>
          <w:lang w:val="en-US" w:eastAsia="zh-CN"/>
        </w:rPr>
        <w:t>合理</w:t>
      </w:r>
      <w:r>
        <w:rPr>
          <w:rFonts w:hint="eastAsia" w:ascii="方正书宋简体" w:hAnsi="方正书宋简体" w:eastAsia="方正书宋简体" w:cs="方正书宋简体"/>
          <w:kern w:val="0"/>
          <w:sz w:val="24"/>
          <w:szCs w:val="24"/>
        </w:rPr>
        <w:t>理由拒绝供水企业进入处所从事以上工作的，供水企业在书面通知用户后，可采取措施暂停供水。</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第三十五条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供水企业与用户应当签订城市供水用水合同，合同示范文由本市供水主管部门、</w:t>
      </w:r>
      <w:r>
        <w:rPr>
          <w:rFonts w:hint="eastAsia" w:ascii="方正书宋简体" w:hAnsi="方正书宋简体" w:eastAsia="方正书宋简体" w:cs="方正书宋简体"/>
          <w:sz w:val="24"/>
          <w:szCs w:val="24"/>
          <w:lang w:val="en-US" w:eastAsia="zh-CN"/>
        </w:rPr>
        <w:t>市场监督</w:t>
      </w:r>
      <w:r>
        <w:rPr>
          <w:rFonts w:hint="eastAsia" w:ascii="方正书宋简体" w:hAnsi="方正书宋简体" w:eastAsia="方正书宋简体" w:cs="方正书宋简体"/>
          <w:sz w:val="24"/>
          <w:szCs w:val="24"/>
        </w:rPr>
        <w:t>行政管理部门制定。</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对于本办法实施前已通水但未签订合同的，供水企业与用户应当按照法规、合同示范文本的规定，履行各自应尽的责任，享有必要的权利。同时，双方应当积极协商，尽快补签供水用水合同。</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lang w:val="en-US" w:eastAsia="zh-CN"/>
        </w:rPr>
      </w:pPr>
      <w:r>
        <w:rPr>
          <w:rFonts w:hint="eastAsia" w:ascii="方正黑体简体" w:hAnsi="方正黑体简体" w:eastAsia="方正黑体简体" w:cs="方正黑体简体"/>
          <w:b w:val="0"/>
          <w:bCs/>
          <w:sz w:val="24"/>
          <w:szCs w:val="24"/>
        </w:rPr>
        <w:t>第三十六条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b w:val="0"/>
          <w:bCs/>
          <w:sz w:val="24"/>
          <w:szCs w:val="24"/>
          <w:lang w:val="en-US" w:eastAsia="zh-CN"/>
        </w:rPr>
        <w:t>本</w:t>
      </w:r>
      <w:r>
        <w:rPr>
          <w:rFonts w:hint="eastAsia" w:ascii="方正书宋简体" w:hAnsi="方正书宋简体" w:eastAsia="方正书宋简体" w:cs="方正书宋简体"/>
          <w:sz w:val="24"/>
          <w:szCs w:val="24"/>
          <w:lang w:val="en-US" w:eastAsia="zh-CN"/>
        </w:rPr>
        <w:t>市供水分类为：居民生活用水、非居民生活用水和特种用水三大类，按照居民生活用水保本微利、非居民用水合理计价、特种用水加倍收费的原则分别定价。居民生活用水实行阶梯水价制度，非居民用水和特种用水实行用水超定额计划累进加价制度。城市各类供水价格与其他有关行政性收费实行同步联动。供水企业需要调整供水价格时，应向发改价格主管部门提出书面申请，同时抄报同级城市供水行政主管部门。价格主管部门经征求城市供水行政主管部门意见和召开听证会后拟定方案，报市政府批准后实施。</w:t>
      </w:r>
    </w:p>
    <w:p>
      <w:pPr>
        <w:pStyle w:val="37"/>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第三十七条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kern w:val="2"/>
          <w:sz w:val="24"/>
          <w:szCs w:val="24"/>
        </w:rPr>
        <w:t>供水企业应保持不间断供水。由于工程施工、设备维修等原因确需停止供水的，必须经城市供水主管部门批准并提前24小时通知用水单位、个人和消防部门；因发生灾害或者紧急事故，不能提前通知的，应在抢修的同时通知用水单位、个人和消防部门，尽快恢复正常供水，并报告市城市供水主管部门。对危及交通、房屋和其他财产安全的紧急事故，可在抢修的同时报公安、交通、住建管理等有关行政管理部门，有关主管部门应予以全力配合。</w:t>
      </w:r>
      <w:r>
        <w:rPr>
          <w:rFonts w:hint="eastAsia" w:ascii="方正书宋简体" w:hAnsi="方正书宋简体" w:eastAsia="方正书宋简体" w:cs="方正书宋简体"/>
          <w:sz w:val="24"/>
          <w:szCs w:val="24"/>
        </w:rPr>
        <w:t>供水企业因工程施工、供水设施维修等原因造成连续24小时以上不能供水的，应采取临时供水措施，缓解用水矛盾。</w:t>
      </w:r>
    </w:p>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sz w:val="24"/>
          <w:szCs w:val="24"/>
        </w:rPr>
      </w:pPr>
      <w:r>
        <w:rPr>
          <w:rFonts w:hint="eastAsia" w:ascii="方正黑体简体" w:hAnsi="方正黑体简体" w:eastAsia="方正黑体简体" w:cs="方正黑体简体"/>
          <w:b w:val="0"/>
          <w:bCs/>
          <w:sz w:val="24"/>
          <w:szCs w:val="24"/>
        </w:rPr>
        <w:t>第三十八条</w:t>
      </w:r>
      <w:r>
        <w:rPr>
          <w:rFonts w:hint="eastAsia" w:ascii="方正书宋简体" w:hAnsi="方正书宋简体" w:eastAsia="方正书宋简体" w:cs="方正书宋简体"/>
          <w:b/>
          <w:sz w:val="24"/>
          <w:szCs w:val="24"/>
        </w:rPr>
        <w:t xml:space="preserve">  </w:t>
      </w:r>
      <w:r>
        <w:rPr>
          <w:rFonts w:hint="eastAsia" w:ascii="方正书宋简体" w:hAnsi="方正书宋简体" w:eastAsia="方正书宋简体" w:cs="方正书宋简体"/>
          <w:sz w:val="24"/>
          <w:szCs w:val="24"/>
        </w:rPr>
        <w:t>城市用水实行计划用水和节约用水相结合的原则，对单位用水实行计划用水制度。市人民政府确定的节水主管部门应当按照国家或者省规定的定额，核定用水计划指标，并进行考核。供水企业应当按照要求向节水主管部门报送计划用水单位实际用水量报表。</w:t>
      </w:r>
      <w:bookmarkEnd w:id="1"/>
      <w:bookmarkStart w:id="2" w:name="_Toc388005138"/>
    </w:p>
    <w:bookmarkEnd w:id="2"/>
    <w:p>
      <w:pPr>
        <w:pStyle w:val="2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小标宋简体" w:hAnsi="方正小标宋简体" w:eastAsia="方正小标宋简体" w:cs="方正小标宋简体"/>
          <w:b w:val="0"/>
          <w:bCs w:val="0"/>
          <w:sz w:val="24"/>
          <w:szCs w:val="24"/>
          <w:lang w:val="en-US" w:eastAsia="zh-CN"/>
        </w:rPr>
      </w:pPr>
      <w:r>
        <w:rPr>
          <w:rFonts w:hint="eastAsia" w:ascii="方正黑体简体" w:hAnsi="方正黑体简体" w:eastAsia="方正黑体简体" w:cs="方正黑体简体"/>
          <w:b w:val="0"/>
          <w:bCs/>
          <w:sz w:val="24"/>
          <w:szCs w:val="24"/>
        </w:rPr>
        <w:t xml:space="preserve">第三十九条 </w:t>
      </w:r>
      <w:r>
        <w:rPr>
          <w:rFonts w:hint="eastAsia" w:ascii="方正书宋简体" w:hAnsi="方正书宋简体" w:eastAsia="方正书宋简体" w:cs="方正书宋简体"/>
          <w:sz w:val="24"/>
          <w:szCs w:val="24"/>
        </w:rPr>
        <w:t xml:space="preserve">  本办法自发布之日起施行，有效期五年。</w:t>
      </w:r>
    </w:p>
    <w:p>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小标宋简体" w:hAnsi="方正小标宋简体" w:eastAsia="方正小标宋简体" w:cs="方正小标宋简体"/>
          <w:b w:val="0"/>
          <w:bCs w:val="0"/>
          <w:lang w:val="en-US" w:eastAsia="zh-CN"/>
        </w:rPr>
      </w:pPr>
    </w:p>
    <w:p>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《南雄市农村宅基地审批管理实施细则》政策解读</w:t>
      </w:r>
    </w:p>
    <w:p>
      <w:pPr>
        <w:pageBreakBefore w:val="0"/>
        <w:kinsoku/>
        <w:overflowPunct/>
        <w:bidi w:val="0"/>
        <w:spacing w:line="440" w:lineRule="exact"/>
        <w:textAlignment w:val="auto"/>
        <w:rPr>
          <w:rFonts w:hint="default"/>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根据《广东省农业农村厅 广东省自然资源厅关于规范农村宅基地审批管理的通知》（粤农农规〔2020〕3号）、《韶关市农业农村局 韶关市自然资源局关于印发&lt;韶关市农村宅基地审批管理工作指引&gt;的通知》（韶农规〔2020〕1号）和《韶关市自然资源局 韶关市住房和城乡建设管理局 韶关市农业农村局关于印发&lt;韶关市加强农村住房建设管理的指导意见&gt;的通知》（韶自然资（联）字〔2019〕316号）等文件精神，我局结合南雄实际，制定了我市农村宅基地审批管理实施细则。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该实施细则首先简单阐明了农村宅基地的重要意义，接下来主要内容分为六大部分：宅基地管理基本原则、规范性要求、审批管理职责、宅基地审批流程、工作要求及附则。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Style w:val="15"/>
          <w:rFonts w:hint="eastAsia" w:ascii="方正书宋简体" w:hAnsi="方正书宋简体" w:eastAsia="方正书宋简体" w:cs="方正书宋简体"/>
          <w:sz w:val="24"/>
          <w:szCs w:val="24"/>
        </w:rPr>
        <w:t>　　</w:t>
      </w:r>
      <w:r>
        <w:rPr>
          <w:rStyle w:val="15"/>
          <w:rFonts w:hint="eastAsia" w:ascii="方正黑体简体" w:hAnsi="方正黑体简体" w:eastAsia="方正黑体简体" w:cs="方正黑体简体"/>
          <w:b w:val="0"/>
          <w:bCs/>
          <w:sz w:val="24"/>
          <w:szCs w:val="24"/>
        </w:rPr>
        <w:t>一、宅基地管理基本原则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宅基地管理基本原则需遵循四大原则：符合规划原则、“一户一宅”原则、权限下放原则和风貌管控原则。符合规划是指宅基地建房应符合国土空间规划、村庄规划等相关专项规划及技术规范；“一户一宅”是指农村村民一户只能拥有一处宅基地，宅基地面积要符合规定的标准；权限下放是指宅基地和农村住房建设的权限都下放到乡镇一级，由乡镇政府统一受理审核批准；风貌管控原则是指引导、鼓励农村村民使用推荐图集建房，充分体现村居地域特色，且严格落实农村建房建筑面积、层高、外立面等管控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Style w:val="15"/>
          <w:rFonts w:hint="eastAsia" w:ascii="方正书宋简体" w:hAnsi="方正书宋简体" w:eastAsia="方正书宋简体" w:cs="方正书宋简体"/>
          <w:b w:val="0"/>
          <w:bCs/>
          <w:sz w:val="24"/>
          <w:szCs w:val="24"/>
        </w:rPr>
      </w:pPr>
      <w:r>
        <w:rPr>
          <w:rFonts w:hint="eastAsia" w:ascii="方正书宋简体" w:hAnsi="方正书宋简体" w:eastAsia="方正书宋简体" w:cs="方正书宋简体"/>
          <w:b/>
          <w:sz w:val="24"/>
          <w:szCs w:val="24"/>
        </w:rPr>
        <w:t>　　</w:t>
      </w:r>
      <w:r>
        <w:rPr>
          <w:rStyle w:val="15"/>
          <w:rFonts w:hint="eastAsia" w:ascii="方正黑体简体" w:hAnsi="方正黑体简体" w:eastAsia="方正黑体简体" w:cs="方正黑体简体"/>
          <w:b w:val="0"/>
          <w:bCs/>
          <w:sz w:val="24"/>
          <w:szCs w:val="24"/>
        </w:rPr>
        <w:t>二、规范性要求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建筑规模管控对占地面积、建筑面积、建筑限高进行了明确，同时对禁止建设区域及建筑退让管制等进行了要求。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Style w:val="15"/>
          <w:rFonts w:hint="eastAsia" w:ascii="方正黑体简体" w:hAnsi="方正黑体简体" w:eastAsia="方正黑体简体" w:cs="方正黑体简体"/>
          <w:b w:val="0"/>
          <w:bCs/>
          <w:sz w:val="24"/>
          <w:szCs w:val="24"/>
        </w:rPr>
      </w:pPr>
      <w:r>
        <w:rPr>
          <w:rStyle w:val="15"/>
          <w:rFonts w:hint="eastAsia" w:ascii="方正书宋简体" w:hAnsi="方正书宋简体" w:eastAsia="方正书宋简体" w:cs="方正书宋简体"/>
          <w:sz w:val="24"/>
          <w:szCs w:val="24"/>
        </w:rPr>
        <w:t>　　</w:t>
      </w:r>
      <w:r>
        <w:rPr>
          <w:rStyle w:val="15"/>
          <w:rFonts w:hint="eastAsia" w:ascii="方正黑体简体" w:hAnsi="方正黑体简体" w:eastAsia="方正黑体简体" w:cs="方正黑体简体"/>
          <w:b w:val="0"/>
          <w:bCs/>
          <w:sz w:val="24"/>
          <w:szCs w:val="24"/>
        </w:rPr>
        <w:t>三、审批管理职责</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农村宅基地审批管理职责主要涉及各镇人民政府（街道办）、农业农村部门、自然资源部门、林业管理部门、城乡建设行政主管部门及综合行政执法部门等。各镇人民政府（街道办）负责宅基地审批和管理职责；农业农村部门主要负责审查申请人是否符合申请条件、拟用地是否符合宅基地合理布局要求和面积标准、宅基地和建房（规划许可）申请是否经过村组审核公示等，并综合各有关部门意见提出审批建议；自然资源部门主要负责审查用地建房是否符合国土空间规划、用途管制要求等，其中涉及占用农用地的，应办理农用地转用审批手续；林业管理部门负责审查是否符合林地保护利用规划等相关专项规划；城乡建设行政主管部门负责指导农房建设安全及房屋质量管理，会同人社部门对农村建筑工匠提供专业技能、安全知识等培训。</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Style w:val="15"/>
          <w:rFonts w:hint="eastAsia" w:ascii="方正黑体简体" w:hAnsi="方正黑体简体" w:eastAsia="方正黑体简体" w:cs="方正黑体简体"/>
          <w:b w:val="0"/>
          <w:bCs/>
          <w:sz w:val="24"/>
          <w:szCs w:val="24"/>
        </w:rPr>
      </w:pPr>
      <w:r>
        <w:rPr>
          <w:rStyle w:val="15"/>
          <w:rFonts w:hint="eastAsia" w:ascii="方正书宋简体" w:hAnsi="方正书宋简体" w:eastAsia="方正书宋简体" w:cs="方正书宋简体"/>
          <w:sz w:val="24"/>
          <w:szCs w:val="24"/>
        </w:rPr>
        <w:t>　　</w:t>
      </w:r>
      <w:r>
        <w:rPr>
          <w:rStyle w:val="15"/>
          <w:rFonts w:hint="eastAsia" w:ascii="方正黑体简体" w:hAnsi="方正黑体简体" w:eastAsia="方正黑体简体" w:cs="方正黑体简体"/>
          <w:b w:val="0"/>
          <w:bCs/>
          <w:sz w:val="24"/>
          <w:szCs w:val="24"/>
        </w:rPr>
        <w:t>四、宅基地审批流程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宅基地审批流程共有七个步骤，可分为审批阶段、批后监管阶段和确权登记三个阶段。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（一）审批阶段有3个步骤：提出申请、村级审查以及乡镇审批。其中乡镇审批这步，乡镇需组织镇级农业农村部门及自然资源部门联合审核审查，若涉及林业、水利、交通和电力等部门的还要及时征求意见。</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（二）批后监管阶段有3个步骤：施工放线、安全施工及监管和竣工验收。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（三）农房验收合格的可依法申请不动产确权登记。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Style w:val="15"/>
          <w:rFonts w:hint="eastAsia" w:ascii="方正书宋简体" w:hAnsi="方正书宋简体" w:eastAsia="方正书宋简体" w:cs="方正书宋简体"/>
          <w:b w:val="0"/>
          <w:bCs/>
          <w:sz w:val="24"/>
          <w:szCs w:val="24"/>
        </w:rPr>
      </w:pPr>
      <w:r>
        <w:rPr>
          <w:rStyle w:val="15"/>
          <w:rFonts w:hint="eastAsia" w:ascii="方正书宋简体" w:hAnsi="方正书宋简体" w:eastAsia="方正书宋简体" w:cs="方正书宋简体"/>
          <w:sz w:val="24"/>
          <w:szCs w:val="24"/>
        </w:rPr>
        <w:t>　　</w:t>
      </w:r>
      <w:r>
        <w:rPr>
          <w:rStyle w:val="15"/>
          <w:rFonts w:hint="eastAsia" w:ascii="方正黑体简体" w:hAnsi="方正黑体简体" w:eastAsia="方正黑体简体" w:cs="方正黑体简体"/>
          <w:b w:val="0"/>
          <w:bCs/>
          <w:sz w:val="24"/>
          <w:szCs w:val="24"/>
        </w:rPr>
        <w:t>五、工作要求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我们主要提了六点工作要求：落实到场制度、加强档案管理、做好动态巡查、抓好安全监管、建立监督制度和强化检查督导。</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Style w:val="15"/>
          <w:rFonts w:hint="eastAsia" w:ascii="方正书宋简体" w:hAnsi="方正书宋简体" w:eastAsia="方正书宋简体" w:cs="方正书宋简体"/>
          <w:b w:val="0"/>
          <w:bCs/>
          <w:sz w:val="24"/>
          <w:szCs w:val="24"/>
        </w:rPr>
      </w:pPr>
      <w:r>
        <w:rPr>
          <w:rStyle w:val="15"/>
          <w:rFonts w:hint="eastAsia" w:ascii="方正书宋简体" w:hAnsi="方正书宋简体" w:eastAsia="方正书宋简体" w:cs="方正书宋简体"/>
          <w:sz w:val="24"/>
          <w:szCs w:val="24"/>
        </w:rPr>
        <w:t>　　</w:t>
      </w:r>
      <w:r>
        <w:rPr>
          <w:rStyle w:val="15"/>
          <w:rFonts w:hint="eastAsia" w:ascii="方正黑体简体" w:hAnsi="方正黑体简体" w:eastAsia="方正黑体简体" w:cs="方正黑体简体"/>
          <w:b w:val="0"/>
          <w:bCs/>
          <w:sz w:val="24"/>
          <w:szCs w:val="24"/>
        </w:rPr>
        <w:t>六、附则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方正书宋简体" w:hAnsi="方正书宋简体" w:eastAsia="方正书宋简体" w:cs="方正书宋简体"/>
          <w:sz w:val="24"/>
          <w:szCs w:val="24"/>
        </w:rPr>
      </w:pPr>
      <w:r>
        <w:rPr>
          <w:rFonts w:hint="eastAsia" w:ascii="方正书宋简体" w:hAnsi="方正书宋简体" w:eastAsia="方正书宋简体" w:cs="方正书宋简体"/>
          <w:sz w:val="24"/>
          <w:szCs w:val="24"/>
        </w:rPr>
        <w:t>　　主要明确了中心城区的建房活动另行规定、有效期限及此前印发的《南雄市加强农村住房建设管理的指导意见》（试行）、《南雄市农村住房建设管理办法》（试行）的通知》（雄府明电〔2019〕62号）同时废止事宜。</w:t>
      </w:r>
    </w:p>
    <w:p>
      <w:pPr>
        <w:pageBreakBefore w:val="0"/>
        <w:kinsoku/>
        <w:wordWrap/>
        <w:overflowPunct/>
        <w:topLinePunct w:val="0"/>
        <w:autoSpaceDE/>
        <w:autoSpaceDN/>
        <w:bidi w:val="0"/>
        <w:adjustRightInd/>
        <w:snapToGrid/>
        <w:spacing w:line="340" w:lineRule="exact"/>
        <w:textAlignment w:val="auto"/>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pStyle w:val="5"/>
        <w:pageBreakBefore w:val="0"/>
        <w:widowControl w:val="0"/>
        <w:kinsoku/>
        <w:wordWrap/>
        <w:overflowPunct/>
        <w:topLinePunct w:val="0"/>
        <w:autoSpaceDE/>
        <w:autoSpaceDN/>
        <w:bidi w:val="0"/>
        <w:adjustRightInd/>
        <w:snapToGrid/>
        <w:spacing w:before="0" w:after="0" w:line="440" w:lineRule="exact"/>
        <w:textAlignment w:val="auto"/>
        <w:rPr>
          <w:rFonts w:hint="default"/>
          <w:lang w:val="en-US" w:eastAsia="zh-CN"/>
        </w:rPr>
      </w:pPr>
    </w:p>
    <w:p>
      <w:pPr>
        <w:pStyle w:val="3"/>
        <w:pageBreakBefore w:val="0"/>
        <w:widowControl w:val="0"/>
        <w:kinsoku/>
        <w:wordWrap/>
        <w:overflowPunct/>
        <w:topLinePunct w:val="0"/>
        <w:autoSpaceDE/>
        <w:autoSpaceDN/>
        <w:bidi w:val="0"/>
        <w:adjustRightInd/>
        <w:snapToGrid/>
        <w:spacing w:line="440" w:lineRule="exact"/>
        <w:ind w:left="0" w:right="314"/>
        <w:textAlignment w:val="auto"/>
        <w:rPr>
          <w:rFonts w:hint="eastAsia" w:ascii="方正小标宋简体" w:hAnsi="方正小标宋简体" w:eastAsia="方正小标宋简体" w:cs="方正小标宋简体"/>
          <w:b w:val="0"/>
          <w:bCs w:val="0"/>
          <w:kern w:val="2"/>
          <w:sz w:val="36"/>
          <w:szCs w:val="36"/>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人事任免信息</w:t>
      </w:r>
    </w:p>
    <w:p>
      <w:pPr>
        <w:pStyle w:val="6"/>
        <w:pageBreakBefore w:val="0"/>
        <w:widowControl w:val="0"/>
        <w:kinsoku/>
        <w:wordWrap/>
        <w:overflowPunct/>
        <w:topLinePunct w:val="0"/>
        <w:autoSpaceDE/>
        <w:autoSpaceDN/>
        <w:bidi w:val="0"/>
        <w:adjustRightInd/>
        <w:snapToGrid/>
        <w:spacing w:line="440" w:lineRule="exact"/>
        <w:textAlignment w:val="auto"/>
        <w:rPr>
          <w:rFonts w:hint="eastAsia" w:ascii="方正书宋简体" w:hAnsi="方正书宋简体" w:eastAsia="方正书宋简体" w:cs="方正书宋简体"/>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val="0"/>
          <w:kern w:val="0"/>
          <w:sz w:val="24"/>
          <w:szCs w:val="24"/>
          <w:lang w:val="en-US" w:eastAsia="zh-CN"/>
        </w:rPr>
      </w:pPr>
      <w:r>
        <w:rPr>
          <w:rFonts w:hint="eastAsia" w:ascii="方正黑体简体" w:hAnsi="方正黑体简体" w:eastAsia="方正黑体简体" w:cs="方正黑体简体"/>
          <w:b w:val="0"/>
          <w:bCs w:val="0"/>
          <w:kern w:val="0"/>
          <w:sz w:val="24"/>
          <w:szCs w:val="24"/>
          <w:lang w:val="en-US" w:eastAsia="zh-CN"/>
        </w:rPr>
        <w:t>市政府2020年5月任命：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高  华同志为市公安局指挥中心主任，免去其市公安局刑侦大队大队长职务；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巫秀兵同志为市公安局水口派出所所长；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张勇民同志为市公安局江头派出所所长，免去其市拘留所所长职务；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曾宪学同志为市拘留所所长；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郭盛良同志为市公安局坪田派出所所长（试用期一年）；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黄敏聪同志为市公安局界址派出所所长（试用期一年）；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肖开智同志为市公安局乌迳派出所所长（试用期一年）；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赵智勇同志为市公安局刑事侦查大队大队长（试用期一年）；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李声荣同志为市政府督办室主任。</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宋体" w:eastAsia="仿宋_GB2312" w:cs="宋体"/>
          <w:kern w:val="0"/>
          <w:sz w:val="32"/>
          <w:szCs w:val="32"/>
          <w:lang w:val="en-US" w:eastAsia="zh-CN"/>
        </w:rPr>
      </w:pPr>
      <w:r>
        <w:rPr>
          <w:rFonts w:hint="eastAsia" w:ascii="方正黑体简体" w:hAnsi="方正黑体简体" w:eastAsia="方正黑体简体" w:cs="方正黑体简体"/>
          <w:b w:val="0"/>
          <w:bCs w:val="0"/>
          <w:kern w:val="0"/>
          <w:sz w:val="24"/>
          <w:szCs w:val="24"/>
          <w:lang w:val="en-US" w:eastAsia="zh-CN"/>
        </w:rPr>
        <w:t>市政府2020年6月任命：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邱万茹同志兼任市医院管理中心主任；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黄  湛同志为市第二人民医院执行院长；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赖家骏同志为市第二人民医院副院长；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刘清毅同志为市第二人民医院副院长；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王槐明同志为市第二人民医院副院长（试用期一年）；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刘发新同志为市第二人民医院副院长（试用期一年）；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郭凌雄同志为市应急服务中心主任。</w:t>
      </w:r>
    </w:p>
    <w:p>
      <w:pPr>
        <w:pStyle w:val="2"/>
        <w:rPr>
          <w:rFonts w:hint="eastAsia"/>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textAlignment w:val="auto"/>
        <w:rPr>
          <w:rFonts w:hint="eastAsia" w:ascii="方正书宋简体" w:hAnsi="方正书宋简体" w:eastAsia="方正书宋简体" w:cs="方正书宋简体"/>
          <w:b/>
          <w:bCs/>
          <w:kern w:val="0"/>
          <w:sz w:val="24"/>
          <w:szCs w:val="24"/>
          <w:lang w:val="en-US" w:eastAsia="zh-CN" w:bidi="ar-SA"/>
        </w:rPr>
      </w:pPr>
      <w:r>
        <w:rPr>
          <w:rFonts w:hint="eastAsia" w:ascii="方正黑体简体" w:hAnsi="方正黑体简体" w:eastAsia="方正黑体简体" w:cs="方正黑体简体"/>
          <w:b w:val="0"/>
          <w:bCs w:val="0"/>
          <w:kern w:val="0"/>
          <w:sz w:val="24"/>
          <w:szCs w:val="24"/>
          <w:lang w:val="en-US" w:eastAsia="zh-CN" w:bidi="ar-SA"/>
        </w:rPr>
        <w:t>市政府2020年7月任命：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高春花同志为市机关事务中心主任；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陈志雄同志为南雄市司法局局长；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书宋简体" w:hAnsi="方正书宋简体" w:eastAsia="方正书宋简体" w:cs="方正书宋简体"/>
          <w:kern w:val="0"/>
          <w:sz w:val="24"/>
          <w:szCs w:val="24"/>
          <w:lang w:val="en-US" w:eastAsia="zh-CN"/>
        </w:rPr>
      </w:pPr>
      <w:r>
        <w:rPr>
          <w:rFonts w:hint="eastAsia" w:ascii="楷体_GB2312" w:hAnsi="楷体_GB2312" w:eastAsia="楷体_GB2312" w:cs="楷体_GB2312"/>
          <w:kern w:val="0"/>
          <w:sz w:val="24"/>
          <w:szCs w:val="24"/>
          <w:lang w:val="en-US" w:eastAsia="zh-CN"/>
        </w:rPr>
        <w:t>邓昌忠同志为南雄市政务服务数据管理局局长。</w:t>
      </w:r>
    </w:p>
    <w:p>
      <w:pPr>
        <w:pageBreakBefore w:val="0"/>
        <w:widowControl w:val="0"/>
        <w:kinsoku/>
        <w:wordWrap/>
        <w:overflowPunct/>
        <w:topLinePunct w:val="0"/>
        <w:autoSpaceDE/>
        <w:autoSpaceDN/>
        <w:bidi w:val="0"/>
        <w:adjustRightInd/>
        <w:snapToGrid/>
        <w:spacing w:line="440" w:lineRule="exact"/>
        <w:ind w:right="0" w:firstLine="482" w:firstLineChars="200"/>
        <w:jc w:val="left"/>
        <w:textAlignment w:val="auto"/>
        <w:rPr>
          <w:rFonts w:hint="eastAsia" w:ascii="方正书宋简体" w:hAnsi="方正书宋简体" w:eastAsia="方正书宋简体" w:cs="方正书宋简体"/>
          <w:b/>
          <w:bCs/>
          <w:kern w:val="0"/>
          <w:sz w:val="24"/>
          <w:szCs w:val="24"/>
          <w:lang w:val="en-US" w:eastAsia="zh-CN" w:bidi="ar-SA"/>
        </w:rPr>
      </w:pPr>
    </w:p>
    <w:p>
      <w:pPr>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方正书宋简体" w:hAnsi="方正书宋简体" w:eastAsia="方正书宋简体" w:cs="方正书宋简体"/>
          <w:b/>
          <w:bCs/>
          <w:kern w:val="0"/>
          <w:sz w:val="24"/>
          <w:szCs w:val="24"/>
          <w:lang w:val="en-US" w:eastAsia="zh-CN" w:bidi="ar-SA"/>
        </w:rPr>
      </w:pPr>
      <w:r>
        <w:rPr>
          <w:rFonts w:hint="eastAsia" w:ascii="方正黑体简体" w:hAnsi="方正黑体简体" w:eastAsia="方正黑体简体" w:cs="方正黑体简体"/>
          <w:b w:val="0"/>
          <w:bCs w:val="0"/>
          <w:kern w:val="0"/>
          <w:sz w:val="24"/>
          <w:szCs w:val="24"/>
          <w:lang w:val="en-US" w:eastAsia="zh-CN" w:bidi="ar-SA"/>
        </w:rPr>
        <w:t>市政府2020年5月免去：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赖正辉同志的市政府办公室副主任职务；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林  斌同志的市政府督办室主任职务；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徐运福同志的市公安局水口派出所所长职务；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书宋简体" w:hAnsi="方正书宋简体" w:eastAsia="方正书宋简体" w:cs="方正书宋简体"/>
          <w:kern w:val="0"/>
          <w:sz w:val="24"/>
          <w:szCs w:val="24"/>
          <w:lang w:val="en-US" w:eastAsia="zh-CN"/>
        </w:rPr>
      </w:pPr>
      <w:r>
        <w:rPr>
          <w:rFonts w:hint="eastAsia" w:ascii="楷体_GB2312" w:hAnsi="楷体_GB2312" w:eastAsia="楷体_GB2312" w:cs="楷体_GB2312"/>
          <w:kern w:val="0"/>
          <w:sz w:val="24"/>
          <w:szCs w:val="24"/>
          <w:lang w:val="en-US" w:eastAsia="zh-CN"/>
        </w:rPr>
        <w:t>林红军同志的市公安局江头派出所所长职务。</w:t>
      </w:r>
    </w:p>
    <w:p>
      <w:pPr>
        <w:pageBreakBefore w:val="0"/>
        <w:widowControl w:val="0"/>
        <w:kinsoku/>
        <w:wordWrap/>
        <w:overflowPunct/>
        <w:topLinePunct w:val="0"/>
        <w:autoSpaceDE/>
        <w:autoSpaceDN/>
        <w:bidi w:val="0"/>
        <w:adjustRightInd/>
        <w:snapToGrid/>
        <w:spacing w:line="440" w:lineRule="exact"/>
        <w:ind w:right="0"/>
        <w:jc w:val="left"/>
        <w:textAlignment w:val="auto"/>
        <w:rPr>
          <w:rFonts w:hint="eastAsia" w:ascii="方正书宋简体" w:hAnsi="方正书宋简体" w:eastAsia="方正书宋简体" w:cs="方正书宋简体"/>
          <w:b/>
          <w:bCs/>
          <w:kern w:val="0"/>
          <w:sz w:val="24"/>
          <w:szCs w:val="24"/>
          <w:lang w:val="en-US" w:eastAsia="zh-CN" w:bidi="ar-SA"/>
        </w:rPr>
      </w:pPr>
    </w:p>
    <w:p>
      <w:pPr>
        <w:pageBreakBefore w:val="0"/>
        <w:widowControl w:val="0"/>
        <w:kinsoku/>
        <w:wordWrap/>
        <w:overflowPunct/>
        <w:topLinePunct w:val="0"/>
        <w:autoSpaceDE/>
        <w:autoSpaceDN/>
        <w:bidi w:val="0"/>
        <w:adjustRightInd/>
        <w:snapToGrid/>
        <w:spacing w:line="440" w:lineRule="exact"/>
        <w:ind w:right="0" w:firstLine="480" w:firstLineChars="200"/>
        <w:jc w:val="left"/>
        <w:textAlignment w:val="auto"/>
        <w:rPr>
          <w:rFonts w:hint="eastAsia" w:ascii="方正黑体简体" w:hAnsi="方正黑体简体" w:eastAsia="方正黑体简体" w:cs="方正黑体简体"/>
          <w:b w:val="0"/>
          <w:bCs w:val="0"/>
          <w:kern w:val="0"/>
          <w:sz w:val="24"/>
          <w:szCs w:val="24"/>
          <w:lang w:val="en-US" w:eastAsia="zh-CN" w:bidi="ar-SA"/>
        </w:rPr>
      </w:pPr>
      <w:r>
        <w:rPr>
          <w:rFonts w:hint="eastAsia" w:ascii="方正黑体简体" w:hAnsi="方正黑体简体" w:eastAsia="方正黑体简体" w:cs="方正黑体简体"/>
          <w:b w:val="0"/>
          <w:bCs w:val="0"/>
          <w:kern w:val="0"/>
          <w:sz w:val="24"/>
          <w:szCs w:val="24"/>
          <w:lang w:val="en-US" w:eastAsia="zh-CN" w:bidi="ar-SA"/>
        </w:rPr>
        <w:t>市政府2020年7月免去：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邓昌忠同志的市机关事务中心主任职务；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陈志雄同志的南雄市政务服务数据管理局局长职务；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val="en-US" w:eastAsia="zh-CN"/>
        </w:rPr>
        <w:t>董书海同志的南雄市司法局局长。</w:t>
      </w:r>
    </w:p>
    <w:p>
      <w:pPr>
        <w:rPr>
          <w:rFonts w:hint="eastAsia" w:ascii="方正书宋简体" w:hAnsi="方正书宋简体" w:eastAsia="方正书宋简体" w:cs="方正书宋简体"/>
          <w:kern w:val="0"/>
          <w:sz w:val="24"/>
          <w:szCs w:val="24"/>
          <w:lang w:eastAsia="zh-CN"/>
        </w:rPr>
      </w:pPr>
    </w:p>
    <w:p>
      <w:pPr>
        <w:pStyle w:val="5"/>
        <w:rPr>
          <w:rFonts w:hint="eastAsia" w:ascii="方正书宋简体" w:hAnsi="方正书宋简体" w:eastAsia="方正书宋简体" w:cs="方正书宋简体"/>
          <w:kern w:val="0"/>
          <w:sz w:val="24"/>
          <w:szCs w:val="24"/>
          <w:lang w:eastAsia="zh-CN"/>
        </w:rPr>
      </w:pPr>
    </w:p>
    <w:p>
      <w:pPr>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pStyle w:val="2"/>
        <w:rPr>
          <w:rFonts w:hint="eastAsia" w:ascii="方正书宋简体" w:hAnsi="方正书宋简体" w:eastAsia="方正书宋简体" w:cs="方正书宋简体"/>
          <w:kern w:val="0"/>
          <w:sz w:val="24"/>
          <w:szCs w:val="24"/>
          <w:lang w:eastAsia="zh-CN"/>
        </w:rPr>
      </w:pPr>
    </w:p>
    <w:p>
      <w:pPr>
        <w:rPr>
          <w:rFonts w:hint="eastAsia"/>
          <w:lang w:eastAsia="zh-CN"/>
        </w:rPr>
        <w:sectPr>
          <w:headerReference r:id="rId8" w:type="default"/>
          <w:footerReference r:id="rId9" w:type="default"/>
          <w:pgSz w:w="11906" w:h="16838"/>
          <w:pgMar w:top="1746" w:right="1497" w:bottom="1746" w:left="1497" w:header="851" w:footer="992" w:gutter="0"/>
          <w:pgNumType w:fmt="numberInDash" w:start="1"/>
          <w:cols w:space="0" w:num="1"/>
          <w:rtlGutter w:val="0"/>
          <w:docGrid w:type="lines" w:linePitch="318" w:charSpace="0"/>
        </w:sect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jc w:val="right"/>
        <w:rPr>
          <w:rFonts w:hint="eastAsia" w:ascii="方正书宋简体" w:hAnsi="方正书宋简体" w:eastAsia="方正书宋简体" w:cs="方正书宋简体"/>
          <w:kern w:val="0"/>
          <w:sz w:val="24"/>
          <w:szCs w:val="24"/>
          <w:lang w:eastAsia="zh-CN"/>
        </w:rPr>
      </w:pPr>
      <w:r>
        <w:rPr>
          <w:rFonts w:hint="eastAsia"/>
          <w:lang w:eastAsia="zh-CN"/>
        </w:rPr>
        <w:drawing>
          <wp:inline distT="0" distB="0" distL="114300" distR="114300">
            <wp:extent cx="1257300" cy="1257300"/>
            <wp:effectExtent l="0" t="0" r="7620" b="7620"/>
            <wp:docPr id="9" name="图片 9" descr="988ad5f8734e2db6ce966f254a3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88ad5f8734e2db6ce966f254a30977"/>
                    <pic:cNvPicPr>
                      <a:picLocks noChangeAspect="1"/>
                    </pic:cNvPicPr>
                  </pic:nvPicPr>
                  <pic:blipFill>
                    <a:blip r:embed="rId13"/>
                    <a:stretch>
                      <a:fillRect/>
                    </a:stretch>
                  </pic:blipFill>
                  <pic:spPr>
                    <a:xfrm>
                      <a:off x="0" y="0"/>
                      <a:ext cx="1257300" cy="1257300"/>
                    </a:xfrm>
                    <a:prstGeom prst="rect">
                      <a:avLst/>
                    </a:prstGeom>
                  </pic:spPr>
                </pic:pic>
              </a:graphicData>
            </a:graphic>
          </wp:inline>
        </w:drawing>
      </w:r>
    </w:p>
    <w:p>
      <w:pPr>
        <w:pStyle w:val="6"/>
        <w:pageBreakBefore w:val="0"/>
        <w:widowControl w:val="0"/>
        <w:kinsoku/>
        <w:wordWrap/>
        <w:overflowPunct/>
        <w:topLinePunct w:val="0"/>
        <w:autoSpaceDE/>
        <w:autoSpaceDN/>
        <w:bidi w:val="0"/>
        <w:adjustRightInd/>
        <w:snapToGrid/>
        <w:spacing w:line="416" w:lineRule="exact"/>
        <w:ind w:left="1665"/>
        <w:textAlignment w:val="auto"/>
        <w:rPr>
          <w:rFonts w:hint="eastAsia" w:ascii="方正黑体简体" w:hAnsi="方正黑体简体" w:eastAsia="方正黑体简体" w:cs="方正黑体简体"/>
          <w:color w:val="231F20"/>
          <w:position w:val="2"/>
          <w:sz w:val="24"/>
          <w:szCs w:val="24"/>
        </w:rPr>
      </w:pPr>
      <w:r>
        <mc:AlternateContent>
          <mc:Choice Requires="wps">
            <w:drawing>
              <wp:anchor distT="0" distB="0" distL="114300" distR="114300" simplePos="0" relativeHeight="251667456" behindDoc="1" locked="0" layoutInCell="1" allowOverlap="1">
                <wp:simplePos x="0" y="0"/>
                <wp:positionH relativeFrom="page">
                  <wp:posOffset>1044575</wp:posOffset>
                </wp:positionH>
                <wp:positionV relativeFrom="paragraph">
                  <wp:posOffset>140970</wp:posOffset>
                </wp:positionV>
                <wp:extent cx="554355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543550" cy="0"/>
                        </a:xfrm>
                        <a:prstGeom prst="line">
                          <a:avLst/>
                        </a:prstGeom>
                        <a:ln w="9000" cap="flat" cmpd="sng">
                          <a:solidFill>
                            <a:srgbClr val="231F2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5pt;margin-top:11.1pt;height:0pt;width:436.5pt;mso-position-horizontal-relative:page;mso-wrap-distance-bottom:0pt;mso-wrap-distance-top:0pt;z-index:-251649024;mso-width-relative:page;mso-height-relative:page;" filled="f" stroked="t" coordsize="21600,21600" o:gfxdata="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U1n3bWAAAACgEAAA8AAAAAAAAAAQAgAAAAIgAAAGRycy9kb3ducmV2LnhtbFBLAQIU&#10;ABQAAAAIAIdO4kCFx/YL9QEAAOQDAAAOAAAAAAAAAAEAIAAAACUBAABkcnMvZTJvRG9jLnhtbFBL&#10;BQYAAAAABgAGAFkBAACMBQAAAAA=&#10;">
                <v:fill on="f" focussize="0,0"/>
                <v:stroke weight="0.708661417322835pt" color="#231F20" joinstyle="round"/>
                <v:imagedata o:title=""/>
                <o:lock v:ext="edit" aspectratio="f"/>
                <w10:wrap type="topAndBottom"/>
              </v:line>
            </w:pict>
          </mc:Fallback>
        </mc:AlternateContent>
      </w:r>
    </w:p>
    <w:p>
      <w:pPr>
        <w:pStyle w:val="6"/>
        <w:pageBreakBefore w:val="0"/>
        <w:widowControl w:val="0"/>
        <w:kinsoku/>
        <w:wordWrap/>
        <w:overflowPunct/>
        <w:topLinePunct w:val="0"/>
        <w:autoSpaceDE/>
        <w:autoSpaceDN/>
        <w:bidi w:val="0"/>
        <w:adjustRightInd/>
        <w:snapToGrid/>
        <w:spacing w:line="416" w:lineRule="exact"/>
        <w:ind w:left="1665"/>
        <w:textAlignment w:val="auto"/>
        <w:rPr>
          <w:rFonts w:hint="eastAsia" w:ascii="楷体_GB2312" w:hAnsi="楷体_GB2312" w:eastAsia="楷体_GB2312" w:cs="楷体_GB2312"/>
          <w:sz w:val="24"/>
          <w:szCs w:val="24"/>
        </w:rPr>
      </w:pPr>
      <w:r>
        <w:rPr>
          <w:rFonts w:hint="eastAsia" w:ascii="方正黑体简体" w:hAnsi="方正黑体简体" w:eastAsia="方正黑体简体" w:cs="方正黑体简体"/>
          <w:color w:val="231F20"/>
          <w:position w:val="2"/>
          <w:sz w:val="24"/>
          <w:szCs w:val="24"/>
        </w:rPr>
        <w:t>主 管 主 办</w:t>
      </w:r>
      <w:r>
        <w:rPr>
          <w:rFonts w:hint="eastAsia" w:ascii="方正黑体简体" w:hAnsi="方正黑体简体" w:eastAsia="方正黑体简体" w:cs="方正黑体简体"/>
          <w:color w:val="231F20"/>
          <w:position w:val="1"/>
          <w:sz w:val="24"/>
          <w:szCs w:val="24"/>
        </w:rPr>
        <w:t>：</w:t>
      </w:r>
      <w:r>
        <w:rPr>
          <w:rFonts w:hint="eastAsia" w:ascii="楷体_GB2312" w:hAnsi="楷体_GB2312" w:eastAsia="楷体_GB2312" w:cs="楷体_GB2312"/>
          <w:color w:val="231F20"/>
          <w:position w:val="1"/>
          <w:sz w:val="24"/>
          <w:szCs w:val="24"/>
        </w:rPr>
        <w:t xml:space="preserve"> </w:t>
      </w:r>
      <w:r>
        <w:rPr>
          <w:rFonts w:hint="eastAsia" w:ascii="楷体_GB2312" w:hAnsi="楷体_GB2312" w:eastAsia="楷体_GB2312" w:cs="楷体_GB2312"/>
          <w:color w:val="231F20"/>
          <w:sz w:val="24"/>
          <w:szCs w:val="24"/>
          <w:lang w:val="en-US" w:eastAsia="zh-CN"/>
        </w:rPr>
        <w:t>南雄</w:t>
      </w:r>
      <w:r>
        <w:rPr>
          <w:rFonts w:hint="eastAsia" w:ascii="楷体_GB2312" w:hAnsi="楷体_GB2312" w:eastAsia="楷体_GB2312" w:cs="楷体_GB2312"/>
          <w:color w:val="231F20"/>
          <w:sz w:val="24"/>
          <w:szCs w:val="24"/>
        </w:rPr>
        <w:t>市人民政府</w:t>
      </w:r>
    </w:p>
    <w:p>
      <w:pPr>
        <w:pStyle w:val="6"/>
        <w:pageBreakBefore w:val="0"/>
        <w:widowControl w:val="0"/>
        <w:kinsoku/>
        <w:wordWrap/>
        <w:overflowPunct/>
        <w:topLinePunct w:val="0"/>
        <w:autoSpaceDE/>
        <w:autoSpaceDN/>
        <w:bidi w:val="0"/>
        <w:adjustRightInd/>
        <w:snapToGrid/>
        <w:spacing w:line="413" w:lineRule="exact"/>
        <w:ind w:left="1665"/>
        <w:textAlignment w:val="auto"/>
        <w:rPr>
          <w:rFonts w:hint="eastAsia" w:ascii="楷体_GB2312" w:hAnsi="楷体_GB2312" w:eastAsia="楷体_GB2312" w:cs="楷体_GB2312"/>
          <w:sz w:val="24"/>
          <w:szCs w:val="24"/>
        </w:rPr>
      </w:pPr>
      <w:r>
        <w:rPr>
          <w:rFonts w:hint="eastAsia" w:ascii="方正黑体简体" w:hAnsi="方正黑体简体" w:eastAsia="方正黑体简体" w:cs="方正黑体简体"/>
          <w:color w:val="231F20"/>
          <w:position w:val="2"/>
          <w:sz w:val="24"/>
          <w:szCs w:val="24"/>
        </w:rPr>
        <w:t>编 辑 出 版：</w:t>
      </w:r>
      <w:r>
        <w:rPr>
          <w:rFonts w:hint="eastAsia" w:ascii="楷体_GB2312" w:hAnsi="楷体_GB2312" w:eastAsia="楷体_GB2312" w:cs="楷体_GB2312"/>
          <w:color w:val="231F20"/>
          <w:position w:val="2"/>
          <w:sz w:val="24"/>
          <w:szCs w:val="24"/>
        </w:rPr>
        <w:t xml:space="preserve"> </w:t>
      </w:r>
      <w:r>
        <w:rPr>
          <w:rFonts w:hint="eastAsia" w:ascii="楷体_GB2312" w:hAnsi="楷体_GB2312" w:eastAsia="楷体_GB2312" w:cs="楷体_GB2312"/>
          <w:color w:val="231F20"/>
          <w:sz w:val="24"/>
          <w:szCs w:val="24"/>
          <w:lang w:val="en-US" w:eastAsia="zh-CN"/>
        </w:rPr>
        <w:t>南雄</w:t>
      </w:r>
      <w:r>
        <w:rPr>
          <w:rFonts w:hint="eastAsia" w:ascii="楷体_GB2312" w:hAnsi="楷体_GB2312" w:eastAsia="楷体_GB2312" w:cs="楷体_GB2312"/>
          <w:color w:val="231F20"/>
          <w:sz w:val="24"/>
          <w:szCs w:val="24"/>
        </w:rPr>
        <w:t>市人民政府办公室</w:t>
      </w:r>
    </w:p>
    <w:p>
      <w:pPr>
        <w:pStyle w:val="6"/>
        <w:pageBreakBefore w:val="0"/>
        <w:widowControl w:val="0"/>
        <w:kinsoku/>
        <w:wordWrap/>
        <w:overflowPunct/>
        <w:topLinePunct w:val="0"/>
        <w:autoSpaceDE/>
        <w:autoSpaceDN/>
        <w:bidi w:val="0"/>
        <w:adjustRightInd/>
        <w:snapToGrid/>
        <w:spacing w:line="416" w:lineRule="exact"/>
        <w:ind w:left="1665"/>
        <w:textAlignment w:val="auto"/>
        <w:rPr>
          <w:rFonts w:hint="eastAsia" w:ascii="楷体_GB2312" w:hAnsi="楷体_GB2312" w:eastAsia="楷体_GB2312" w:cs="楷体_GB2312"/>
          <w:sz w:val="24"/>
          <w:szCs w:val="24"/>
          <w:lang w:val="en-US" w:eastAsia="zh-CN"/>
        </w:rPr>
      </w:pPr>
      <w:r>
        <w:rPr>
          <w:rFonts w:hint="eastAsia" w:ascii="方正黑体简体" w:hAnsi="方正黑体简体" w:eastAsia="方正黑体简体" w:cs="方正黑体简体"/>
          <w:color w:val="231F20"/>
          <w:spacing w:val="11"/>
          <w:position w:val="2"/>
          <w:sz w:val="24"/>
          <w:szCs w:val="24"/>
        </w:rPr>
        <w:t>编辑部地址</w:t>
      </w:r>
      <w:r>
        <w:rPr>
          <w:rFonts w:hint="eastAsia" w:ascii="方正黑体简体" w:hAnsi="方正黑体简体" w:eastAsia="方正黑体简体" w:cs="方正黑体简体"/>
          <w:color w:val="231F20"/>
          <w:spacing w:val="11"/>
          <w:position w:val="1"/>
          <w:sz w:val="24"/>
          <w:szCs w:val="24"/>
        </w:rPr>
        <w:t>：</w:t>
      </w:r>
      <w:r>
        <w:rPr>
          <w:rFonts w:hint="eastAsia" w:ascii="楷体_GB2312" w:hAnsi="楷体_GB2312" w:eastAsia="楷体_GB2312" w:cs="楷体_GB2312"/>
          <w:color w:val="231F20"/>
          <w:position w:val="1"/>
          <w:sz w:val="24"/>
          <w:szCs w:val="24"/>
        </w:rPr>
        <w:t xml:space="preserve"> </w:t>
      </w:r>
      <w:r>
        <w:rPr>
          <w:rFonts w:hint="eastAsia" w:ascii="楷体_GB2312" w:hAnsi="楷体_GB2312" w:eastAsia="楷体_GB2312" w:cs="楷体_GB2312"/>
          <w:color w:val="231F20"/>
          <w:sz w:val="24"/>
          <w:szCs w:val="24"/>
          <w:lang w:val="en-US" w:eastAsia="zh-CN"/>
        </w:rPr>
        <w:t>南雄市雄州大道中389号</w:t>
      </w:r>
      <w:r>
        <w:rPr>
          <w:rFonts w:hint="eastAsia" w:ascii="楷体_GB2312" w:hAnsi="楷体_GB2312" w:eastAsia="楷体_GB2312" w:cs="楷体_GB2312"/>
          <w:color w:val="231F20"/>
          <w:sz w:val="24"/>
          <w:szCs w:val="24"/>
        </w:rPr>
        <w:t>市政府大楼</w:t>
      </w:r>
      <w:r>
        <w:rPr>
          <w:rFonts w:hint="eastAsia" w:ascii="楷体_GB2312" w:hAnsi="楷体_GB2312" w:eastAsia="楷体_GB2312" w:cs="楷体_GB2312"/>
          <w:color w:val="231F20"/>
          <w:sz w:val="24"/>
          <w:szCs w:val="24"/>
          <w:lang w:val="en-US" w:eastAsia="zh-CN"/>
        </w:rPr>
        <w:t>二</w:t>
      </w:r>
      <w:r>
        <w:rPr>
          <w:rFonts w:hint="eastAsia" w:ascii="楷体_GB2312" w:hAnsi="楷体_GB2312" w:eastAsia="楷体_GB2312" w:cs="楷体_GB2312"/>
          <w:color w:val="231F20"/>
          <w:sz w:val="24"/>
          <w:szCs w:val="24"/>
        </w:rPr>
        <w:t>楼</w:t>
      </w:r>
    </w:p>
    <w:p>
      <w:pPr>
        <w:pStyle w:val="6"/>
        <w:pageBreakBefore w:val="0"/>
        <w:widowControl w:val="0"/>
        <w:kinsoku/>
        <w:wordWrap/>
        <w:overflowPunct/>
        <w:topLinePunct w:val="0"/>
        <w:autoSpaceDE/>
        <w:autoSpaceDN/>
        <w:bidi w:val="0"/>
        <w:adjustRightInd/>
        <w:snapToGrid/>
        <w:spacing w:line="416" w:lineRule="exact"/>
        <w:ind w:left="1665"/>
        <w:textAlignment w:val="auto"/>
        <w:rPr>
          <w:rFonts w:hint="eastAsia" w:ascii="楷体_GB2312" w:hAnsi="楷体_GB2312" w:eastAsia="楷体_GB2312" w:cs="楷体_GB2312"/>
          <w:sz w:val="24"/>
          <w:szCs w:val="24"/>
          <w:lang w:val="en-US" w:eastAsia="zh-CN"/>
        </w:rPr>
      </w:pPr>
      <w:r>
        <w:rPr>
          <w:rFonts w:hint="eastAsia" w:ascii="方正黑体简体" w:hAnsi="方正黑体简体" w:eastAsia="方正黑体简体" w:cs="方正黑体简体"/>
          <w:color w:val="231F20"/>
          <w:position w:val="2"/>
          <w:sz w:val="24"/>
          <w:szCs w:val="24"/>
        </w:rPr>
        <w:t>邮 政 编 码：</w:t>
      </w:r>
      <w:r>
        <w:rPr>
          <w:rFonts w:hint="eastAsia" w:ascii="楷体_GB2312" w:hAnsi="楷体_GB2312" w:eastAsia="楷体_GB2312" w:cs="楷体_GB2312"/>
          <w:color w:val="231F20"/>
          <w:position w:val="1"/>
          <w:sz w:val="24"/>
          <w:szCs w:val="24"/>
        </w:rPr>
        <w:t xml:space="preserve"> </w:t>
      </w:r>
      <w:r>
        <w:rPr>
          <w:rFonts w:hint="eastAsia" w:ascii="楷体_GB2312" w:hAnsi="楷体_GB2312" w:eastAsia="楷体_GB2312" w:cs="楷体_GB2312"/>
          <w:color w:val="231F20"/>
          <w:sz w:val="24"/>
          <w:szCs w:val="24"/>
        </w:rPr>
        <w:t>512</w:t>
      </w:r>
      <w:r>
        <w:rPr>
          <w:rFonts w:hint="eastAsia" w:ascii="楷体_GB2312" w:hAnsi="楷体_GB2312" w:eastAsia="楷体_GB2312" w:cs="楷体_GB2312"/>
          <w:color w:val="231F20"/>
          <w:sz w:val="24"/>
          <w:szCs w:val="24"/>
          <w:lang w:val="en-US" w:eastAsia="zh-CN"/>
        </w:rPr>
        <w:t>400</w:t>
      </w:r>
    </w:p>
    <w:p>
      <w:pPr>
        <w:pStyle w:val="6"/>
        <w:pageBreakBefore w:val="0"/>
        <w:widowControl w:val="0"/>
        <w:kinsoku/>
        <w:wordWrap/>
        <w:overflowPunct/>
        <w:topLinePunct w:val="0"/>
        <w:autoSpaceDE/>
        <w:autoSpaceDN/>
        <w:bidi w:val="0"/>
        <w:adjustRightInd/>
        <w:snapToGrid/>
        <w:spacing w:line="413" w:lineRule="exact"/>
        <w:ind w:left="1665"/>
        <w:textAlignment w:val="auto"/>
        <w:rPr>
          <w:rFonts w:hint="eastAsia" w:ascii="楷体_GB2312" w:hAnsi="楷体_GB2312" w:eastAsia="楷体_GB2312" w:cs="楷体_GB2312"/>
          <w:sz w:val="24"/>
          <w:szCs w:val="24"/>
          <w:lang w:val="en-US" w:eastAsia="zh-CN"/>
        </w:rPr>
      </w:pPr>
      <w:r>
        <w:rPr>
          <w:rFonts w:hint="eastAsia" w:ascii="方正黑体简体" w:hAnsi="方正黑体简体" w:eastAsia="方正黑体简体" w:cs="方正黑体简体"/>
          <w:color w:val="231F20"/>
          <w:position w:val="2"/>
          <w:sz w:val="24"/>
          <w:szCs w:val="24"/>
        </w:rPr>
        <w:t>联 系 电 话：</w:t>
      </w:r>
      <w:r>
        <w:rPr>
          <w:rFonts w:hint="eastAsia" w:ascii="楷体_GB2312" w:hAnsi="楷体_GB2312" w:eastAsia="楷体_GB2312" w:cs="楷体_GB2312"/>
          <w:color w:val="231F20"/>
          <w:position w:val="3"/>
          <w:sz w:val="24"/>
          <w:szCs w:val="24"/>
        </w:rPr>
        <w:t xml:space="preserve"> </w:t>
      </w:r>
      <w:r>
        <w:rPr>
          <w:rFonts w:hint="eastAsia" w:ascii="楷体_GB2312" w:hAnsi="楷体_GB2312" w:eastAsia="楷体_GB2312" w:cs="楷体_GB2312"/>
          <w:color w:val="231F20"/>
          <w:sz w:val="24"/>
          <w:szCs w:val="24"/>
        </w:rPr>
        <w:t>(0751)</w:t>
      </w:r>
      <w:r>
        <w:rPr>
          <w:rFonts w:hint="eastAsia" w:ascii="楷体_GB2312" w:hAnsi="楷体_GB2312" w:eastAsia="楷体_GB2312" w:cs="楷体_GB2312"/>
          <w:color w:val="231F20"/>
          <w:sz w:val="24"/>
          <w:szCs w:val="24"/>
          <w:lang w:val="en-US" w:eastAsia="zh-CN"/>
        </w:rPr>
        <w:t>3822980</w:t>
      </w:r>
    </w:p>
    <w:p>
      <w:pPr>
        <w:pStyle w:val="6"/>
        <w:pageBreakBefore w:val="0"/>
        <w:widowControl w:val="0"/>
        <w:tabs>
          <w:tab w:val="left" w:pos="2625"/>
        </w:tabs>
        <w:kinsoku/>
        <w:wordWrap/>
        <w:overflowPunct/>
        <w:topLinePunct w:val="0"/>
        <w:autoSpaceDE/>
        <w:autoSpaceDN/>
        <w:bidi w:val="0"/>
        <w:adjustRightInd/>
        <w:snapToGrid/>
        <w:spacing w:line="413" w:lineRule="exact"/>
        <w:ind w:left="1665"/>
        <w:textAlignment w:val="auto"/>
        <w:rPr>
          <w:rFonts w:hint="eastAsia" w:ascii="楷体_GB2312" w:hAnsi="楷体_GB2312" w:eastAsia="楷体_GB2312" w:cs="楷体_GB2312"/>
          <w:sz w:val="24"/>
          <w:szCs w:val="24"/>
        </w:rPr>
      </w:pPr>
      <w:r>
        <w:rPr>
          <w:rFonts w:hint="eastAsia" w:ascii="方正黑体简体" w:hAnsi="方正黑体简体" w:eastAsia="方正黑体简体" w:cs="方正黑体简体"/>
          <w:color w:val="231F20"/>
          <w:position w:val="2"/>
          <w:sz w:val="24"/>
          <w:szCs w:val="24"/>
        </w:rPr>
        <w:t>传</w:t>
      </w:r>
      <w:r>
        <w:rPr>
          <w:rFonts w:hint="eastAsia" w:ascii="方正黑体简体" w:hAnsi="方正黑体简体" w:eastAsia="方正黑体简体" w:cs="方正黑体简体"/>
          <w:color w:val="231F20"/>
          <w:position w:val="2"/>
          <w:sz w:val="24"/>
          <w:szCs w:val="24"/>
        </w:rPr>
        <w:tab/>
      </w:r>
      <w:r>
        <w:rPr>
          <w:rFonts w:hint="eastAsia" w:ascii="方正黑体简体" w:hAnsi="方正黑体简体" w:eastAsia="方正黑体简体" w:cs="方正黑体简体"/>
          <w:color w:val="231F20"/>
          <w:position w:val="2"/>
          <w:sz w:val="24"/>
          <w:szCs w:val="24"/>
          <w:lang w:val="en-US" w:eastAsia="zh-CN"/>
        </w:rPr>
        <w:t xml:space="preserve"> </w:t>
      </w:r>
      <w:r>
        <w:rPr>
          <w:rFonts w:hint="eastAsia" w:ascii="方正黑体简体" w:hAnsi="方正黑体简体" w:eastAsia="方正黑体简体" w:cs="方正黑体简体"/>
          <w:color w:val="231F20"/>
          <w:position w:val="2"/>
          <w:sz w:val="24"/>
          <w:szCs w:val="24"/>
        </w:rPr>
        <w:t>真：</w:t>
      </w:r>
      <w:r>
        <w:rPr>
          <w:rFonts w:hint="eastAsia" w:ascii="楷体_GB2312" w:hAnsi="楷体_GB2312" w:eastAsia="楷体_GB2312" w:cs="楷体_GB2312"/>
          <w:color w:val="231F20"/>
          <w:position w:val="2"/>
          <w:sz w:val="24"/>
          <w:szCs w:val="24"/>
        </w:rPr>
        <w:t xml:space="preserve"> </w:t>
      </w:r>
      <w:r>
        <w:rPr>
          <w:rFonts w:hint="eastAsia" w:ascii="楷体_GB2312" w:hAnsi="楷体_GB2312" w:eastAsia="楷体_GB2312" w:cs="楷体_GB2312"/>
          <w:color w:val="231F20"/>
          <w:sz w:val="24"/>
          <w:szCs w:val="24"/>
        </w:rPr>
        <w:t>(0751)</w:t>
      </w:r>
      <w:r>
        <w:rPr>
          <w:rFonts w:hint="eastAsia" w:ascii="楷体_GB2312" w:hAnsi="楷体_GB2312" w:eastAsia="楷体_GB2312" w:cs="楷体_GB2312"/>
          <w:color w:val="231F20"/>
          <w:sz w:val="24"/>
          <w:szCs w:val="24"/>
          <w:lang w:val="en-US" w:eastAsia="zh-CN"/>
        </w:rPr>
        <w:t>3822002</w:t>
      </w:r>
      <w:r>
        <w:rPr>
          <w:rFonts w:hint="eastAsia" w:ascii="方正黑体简体" w:hAnsi="方正黑体简体" w:eastAsia="方正黑体简体" w:cs="方正黑体简体"/>
          <w:color w:val="231F20"/>
          <w:position w:val="2"/>
          <w:sz w:val="24"/>
          <w:szCs w:val="24"/>
        </w:rPr>
        <mc:AlternateContent>
          <mc:Choice Requires="wps">
            <w:drawing>
              <wp:anchor distT="0" distB="0" distL="114300" distR="114300" simplePos="0" relativeHeight="251668480" behindDoc="1" locked="0" layoutInCell="1" allowOverlap="1">
                <wp:simplePos x="0" y="0"/>
                <wp:positionH relativeFrom="page">
                  <wp:posOffset>991235</wp:posOffset>
                </wp:positionH>
                <wp:positionV relativeFrom="paragraph">
                  <wp:posOffset>349250</wp:posOffset>
                </wp:positionV>
                <wp:extent cx="554355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543550" cy="0"/>
                        </a:xfrm>
                        <a:prstGeom prst="line">
                          <a:avLst/>
                        </a:prstGeom>
                        <a:ln w="9000" cap="flat" cmpd="sng">
                          <a:solidFill>
                            <a:srgbClr val="231F2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05pt;margin-top:27.5pt;height:0pt;width:436.5pt;mso-position-horizontal-relative:page;mso-wrap-distance-bottom:0pt;mso-wrap-distance-top:0pt;z-index:-251648000;mso-width-relative:page;mso-height-relative:page;" filled="f" stroked="t" coordsize="21600,21600" o:gfxdata="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8nCdnVAAAACgEAAA8AAAAAAAAAAQAgAAAAIgAAAGRycy9kb3ducmV2LnhtbFBLAQIU&#10;ABQAAAAIAIdO4kCUrJJm9gEAAOQDAAAOAAAAAAAAAAEAIAAAACQBAABkcnMvZTJvRG9jLnhtbFBL&#10;BQYAAAAABgAGAFkBAACMBQAAAAA=&#10;">
                <v:fill on="f" focussize="0,0"/>
                <v:stroke weight="0.708661417322835pt" color="#231F20" joinstyle="round"/>
                <v:imagedata o:title=""/>
                <o:lock v:ext="edit" aspectratio="f"/>
                <w10:wrap type="topAndBottom"/>
              </v:line>
            </w:pict>
          </mc:Fallback>
        </mc:AlternateContent>
      </w:r>
    </w:p>
    <w:p>
      <w:pPr>
        <w:pStyle w:val="5"/>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color w:val="231F20"/>
          <w:sz w:val="21"/>
          <w:szCs w:val="21"/>
        </w:rPr>
        <w:t>公报电子版查阅方式：登陆</w:t>
      </w:r>
      <w:r>
        <w:rPr>
          <w:rFonts w:hint="eastAsia" w:ascii="楷体_GB2312" w:hAnsi="楷体_GB2312" w:eastAsia="楷体_GB2312" w:cs="楷体_GB2312"/>
          <w:b w:val="0"/>
          <w:bCs w:val="0"/>
          <w:color w:val="231F20"/>
          <w:sz w:val="21"/>
          <w:szCs w:val="21"/>
          <w:lang w:val="en-US" w:eastAsia="zh-CN"/>
        </w:rPr>
        <w:t>南雄</w:t>
      </w:r>
      <w:r>
        <w:rPr>
          <w:rFonts w:hint="eastAsia" w:ascii="楷体_GB2312" w:hAnsi="楷体_GB2312" w:eastAsia="楷体_GB2312" w:cs="楷体_GB2312"/>
          <w:b w:val="0"/>
          <w:bCs w:val="0"/>
          <w:color w:val="231F20"/>
          <w:sz w:val="21"/>
          <w:szCs w:val="21"/>
        </w:rPr>
        <w:t>市人民政府门户网(www.</w:t>
      </w:r>
      <w:r>
        <w:rPr>
          <w:rFonts w:hint="eastAsia" w:ascii="楷体_GB2312" w:hAnsi="楷体_GB2312" w:eastAsia="楷体_GB2312" w:cs="楷体_GB2312"/>
          <w:b w:val="0"/>
          <w:bCs w:val="0"/>
          <w:color w:val="231F20"/>
          <w:sz w:val="21"/>
          <w:szCs w:val="21"/>
          <w:lang w:val="en-US" w:eastAsia="zh-CN"/>
        </w:rPr>
        <w:t>gdnx</w:t>
      </w:r>
      <w:r>
        <w:rPr>
          <w:rFonts w:hint="eastAsia" w:ascii="楷体_GB2312" w:hAnsi="楷体_GB2312" w:eastAsia="楷体_GB2312" w:cs="楷体_GB2312"/>
          <w:b w:val="0"/>
          <w:bCs w:val="0"/>
          <w:color w:val="231F20"/>
          <w:sz w:val="21"/>
          <w:szCs w:val="21"/>
        </w:rPr>
        <w:t>.gov.cn)“</w:t>
      </w:r>
      <w:r>
        <w:rPr>
          <w:rFonts w:hint="eastAsia" w:ascii="楷体_GB2312" w:hAnsi="楷体_GB2312" w:eastAsia="楷体_GB2312" w:cs="楷体_GB2312"/>
          <w:b w:val="0"/>
          <w:bCs w:val="0"/>
          <w:color w:val="231F20"/>
          <w:sz w:val="21"/>
          <w:szCs w:val="21"/>
          <w:lang w:val="en-US" w:eastAsia="zh-CN"/>
        </w:rPr>
        <w:t>南雄</w:t>
      </w:r>
      <w:r>
        <w:rPr>
          <w:rFonts w:hint="eastAsia" w:ascii="楷体_GB2312" w:hAnsi="楷体_GB2312" w:eastAsia="楷体_GB2312" w:cs="楷体_GB2312"/>
          <w:b w:val="0"/>
          <w:bCs w:val="0"/>
          <w:color w:val="231F20"/>
          <w:sz w:val="21"/>
          <w:szCs w:val="21"/>
        </w:rPr>
        <w:t>市人民政府公报”</w:t>
      </w:r>
      <w:r>
        <w:rPr>
          <w:rFonts w:hint="eastAsia" w:ascii="楷体_GB2312" w:hAnsi="楷体_GB2312" w:eastAsia="楷体_GB2312" w:cs="楷体_GB2312"/>
          <w:b w:val="0"/>
          <w:bCs w:val="0"/>
          <w:color w:val="231F20"/>
          <w:sz w:val="21"/>
          <w:szCs w:val="21"/>
          <w:lang w:val="en-US" w:eastAsia="zh-CN"/>
        </w:rPr>
        <w:t>栏目查阅、下载。</w:t>
      </w:r>
    </w:p>
    <w:sectPr>
      <w:footerReference r:id="rId10" w:type="default"/>
      <w:pgSz w:w="11906" w:h="16838"/>
      <w:pgMar w:top="1746" w:right="1497" w:bottom="1746" w:left="1497" w:header="851" w:footer="992"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imSun Western">
    <w:altName w:val="宋体"/>
    <w:panose1 w:val="000003090200D19E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916940</wp:posOffset>
              </wp:positionH>
              <wp:positionV relativeFrom="page">
                <wp:posOffset>9685020</wp:posOffset>
              </wp:positionV>
              <wp:extent cx="16764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67640" cy="0"/>
                      </a:xfrm>
                      <a:prstGeom prst="line">
                        <a:avLst/>
                      </a:prstGeom>
                      <a:ln w="7200" cap="flat" cmpd="sng">
                        <a:solidFill>
                          <a:srgbClr val="231F2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2pt;margin-top:762.6pt;height:0pt;width:13.2pt;mso-position-horizontal-relative:page;mso-position-vertical-relative:page;z-index:-251657216;mso-width-relative:page;mso-height-relative:page;" filled="f" stroked="t" coordsize="21600,21600" o:gfxdata="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xcW9NgAAAANAQAADwAAAAAAAAABACAAAAAiAAAAZHJzL2Rvd25yZXYueG1sUEsB&#10;AhQAFAAAAAgAh07iQJJdgoX1AQAA5QMAAA4AAAAAAAAAAQAgAAAAJwEAAGRycy9lMm9Eb2MueG1s&#10;UEsFBgAAAAAGAAYAWQEAAI4FAAAAAA==&#10;">
              <v:fill on="f" focussize="0,0"/>
              <v:stroke weight="0.566929133858268pt" color="#231F2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1386205</wp:posOffset>
              </wp:positionH>
              <wp:positionV relativeFrom="page">
                <wp:posOffset>9685020</wp:posOffset>
              </wp:positionV>
              <wp:extent cx="1676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7640" cy="0"/>
                      </a:xfrm>
                      <a:prstGeom prst="line">
                        <a:avLst/>
                      </a:prstGeom>
                      <a:ln w="7200" cap="flat" cmpd="sng">
                        <a:solidFill>
                          <a:srgbClr val="231F2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9.15pt;margin-top:762.6pt;height:0pt;width:13.2pt;mso-position-horizontal-relative:page;mso-position-vertical-relative:page;z-index:-251656192;mso-width-relative:page;mso-height-relative:page;" filled="f" stroked="t" coordsize="21600,21600" o:gfxdata="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NdTb7ZAAAADQEAAA8AAAAAAAAAAQAgAAAAIgAAAGRycy9kb3ducmV2LnhtbFBL&#10;AQIUABQAAAAIAIdO4kDtbY579QEAAOUDAAAOAAAAAAAAAAEAIAAAACgBAABkcnMvZTJvRG9jLnht&#10;bFBLBQYAAAAABgAGAFkBAACPBQAAAAA=&#10;">
              <v:fill on="f" focussize="0,0"/>
              <v:stroke weight="0.566929133858268pt" color="#231F2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1174750</wp:posOffset>
              </wp:positionH>
              <wp:positionV relativeFrom="page">
                <wp:posOffset>9592310</wp:posOffset>
              </wp:positionV>
              <wp:extent cx="127000" cy="2006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7000" cy="200660"/>
                      </a:xfrm>
                      <a:prstGeom prst="rect">
                        <a:avLst/>
                      </a:prstGeom>
                      <a:noFill/>
                      <a:ln>
                        <a:noFill/>
                      </a:ln>
                    </wps:spPr>
                    <wps:txbx>
                      <w:txbxContent>
                        <w:p>
                          <w:pPr>
                            <w:pStyle w:val="6"/>
                            <w:spacing w:line="295" w:lineRule="exact"/>
                            <w:ind w:left="40"/>
                          </w:pPr>
                          <w:r>
                            <w:fldChar w:fldCharType="begin"/>
                          </w:r>
                          <w:r>
                            <w:rPr>
                              <w:color w:val="231F20"/>
                              <w:w w:val="99"/>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92.5pt;margin-top:755.3pt;height:15.8pt;width:10pt;mso-position-horizontal-relative:page;mso-position-vertical-relative:page;z-index:-251655168;mso-width-relative:page;mso-height-relative:page;" filled="f" stroked="f" coordsize="21600,21600" o:gfxdata="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eDdKNcAAAANAQAADwAAAAAAAAABACAAAAAiAAAAZHJzL2Rvd25yZXYueG1sUEsBAhQAFAAA&#10;AAgAh07iQOEVXSK3AQAAcQMAAA4AAAAAAAAAAQAgAAAAJgEAAGRycy9lMm9Eb2MueG1sUEsFBgAA&#10;AAAGAAYAWQEAAE8FAAAAAA==&#10;">
              <v:fill on="f" focussize="0,0"/>
              <v:stroke on="f"/>
              <v:imagedata o:title=""/>
              <o:lock v:ext="edit" aspectratio="f"/>
              <v:textbox inset="0mm,0mm,0mm,0mm">
                <w:txbxContent>
                  <w:p>
                    <w:pPr>
                      <w:pStyle w:val="6"/>
                      <w:spacing w:line="295" w:lineRule="exact"/>
                      <w:ind w:left="40"/>
                    </w:pPr>
                    <w:r>
                      <w:fldChar w:fldCharType="begin"/>
                    </w:r>
                    <w:r>
                      <w:rPr>
                        <w:color w:val="231F20"/>
                        <w:w w:val="99"/>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- 6 -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- 6 -</w:t>
                    </w:r>
                    <w:r>
                      <w:rPr>
                        <w:rFonts w:hint="eastAsia"/>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0" w:line="254" w:lineRule="exact"/>
      <w:ind w:left="2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before="0" w:line="240" w:lineRule="auto"/>
      <w:ind w:left="23" w:right="0" w:firstLine="0"/>
      <w:jc w:val="left"/>
      <w:textAlignment w:val="auto"/>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231F20"/>
        <w:spacing w:val="6"/>
        <w:sz w:val="22"/>
        <w:szCs w:val="22"/>
        <w:lang w:val="en-US" w:eastAsia="zh-CN"/>
      </w:rPr>
      <w:t>南雄</w:t>
    </w:r>
    <w:r>
      <w:rPr>
        <w:rFonts w:hint="eastAsia" w:ascii="方正书宋简体" w:hAnsi="方正书宋简体" w:eastAsia="方正书宋简体" w:cs="方正书宋简体"/>
        <w:color w:val="231F20"/>
        <w:spacing w:val="6"/>
        <w:sz w:val="22"/>
        <w:szCs w:val="22"/>
      </w:rPr>
      <w:t>市人民政府公报</w:t>
    </w:r>
    <w:r>
      <w:rPr>
        <w:rFonts w:hint="eastAsia" w:ascii="方正书宋简体" w:hAnsi="方正书宋简体" w:eastAsia="方正书宋简体" w:cs="方正书宋简体"/>
        <w:color w:val="231F20"/>
        <w:spacing w:val="6"/>
        <w:sz w:val="22"/>
        <w:szCs w:val="22"/>
        <w:lang w:val="en-US" w:eastAsia="zh-CN"/>
      </w:rPr>
      <w:t xml:space="preserve">                                          </w:t>
    </w:r>
    <w:r>
      <w:rPr>
        <w:rFonts w:hint="eastAsia" w:ascii="方正书宋简体" w:hAnsi="方正书宋简体" w:eastAsia="方正书宋简体" w:cs="方正书宋简体"/>
        <w:color w:val="231F20"/>
        <w:spacing w:val="6"/>
        <w:sz w:val="22"/>
        <w:szCs w:val="22"/>
      </w:rPr>
      <w:t>2020年第</w:t>
    </w:r>
    <w:r>
      <w:rPr>
        <w:rFonts w:hint="eastAsia" w:ascii="方正书宋简体" w:hAnsi="方正书宋简体" w:eastAsia="方正书宋简体" w:cs="方正书宋简体"/>
        <w:color w:val="231F20"/>
        <w:spacing w:val="6"/>
        <w:sz w:val="22"/>
        <w:szCs w:val="22"/>
        <w:lang w:val="en-US" w:eastAsia="zh-CN"/>
      </w:rPr>
      <w:t>1</w:t>
    </w:r>
    <w:r>
      <w:rPr>
        <w:rFonts w:hint="eastAsia" w:ascii="方正书宋简体" w:hAnsi="方正书宋简体" w:eastAsia="方正书宋简体" w:cs="方正书宋简体"/>
        <w:color w:val="231F20"/>
        <w:spacing w:val="6"/>
        <w:sz w:val="22"/>
        <w:szCs w:val="22"/>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46A23"/>
    <w:multiLevelType w:val="singleLevel"/>
    <w:tmpl w:val="85E46A23"/>
    <w:lvl w:ilvl="0" w:tentative="0">
      <w:start w:val="1"/>
      <w:numFmt w:val="chineseCounting"/>
      <w:suff w:val="nothing"/>
      <w:lvlText w:val="（%1）"/>
      <w:lvlJc w:val="left"/>
      <w:rPr>
        <w:rFonts w:hint="eastAsia"/>
      </w:rPr>
    </w:lvl>
  </w:abstractNum>
  <w:abstractNum w:abstractNumId="1">
    <w:nsid w:val="0000000A"/>
    <w:multiLevelType w:val="singleLevel"/>
    <w:tmpl w:val="0000000A"/>
    <w:lvl w:ilvl="0" w:tentative="0">
      <w:start w:val="3"/>
      <w:numFmt w:val="chineseCounting"/>
      <w:suff w:val="nothing"/>
      <w:lvlText w:val="（%1）"/>
      <w:lvlJc w:val="left"/>
    </w:lvl>
  </w:abstractNum>
  <w:abstractNum w:abstractNumId="2">
    <w:nsid w:val="0000000D"/>
    <w:multiLevelType w:val="singleLevel"/>
    <w:tmpl w:val="0000000D"/>
    <w:lvl w:ilvl="0" w:tentative="0">
      <w:start w:val="1"/>
      <w:numFmt w:val="chineseCounting"/>
      <w:suff w:val="nothing"/>
      <w:lvlText w:val="第%1章"/>
      <w:lvlJc w:val="left"/>
    </w:lvl>
  </w:abstractNum>
  <w:abstractNum w:abstractNumId="3">
    <w:nsid w:val="00000010"/>
    <w:multiLevelType w:val="singleLevel"/>
    <w:tmpl w:val="00000010"/>
    <w:lvl w:ilvl="0" w:tentative="0">
      <w:start w:val="1"/>
      <w:numFmt w:val="chineseCounting"/>
      <w:suff w:val="nothing"/>
      <w:lvlText w:val="第%1节"/>
      <w:lvlJc w:val="left"/>
    </w:lvl>
  </w:abstractNum>
  <w:abstractNum w:abstractNumId="4">
    <w:nsid w:val="0959F3A7"/>
    <w:multiLevelType w:val="singleLevel"/>
    <w:tmpl w:val="0959F3A7"/>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mJmYmRjZjI4ZWEyNzY1Nzg0YzJlNjI5OGRlMGUifQ=="/>
  </w:docVars>
  <w:rsids>
    <w:rsidRoot w:val="51DB4721"/>
    <w:rsid w:val="00215318"/>
    <w:rsid w:val="02064D6A"/>
    <w:rsid w:val="026F0259"/>
    <w:rsid w:val="06166F72"/>
    <w:rsid w:val="07030F9C"/>
    <w:rsid w:val="0A1D1977"/>
    <w:rsid w:val="0A910DAE"/>
    <w:rsid w:val="101E6DED"/>
    <w:rsid w:val="16494FE4"/>
    <w:rsid w:val="1A0F6E82"/>
    <w:rsid w:val="1AF354D0"/>
    <w:rsid w:val="237723F8"/>
    <w:rsid w:val="277D0B24"/>
    <w:rsid w:val="285918B4"/>
    <w:rsid w:val="28B66DF6"/>
    <w:rsid w:val="292D0766"/>
    <w:rsid w:val="29E077CC"/>
    <w:rsid w:val="2ADF430C"/>
    <w:rsid w:val="2AEE060C"/>
    <w:rsid w:val="2BE462DB"/>
    <w:rsid w:val="2F1D316C"/>
    <w:rsid w:val="31393227"/>
    <w:rsid w:val="33B145EB"/>
    <w:rsid w:val="344A1C4E"/>
    <w:rsid w:val="34AC6ABD"/>
    <w:rsid w:val="35047FA4"/>
    <w:rsid w:val="37AA64E8"/>
    <w:rsid w:val="37EA406E"/>
    <w:rsid w:val="3A562392"/>
    <w:rsid w:val="3C1D1716"/>
    <w:rsid w:val="3E587BC5"/>
    <w:rsid w:val="3F781A9D"/>
    <w:rsid w:val="3FC40CE9"/>
    <w:rsid w:val="3FF9193C"/>
    <w:rsid w:val="40875567"/>
    <w:rsid w:val="45AC6F3D"/>
    <w:rsid w:val="47A67F42"/>
    <w:rsid w:val="49352F31"/>
    <w:rsid w:val="4B52174A"/>
    <w:rsid w:val="4CCC77E1"/>
    <w:rsid w:val="4D423E23"/>
    <w:rsid w:val="4EB64A7E"/>
    <w:rsid w:val="51DB4721"/>
    <w:rsid w:val="54B257A8"/>
    <w:rsid w:val="55B74103"/>
    <w:rsid w:val="562E17D4"/>
    <w:rsid w:val="565814EF"/>
    <w:rsid w:val="56E80FA3"/>
    <w:rsid w:val="57F57B4D"/>
    <w:rsid w:val="594B5E55"/>
    <w:rsid w:val="5F9A63EF"/>
    <w:rsid w:val="634D2DDE"/>
    <w:rsid w:val="65A24674"/>
    <w:rsid w:val="67584A07"/>
    <w:rsid w:val="6993731D"/>
    <w:rsid w:val="703F73A0"/>
    <w:rsid w:val="72276A9C"/>
    <w:rsid w:val="737451C2"/>
    <w:rsid w:val="73FD4934"/>
    <w:rsid w:val="742E6D5C"/>
    <w:rsid w:val="753C1AE6"/>
    <w:rsid w:val="759F2B7F"/>
    <w:rsid w:val="76E90E4F"/>
    <w:rsid w:val="770C2DF3"/>
    <w:rsid w:val="77385E82"/>
    <w:rsid w:val="785B37C9"/>
    <w:rsid w:val="7B2934B2"/>
    <w:rsid w:val="7DB60D13"/>
    <w:rsid w:val="7E8B0D3B"/>
    <w:rsid w:val="7F324AEE"/>
    <w:rsid w:val="7FCE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479" w:lineRule="exact"/>
      <w:ind w:left="69" w:right="53"/>
      <w:jc w:val="center"/>
      <w:outlineLvl w:val="1"/>
    </w:pPr>
    <w:rPr>
      <w:rFonts w:ascii="宋体" w:hAnsi="宋体" w:eastAsia="宋体" w:cs="宋体"/>
      <w:sz w:val="40"/>
      <w:szCs w:val="40"/>
      <w:lang w:val="zh-CN" w:eastAsia="zh-CN" w:bidi="zh-CN"/>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132"/>
      <w:ind w:left="251"/>
    </w:pPr>
    <w:rPr>
      <w:rFonts w:ascii="华文细黑" w:hAnsi="华文细黑" w:eastAsia="华文细黑" w:cs="华文细黑"/>
      <w:sz w:val="26"/>
      <w:szCs w:val="26"/>
      <w:lang w:val="zh-CN" w:eastAsia="zh-CN" w:bidi="zh-CN"/>
    </w:rPr>
  </w:style>
  <w:style w:type="paragraph" w:styleId="10">
    <w:name w:val="toc 2"/>
    <w:basedOn w:val="1"/>
    <w:next w:val="1"/>
    <w:qFormat/>
    <w:uiPriority w:val="1"/>
    <w:pPr>
      <w:ind w:left="251"/>
    </w:pPr>
    <w:rPr>
      <w:rFonts w:ascii="宋体" w:hAnsi="宋体" w:eastAsia="宋体" w:cs="宋体"/>
      <w:sz w:val="22"/>
      <w:szCs w:val="22"/>
      <w:lang w:val="zh-CN" w:eastAsia="zh-CN" w:bidi="zh-CN"/>
    </w:rPr>
  </w:style>
  <w:style w:type="paragraph" w:styleId="11">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Body Text First Indent 21"/>
    <w:basedOn w:val="17"/>
    <w:qFormat/>
    <w:uiPriority w:val="0"/>
    <w:rPr>
      <w:rFonts w:ascii="Calibri" w:hAnsi="Calibri"/>
      <w:szCs w:val="24"/>
    </w:rPr>
  </w:style>
  <w:style w:type="paragraph" w:customStyle="1" w:styleId="17">
    <w:name w:val="Normal Indent1"/>
    <w:basedOn w:val="1"/>
    <w:qFormat/>
    <w:uiPriority w:val="0"/>
    <w:pPr>
      <w:spacing w:line="360" w:lineRule="auto"/>
      <w:ind w:firstLine="200" w:firstLineChars="200"/>
    </w:pPr>
    <w:rPr>
      <w:rFonts w:ascii="Times New Roman" w:hAnsi="Times New Roman" w:eastAsia="宋体" w:cs="SimSun Western"/>
      <w:sz w:val="24"/>
    </w:rPr>
  </w:style>
  <w:style w:type="paragraph" w:customStyle="1" w:styleId="18">
    <w:name w:val="p24"/>
    <w:basedOn w:val="19"/>
    <w:qFormat/>
    <w:uiPriority w:val="0"/>
    <w:pPr>
      <w:widowControl/>
    </w:pPr>
    <w:rPr>
      <w:rFonts w:ascii="Times New Roman" w:hAnsi="Times New Roman" w:eastAsia="宋体" w:cs="Times New Roman"/>
      <w:kern w:val="0"/>
      <w:sz w:val="21"/>
      <w:szCs w:val="21"/>
    </w:rPr>
  </w:style>
  <w:style w:type="paragraph" w:customStyle="1" w:styleId="19">
    <w:name w:val="正文 New"/>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p0"/>
    <w:basedOn w:val="1"/>
    <w:qFormat/>
    <w:uiPriority w:val="0"/>
    <w:pPr>
      <w:widowControl/>
    </w:pPr>
    <w:rPr>
      <w:rFonts w:ascii="Times New Roman" w:hAnsi="Times New Roman" w:eastAsia="宋体" w:cs="Times New Roman"/>
      <w:kern w:val="0"/>
      <w:sz w:val="21"/>
      <w:szCs w:val="21"/>
    </w:rPr>
  </w:style>
  <w:style w:type="paragraph" w:customStyle="1" w:styleId="21">
    <w:name w:val="p16"/>
    <w:basedOn w:val="1"/>
    <w:qFormat/>
    <w:uiPriority w:val="0"/>
    <w:pPr>
      <w:widowControl/>
      <w:spacing w:before="240" w:beforeLines="0" w:after="60" w:afterLines="0" w:line="312" w:lineRule="auto"/>
      <w:jc w:val="center"/>
    </w:pPr>
    <w:rPr>
      <w:rFonts w:ascii="Cambria" w:hAnsi="Cambria" w:eastAsia="宋体" w:cs="宋体"/>
      <w:b/>
      <w:bCs/>
      <w:kern w:val="0"/>
      <w:szCs w:val="32"/>
    </w:rPr>
  </w:style>
  <w:style w:type="paragraph" w:customStyle="1" w:styleId="2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 New New New New New"/>
    <w:basedOn w:val="1"/>
    <w:qFormat/>
    <w:uiPriority w:val="0"/>
    <w:rPr>
      <w:rFonts w:ascii="Calibri" w:hAnsi="Calibri" w:cs="Calibri"/>
      <w:szCs w:val="21"/>
    </w:rPr>
  </w:style>
  <w:style w:type="paragraph" w:customStyle="1" w:styleId="26">
    <w:name w:val="Normal New New New"/>
    <w:basedOn w:val="1"/>
    <w:qFormat/>
    <w:uiPriority w:val="0"/>
    <w:rPr>
      <w:rFonts w:ascii="Calibri" w:hAnsi="Calibri"/>
      <w:szCs w:val="21"/>
    </w:rPr>
  </w:style>
  <w:style w:type="paragraph" w:customStyle="1" w:styleId="27">
    <w:name w:val="正文1"/>
    <w:basedOn w:val="1"/>
    <w:qFormat/>
    <w:uiPriority w:val="0"/>
    <w:rPr>
      <w:rFonts w:ascii="Calibri" w:hAnsi="Calibri"/>
      <w:szCs w:val="21"/>
    </w:rPr>
  </w:style>
  <w:style w:type="paragraph" w:customStyle="1" w:styleId="28">
    <w:name w:val="正文 New New New New New New"/>
    <w:basedOn w:val="1"/>
    <w:qFormat/>
    <w:uiPriority w:val="99"/>
    <w:rPr>
      <w:rFonts w:ascii="Calibri" w:hAnsi="Calibri" w:cs="Calibri"/>
      <w:szCs w:val="21"/>
    </w:rPr>
  </w:style>
  <w:style w:type="paragraph" w:customStyle="1" w:styleId="29">
    <w:name w:val="Normal New"/>
    <w:basedOn w:val="1"/>
    <w:qFormat/>
    <w:uiPriority w:val="0"/>
    <w:rPr>
      <w:szCs w:val="21"/>
    </w:rPr>
  </w:style>
  <w:style w:type="paragraph" w:customStyle="1" w:styleId="30">
    <w:name w:val="UserStyle_13"/>
    <w:basedOn w:val="31"/>
    <w:qFormat/>
    <w:uiPriority w:val="0"/>
    <w:rPr>
      <w:kern w:val="0"/>
      <w:szCs w:val="21"/>
    </w:rPr>
  </w:style>
  <w:style w:type="paragraph" w:customStyle="1" w:styleId="31">
    <w:name w:val="UserStyle_5"/>
    <w:next w:val="3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32">
    <w:name w:val="UserStyle_6"/>
    <w:basedOn w:val="33"/>
    <w:qFormat/>
    <w:uiPriority w:val="0"/>
    <w:pPr>
      <w:ind w:firstLine="480"/>
    </w:pPr>
  </w:style>
  <w:style w:type="paragraph" w:customStyle="1" w:styleId="33">
    <w:name w:val="UserStyle_10"/>
    <w:basedOn w:val="1"/>
    <w:qFormat/>
    <w:uiPriority w:val="0"/>
    <w:pPr>
      <w:spacing w:line="360" w:lineRule="auto"/>
      <w:ind w:firstLine="200" w:firstLineChars="200"/>
      <w:textAlignment w:val="baseline"/>
    </w:pPr>
    <w:rPr>
      <w:sz w:val="24"/>
      <w:szCs w:val="22"/>
    </w:rPr>
  </w:style>
  <w:style w:type="character" w:customStyle="1" w:styleId="34">
    <w:name w:val="font31"/>
    <w:basedOn w:val="14"/>
    <w:qFormat/>
    <w:uiPriority w:val="0"/>
    <w:rPr>
      <w:rFonts w:hint="eastAsia" w:ascii="宋体" w:hAnsi="宋体" w:eastAsia="宋体" w:cs="宋体"/>
      <w:b/>
      <w:color w:val="000000"/>
      <w:sz w:val="28"/>
      <w:szCs w:val="28"/>
      <w:u w:val="none"/>
    </w:rPr>
  </w:style>
  <w:style w:type="character" w:customStyle="1" w:styleId="35">
    <w:name w:val="font51"/>
    <w:basedOn w:val="14"/>
    <w:qFormat/>
    <w:uiPriority w:val="0"/>
    <w:rPr>
      <w:rFonts w:hint="eastAsia" w:ascii="宋体" w:hAnsi="宋体" w:eastAsia="宋体" w:cs="宋体"/>
      <w:color w:val="000000"/>
      <w:sz w:val="24"/>
      <w:szCs w:val="24"/>
      <w:u w:val="none"/>
    </w:rPr>
  </w:style>
  <w:style w:type="paragraph" w:customStyle="1" w:styleId="36">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普通(网站) New"/>
    <w:basedOn w:val="25"/>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39186</Words>
  <Characters>39930</Characters>
  <Lines>0</Lines>
  <Paragraphs>0</Paragraphs>
  <TotalTime>5</TotalTime>
  <ScaleCrop>false</ScaleCrop>
  <LinksUpToDate>false</LinksUpToDate>
  <CharactersWithSpaces>40675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2020-06-16T02:50:00Z</dcterms:created>
  <dc:creator>『          』</dc:creator>
  <cp:lastModifiedBy>政府办收发员</cp:lastModifiedBy>
  <cp:lastPrinted>2020-08-28T04:19:00Z</cp:lastPrinted>
  <dcterms:modified xsi:type="dcterms:W3CDTF">2022-07-07T07:19:05Z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6DFFE117D6A845F59F9B7497EC87CF59</vt:lpwstr>
  </property>
</Properties>
</file>