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南雄市关于支持高质量发展企业购买人才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住房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的工作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方案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（征求意见稿）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为深入贯彻引进高质量发展企业落户我市的战略工作计划，鼓励、吸引有实力的企业来雄创业发展，进一步规范高质量发展企业购买人才住房管理实施的要求，结合我市实际，特制定本实施方案。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一、适用范围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企业必须在南雄注册，且投产满2年以上的规上工业企业，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符合以下其中一项，即认定为高质量发展企业（由市工信局认定）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1.投资方为获得国家高新技术企业、国家“专精特新”“小巨人”企业和省级以上“专精特新”企业等称号的企业；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2.投资方为国家级高新技术企业整体转移或投资，随项目引进省级以上认定的高端人才团队，随项目引进省级以上技术研发机构和服务平台；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企业上年度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对地方财政贡献度达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200万元以上或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经市政府评估认定为有发展潜力的企业。(由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商务局牵头组织相关部门予以认定）</w:t>
      </w:r>
    </w:p>
    <w:p>
      <w:pPr>
        <w:pStyle w:val="2"/>
        <w:spacing w:after="0" w:line="560" w:lineRule="exact"/>
        <w:ind w:left="0" w:leftChars="0" w:firstLine="6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支持方式</w:t>
      </w:r>
    </w:p>
    <w:p>
      <w:pPr>
        <w:pStyle w:val="2"/>
        <w:spacing w:after="0" w:line="560" w:lineRule="exact"/>
        <w:ind w:left="0" w:leftChars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价格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按照保本微利原则</w:t>
      </w:r>
      <w:r>
        <w:rPr>
          <w:rFonts w:hint="eastAsia" w:ascii="仿宋_GB2312" w:hAnsi="仿宋_GB2312" w:eastAsia="仿宋_GB2312" w:cs="仿宋_GB2312"/>
          <w:sz w:val="32"/>
          <w:szCs w:val="32"/>
        </w:rPr>
        <w:t>由住房的产权单位（或运营管理单位）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后，再上报市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2"/>
        <w:spacing w:after="0" w:line="560" w:lineRule="exact"/>
        <w:ind w:left="0" w:leftChars="0"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人才住房申购</w:t>
      </w:r>
    </w:p>
    <w:p>
      <w:pPr>
        <w:pStyle w:val="2"/>
        <w:spacing w:after="0" w:line="560" w:lineRule="exact"/>
        <w:ind w:left="0" w:leftChars="0" w:firstLine="64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（一）房源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南雄市政府或国有企业投资新建住房及自持物业。</w:t>
      </w:r>
    </w:p>
    <w:p>
      <w:pPr>
        <w:pStyle w:val="2"/>
        <w:spacing w:after="0" w:line="560" w:lineRule="exact"/>
        <w:ind w:left="0" w:leftChars="0" w:firstLine="64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申购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方式</w:t>
      </w:r>
    </w:p>
    <w:p>
      <w:pPr>
        <w:pStyle w:val="2"/>
        <w:spacing w:after="0" w:line="560" w:lineRule="exact"/>
        <w:ind w:left="0" w:leftChars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1.符合申购条件的企业向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提出购房申请；</w:t>
      </w:r>
    </w:p>
    <w:p>
      <w:pPr>
        <w:pStyle w:val="2"/>
        <w:spacing w:after="0" w:line="560" w:lineRule="exact"/>
        <w:ind w:left="0" w:leftChars="0" w:firstLine="640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申购数量，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首次申购的企业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须满足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上一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度对地方财政贡献度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200万元以上的条件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且当年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申购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的数量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20套。首次申购次年开始，按企业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度对地方财政贡献度同比增长比例梯度增加，上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同比增长15%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，可新增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申购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套；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上年度同比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增长25%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，可新增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申购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套，以此类推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，单个企业累计申购不超过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50套。</w:t>
      </w:r>
    </w:p>
    <w:p>
      <w:pPr>
        <w:pStyle w:val="2"/>
        <w:spacing w:after="0" w:line="560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申请程序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企业向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商务局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提出书面申请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由商务局组织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报市政府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审批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同意后，由</w:t>
      </w:r>
      <w:r>
        <w:rPr>
          <w:rFonts w:hint="eastAsia" w:ascii="仿宋_GB2312" w:hAnsi="仿宋_GB2312" w:eastAsia="仿宋_GB2312" w:cs="仿宋_GB2312"/>
          <w:sz w:val="32"/>
          <w:szCs w:val="32"/>
        </w:rPr>
        <w:t>申购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住房的产权单位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（或运营管理单位）、不动产登记部门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提出申购并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签订房屋买卖合同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spacing w:after="0" w:line="560" w:lineRule="exact"/>
        <w:ind w:left="0" w:leftChars="0" w:firstLine="64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、转让机制</w:t>
      </w:r>
    </w:p>
    <w:p>
      <w:pPr>
        <w:pStyle w:val="2"/>
        <w:spacing w:after="0" w:line="560" w:lineRule="exact"/>
        <w:ind w:left="0" w:leftChars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人才住房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五年内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不得转让，如确需转让的，由政府或原销售单位予以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优先</w:t>
      </w:r>
      <w:r>
        <w:rPr>
          <w:rFonts w:hint="eastAsia" w:ascii="仿宋_GB2312" w:hAnsi="仿宋_GB2312" w:eastAsia="仿宋_GB2312" w:cs="仿宋_GB2312"/>
          <w:sz w:val="32"/>
          <w:szCs w:val="32"/>
        </w:rPr>
        <w:t>回购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、其他事项</w:t>
      </w:r>
    </w:p>
    <w:p>
      <w:pPr>
        <w:pStyle w:val="2"/>
        <w:spacing w:after="0" w:line="560" w:lineRule="exact"/>
        <w:ind w:left="0" w:leftChars="0" w:firstLine="64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国家、省等相关产业政策发生变化，本扶持方案措施将对应调整。</w:t>
      </w:r>
    </w:p>
    <w:p>
      <w:pPr>
        <w:pStyle w:val="2"/>
        <w:spacing w:after="0" w:line="560" w:lineRule="exact"/>
        <w:ind w:left="0" w:leftChars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本方案自印发之日起实施,由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南雄市商务局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申报并负责解释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A52BC"/>
    <w:rsid w:val="005611B1"/>
    <w:rsid w:val="005D0551"/>
    <w:rsid w:val="0066131B"/>
    <w:rsid w:val="00693B21"/>
    <w:rsid w:val="006F3C09"/>
    <w:rsid w:val="00987E4F"/>
    <w:rsid w:val="01784502"/>
    <w:rsid w:val="06C939C3"/>
    <w:rsid w:val="0FF04127"/>
    <w:rsid w:val="11591423"/>
    <w:rsid w:val="1319181D"/>
    <w:rsid w:val="15143D48"/>
    <w:rsid w:val="1F551433"/>
    <w:rsid w:val="210F3D79"/>
    <w:rsid w:val="24C56C52"/>
    <w:rsid w:val="28BC790B"/>
    <w:rsid w:val="292A5993"/>
    <w:rsid w:val="2BA864FD"/>
    <w:rsid w:val="2F0F7A19"/>
    <w:rsid w:val="30193435"/>
    <w:rsid w:val="34BD5021"/>
    <w:rsid w:val="3726276C"/>
    <w:rsid w:val="37BD0A9A"/>
    <w:rsid w:val="3F6C7851"/>
    <w:rsid w:val="3F846DF5"/>
    <w:rsid w:val="41633E45"/>
    <w:rsid w:val="44072600"/>
    <w:rsid w:val="44981B73"/>
    <w:rsid w:val="463A52BC"/>
    <w:rsid w:val="464B6256"/>
    <w:rsid w:val="4B6A3CAC"/>
    <w:rsid w:val="4BFA2E43"/>
    <w:rsid w:val="4D832653"/>
    <w:rsid w:val="53B31D6C"/>
    <w:rsid w:val="53F30C45"/>
    <w:rsid w:val="545569C9"/>
    <w:rsid w:val="54D11CE0"/>
    <w:rsid w:val="54D47F52"/>
    <w:rsid w:val="56AB1896"/>
    <w:rsid w:val="590D7089"/>
    <w:rsid w:val="5A202D4D"/>
    <w:rsid w:val="5C0D54B3"/>
    <w:rsid w:val="622F1017"/>
    <w:rsid w:val="63356D07"/>
    <w:rsid w:val="63D7106D"/>
    <w:rsid w:val="65113790"/>
    <w:rsid w:val="67C04B03"/>
    <w:rsid w:val="67C358ED"/>
    <w:rsid w:val="69BF68F2"/>
    <w:rsid w:val="6CB866CE"/>
    <w:rsid w:val="734F5BB3"/>
    <w:rsid w:val="75CD588E"/>
    <w:rsid w:val="7BC242B9"/>
    <w:rsid w:val="7CA91F50"/>
    <w:rsid w:val="7DD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eastAsia="宋体"/>
      <w:sz w:val="24"/>
    </w:rPr>
  </w:style>
  <w:style w:type="paragraph" w:styleId="3">
    <w:name w:val="annotation subject"/>
    <w:basedOn w:val="4"/>
    <w:next w:val="4"/>
    <w:link w:val="12"/>
    <w:qFormat/>
    <w:uiPriority w:val="0"/>
    <w:rPr>
      <w:b/>
      <w:bCs/>
    </w:rPr>
  </w:style>
  <w:style w:type="paragraph" w:styleId="4">
    <w:name w:val="annotation text"/>
    <w:basedOn w:val="1"/>
    <w:link w:val="11"/>
    <w:qFormat/>
    <w:uiPriority w:val="0"/>
    <w:pPr>
      <w:jc w:val="left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批注文字 Char"/>
    <w:basedOn w:val="8"/>
    <w:link w:val="4"/>
    <w:qFormat/>
    <w:uiPriority w:val="0"/>
    <w:rPr>
      <w:kern w:val="2"/>
      <w:sz w:val="21"/>
      <w:szCs w:val="24"/>
    </w:rPr>
  </w:style>
  <w:style w:type="character" w:customStyle="1" w:styleId="12">
    <w:name w:val="批注主题 Char"/>
    <w:basedOn w:val="11"/>
    <w:link w:val="3"/>
    <w:qFormat/>
    <w:uiPriority w:val="0"/>
    <w:rPr>
      <w:b/>
      <w:bCs/>
      <w:kern w:val="2"/>
      <w:sz w:val="21"/>
      <w:szCs w:val="24"/>
    </w:rPr>
  </w:style>
  <w:style w:type="character" w:customStyle="1" w:styleId="13">
    <w:name w:val="批注框文本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眉 Char"/>
    <w:basedOn w:val="8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8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</Words>
  <Characters>1145</Characters>
  <Lines>9</Lines>
  <Paragraphs>2</Paragraphs>
  <TotalTime>111</TotalTime>
  <ScaleCrop>false</ScaleCrop>
  <LinksUpToDate>false</LinksUpToDate>
  <CharactersWithSpaces>1343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2021-06-26T03:22:00Z</dcterms:created>
  <dc:creator>DˉR Jun</dc:creator>
  <cp:lastModifiedBy>邓荣华</cp:lastModifiedBy>
  <cp:lastPrinted>2021-07-06T01:00:00Z</cp:lastPrinted>
  <dcterms:modified xsi:type="dcterms:W3CDTF">2021-07-07T03:43:15Z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65AEF318E40F44DA98E343027F66D275</vt:lpwstr>
  </property>
  <property fmtid="{D5CDD505-2E9C-101B-9397-08002B2CF9AE}" pid="4" name="ribbonExt">
    <vt:lpwstr>{"WPSExtOfficeTab":{"OnGetEnabled":false,"OnGetVisible":false}}</vt:lpwstr>
  </property>
</Properties>
</file>