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5" w:firstLineChars="450"/>
        <w:jc w:val="both"/>
        <w:rPr>
          <w:rFonts w:hint="default"/>
          <w:b/>
          <w:sz w:val="28"/>
          <w:szCs w:val="28"/>
          <w:lang w:val="en-GB"/>
        </w:rPr>
      </w:pPr>
      <w:r>
        <w:rPr>
          <w:rFonts w:hint="eastAsia"/>
          <w:b/>
          <w:sz w:val="28"/>
          <w:szCs w:val="28"/>
        </w:rPr>
        <w:t>南雄康宁医院2021年卫生技术人员薪酬标准</w:t>
      </w:r>
      <w:r>
        <w:rPr>
          <w:rFonts w:hint="default"/>
          <w:b/>
          <w:sz w:val="28"/>
          <w:szCs w:val="28"/>
          <w:lang w:val="en-GB"/>
        </w:rPr>
        <w:t>(6)</w:t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en-GB"/>
        </w:rPr>
        <w:t xml:space="preserve">          </w:t>
      </w:r>
      <w:r>
        <w:rPr>
          <w:rFonts w:hint="eastAsia"/>
          <w:sz w:val="28"/>
          <w:szCs w:val="28"/>
        </w:rPr>
        <w:t>（2021年1月1日至2021年12月31日）       单位：元/月</w:t>
      </w:r>
    </w:p>
    <w:tbl>
      <w:tblPr>
        <w:tblStyle w:val="5"/>
        <w:tblW w:w="9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896"/>
        <w:gridCol w:w="1138"/>
        <w:gridCol w:w="1028"/>
        <w:gridCol w:w="861"/>
        <w:gridCol w:w="39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  位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底薪类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en-GB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社保类</w:t>
            </w:r>
            <w:r>
              <w:rPr>
                <w:rFonts w:hint="default"/>
                <w:b/>
                <w:bCs/>
                <w:sz w:val="22"/>
                <w:szCs w:val="22"/>
                <w:lang w:val="en-GB"/>
              </w:rPr>
              <w:t>(医院缴纳部份)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绩效类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临床副主任医师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薪酬面谈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临床主治医师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40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11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16000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精神科执业资格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临床主治医师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9600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非精神科执业资格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30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86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精神科执业资格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非精神科执业资格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临床助理执业医师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25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51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精神科执业资格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临床助理执业医师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25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临床本科毕业生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20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46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无临床医师执业资格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临床专科毕业生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15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65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无临床助理医师执业资格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护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理</w:t>
            </w:r>
            <w:r>
              <w:rPr>
                <w:rFonts w:hint="eastAsia"/>
                <w:color w:val="auto"/>
                <w:sz w:val="22"/>
                <w:szCs w:val="22"/>
              </w:rPr>
              <w:t>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30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80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精神科工作二年以上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护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理</w:t>
            </w:r>
            <w:r>
              <w:rPr>
                <w:rFonts w:hint="eastAsia"/>
                <w:color w:val="auto"/>
                <w:sz w:val="22"/>
                <w:szCs w:val="22"/>
              </w:rPr>
              <w:t>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无精神科工作经历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护士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65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有护理执业资格，</w:t>
            </w:r>
            <w:r>
              <w:rPr>
                <w:rFonts w:hint="eastAsia"/>
                <w:color w:val="auto"/>
                <w:sz w:val="22"/>
                <w:szCs w:val="22"/>
              </w:rPr>
              <w:t>精神科工作二年以上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护士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25</w:t>
            </w:r>
            <w:r>
              <w:rPr>
                <w:rFonts w:hint="eastAsia"/>
                <w:color w:val="auto"/>
                <w:sz w:val="22"/>
                <w:szCs w:val="22"/>
                <w:lang w:val="en-GB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有护理执业资格，</w:t>
            </w:r>
            <w:r>
              <w:rPr>
                <w:rFonts w:hint="eastAsia"/>
                <w:color w:val="auto"/>
                <w:sz w:val="22"/>
                <w:szCs w:val="22"/>
              </w:rPr>
              <w:t>无精神科工作经历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护士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20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26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无执业资格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护工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20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46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放射医师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56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90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若未获得执业资格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放射技师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250</w:t>
            </w:r>
            <w:r>
              <w:rPr>
                <w:rFonts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41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若未获得执业资格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B超、心电图医师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46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8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若未获得执业资格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B超、心电图技师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25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rFonts w:hint="default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7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若未获得执业资格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临床检验师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25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37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若未获得执业资格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临床检验士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20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32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若未获得执业资格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临床药剂师（西）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25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37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若未获得执业资格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4000</w:t>
            </w:r>
          </w:p>
          <w:p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3" w:type="dxa"/>
            <w:vAlign w:val="top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临床药剂士（西）</w:t>
            </w:r>
          </w:p>
        </w:tc>
        <w:tc>
          <w:tcPr>
            <w:tcW w:w="896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20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1138" w:type="dxa"/>
            <w:vAlign w:val="top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400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861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default"/>
                <w:color w:val="auto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</w:rPr>
              <w:t>00</w:t>
            </w:r>
          </w:p>
        </w:tc>
        <w:tc>
          <w:tcPr>
            <w:tcW w:w="3982" w:type="dxa"/>
            <w:vAlign w:val="top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若未获得执业资格</w:t>
            </w:r>
            <w:r>
              <w:rPr>
                <w:rFonts w:hint="default"/>
                <w:color w:val="auto"/>
                <w:sz w:val="22"/>
                <w:szCs w:val="22"/>
                <w:lang w:val="en-GB" w:eastAsia="zh-CN"/>
              </w:rPr>
              <w:t>4000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</w:pPr>
    </w:p>
    <w:p>
      <w:pPr>
        <w:jc w:val="left"/>
        <w:rPr>
          <w:rFonts w:hint="default"/>
          <w:b/>
          <w:sz w:val="24"/>
          <w:szCs w:val="24"/>
          <w:lang w:val="en-GB"/>
        </w:rPr>
      </w:pP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注</w:t>
      </w:r>
      <w:r>
        <w:rPr>
          <w:rFonts w:hint="default" w:ascii="宋体" w:hAnsi="宋体" w:eastAsia="宋体" w:cs="宋体"/>
          <w:color w:val="auto"/>
          <w:sz w:val="22"/>
          <w:szCs w:val="22"/>
          <w:lang w:val="en-GB" w:eastAsia="zh-CN"/>
        </w:rPr>
        <w:t>:1.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以上人员绩效工资按岗位责任制考核标准，以当月考核评分情况计发。</w:t>
      </w:r>
      <w:r>
        <w:rPr>
          <w:rFonts w:hint="default" w:ascii="宋体" w:hAnsi="宋体" w:eastAsia="宋体" w:cs="宋体"/>
          <w:color w:val="auto"/>
          <w:sz w:val="22"/>
          <w:szCs w:val="22"/>
          <w:lang w:val="en-GB" w:eastAsia="zh-CN"/>
        </w:rPr>
        <w:t>2.薪酬标准为税前标准。  3.社保类系医院为个人买社保单位应缴纳部分。</w:t>
      </w: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C5"/>
    <w:rsid w:val="000B3846"/>
    <w:rsid w:val="000B55B6"/>
    <w:rsid w:val="001A2ADD"/>
    <w:rsid w:val="001C02C5"/>
    <w:rsid w:val="001E0EF6"/>
    <w:rsid w:val="00206BEF"/>
    <w:rsid w:val="00220EF9"/>
    <w:rsid w:val="002E705C"/>
    <w:rsid w:val="00341575"/>
    <w:rsid w:val="00586600"/>
    <w:rsid w:val="006F7DDE"/>
    <w:rsid w:val="008A0413"/>
    <w:rsid w:val="00BC2C63"/>
    <w:rsid w:val="00C168F6"/>
    <w:rsid w:val="00C73B51"/>
    <w:rsid w:val="00CD6A61"/>
    <w:rsid w:val="00EC3790"/>
    <w:rsid w:val="00ED245C"/>
    <w:rsid w:val="00F0504C"/>
    <w:rsid w:val="03D53AD3"/>
    <w:rsid w:val="11225622"/>
    <w:rsid w:val="144D5AEB"/>
    <w:rsid w:val="171F0031"/>
    <w:rsid w:val="1C39597B"/>
    <w:rsid w:val="1DF473D1"/>
    <w:rsid w:val="20EF3D77"/>
    <w:rsid w:val="2BE0710E"/>
    <w:rsid w:val="2D7841A8"/>
    <w:rsid w:val="2FB46018"/>
    <w:rsid w:val="35F429F3"/>
    <w:rsid w:val="3A68193F"/>
    <w:rsid w:val="3C03662F"/>
    <w:rsid w:val="3FC73AA9"/>
    <w:rsid w:val="40D43E1A"/>
    <w:rsid w:val="426D23B4"/>
    <w:rsid w:val="47C83985"/>
    <w:rsid w:val="47DD2657"/>
    <w:rsid w:val="4A1A1DF4"/>
    <w:rsid w:val="4EF03F48"/>
    <w:rsid w:val="4F174AA5"/>
    <w:rsid w:val="5C307402"/>
    <w:rsid w:val="5D6C3666"/>
    <w:rsid w:val="60390CEC"/>
    <w:rsid w:val="789338D8"/>
    <w:rsid w:val="7C0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2020-08-14T03:11:00Z</dcterms:created>
  <dc:creator>微软用户</dc:creator>
  <cp:lastModifiedBy>Administrator</cp:lastModifiedBy>
  <cp:lastPrinted>2021-03-05T00:40:00Z</cp:lastPrinted>
  <dcterms:modified xsi:type="dcterms:W3CDTF">2021-04-25T06:44:27Z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455F40F5D8F94BE8A37A37E06DD1D34D</vt:lpwstr>
  </property>
</Properties>
</file>